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800"/>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0020"/>
          </w:cols>
          <w:pgMar w:left="440" w:top="368" w:right="1439" w:bottom="1440" w:gutter="0" w:footer="0" w:header="0"/>
        </w:sectPr>
      </w:pPr>
    </w:p>
    <w:p>
      <w:pPr>
        <w:spacing w:after="0" w:line="246" w:lineRule="exact"/>
        <w:rPr>
          <w:sz w:val="24"/>
          <w:szCs w:val="24"/>
          <w:color w:val="auto"/>
        </w:rPr>
      </w:pPr>
    </w:p>
    <w:p>
      <w:pPr>
        <w:ind w:left="2080"/>
        <w:spacing w:after="0"/>
        <w:rPr>
          <w:sz w:val="20"/>
          <w:szCs w:val="20"/>
          <w:color w:val="auto"/>
        </w:rPr>
      </w:pPr>
      <w:r>
        <w:rPr>
          <w:rFonts w:ascii="Arial" w:cs="Arial" w:eastAsia="Arial" w:hAnsi="Arial"/>
          <w:sz w:val="16"/>
          <w:szCs w:val="16"/>
          <w:color w:val="auto"/>
        </w:rPr>
        <w:t>(Check one)</w:t>
      </w:r>
      <w:r>
        <w:rPr>
          <w:rFonts w:ascii="Arial" w:cs="Arial" w:eastAsia="Arial" w:hAnsi="Arial"/>
          <w:sz w:val="16"/>
          <w:szCs w:val="16"/>
          <w:i w:val="1"/>
          <w:iCs w:val="1"/>
          <w:color w:val="auto"/>
        </w:rPr>
        <w:t>:</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9" w:lineRule="exact"/>
        <w:rPr>
          <w:sz w:val="24"/>
          <w:szCs w:val="24"/>
          <w:color w:val="auto"/>
        </w:rPr>
      </w:pPr>
    </w:p>
    <w:p>
      <w:pPr>
        <w:sectPr>
          <w:pgSz w:w="11900" w:h="16838" w:orient="portrait"/>
          <w:cols w:equalWidth="0" w:num="4">
            <w:col w:w="3020" w:space="280"/>
            <w:col w:w="2520" w:space="20"/>
            <w:col w:w="1440" w:space="80"/>
            <w:col w:w="2660"/>
          </w:cols>
          <w:pgMar w:left="440" w:top="368" w:right="1439" w:bottom="1440" w:gutter="0" w:footer="0" w:header="0"/>
          <w:type w:val="continuous"/>
        </w:sectPr>
      </w:pPr>
    </w:p>
    <w:p>
      <w:pPr>
        <w:ind w:left="3300"/>
        <w:spacing w:after="0"/>
        <w:rPr>
          <w:sz w:val="20"/>
          <w:szCs w:val="20"/>
          <w:color w:val="auto"/>
        </w:rPr>
      </w:pPr>
      <w:r>
        <w:rPr>
          <w:rFonts w:ascii="Arial" w:cs="Arial" w:eastAsia="Arial" w:hAnsi="Arial"/>
          <w:sz w:val="18"/>
          <w:szCs w:val="18"/>
          <w:color w:val="auto"/>
        </w:rPr>
        <w:t>For Period Ended: December 31, 2021</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1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003415"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368935"/>
                    </a:xfrm>
                    <a:prstGeom prst="rect">
                      <a:avLst/>
                    </a:prstGeom>
                    <a:noFill/>
                  </pic:spPr>
                </pic:pic>
              </a:graphicData>
            </a:graphic>
          </wp:anchor>
        </w:drawing>
      </w:r>
    </w:p>
    <w:p>
      <w:pPr>
        <w:spacing w:after="0" w:line="286" w:lineRule="exact"/>
        <w:rPr>
          <w:sz w:val="24"/>
          <w:szCs w:val="24"/>
          <w:color w:val="auto"/>
        </w:rPr>
      </w:pPr>
    </w:p>
    <w:p>
      <w:pPr>
        <w:jc w:val="center"/>
        <w:ind w:right="-109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09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979"/>
        <w:spacing w:after="0"/>
        <w:rPr>
          <w:sz w:val="20"/>
          <w:szCs w:val="20"/>
          <w:color w:val="auto"/>
        </w:rPr>
      </w:pPr>
      <w:r>
        <w:rPr>
          <w:rFonts w:ascii="Arial" w:cs="Arial" w:eastAsia="Arial" w:hAnsi="Arial"/>
          <w:sz w:val="40"/>
          <w:szCs w:val="40"/>
          <w:b w:val="1"/>
          <w:bCs w:val="1"/>
          <w:color w:val="auto"/>
        </w:rPr>
        <w:t>GoHealth, Inc.</w:t>
      </w:r>
    </w:p>
    <w:p>
      <w:pPr>
        <w:spacing w:after="0" w:line="35"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Full Name of Registrant</w:t>
      </w:r>
    </w:p>
    <w:p>
      <w:pPr>
        <w:spacing w:after="0" w:line="205"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79"/>
        <w:spacing w:after="0"/>
        <w:rPr>
          <w:sz w:val="20"/>
          <w:szCs w:val="20"/>
          <w:color w:val="auto"/>
        </w:rPr>
      </w:pPr>
      <w:r>
        <w:rPr>
          <w:rFonts w:ascii="Arial" w:cs="Arial" w:eastAsia="Arial" w:hAnsi="Arial"/>
          <w:sz w:val="14"/>
          <w:szCs w:val="14"/>
          <w:b w:val="1"/>
          <w:bCs w:val="1"/>
          <w:color w:val="auto"/>
        </w:rPr>
        <w:t>Former Name if Applicable</w:t>
      </w:r>
    </w:p>
    <w:p>
      <w:pPr>
        <w:spacing w:after="0" w:line="192"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214 West Huron St.</w:t>
      </w:r>
    </w:p>
    <w:p>
      <w:pPr>
        <w:spacing w:after="0" w:line="21" w:lineRule="exact"/>
        <w:rPr>
          <w:sz w:val="24"/>
          <w:szCs w:val="24"/>
          <w:color w:val="auto"/>
        </w:rPr>
      </w:pPr>
    </w:p>
    <w:p>
      <w:pPr>
        <w:jc w:val="center"/>
        <w:ind w:right="-979"/>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192"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Chicago, IL 60654</w:t>
      </w:r>
    </w:p>
    <w:p>
      <w:pPr>
        <w:spacing w:after="0" w:line="21"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City, State and Zip Code</w:t>
      </w:r>
    </w:p>
    <w:p>
      <w:pPr>
        <w:sectPr>
          <w:pgSz w:w="11900" w:h="16838" w:orient="portrait"/>
          <w:cols w:equalWidth="0" w:num="1">
            <w:col w:w="10020"/>
          </w:cols>
          <w:pgMar w:left="440" w:top="368" w:right="1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t>PART II – RULES 12b-25(b) AND (c)</w:t>
      </w:r>
    </w:p>
    <w:p>
      <w:pPr>
        <w:spacing w:after="0" w:line="229"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0"/>
          <w:szCs w:val="20"/>
          <w:color w:val="auto"/>
        </w:rPr>
      </w:pPr>
    </w:p>
    <w:p>
      <w:pPr>
        <w:ind w:left="864" w:hanging="324"/>
        <w:spacing w:after="0"/>
        <w:tabs>
          <w:tab w:leader="none" w:pos="864"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864" w:hanging="324"/>
        <w:spacing w:after="0"/>
        <w:tabs>
          <w:tab w:leader="none" w:pos="864"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 N-CSR, or</w:t>
      </w:r>
    </w:p>
    <w:p>
      <w:pPr>
        <w:spacing w:after="0" w:line="20" w:lineRule="exact"/>
        <w:rPr>
          <w:rFonts w:ascii="Arial" w:cs="Arial" w:eastAsia="Arial" w:hAnsi="Arial"/>
          <w:sz w:val="17"/>
          <w:szCs w:val="17"/>
          <w:color w:val="auto"/>
        </w:rPr>
      </w:pPr>
    </w:p>
    <w:p>
      <w:pPr>
        <w:ind w:left="864" w:right="240" w:hanging="720"/>
        <w:spacing w:after="0" w:line="200" w:lineRule="auto"/>
        <w:tabs>
          <w:tab w:leader="none" w:pos="864"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864" w:hanging="324"/>
        <w:spacing w:after="0"/>
        <w:tabs>
          <w:tab w:leader="none" w:pos="8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-816610</wp:posOffset>
            </wp:positionV>
            <wp:extent cx="825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GoHealth, Inc. (the “Company”) has determined that it is unable to file its Annual Report on Form 10-K for the fiscal year ended December 31, 2021 (the “Form 10-K”) within the prescribed time period without unreasonable effort or expense for those reasons set forth below.</w:t>
      </w:r>
    </w:p>
    <w:p>
      <w:pPr>
        <w:spacing w:after="0" w:line="146"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On December 31, 2021, the Company’s status as an emerging growth company ended and the Company became a large accelerated filer. As a result, the Company (i) is subject to a shortened filing deadline of 60 rather than 90 days to file the Form 10-K following the end of the Company’s annual reporting period and (ii) is, for the first time, subject to the requirements of Section 404 of the Sarbanes-Oxley Act of 2002 (the “SOX Act”). In connection with this shorter filing timeline and the enhanced compliance obligations with respect to Section 404 of the SOX Act, the Company requires additional time to complete the assessment of the Company’s internal controls over financial reporting as of December 31, 2021, and to quantify an expected goodwill impairment charge anticipated to be completed in connection with the finalization of the Form 10-K.</w:t>
      </w:r>
    </w:p>
    <w:p>
      <w:pPr>
        <w:spacing w:after="0" w:line="178"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Company expects to file the Form 10-K within the extension period of 15 calendar days as provided by Rule 12b-25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684" w:hanging="684"/>
        <w:spacing w:after="0"/>
        <w:tabs>
          <w:tab w:leader="none" w:pos="68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584" w:type="dxa"/>
        <w:tblCellMar>
          <w:top w:w="0" w:type="dxa"/>
          <w:left w:w="0" w:type="dxa"/>
          <w:bottom w:w="0" w:type="dxa"/>
          <w:right w:w="0" w:type="dxa"/>
        </w:tblCellMar>
      </w:tblPr>
      <w:tr>
        <w:trPr>
          <w:trHeight w:val="234"/>
        </w:trPr>
        <w:tc>
          <w:tcPr>
            <w:tcW w:w="4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Clinton P. Jones</w:t>
            </w:r>
          </w:p>
        </w:tc>
        <w:tc>
          <w:tcPr>
            <w:tcW w:w="1200" w:type="dxa"/>
            <w:vAlign w:val="bottom"/>
          </w:tcPr>
          <w:p>
            <w:pPr>
              <w:jc w:val="right"/>
              <w:ind w:right="379"/>
              <w:spacing w:after="0"/>
              <w:rPr>
                <w:sz w:val="20"/>
                <w:szCs w:val="20"/>
                <w:color w:val="auto"/>
              </w:rPr>
            </w:pPr>
            <w:r>
              <w:rPr>
                <w:rFonts w:ascii="Arial" w:cs="Arial" w:eastAsia="Arial" w:hAnsi="Arial"/>
                <w:sz w:val="18"/>
                <w:szCs w:val="18"/>
                <w:b w:val="1"/>
                <w:bCs w:val="1"/>
                <w:color w:val="auto"/>
              </w:rPr>
              <w:t>312</w:t>
            </w:r>
          </w:p>
        </w:tc>
        <w:tc>
          <w:tcPr>
            <w:tcW w:w="320" w:type="dxa"/>
            <w:vAlign w:val="bottom"/>
          </w:tcPr>
          <w:p>
            <w:pPr>
              <w:spacing w:after="0"/>
              <w:rPr>
                <w:sz w:val="20"/>
                <w:szCs w:val="20"/>
                <w:color w:val="auto"/>
              </w:rPr>
            </w:pPr>
          </w:p>
        </w:tc>
        <w:tc>
          <w:tcPr>
            <w:tcW w:w="4300" w:type="dxa"/>
            <w:vAlign w:val="bottom"/>
          </w:tcPr>
          <w:p>
            <w:pPr>
              <w:jc w:val="right"/>
              <w:ind w:right="1679"/>
              <w:spacing w:after="0"/>
              <w:rPr>
                <w:sz w:val="20"/>
                <w:szCs w:val="20"/>
                <w:color w:val="auto"/>
              </w:rPr>
            </w:pPr>
            <w:r>
              <w:rPr>
                <w:rFonts w:ascii="Arial" w:cs="Arial" w:eastAsia="Arial" w:hAnsi="Arial"/>
                <w:sz w:val="18"/>
                <w:szCs w:val="18"/>
                <w:b w:val="1"/>
                <w:bCs w:val="1"/>
                <w:color w:val="auto"/>
              </w:rPr>
              <w:t>386-8200</w:t>
            </w:r>
          </w:p>
        </w:tc>
      </w:tr>
      <w:tr>
        <w:trPr>
          <w:trHeight w:val="180"/>
        </w:trPr>
        <w:tc>
          <w:tcPr>
            <w:tcW w:w="428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6"/>
              </w:rPr>
              <w:t>(Name)</w:t>
            </w:r>
          </w:p>
        </w:tc>
        <w:tc>
          <w:tcPr>
            <w:tcW w:w="340" w:type="dxa"/>
            <w:vAlign w:val="bottom"/>
          </w:tcPr>
          <w:p>
            <w:pPr>
              <w:spacing w:after="0"/>
              <w:rPr>
                <w:sz w:val="15"/>
                <w:szCs w:val="15"/>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(Area Code)</w:t>
            </w:r>
          </w:p>
        </w:tc>
        <w:tc>
          <w:tcPr>
            <w:tcW w:w="320" w:type="dxa"/>
            <w:vAlign w:val="bottom"/>
          </w:tcPr>
          <w:p>
            <w:pPr>
              <w:spacing w:after="0"/>
              <w:rPr>
                <w:sz w:val="15"/>
                <w:szCs w:val="15"/>
                <w:color w:val="auto"/>
              </w:rPr>
            </w:pPr>
          </w:p>
        </w:tc>
        <w:tc>
          <w:tcPr>
            <w:tcW w:w="430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3"/>
              </w:rPr>
              <w:t>(Telephone Number)</w:t>
            </w:r>
          </w:p>
        </w:tc>
      </w:tr>
    </w:tbl>
    <w:p>
      <w:pPr>
        <w:spacing w:after="0" w:line="56" w:lineRule="exact"/>
        <w:rPr>
          <w:sz w:val="20"/>
          <w:szCs w:val="20"/>
          <w:color w:val="auto"/>
        </w:rPr>
      </w:pPr>
    </w:p>
    <w:p>
      <w:pPr>
        <w:jc w:val="both"/>
        <w:ind w:left="684" w:right="360" w:hanging="684"/>
        <w:spacing w:after="0" w:line="287" w:lineRule="auto"/>
        <w:tabs>
          <w:tab w:leader="none" w:pos="684"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724" w:val="left"/>
          <w:tab w:leader="none" w:pos="4464" w:val="left"/>
        </w:tabs>
        <w:rPr>
          <w:sz w:val="20"/>
          <w:szCs w:val="20"/>
          <w:color w:val="auto"/>
        </w:rPr>
      </w:pPr>
      <w:r>
        <w:rPr>
          <w:rFonts w:ascii="Arial" w:cs="Arial" w:eastAsia="Arial" w:hAnsi="Arial"/>
          <w:sz w:val="18"/>
          <w:szCs w:val="18"/>
          <w:color w:val="auto"/>
        </w:rPr>
        <w:t>filed? If answer is no, identify report(s).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0"/>
          <w:szCs w:val="20"/>
          <w:color w:val="auto"/>
        </w:rPr>
      </w:pPr>
    </w:p>
    <w:p>
      <w:pPr>
        <w:ind w:left="684" w:hanging="684"/>
        <w:spacing w:after="0"/>
        <w:tabs>
          <w:tab w:leader="none" w:pos="684"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w:t>
      </w:r>
    </w:p>
    <w:p>
      <w:pPr>
        <w:spacing w:after="0" w:line="41" w:lineRule="exact"/>
        <w:rPr>
          <w:sz w:val="20"/>
          <w:szCs w:val="20"/>
          <w:color w:val="auto"/>
        </w:rPr>
      </w:pPr>
    </w:p>
    <w:p>
      <w:pPr>
        <w:ind w:left="684"/>
        <w:spacing w:after="0" w:line="207" w:lineRule="exact"/>
        <w:tabs>
          <w:tab w:leader="none" w:pos="6244" w:val="left"/>
          <w:tab w:leader="none" w:pos="6924" w:val="left"/>
        </w:tabs>
        <w:rPr>
          <w:sz w:val="20"/>
          <w:szCs w:val="20"/>
          <w:color w:val="auto"/>
        </w:rPr>
      </w:pPr>
      <w:r>
        <w:rPr>
          <w:rFonts w:ascii="Arial" w:cs="Arial" w:eastAsia="Arial" w:hAnsi="Arial"/>
          <w:sz w:val="18"/>
          <w:szCs w:val="18"/>
          <w:color w:val="auto"/>
        </w:rPr>
        <w:t>earnings statements to be included in the subject report or portion thereof?</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0"/>
          <w:szCs w:val="20"/>
          <w:color w:val="auto"/>
        </w:rPr>
      </w:pPr>
    </w:p>
    <w:p>
      <w:pPr>
        <w:ind w:left="684" w:right="8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5" w:right="439" w:bottom="1440" w:gutter="0" w:footer="0" w:header="0"/>
        </w:sectPr>
      </w:pPr>
    </w:p>
    <w:bookmarkStart w:id="2" w:name="page3"/>
    <w:bookmarkEnd w:id="2"/>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anticipates that its results of operations for the fourth quarter and year ended December 31, 2021, when filed in the Annual Report on Form 10-K for the fiscal year ended December 31, 2021 (the “Form 10-K”), will reflect significant changes from the fourth quarter and full fiscal year ended December 31, 2020.</w:t>
      </w:r>
    </w:p>
    <w:p>
      <w:pPr>
        <w:spacing w:after="0" w:line="184"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As reported in the press release furnished as Exhibit 99.1 to the Company’s Current Report on Form 8-K dated March 1, 2022 (the “Form 8-K”), based on the preliminary, unaudited financial results and select operating metrics for the fourth quarter and year ended December 31, 2021:</w:t>
      </w:r>
    </w:p>
    <w:p>
      <w:pPr>
        <w:spacing w:after="0" w:line="52" w:lineRule="exact"/>
        <w:rPr>
          <w:sz w:val="20"/>
          <w:szCs w:val="20"/>
          <w:color w:val="auto"/>
        </w:rPr>
      </w:pPr>
    </w:p>
    <w:p>
      <w:pPr>
        <w:ind w:left="964" w:hanging="424"/>
        <w:spacing w:after="0" w:line="255"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revenue for the fourth quarter of 2021 is expected to be in the range of $425.0 million to $470.0 million, compared with $445.9 million for the prior year period. Net revenue for the year ended December 31, 2021 is expected to be in the range of $1,040.0 million to $1,085.0 million, compared with $877.4 million for the prior year. These expected net revenue ranges are inclusive of a 15% Medicare Advantage (“MA”) lifetime value (“LTV”) constraint applied to all MA policies sold in the fourth quarter of 2021 and negative revenue adjustments relating to performance obligations satisfied in 2018, 2019, 2020 and the first nine months of 2021 (the “Lookback Adjustments”), as further described below.</w:t>
      </w:r>
    </w:p>
    <w:p>
      <w:pPr>
        <w:spacing w:after="0" w:line="97" w:lineRule="exact"/>
        <w:rPr>
          <w:rFonts w:ascii="Arial" w:cs="Arial" w:eastAsia="Arial" w:hAnsi="Arial"/>
          <w:sz w:val="18"/>
          <w:szCs w:val="18"/>
          <w:color w:val="auto"/>
        </w:rPr>
      </w:pPr>
    </w:p>
    <w:p>
      <w:pPr>
        <w:ind w:left="964" w:hanging="424"/>
        <w:spacing w:after="0"/>
        <w:tabs>
          <w:tab w:leader="none" w:pos="964" w:val="left"/>
        </w:tabs>
        <w:numPr>
          <w:ilvl w:val="1"/>
          <w:numId w:val="7"/>
        </w:numPr>
        <w:rPr>
          <w:rFonts w:ascii="Arial" w:cs="Arial" w:eastAsia="Arial" w:hAnsi="Arial"/>
          <w:sz w:val="17"/>
          <w:szCs w:val="17"/>
          <w:color w:val="auto"/>
        </w:rPr>
      </w:pPr>
      <w:r>
        <w:rPr>
          <w:rFonts w:ascii="Arial" w:cs="Arial" w:eastAsia="Arial" w:hAnsi="Arial"/>
          <w:sz w:val="17"/>
          <w:szCs w:val="17"/>
          <w:color w:val="auto"/>
        </w:rPr>
        <w:t>Net loss for the fourth quarter of 2021 is expected to be in the range of $52.7 million to $38.8 million, compared with net income of</w:t>
      </w:r>
    </w:p>
    <w:p>
      <w:pPr>
        <w:spacing w:after="0" w:line="34" w:lineRule="exact"/>
        <w:rPr>
          <w:rFonts w:ascii="Arial" w:cs="Arial" w:eastAsia="Arial" w:hAnsi="Arial"/>
          <w:sz w:val="17"/>
          <w:szCs w:val="17"/>
          <w:color w:val="auto"/>
        </w:rPr>
      </w:pPr>
    </w:p>
    <w:p>
      <w:pPr>
        <w:ind w:left="964"/>
        <w:spacing w:after="0" w:line="255" w:lineRule="auto"/>
        <w:rPr>
          <w:rFonts w:ascii="Arial" w:cs="Arial" w:eastAsia="Arial" w:hAnsi="Arial"/>
          <w:sz w:val="17"/>
          <w:szCs w:val="17"/>
          <w:color w:val="auto"/>
        </w:rPr>
      </w:pPr>
      <w:r>
        <w:rPr>
          <w:rFonts w:ascii="Arial" w:cs="Arial" w:eastAsia="Arial" w:hAnsi="Arial"/>
          <w:sz w:val="18"/>
          <w:szCs w:val="18"/>
          <w:color w:val="auto"/>
        </w:rPr>
        <w:t>$133.1 million for the prior year period. Net loss for the year ended December 31, 2021 is expected to be in the range of $155.0 million to $141.0 million, compared with net income of $97.2 million for the prior year. These expected net loss ranges exclude an expected goodwill impairment charge.</w:t>
      </w:r>
    </w:p>
    <w:p>
      <w:pPr>
        <w:spacing w:after="0" w:line="95" w:lineRule="exact"/>
        <w:rPr>
          <w:rFonts w:ascii="Arial" w:cs="Arial" w:eastAsia="Arial" w:hAnsi="Arial"/>
          <w:sz w:val="17"/>
          <w:szCs w:val="17"/>
          <w:color w:val="auto"/>
        </w:rPr>
      </w:pPr>
    </w:p>
    <w:p>
      <w:pPr>
        <w:ind w:left="964" w:hanging="424"/>
        <w:spacing w:after="0" w:line="254"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for the fourth quarter of 2021 is expected to be in the range of negative $5.5 million to positive $8.5 million, compared with positive $169.9 million for the prior year period. Adjusted EBITDA</w:t>
      </w:r>
      <w:r>
        <w:rPr>
          <w:rFonts w:ascii="Arial" w:cs="Arial" w:eastAsia="Arial" w:hAnsi="Arial"/>
          <w:sz w:val="15"/>
          <w:szCs w:val="15"/>
          <w:color w:val="auto"/>
        </w:rPr>
        <w:t>1</w:t>
      </w:r>
      <w:r>
        <w:rPr>
          <w:rFonts w:ascii="Arial" w:cs="Arial" w:eastAsia="Arial" w:hAnsi="Arial"/>
          <w:sz w:val="18"/>
          <w:szCs w:val="18"/>
          <w:color w:val="auto"/>
        </w:rPr>
        <w:t xml:space="preserve"> for the year ended December 31, 2021 is expected to be in the range of $26.5 million to $40.5 million, compared with $271.0 million for the prior year. Adjusted EBITDA</w:t>
      </w:r>
      <w:r>
        <w:rPr>
          <w:rFonts w:ascii="Arial" w:cs="Arial" w:eastAsia="Arial" w:hAnsi="Arial"/>
          <w:sz w:val="15"/>
          <w:szCs w:val="15"/>
          <w:color w:val="auto"/>
        </w:rPr>
        <w:t>1</w:t>
      </w:r>
      <w:r>
        <w:rPr>
          <w:rFonts w:ascii="Arial" w:cs="Arial" w:eastAsia="Arial" w:hAnsi="Arial"/>
          <w:sz w:val="18"/>
          <w:szCs w:val="18"/>
          <w:color w:val="auto"/>
        </w:rPr>
        <w:t xml:space="preserve"> includes the impact of the Lookback Adjustments for both the fourth quarter of 2021 and the year ended December 31, 2021, which is expected to have an unfavorable impact in the range of $102.0 million to $109.0 million and $108.0 million to $115.0 million, respectively. The change in Adjusted EBITDA</w:t>
      </w:r>
      <w:r>
        <w:rPr>
          <w:rFonts w:ascii="Arial" w:cs="Arial" w:eastAsia="Arial" w:hAnsi="Arial"/>
          <w:sz w:val="15"/>
          <w:szCs w:val="15"/>
          <w:color w:val="auto"/>
        </w:rPr>
        <w:t>1</w:t>
      </w:r>
      <w:r>
        <w:rPr>
          <w:rFonts w:ascii="Arial" w:cs="Arial" w:eastAsia="Arial" w:hAnsi="Arial"/>
          <w:sz w:val="18"/>
          <w:szCs w:val="18"/>
          <w:color w:val="auto"/>
        </w:rPr>
        <w:t xml:space="preserve"> is largely the result of meaningful pressures resulting from increased consumer shopping and higher than expected labor and associated costs.</w:t>
      </w:r>
    </w:p>
    <w:p>
      <w:pPr>
        <w:spacing w:after="0" w:line="100" w:lineRule="exact"/>
        <w:rPr>
          <w:rFonts w:ascii="Arial" w:cs="Arial" w:eastAsia="Arial" w:hAnsi="Arial"/>
          <w:sz w:val="18"/>
          <w:szCs w:val="18"/>
          <w:color w:val="auto"/>
        </w:rPr>
      </w:pPr>
    </w:p>
    <w:p>
      <w:pPr>
        <w:ind w:left="964" w:right="1060" w:hanging="424"/>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Lookback Adjustments are expected to be in the range of $150.0 million to $160.0 million for the fourth quarter of 2021 and $160.0 million to $170.0 million for the year ended December 31, 2021.</w:t>
      </w:r>
    </w:p>
    <w:p>
      <w:pPr>
        <w:spacing w:after="0" w:line="75"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measure. For a definition of Adjusted EBITDA and a reconciliation to the most comparable GAAP measure, please see below.</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details regarding changes in the results of operations anticipated to be disclosed in the Form 10-K compared to the corresponding periods for the prior fiscal year, along with a narrative explanation thereof, are included in the Form 8-K. The preliminary, unaudited results for the fourth quarter and year ended December 31, 2021 included in this Form 12b-25, which are the responsibility of management, were prepared by the Company’s management in connection with the preparation of the Company’s financial statements and are based upon preliminary operating results as of the date hereof, and include a number of subjective judgements and assumptions. Additional items that may require adjustments to the Company’s preliminary estimated financial information may be identified and could result in material changes to the Company’s preliminary estimated results. The Company’s independent registered public accounting firm has not audited, reviewed, compiled or performed any procedures with respect to the preliminary estimated financial information, nor have they expressed any opinion or any other form of assurance on such information or its achievability, and assume no responsibility for, and disclaim any association with, such preliminary estimated financial information. Further, these preliminary estimated results are not a comprehensive statement or estimate of the Company’s financial condition or operating results for the fourth quarter and year ended December 31, 2021. These preliminary estimated results should not be viewed as a substitute for complete financial statements prepared in accordance with generally accepted accounting principles (“GAAP”). In addition, the preliminary estimated financial information is not necessarily indicative of the results to be achieved for any future period. Accordingly, investors are cautioned not to place undue reliance on this preliminary estimated financial information. See the information below under the heading “Forward-Looking Statements” and “Risk Factors” and “Management’s Discussion and Analysis of Financial Conditions and Results of Operations” in the Company’s Annual Report on Form 10-K for the year ended December 31, 2020.</w:t>
      </w:r>
    </w:p>
    <w:p>
      <w:pPr>
        <w:spacing w:after="0" w:line="2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This Form 12b-25 contains forward-looking statements within the meaning of the Private Securities Litigation Reform Act of 1995. All statements other than statements of historical facts contained in this Form 12b-15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fourth quarter and fiscal year 2021, including with respect to revenue and Adjusted EBITDA, the growth of our membership base, and our ability to realize the potential of our market opportunity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the failure to grow the Company’s customer base or retain its existing customers; the time and cost of training agents are significant and can increase during a period of high attrition; our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the Company’s ability to file its Annual Report on Form 10-K for the fiscal year ended December 31, 2021 in the time period that it currently expects; the possibility that the Company and the ongoing review by the Company’s independent accounting firm may identify errors or control deficiencies with respect to the Company’s accounting practices; the Company’s failure to receive a waiver or amendment to certain financial covenants in its credit facility, which may (i) result in a default or event of default thereunder, permitting the applicable lenders or agents to terminate borrowing commitments and declare all borrowings and loans, together with accrued and unpaid interest and fees, to be immediately due and payable, or to otherwise exercise rights under security documents to proceed against the Company and foreclose on the Company’s assets serving as collateral under such documents and</w:t>
      </w:r>
    </w:p>
    <w:p>
      <w:pPr>
        <w:spacing w:after="0" w:line="10" w:lineRule="exact"/>
        <w:rPr>
          <w:sz w:val="20"/>
          <w:szCs w:val="20"/>
          <w:color w:val="auto"/>
        </w:rPr>
      </w:pPr>
    </w:p>
    <w:p>
      <w:pPr>
        <w:ind w:left="4" w:right="80" w:hanging="4"/>
        <w:spacing w:after="0" w:line="255" w:lineRule="auto"/>
        <w:tabs>
          <w:tab w:leader="none" w:pos="26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the Company to make an assessment in accordance with applicable accounting rules that there is substantial doubt regarding the Company’s ability to continue as a going concern; and the Company’s ability to successfully implement its business plan, including in connection with challenges caused by COVID-19 and its variants (both known and emerging).</w:t>
      </w:r>
    </w:p>
    <w:p>
      <w:pPr>
        <w:sectPr>
          <w:pgSz w:w="11900" w:h="16838" w:orient="portrait"/>
          <w:cols w:equalWidth="0" w:num="1">
            <w:col w:w="10984"/>
          </w:cols>
          <w:pgMar w:left="436" w:top="274" w:right="47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factors should not be construed as exhaustive and should be read together with the other cautionary statements included in this Form 12b-15, as well as the cautionary statements and other risk factors set forth in the Company’s Annual Report on Form 10-K for the year ended December 31,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and are reliant on the actions taken or to be taken by third parties.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 and Key Performance Indicators</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Form 12b-15 includes supplemental measures of the Company’s performance that are derived from the Company’s consolidated financial information, but which are not presented in the Company’s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17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Company’s management uses non-GAAP financial measures to supplement financial information presented on a GAAP basis. Management believes that excluding certain items from GAAP results allows management to better understand the Company’s consolidated financial performance from period to period and better project its future consolidated financial performance as forecasts are developed at a level of detail different from that used to prepare GAAP-based financial measures. Moreover, management believes these non-GAAP financial measures provide the Company’s stakeholders with useful information to help them evaluate the Company’s operating results by facilitating an enhanced understanding of its operating performance and enabling them to make more meaningful period to period comparisons. There are limitations to the use of the non-GAAP financial measures presented in this Form 12b-15. For example, the Company’s non-GAAP financial measures may not be comparable to similarly titled measures of other companies. Other companies, including companies in the Company’s industry, may calculate non-GAAP financial measures differently than the Company does, limiting the usefulness of those measures for comparative purposes.</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Form 12b-15. You are encouraged to review the reconciliations in conjunction with the presentation of the non-GAAP financial measures for each of the periods presented. In future periods, the Company may exclude similar items, may incur income and expenses similar to these excluded items and include other expenses, costs and non-recurring items.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represents, as applicable for the period, EBITDA as further adjusted for share-based compensation expense, loss on extinguishment</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loss on sublease, non-recurring legal fees, accelerated vesting of certain equity awards, change in the fair value of contingent consideration liability and severance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refers to Adjusted EBITDA divided by net revenues.</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Financial Information Reconciliation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tables set forth the reconciliations of preliminary, unaudited GAAP net loss to EBITDA and Adjusted EBITDA:</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3"/>
              </w:rPr>
              <w:t>Three months ended Dec.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Twelve months ended Dec. 31,</w:t>
            </w:r>
          </w:p>
        </w:tc>
        <w:tc>
          <w:tcPr>
            <w:tcW w:w="0" w:type="dxa"/>
            <w:vAlign w:val="bottom"/>
          </w:tcPr>
          <w:p>
            <w:pPr>
              <w:spacing w:after="0"/>
              <w:rPr>
                <w:sz w:val="1"/>
                <w:szCs w:val="1"/>
                <w:color w:val="auto"/>
              </w:rPr>
            </w:pPr>
          </w:p>
        </w:tc>
      </w:t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58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425,000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470,000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1,040,000</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Net loss (1)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(52,700)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(38,800)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(155,000)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(141,000)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30,300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107,500</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(12,700)</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 (2)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Loss on extinguishment of debt (3)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sublease (4)</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Legal fees (5)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26,500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40,500</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Adjusted EBITDA margin</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an expected goodwill impairment charge. As a non-recurring, non-cash charge it will have no impact on Adjusted EBITDA.</w:t>
      </w:r>
    </w:p>
    <w:p>
      <w:pPr>
        <w:spacing w:after="0" w:line="23" w:lineRule="exact"/>
        <w:rPr>
          <w:rFonts w:ascii="Arial" w:cs="Arial" w:eastAsia="Arial" w:hAnsi="Arial"/>
          <w:sz w:val="18"/>
          <w:szCs w:val="18"/>
          <w:i w:val="1"/>
          <w:iCs w:val="1"/>
          <w:color w:val="auto"/>
        </w:rPr>
      </w:pPr>
    </w:p>
    <w:p>
      <w:pPr>
        <w:ind w:left="424" w:hanging="424"/>
        <w:spacing w:after="0"/>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non-cash share-based compensation expense relating to equity awards.</w:t>
      </w:r>
    </w:p>
    <w:p>
      <w:pPr>
        <w:spacing w:after="0" w:line="9" w:lineRule="exact"/>
        <w:rPr>
          <w:rFonts w:ascii="Arial" w:cs="Arial" w:eastAsia="Arial" w:hAnsi="Arial"/>
          <w:sz w:val="18"/>
          <w:szCs w:val="18"/>
          <w:i w:val="1"/>
          <w:iCs w:val="1"/>
          <w:color w:val="auto"/>
        </w:rPr>
      </w:pPr>
    </w:p>
    <w:p>
      <w:pPr>
        <w:ind w:left="424" w:hanging="424"/>
        <w:spacing w:after="0"/>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loss on debt extinguishment related to the Company’s term loan facility.</w:t>
      </w:r>
    </w:p>
    <w:p>
      <w:pPr>
        <w:spacing w:after="0" w:line="9" w:lineRule="exact"/>
        <w:rPr>
          <w:rFonts w:ascii="Arial" w:cs="Arial" w:eastAsia="Arial" w:hAnsi="Arial"/>
          <w:sz w:val="18"/>
          <w:szCs w:val="18"/>
          <w:i w:val="1"/>
          <w:iCs w:val="1"/>
          <w:color w:val="auto"/>
        </w:rPr>
      </w:pPr>
    </w:p>
    <w:p>
      <w:pPr>
        <w:ind w:left="424" w:hanging="424"/>
        <w:spacing w:after="0"/>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loss related to a sublease agreement.</w:t>
      </w:r>
    </w:p>
    <w:p>
      <w:pPr>
        <w:spacing w:after="0" w:line="9" w:lineRule="exact"/>
        <w:rPr>
          <w:rFonts w:ascii="Arial" w:cs="Arial" w:eastAsia="Arial" w:hAnsi="Arial"/>
          <w:sz w:val="18"/>
          <w:szCs w:val="18"/>
          <w:i w:val="1"/>
          <w:iCs w:val="1"/>
          <w:color w:val="auto"/>
        </w:rPr>
      </w:pPr>
    </w:p>
    <w:p>
      <w:pPr>
        <w:ind w:left="424" w:hanging="424"/>
        <w:spacing w:after="0"/>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non-recurring legal fees unrelated to the Company’s core operations.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tables set forth the reconciliations of GAAP net income (loss) to EBITDA and Adjusted EBITDA for each quarter of 2020 (unaudited):</w:t>
      </w:r>
    </w:p>
    <w:p>
      <w:pPr>
        <w:spacing w:after="0" w:line="25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301"/>
              <w:spacing w:after="0"/>
              <w:rPr>
                <w:sz w:val="20"/>
                <w:szCs w:val="20"/>
                <w:color w:val="auto"/>
              </w:rPr>
            </w:pPr>
            <w:r>
              <w:rPr>
                <w:rFonts w:ascii="Arial" w:cs="Arial" w:eastAsia="Arial" w:hAnsi="Arial"/>
                <w:sz w:val="14"/>
                <w:szCs w:val="14"/>
                <w:b w:val="1"/>
                <w:bCs w:val="1"/>
                <w:color w:val="auto"/>
                <w:w w:val="84"/>
              </w:rPr>
              <w:t>Successor</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Three</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Three</w:t>
            </w:r>
          </w:p>
        </w:tc>
        <w:tc>
          <w:tcPr>
            <w:tcW w:w="100" w:type="dxa"/>
            <w:vAlign w:val="bottom"/>
          </w:tcPr>
          <w:p>
            <w:pPr>
              <w:spacing w:after="0"/>
              <w:rPr>
                <w:sz w:val="10"/>
                <w:szCs w:val="10"/>
                <w:color w:val="auto"/>
              </w:rPr>
            </w:pPr>
          </w:p>
        </w:tc>
        <w:tc>
          <w:tcPr>
            <w:tcW w:w="1040" w:type="dxa"/>
            <w:vAlign w:val="bottom"/>
            <w:gridSpan w:val="2"/>
          </w:tcPr>
          <w:p>
            <w:pPr>
              <w:jc w:val="center"/>
              <w:ind w:right="401"/>
              <w:spacing w:after="0" w:line="119" w:lineRule="exact"/>
              <w:rPr>
                <w:sz w:val="20"/>
                <w:szCs w:val="20"/>
                <w:color w:val="auto"/>
              </w:rPr>
            </w:pPr>
            <w:r>
              <w:rPr>
                <w:rFonts w:ascii="Arial" w:cs="Arial" w:eastAsia="Arial" w:hAnsi="Arial"/>
                <w:sz w:val="13"/>
                <w:szCs w:val="13"/>
                <w:b w:val="1"/>
                <w:bCs w:val="1"/>
                <w:color w:val="auto"/>
              </w:rPr>
              <w:t>Three</w:t>
            </w:r>
          </w:p>
        </w:tc>
        <w:tc>
          <w:tcPr>
            <w:tcW w:w="920" w:type="dxa"/>
            <w:vAlign w:val="bottom"/>
            <w:tcBorders>
              <w:right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Three</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Twelve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months</w:t>
            </w:r>
          </w:p>
        </w:tc>
        <w:tc>
          <w:tcPr>
            <w:tcW w:w="10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months</w:t>
            </w:r>
          </w:p>
        </w:tc>
        <w:tc>
          <w:tcPr>
            <w:tcW w:w="100" w:type="dxa"/>
            <w:vAlign w:val="bottom"/>
          </w:tcPr>
          <w:p>
            <w:pPr>
              <w:spacing w:after="0"/>
              <w:rPr>
                <w:sz w:val="12"/>
                <w:szCs w:val="12"/>
                <w:color w:val="auto"/>
              </w:rPr>
            </w:pPr>
          </w:p>
        </w:tc>
        <w:tc>
          <w:tcPr>
            <w:tcW w:w="1040" w:type="dxa"/>
            <w:vAlign w:val="bottom"/>
            <w:gridSpan w:val="2"/>
          </w:tcPr>
          <w:p>
            <w:pPr>
              <w:jc w:val="center"/>
              <w:ind w:right="401"/>
              <w:spacing w:after="0" w:line="149" w:lineRule="exact"/>
              <w:rPr>
                <w:sz w:val="20"/>
                <w:szCs w:val="20"/>
                <w:color w:val="auto"/>
              </w:rPr>
            </w:pPr>
            <w:r>
              <w:rPr>
                <w:rFonts w:ascii="Arial" w:cs="Arial" w:eastAsia="Arial" w:hAnsi="Arial"/>
                <w:sz w:val="14"/>
                <w:szCs w:val="14"/>
                <w:b w:val="1"/>
                <w:bCs w:val="1"/>
                <w:color w:val="auto"/>
                <w:w w:val="86"/>
              </w:rPr>
              <w:t>months</w:t>
            </w:r>
          </w:p>
        </w:tc>
        <w:tc>
          <w:tcPr>
            <w:tcW w:w="92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months</w:t>
            </w: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ended Mar.</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Jun.</w:t>
            </w:r>
          </w:p>
        </w:tc>
        <w:tc>
          <w:tcPr>
            <w:tcW w:w="1140" w:type="dxa"/>
            <w:vAlign w:val="bottom"/>
            <w:gridSpan w:val="3"/>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ended Sep.</w:t>
            </w:r>
          </w:p>
        </w:tc>
        <w:tc>
          <w:tcPr>
            <w:tcW w:w="92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ended Dec.</w:t>
            </w: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ended Dec.</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31, 2020</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30, 2020</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30, 2020</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31, 2020</w:t>
            </w:r>
          </w:p>
        </w:tc>
        <w:tc>
          <w:tcPr>
            <w:tcW w:w="240" w:type="dxa"/>
            <w:vAlign w:val="bottom"/>
            <w:tcBorders>
              <w:bottom w:val="single" w:sz="8" w:color="CCEEFF"/>
              <w:right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141,010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127,057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163,360</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445,923</w:t>
            </w:r>
          </w:p>
        </w:tc>
        <w:tc>
          <w:tcPr>
            <w:tcW w:w="2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877,350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(22,867)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(206,496)</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133,100</w:t>
            </w:r>
          </w:p>
        </w:tc>
        <w:tc>
          <w:tcPr>
            <w:tcW w:w="2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(97,200)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8,636</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8"/>
                <w:szCs w:val="18"/>
                <w:color w:val="auto"/>
              </w:rPr>
              <w:t>62</w:t>
            </w: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24,777</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98,552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EBITDA</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(173,021</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166,806</w:t>
            </w: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 (1)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2,770</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Accelerated vesting of certain equity awards (2)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8"/>
                <w:szCs w:val="18"/>
                <w:color w:val="auto"/>
                <w:w w:val="95"/>
              </w:rPr>
              <w:t>209,300</w:t>
            </w:r>
          </w:p>
        </w:tc>
        <w:tc>
          <w:tcPr>
            <w:tcW w:w="9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209,300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 liability (3)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Other adjustments (4)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8"/>
                <w:szCs w:val="18"/>
                <w:color w:val="auto"/>
              </w:rPr>
              <w:t>235</w:t>
            </w:r>
          </w:p>
        </w:tc>
        <w:tc>
          <w:tcPr>
            <w:tcW w:w="9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34,920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39,284</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169,889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271,029</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24.0%</w:t>
            </w:r>
          </w:p>
        </w:tc>
        <w:tc>
          <w:tcPr>
            <w:tcW w:w="9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non-cash share-based compensation expense relating to stock options, restricted stock units and time-vesting units.</w:t>
      </w:r>
    </w:p>
    <w:p>
      <w:pPr>
        <w:spacing w:after="0" w:line="23" w:lineRule="exact"/>
        <w:rPr>
          <w:rFonts w:ascii="Arial" w:cs="Arial" w:eastAsia="Arial" w:hAnsi="Arial"/>
          <w:sz w:val="18"/>
          <w:szCs w:val="18"/>
          <w:i w:val="1"/>
          <w:iCs w:val="1"/>
          <w:color w:val="auto"/>
        </w:rPr>
      </w:pPr>
    </w:p>
    <w:p>
      <w:pPr>
        <w:ind w:left="424" w:right="280" w:hanging="424"/>
        <w:spacing w:after="0" w:line="250" w:lineRule="auto"/>
        <w:tabs>
          <w:tab w:leader="none" w:pos="42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non-cash share-based compensation expense relating to the accelerated vesting of performance-vesting units in connection with the Company’s initial public offering (“IPO”).</w:t>
      </w:r>
    </w:p>
    <w:p>
      <w:pPr>
        <w:ind w:left="424" w:right="560" w:hanging="424"/>
        <w:spacing w:after="0" w:line="250" w:lineRule="auto"/>
        <w:tabs>
          <w:tab w:leader="none" w:pos="42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change in fair value of the contingent consideration liability due to the predecessor owners of the Company arising from the Centerbridge acquisition.</w:t>
      </w:r>
    </w:p>
    <w:p>
      <w:pPr>
        <w:ind w:left="424" w:right="60" w:hanging="424"/>
        <w:spacing w:after="0" w:line="260" w:lineRule="auto"/>
        <w:tabs>
          <w:tab w:leader="none" w:pos="42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legal, accounting, consulting, and other indirect costs associated with the Company’s IPO and costs associated with the termination of employment.</w:t>
      </w:r>
    </w:p>
    <w:p>
      <w:pPr>
        <w:sectPr>
          <w:pgSz w:w="11900" w:h="16838" w:orient="portrait"/>
          <w:cols w:equalWidth="0" w:num="1">
            <w:col w:w="11024"/>
          </w:cols>
          <w:pgMar w:left="436"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GoHealth,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w w:val="90"/>
              </w:rPr>
              <w:t>has caused this notification to be signed on its behalf by the undersigned hereunto duly authorized.</w:t>
            </w:r>
          </w:p>
        </w:tc>
        <w:tc>
          <w:tcPr>
            <w:tcW w:w="388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Date: March 1, 2022</w:t>
            </w:r>
          </w:p>
        </w:tc>
        <w:tc>
          <w:tcPr>
            <w:tcW w:w="3880" w:type="dxa"/>
            <w:vAlign w:val="bottom"/>
          </w:tcPr>
          <w:p>
            <w:pPr>
              <w:spacing w:after="0"/>
              <w:rPr>
                <w:sz w:val="24"/>
                <w:szCs w:val="24"/>
                <w:color w:val="auto"/>
              </w:rPr>
            </w:pPr>
          </w:p>
        </w:tc>
      </w:tr>
      <w:tr>
        <w:trPr>
          <w:trHeight w:val="459"/>
        </w:trPr>
        <w:tc>
          <w:tcPr>
            <w:tcW w:w="7140" w:type="dxa"/>
            <w:vAlign w:val="bottom"/>
          </w:tcPr>
          <w:p>
            <w:pPr>
              <w:ind w:left="66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Clinton P. Jones</w:t>
            </w:r>
          </w:p>
        </w:tc>
      </w:tr>
      <w:tr>
        <w:trPr>
          <w:trHeight w:val="195"/>
        </w:trPr>
        <w:tc>
          <w:tcPr>
            <w:tcW w:w="7140" w:type="dxa"/>
            <w:vAlign w:val="bottom"/>
          </w:tcPr>
          <w:p>
            <w:pPr>
              <w:ind w:left="66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Clinton P. Jones</w:t>
            </w:r>
          </w:p>
        </w:tc>
      </w:tr>
      <w:tr>
        <w:trPr>
          <w:trHeight w:val="216"/>
        </w:trPr>
        <w:tc>
          <w:tcPr>
            <w:tcW w:w="7140" w:type="dxa"/>
            <w:vAlign w:val="bottom"/>
          </w:tcPr>
          <w:p>
            <w:pPr>
              <w:ind w:left="66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714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lowerLetter"/>
      <w:start w:val="1"/>
    </w:lvl>
  </w:abstractNum>
  <w:abstractNum w:abstractNumId="2">
    <w:nsid w:val="2EB141F2"/>
    <w:multiLevelType w:val="hybridMultilevel"/>
    <w:lvl w:ilvl="0">
      <w:lvlJc w:val="left"/>
      <w:lvlText w:val="☒"/>
      <w:numFmt w:val="bullet"/>
      <w:start w:val="1"/>
    </w:lvl>
    <w:lvl w:ilvl="1">
      <w:lvlJc w:val="left"/>
      <w:lvlText w:val="(%2)"/>
      <w:numFmt w:val="lowerLetter"/>
      <w:start w:val="3"/>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lvl>
    <w:lvl w:ilvl="1">
      <w:lvlJc w:val="left"/>
      <w:lvlText w:val="•"/>
      <w:numFmt w:val="bullet"/>
      <w:start w:val="1"/>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2022-03-02T05:27:29Z</dcterms:created>
  <dcterms:modified xsi:type="dcterms:W3CDTF">2022-03-02T05:27:29Z</dcterms:modified>
</cp:coreProperties>
</file>