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GoHealth,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38046W105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23,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96"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80"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2" w:lineRule="exact"/>
        <w:rPr>
          <w:sz w:val="24"/>
          <w:szCs w:val="24"/>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 of 8</w:t>
      </w:r>
    </w:p>
    <w:p>
      <w:pPr>
        <w:sectPr>
          <w:pgSz w:w="11900" w:h="16838" w:orient="portrait"/>
          <w:cols w:equalWidth="0" w:num="1">
            <w:col w:w="10940"/>
          </w:cols>
          <w:pgMar w:left="440" w:top="511"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38046W105</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6926580" cy="5495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495290"/>
                    </a:xfrm>
                    <a:prstGeom prst="rect">
                      <a:avLst/>
                    </a:prstGeom>
                    <a:noFill/>
                  </pic:spPr>
                </pic:pic>
              </a:graphicData>
            </a:graphic>
          </wp:anchor>
        </w:drawing>
      </w:r>
    </w:p>
    <w:p>
      <w:pPr>
        <w:spacing w:after="0" w:line="214"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Elevance Health, Inc.</w:t>
      </w:r>
    </w:p>
    <w:p>
      <w:pPr>
        <w:ind w:left="624" w:hanging="377"/>
        <w:spacing w:after="0" w:line="213"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26"/>
          <w:szCs w:val="26"/>
          <w:color w:val="auto"/>
          <w:vertAlign w:val="superscript"/>
        </w:rPr>
        <w:t>*</w:t>
      </w: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Indiana</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32,913,780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32,913,780 (1)</w:t>
      </w:r>
    </w:p>
    <w:p>
      <w:pPr>
        <w:spacing w:after="0" w:line="36" w:lineRule="exact"/>
        <w:rPr>
          <w:sz w:val="20"/>
          <w:szCs w:val="20"/>
          <w:color w:val="auto"/>
        </w:rPr>
      </w:pPr>
    </w:p>
    <w:p>
      <w:pPr>
        <w:ind w:left="604" w:hanging="357"/>
        <w:spacing w:after="0"/>
        <w:tabs>
          <w:tab w:leader="none" w:pos="6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32,913,780 (1)</w:t>
      </w:r>
    </w:p>
    <w:p>
      <w:pPr>
        <w:spacing w:after="0" w:line="36" w:lineRule="exact"/>
        <w:rPr>
          <w:sz w:val="20"/>
          <w:szCs w:val="20"/>
          <w:color w:val="auto"/>
        </w:rPr>
      </w:pPr>
    </w:p>
    <w:p>
      <w:pPr>
        <w:ind w:left="624" w:hanging="467"/>
        <w:spacing w:after="0"/>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r>
        <w:rPr>
          <w:rFonts w:ascii="Times New Roman" w:cs="Times New Roman" w:eastAsia="Times New Roman" w:hAnsi="Times New Roman"/>
          <w:sz w:val="26"/>
          <w:szCs w:val="26"/>
          <w:color w:val="auto"/>
          <w:vertAlign w:val="superscript"/>
        </w:rPr>
        <w:t>*</w:t>
      </w:r>
    </w:p>
    <w:p>
      <w:pPr>
        <w:spacing w:after="0" w:line="131"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9.99% (1)</w:t>
      </w:r>
    </w:p>
    <w:p>
      <w:pPr>
        <w:spacing w:after="0" w:line="36" w:lineRule="exact"/>
        <w:rPr>
          <w:rFonts w:ascii="Times New Roman" w:cs="Times New Roman" w:eastAsia="Times New Roman" w:hAnsi="Times New Roman"/>
          <w:sz w:val="18"/>
          <w:szCs w:val="18"/>
          <w:color w:val="auto"/>
        </w:rPr>
      </w:pPr>
    </w:p>
    <w:p>
      <w:pPr>
        <w:ind w:left="624" w:right="7740" w:hanging="467"/>
        <w:spacing w:after="0" w:line="390" w:lineRule="auto"/>
        <w:tabs>
          <w:tab w:leader="none" w:pos="62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w:t>
      </w:r>
    </w:p>
    <w:p>
      <w:pPr>
        <w:spacing w:after="0" w:line="122"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32,913,780 shares of Class A Common Stock issuable upon conversion of the Series A Convertible Perpetual Preferred Stock (“Series A Preferred Stock”) of GoHealth, Inc., a Delaware corporation (the “Issuer”) held by Anthem Insurance Companies, Inc., currently, subject to the Beneficial Ownership Limitation (as defined below), and excludes 21,773,720 shares of Class A Common Stock issuable upon conversion of the Issuer’s Series A Preferred Stock that may not be exercised currently due to the Beneficial Ownership Limitation. The percentage ownership is based on the calculations set forth in Item 4(b).</w:t>
      </w:r>
    </w:p>
    <w:p>
      <w:pPr>
        <w:spacing w:after="0" w:line="116"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Page 2 of 8</w:t>
      </w:r>
    </w:p>
    <w:p>
      <w:pPr>
        <w:sectPr>
          <w:pgSz w:w="11900" w:h="16838" w:orient="portrait"/>
          <w:cols w:equalWidth="0" w:num="1">
            <w:col w:w="10924"/>
          </w:cols>
          <w:pgMar w:left="436" w:top="266" w:right="5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38046W105</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6926580" cy="5494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spacing w:after="0" w:line="214"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Anthem Insurance Companies, Inc.</w:t>
      </w:r>
    </w:p>
    <w:p>
      <w:pPr>
        <w:ind w:left="624" w:hanging="377"/>
        <w:spacing w:after="0" w:line="213" w:lineRule="auto"/>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26"/>
          <w:szCs w:val="26"/>
          <w:color w:val="auto"/>
          <w:vertAlign w:val="superscript"/>
        </w:rPr>
        <w:t>*</w:t>
      </w: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Indiana</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32,913,780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32,913,780 (1)</w:t>
      </w:r>
    </w:p>
    <w:p>
      <w:pPr>
        <w:spacing w:after="0" w:line="36" w:lineRule="exact"/>
        <w:rPr>
          <w:sz w:val="20"/>
          <w:szCs w:val="20"/>
          <w:color w:val="auto"/>
        </w:rPr>
      </w:pPr>
    </w:p>
    <w:p>
      <w:pPr>
        <w:ind w:left="604" w:hanging="357"/>
        <w:spacing w:after="0"/>
        <w:tabs>
          <w:tab w:leader="none" w:pos="6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32,913,780 (1)</w:t>
      </w:r>
    </w:p>
    <w:p>
      <w:pPr>
        <w:spacing w:after="0" w:line="36" w:lineRule="exact"/>
        <w:rPr>
          <w:sz w:val="20"/>
          <w:szCs w:val="20"/>
          <w:color w:val="auto"/>
        </w:rPr>
      </w:pPr>
    </w:p>
    <w:p>
      <w:pPr>
        <w:ind w:left="624" w:hanging="467"/>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r>
        <w:rPr>
          <w:rFonts w:ascii="Times New Roman" w:cs="Times New Roman" w:eastAsia="Times New Roman" w:hAnsi="Times New Roman"/>
          <w:sz w:val="26"/>
          <w:szCs w:val="26"/>
          <w:color w:val="auto"/>
          <w:vertAlign w:val="superscript"/>
        </w:rPr>
        <w:t>*</w:t>
      </w:r>
    </w:p>
    <w:p>
      <w:pPr>
        <w:spacing w:after="0" w:line="131"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9.99% (1)</w:t>
      </w:r>
    </w:p>
    <w:p>
      <w:pPr>
        <w:spacing w:after="0" w:line="36" w:lineRule="exact"/>
        <w:rPr>
          <w:rFonts w:ascii="Times New Roman" w:cs="Times New Roman" w:eastAsia="Times New Roman" w:hAnsi="Times New Roman"/>
          <w:sz w:val="18"/>
          <w:szCs w:val="18"/>
          <w:color w:val="auto"/>
        </w:rPr>
      </w:pPr>
    </w:p>
    <w:p>
      <w:pPr>
        <w:ind w:left="624" w:right="7740" w:hanging="467"/>
        <w:spacing w:after="0" w:line="390" w:lineRule="auto"/>
        <w:tabs>
          <w:tab w:leader="none" w:pos="62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w:t>
      </w:r>
    </w:p>
    <w:p>
      <w:pPr>
        <w:spacing w:after="0" w:line="122"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32,913,780 shares of Class A Common Stock issuable upon conversion of the Series A Convertible Perpetual Preferred Stock (“Series A Preferred Stock”) of GoHealth, Inc., a Delaware corporation (the “Issuer”) held by Anthem Insurance Companies, Inc., currently, subject to the Beneficial Ownership Limitation (as defined below), and excludes 21,773,720 shares of Class A Common Stock issuable upon conversion of the Issuer’s Series A Preferred Stock that may not be exercised currently due to the Beneficial Ownership Limitation. The percentage ownership is based on the calculations set forth in Item 4(b).</w:t>
      </w:r>
    </w:p>
    <w:p>
      <w:pPr>
        <w:spacing w:after="0" w:line="116"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Page 3 of 8</w:t>
      </w:r>
    </w:p>
    <w:p>
      <w:pPr>
        <w:sectPr>
          <w:pgSz w:w="11900" w:h="16838" w:orient="portrait"/>
          <w:cols w:equalWidth="0" w:num="1">
            <w:col w:w="10924"/>
          </w:cols>
          <w:pgMar w:left="436" w:top="266"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35" w:lineRule="exact"/>
        <w:rPr>
          <w:sz w:val="20"/>
          <w:szCs w:val="20"/>
          <w:color w:val="auto"/>
        </w:rPr>
      </w:pPr>
    </w:p>
    <w:p>
      <w:pPr>
        <w:jc w:val="both"/>
        <w:ind w:left="980" w:right="8920" w:hanging="552"/>
        <w:spacing w:after="0" w:line="406" w:lineRule="auto"/>
        <w:tabs>
          <w:tab w:leader="none" w:pos="96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GoHealth, Inc.</w:t>
      </w:r>
    </w:p>
    <w:p>
      <w:pPr>
        <w:ind w:left="960" w:hanging="53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rFonts w:ascii="Times New Roman" w:cs="Times New Roman" w:eastAsia="Times New Roman" w:hAnsi="Times New Roman"/>
          <w:sz w:val="18"/>
          <w:szCs w:val="18"/>
          <w:color w:val="auto"/>
        </w:rPr>
      </w:pPr>
    </w:p>
    <w:p>
      <w:pPr>
        <w:ind w:left="980" w:right="85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214 West Huron St. Chicago, IL 60654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5" w:lineRule="exact"/>
        <w:rPr>
          <w:sz w:val="20"/>
          <w:szCs w:val="20"/>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5" w:lineRule="exact"/>
        <w:rPr>
          <w:rFonts w:ascii="Times New Roman" w:cs="Times New Roman" w:eastAsia="Times New Roman" w:hAnsi="Times New Roman"/>
          <w:sz w:val="18"/>
          <w:szCs w:val="18"/>
          <w:color w:val="auto"/>
        </w:rPr>
      </w:pPr>
    </w:p>
    <w:p>
      <w:pPr>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being filed by Elevance Health, Inc., an Indiana corporation (“Elevance Health”), and Anthem Insurance Companies, Inc., an Indiana corporation (“AIC,” and together with Elevance Health, the “Reporting Persons”). AIC is a wholly-owned subsidiary of Elevance Health. The securities reported herein as being held by Elevance Health and AIC are all directly beneficially owned by AIC. Elevance Health may be deemed to indirectly beneficially own the securities that are directly beneficially owned by AIC. The Joint Filing Agreement between the Reporting Persons is attached hereto as Exhibit 99.1.</w:t>
      </w:r>
    </w:p>
    <w:p>
      <w:pPr>
        <w:spacing w:after="0" w:line="21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Elevance Health: 220 Virginia Avenue, Indianapolis, IN 46204</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AIC: c/o Elevance Health, Inc., 220 Virginia Avenue, Indianapolis, IN 46204</w:t>
      </w:r>
    </w:p>
    <w:p>
      <w:pPr>
        <w:spacing w:after="0" w:line="25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5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Elevance Health:Indiana, United States</w:t>
      </w:r>
    </w:p>
    <w:p>
      <w:pPr>
        <w:spacing w:after="0" w:line="25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AIC:Indiana, United States</w:t>
      </w:r>
    </w:p>
    <w:p>
      <w:pPr>
        <w:spacing w:after="0" w:line="25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of $0.0001 per share</w:t>
      </w:r>
    </w:p>
    <w:p>
      <w:pPr>
        <w:spacing w:after="0" w:line="252" w:lineRule="exact"/>
        <w:rPr>
          <w:rFonts w:ascii="Times New Roman" w:cs="Times New Roman" w:eastAsia="Times New Roman" w:hAnsi="Times New Roman"/>
          <w:sz w:val="18"/>
          <w:szCs w:val="18"/>
          <w:color w:val="auto"/>
        </w:rPr>
      </w:pPr>
    </w:p>
    <w:p>
      <w:pPr>
        <w:ind w:left="980" w:right="8860" w:hanging="552"/>
        <w:spacing w:after="0" w:line="532" w:lineRule="auto"/>
        <w:tabs>
          <w:tab w:leader="none" w:pos="9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38046W105</w:t>
      </w:r>
    </w:p>
    <w:p>
      <w:pPr>
        <w:spacing w:after="0" w:line="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27" w:lineRule="exact"/>
        <w:rPr>
          <w:sz w:val="20"/>
          <w:szCs w:val="20"/>
          <w:color w:val="auto"/>
        </w:rPr>
      </w:pPr>
    </w:p>
    <w:p>
      <w:pPr>
        <w:ind w:left="780" w:hanging="334"/>
        <w:spacing w:after="0" w:line="207" w:lineRule="exact"/>
        <w:tabs>
          <w:tab w:leader="none" w:pos="7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117" w:lineRule="exact"/>
        <w:rPr>
          <w:rFonts w:ascii="Times New Roman" w:cs="Times New Roman" w:eastAsia="Times New Roman" w:hAnsi="Times New Roman"/>
          <w:sz w:val="18"/>
          <w:szCs w:val="18"/>
          <w:color w:val="auto"/>
        </w:rPr>
      </w:pPr>
    </w:p>
    <w:p>
      <w:pPr>
        <w:ind w:left="780" w:hanging="334"/>
        <w:spacing w:after="0" w:line="207" w:lineRule="exact"/>
        <w:tabs>
          <w:tab w:leader="none" w:pos="7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117" w:lineRule="exact"/>
        <w:rPr>
          <w:rFonts w:ascii="Times New Roman" w:cs="Times New Roman" w:eastAsia="Times New Roman" w:hAnsi="Times New Roman"/>
          <w:sz w:val="18"/>
          <w:szCs w:val="18"/>
          <w:color w:val="auto"/>
        </w:rPr>
      </w:pPr>
    </w:p>
    <w:p>
      <w:pPr>
        <w:ind w:left="780" w:hanging="334"/>
        <w:spacing w:after="0" w:line="207" w:lineRule="exact"/>
        <w:tabs>
          <w:tab w:leader="none" w:pos="7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117" w:lineRule="exact"/>
        <w:rPr>
          <w:rFonts w:ascii="Times New Roman" w:cs="Times New Roman" w:eastAsia="Times New Roman" w:hAnsi="Times New Roman"/>
          <w:sz w:val="18"/>
          <w:szCs w:val="18"/>
          <w:color w:val="auto"/>
        </w:rPr>
      </w:pPr>
    </w:p>
    <w:p>
      <w:pPr>
        <w:ind w:left="780" w:hanging="334"/>
        <w:spacing w:after="0" w:line="207" w:lineRule="exact"/>
        <w:tabs>
          <w:tab w:leader="none" w:pos="7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117" w:lineRule="exact"/>
        <w:rPr>
          <w:rFonts w:ascii="Times New Roman" w:cs="Times New Roman" w:eastAsia="Times New Roman" w:hAnsi="Times New Roman"/>
          <w:sz w:val="18"/>
          <w:szCs w:val="18"/>
          <w:color w:val="auto"/>
        </w:rPr>
      </w:pPr>
    </w:p>
    <w:p>
      <w:pPr>
        <w:ind w:left="780" w:hanging="334"/>
        <w:spacing w:after="0" w:line="207" w:lineRule="exact"/>
        <w:tabs>
          <w:tab w:leader="none" w:pos="7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117" w:lineRule="exact"/>
        <w:rPr>
          <w:rFonts w:ascii="Times New Roman" w:cs="Times New Roman" w:eastAsia="Times New Roman" w:hAnsi="Times New Roman"/>
          <w:sz w:val="18"/>
          <w:szCs w:val="18"/>
          <w:color w:val="auto"/>
        </w:rPr>
      </w:pPr>
    </w:p>
    <w:p>
      <w:pPr>
        <w:ind w:left="780" w:hanging="334"/>
        <w:spacing w:after="0" w:line="207" w:lineRule="exact"/>
        <w:tabs>
          <w:tab w:leader="none" w:pos="7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117" w:lineRule="exact"/>
        <w:rPr>
          <w:rFonts w:ascii="Times New Roman" w:cs="Times New Roman" w:eastAsia="Times New Roman" w:hAnsi="Times New Roman"/>
          <w:sz w:val="18"/>
          <w:szCs w:val="18"/>
          <w:color w:val="auto"/>
        </w:rPr>
      </w:pPr>
    </w:p>
    <w:p>
      <w:pPr>
        <w:ind w:left="780" w:hanging="334"/>
        <w:spacing w:after="0" w:line="207" w:lineRule="exact"/>
        <w:tabs>
          <w:tab w:leader="none" w:pos="7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780" w:hanging="334"/>
        <w:spacing w:after="0" w:line="207" w:lineRule="exact"/>
        <w:tabs>
          <w:tab w:leader="none" w:pos="7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117" w:lineRule="exact"/>
        <w:rPr>
          <w:rFonts w:ascii="Times New Roman" w:cs="Times New Roman" w:eastAsia="Times New Roman" w:hAnsi="Times New Roman"/>
          <w:sz w:val="18"/>
          <w:szCs w:val="18"/>
          <w:color w:val="auto"/>
        </w:rPr>
      </w:pPr>
    </w:p>
    <w:p>
      <w:pPr>
        <w:ind w:left="1100" w:right="140" w:hanging="654"/>
        <w:spacing w:after="0" w:line="239" w:lineRule="exact"/>
        <w:tabs>
          <w:tab w:leader="none" w:pos="776"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spacing w:after="0" w:line="62" w:lineRule="exact"/>
        <w:rPr>
          <w:rFonts w:ascii="Times New Roman" w:cs="Times New Roman" w:eastAsia="Times New Roman" w:hAnsi="Times New Roman"/>
          <w:sz w:val="18"/>
          <w:szCs w:val="18"/>
          <w:color w:val="auto"/>
        </w:rPr>
      </w:pPr>
    </w:p>
    <w:p>
      <w:pPr>
        <w:ind w:left="780" w:hanging="334"/>
        <w:spacing w:after="0" w:line="207" w:lineRule="exact"/>
        <w:tabs>
          <w:tab w:leader="none" w:pos="7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780" w:hanging="334"/>
        <w:spacing w:after="0" w:line="207" w:lineRule="exact"/>
        <w:tabs>
          <w:tab w:leader="none" w:pos="78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w:t>
      </w:r>
    </w:p>
    <w:p>
      <w:pPr>
        <w:spacing w:after="0" w:line="3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35" w:lineRule="exact"/>
        <w:rPr>
          <w:sz w:val="20"/>
          <w:szCs w:val="20"/>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Elevance Health:32,913,780 (1)</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AIC:32,913,780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8</w:t>
      </w:r>
    </w:p>
    <w:p>
      <w:pPr>
        <w:sectPr>
          <w:pgSz w:w="11900" w:h="16838" w:orient="portrait"/>
          <w:cols w:equalWidth="0" w:num="1">
            <w:col w:w="10980"/>
          </w:cols>
          <w:pgMar w:left="440" w:top="266" w:right="479" w:bottom="1440" w:gutter="0" w:footer="0" w:header="0"/>
        </w:sectPr>
      </w:pPr>
    </w:p>
    <w:bookmarkStart w:id="4" w:name="page5"/>
    <w:bookmarkEnd w:id="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AIC holds 35,000 shares of the Issuer’s Series A Preferred Stock. The Series A Preferred Stock has an initial liquidation preference of</w:t>
      </w:r>
    </w:p>
    <w:p>
      <w:pPr>
        <w:spacing w:after="0" w:line="27" w:lineRule="exact"/>
        <w:rPr>
          <w:sz w:val="20"/>
          <w:szCs w:val="20"/>
          <w:color w:val="auto"/>
        </w:rPr>
      </w:pPr>
    </w:p>
    <w:p>
      <w:pPr>
        <w:jc w:val="both"/>
        <w:ind w:left="980"/>
        <w:spacing w:after="0" w:line="265" w:lineRule="auto"/>
        <w:rPr>
          <w:sz w:val="20"/>
          <w:szCs w:val="20"/>
          <w:color w:val="auto"/>
        </w:rPr>
      </w:pPr>
      <w:r>
        <w:rPr>
          <w:rFonts w:ascii="Times New Roman" w:cs="Times New Roman" w:eastAsia="Times New Roman" w:hAnsi="Times New Roman"/>
          <w:sz w:val="17"/>
          <w:szCs w:val="17"/>
          <w:color w:val="auto"/>
        </w:rPr>
        <w:t>$1,000 per share, which shall increase by accumulated quarterly dividends that are not paid in cash (“compounded dividends”). Holders of the Series A Preferred Stock are entitled to a dividend at the rate of 7.0% per annum, accruing daily and payable quarterly in arrears, as set forth in the certificate of designations designating the Series A Preferred Stock. Dividends are payable in cash, by increasing the amount of liquidation preference (compounded dividends) with respect to a share of Series A Preferred Stock, or any combination thereof, at the sole discretion of the Issuer. The Series A Preferred Stock is convertible in full at the option of the holders into the number of shares of Class A Common Stock equal to the quotient of (a) the sum of (x) the liquidation preference (reflecting increases for compounded dividends) plus</w:t>
      </w:r>
    </w:p>
    <w:p>
      <w:pPr>
        <w:spacing w:after="0" w:line="1" w:lineRule="exact"/>
        <w:rPr>
          <w:sz w:val="20"/>
          <w:szCs w:val="20"/>
          <w:color w:val="auto"/>
        </w:rPr>
      </w:pPr>
    </w:p>
    <w:p>
      <w:pPr>
        <w:ind w:left="980" w:right="20" w:firstLine="7"/>
        <w:spacing w:after="0" w:line="253" w:lineRule="auto"/>
        <w:tabs>
          <w:tab w:leader="none" w:pos="12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dividends with respect to each share of Series A Preferred Stock as of the applicable conversion date divided by (b) the conversion price (initially $0.64) as of the applicable conversion date. Notwithstanding the foregoing, a holder of Series A Preferred Stock may elect to receive upon conversion, in lieu of the shares of Class A Common Stock otherwise deliverable, one share of a newly created class of preferred stock (the “Series A-1 Preferred Stock”) for every 1,000 shares of Class A Common Stock otherwise deliverable upon conversion. AIC is a wholly-owned subsidiary of Elevance Health.</w:t>
      </w:r>
    </w:p>
    <w:p>
      <w:pPr>
        <w:spacing w:after="0" w:line="9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Elevance Health: 9.99%</w:t>
      </w:r>
    </w:p>
    <w:p>
      <w:pPr>
        <w:spacing w:after="0" w:line="131" w:lineRule="exact"/>
        <w:rPr>
          <w:sz w:val="20"/>
          <w:szCs w:val="20"/>
          <w:color w:val="auto"/>
        </w:rPr>
      </w:pPr>
    </w:p>
    <w:p>
      <w:pPr>
        <w:ind w:left="1420" w:hanging="43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AIC: 9.99%</w:t>
      </w:r>
    </w:p>
    <w:p>
      <w:pPr>
        <w:spacing w:after="0" w:line="117" w:lineRule="exact"/>
        <w:rPr>
          <w:sz w:val="20"/>
          <w:szCs w:val="20"/>
          <w:color w:val="auto"/>
        </w:rPr>
      </w:pPr>
    </w:p>
    <w:p>
      <w:pPr>
        <w:ind w:left="980"/>
        <w:spacing w:after="0" w:line="252" w:lineRule="auto"/>
        <w:rPr>
          <w:sz w:val="20"/>
          <w:szCs w:val="20"/>
          <w:color w:val="auto"/>
        </w:rPr>
      </w:pPr>
      <w:r>
        <w:rPr>
          <w:rFonts w:ascii="Times New Roman" w:cs="Times New Roman" w:eastAsia="Times New Roman" w:hAnsi="Times New Roman"/>
          <w:sz w:val="18"/>
          <w:szCs w:val="18"/>
          <w:color w:val="auto"/>
        </w:rPr>
        <w:t>The aggregate percentage of shares of Class A Common Stock reported as beneficially owned by the Reporting Person is based upon a denominator that is the sum of: (i) 132,396,24 shares of Class A Common Stock outstanding as of September 6, 2022, which is the total number of shares of Class A Common Stock outstanding as reported in the Issuer’s Definitive Proxy Statement for the Issuer’s special meeting of stockholders to be held on October 24, 2022 filed with the Securities and Exchange Commission on September 19, 2022; (ii) 197,070,952 shares of Class B Common Stock outstanding as of September 6, 2022, which is the total number of shares of Class B Common Stock outstanding as reported in the Issuer’s Definitive Proxy Statement for the Issuer’s special meeting of stockholders to be held on October 24, 2022 filed with the Securities and Exchange Commission on September 19, 2022; and (iii) 54,687,500 shares of Class A Common Stock issuable upon conversion of the Series A Preferred Stock held by AIC. AIC’s voting rights shall not exceed 9.99% of the voting rights associated with the issued and outstanding shares of capital stock of the Issuer at any time (the “Beneficial Ownership Limitation”); and the voting rights of all of the holders of Series A Preferred Stock in the aggregate, voting on an as-converted basis with the holders of the Class A Common Stock and the holders of any other class or series of capital stock of the Issuer then entitled to vote, are capped at the maximum amount that would not result in requiring shareholder approval for the exercise of such voting rights pursuant to the rules of Nasdaq Stock Market. As of the close of business on September 23, 2022, the Beneficial Ownership Limitation limits the conversion of the Series A Preferred Stock to 32,913,780 of the 54,687,500 Shares underlying the Series A Preferred Stock. AIC is a wholly-owned subsidiary of Elevance Health.</w:t>
      </w:r>
    </w:p>
    <w:p>
      <w:pPr>
        <w:spacing w:after="0" w:line="223" w:lineRule="exact"/>
        <w:rPr>
          <w:sz w:val="20"/>
          <w:szCs w:val="20"/>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52" w:lineRule="exact"/>
        <w:rPr>
          <w:rFonts w:ascii="Times New Roman" w:cs="Times New Roman" w:eastAsia="Times New Roman" w:hAnsi="Times New Roman"/>
          <w:sz w:val="18"/>
          <w:szCs w:val="18"/>
          <w:color w:val="auto"/>
        </w:rPr>
      </w:pPr>
    </w:p>
    <w:p>
      <w:pPr>
        <w:ind w:left="1840" w:hanging="400"/>
        <w:spacing w:after="0"/>
        <w:tabs>
          <w:tab w:leader="none" w:pos="18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Elevance Health: 0</w:t>
      </w:r>
    </w:p>
    <w:p>
      <w:pPr>
        <w:spacing w:after="0" w:line="117" w:lineRule="exact"/>
        <w:rPr>
          <w:rFonts w:ascii="Times New Roman" w:cs="Times New Roman" w:eastAsia="Times New Roman" w:hAnsi="Times New Roman"/>
          <w:sz w:val="18"/>
          <w:szCs w:val="18"/>
          <w:color w:val="auto"/>
        </w:rPr>
      </w:pPr>
    </w:p>
    <w:p>
      <w:pPr>
        <w:ind w:left="1840" w:hanging="400"/>
        <w:spacing w:after="0"/>
        <w:tabs>
          <w:tab w:leader="none" w:pos="18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AIC:0</w:t>
      </w:r>
    </w:p>
    <w:p>
      <w:pPr>
        <w:spacing w:after="0" w:line="25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52" w:lineRule="exact"/>
        <w:rPr>
          <w:rFonts w:ascii="Times New Roman" w:cs="Times New Roman" w:eastAsia="Times New Roman" w:hAnsi="Times New Roman"/>
          <w:sz w:val="18"/>
          <w:szCs w:val="18"/>
          <w:color w:val="auto"/>
        </w:rPr>
      </w:pPr>
    </w:p>
    <w:p>
      <w:pPr>
        <w:ind w:left="1840" w:hanging="400"/>
        <w:spacing w:after="0"/>
        <w:tabs>
          <w:tab w:leader="none" w:pos="18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Elevance Health: 32,913,780 (1)</w:t>
      </w:r>
    </w:p>
    <w:p>
      <w:pPr>
        <w:spacing w:after="0" w:line="117"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  AIC: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32,913,780 (1)</w:t>
            </w:r>
          </w:p>
        </w:tc>
      </w:tr>
    </w:tbl>
    <w:p>
      <w:pPr>
        <w:spacing w:after="0" w:line="225" w:lineRule="exact"/>
        <w:rPr>
          <w:sz w:val="20"/>
          <w:szCs w:val="20"/>
          <w:color w:val="auto"/>
        </w:rPr>
      </w:pPr>
    </w:p>
    <w:p>
      <w:pPr>
        <w:ind w:left="1420" w:hanging="43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52" w:lineRule="exact"/>
        <w:rPr>
          <w:rFonts w:ascii="Times New Roman" w:cs="Times New Roman" w:eastAsia="Times New Roman" w:hAnsi="Times New Roman"/>
          <w:sz w:val="18"/>
          <w:szCs w:val="18"/>
          <w:color w:val="auto"/>
        </w:rPr>
      </w:pPr>
    </w:p>
    <w:p>
      <w:pPr>
        <w:ind w:left="1840" w:hanging="400"/>
        <w:spacing w:after="0"/>
        <w:tabs>
          <w:tab w:leader="none" w:pos="18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Elevance Health: 0</w:t>
      </w:r>
    </w:p>
    <w:p>
      <w:pPr>
        <w:spacing w:after="0" w:line="117" w:lineRule="exact"/>
        <w:rPr>
          <w:rFonts w:ascii="Times New Roman" w:cs="Times New Roman" w:eastAsia="Times New Roman" w:hAnsi="Times New Roman"/>
          <w:sz w:val="18"/>
          <w:szCs w:val="18"/>
          <w:color w:val="auto"/>
        </w:rPr>
      </w:pPr>
    </w:p>
    <w:p>
      <w:pPr>
        <w:ind w:left="1840" w:hanging="400"/>
        <w:spacing w:after="0"/>
        <w:tabs>
          <w:tab w:leader="none" w:pos="18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AIC:0</w:t>
      </w:r>
    </w:p>
    <w:p>
      <w:pPr>
        <w:spacing w:after="0" w:line="25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52" w:lineRule="exact"/>
        <w:rPr>
          <w:rFonts w:ascii="Times New Roman" w:cs="Times New Roman" w:eastAsia="Times New Roman" w:hAnsi="Times New Roman"/>
          <w:sz w:val="18"/>
          <w:szCs w:val="18"/>
          <w:color w:val="auto"/>
        </w:rPr>
      </w:pPr>
    </w:p>
    <w:p>
      <w:pPr>
        <w:ind w:left="1840" w:hanging="400"/>
        <w:spacing w:after="0"/>
        <w:tabs>
          <w:tab w:leader="none" w:pos="18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Elevance Health: 32,913,780 (1)</w:t>
      </w:r>
    </w:p>
    <w:p>
      <w:pPr>
        <w:spacing w:after="0" w:line="117"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  AIC: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32,913,780 (1)</w:t>
            </w:r>
          </w:p>
        </w:tc>
      </w:tr>
    </w:tbl>
    <w:p>
      <w:pPr>
        <w:spacing w:after="0" w:line="3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right="400" w:firstLine="991"/>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8</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4" w:right="580" w:hanging="984"/>
        <w:spacing w:after="0" w:line="286" w:lineRule="auto"/>
        <w:tabs>
          <w:tab w:leader="none" w:pos="964"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7" w:lineRule="exact"/>
        <w:rPr>
          <w:sz w:val="20"/>
          <w:szCs w:val="20"/>
          <w:color w:val="auto"/>
        </w:rPr>
      </w:pPr>
    </w:p>
    <w:p>
      <w:pPr>
        <w:ind w:left="424" w:hanging="424"/>
        <w:spacing w:after="0" w:line="258"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32,913,780 shares of Class A Common Stock issuable upon conversion of the Series A Convertible Perpetual Preferred Stock (“Series A Preferred Stock”) of GoHealth, Inc., a Delaware corporation (the “Issuer”) held by Anthem Insurance Companies, Inc., currently, subject to the Beneficial Ownership Limitation (as defined below), and excludes 21,773,720 shares of Class A Common Stock issuable upon conversion of the Issuer’s Series A Preferred Stock that may not be exercised currently due to the Beneficial Ownership Limitation. The percentage ownership is based on the calculations set forth in Item 4(b).</w:t>
      </w:r>
    </w:p>
    <w:p>
      <w:pPr>
        <w:spacing w:after="0" w:line="116"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Page 6 of 8</w:t>
      </w:r>
    </w:p>
    <w:p>
      <w:pPr>
        <w:sectPr>
          <w:pgSz w:w="11900" w:h="16838" w:orient="portrait"/>
          <w:cols w:equalWidth="0" w:num="1">
            <w:col w:w="10924"/>
          </w:cols>
          <w:pgMar w:left="436" w:top="266" w:right="539" w:bottom="1440" w:gutter="0" w:footer="0" w:header="0"/>
        </w:sectPr>
      </w:pPr>
    </w:p>
    <w:bookmarkStart w:id="6" w:name="page7"/>
    <w:bookmarkEnd w:id="6"/>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1899"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15,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ELEVANCE HEALTH,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/s/Kathleen S. Kiefer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Kathleen S. Kiefer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 Legal and Corporate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ANTHEM INSURANCE COMPANIES,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Kathleen S. Kiefer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Kathleen S. Kiefer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jc w:val="center"/>
        <w:ind w:left="152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Attention: Intentional misstatements or omissions of fact constitute Federal criminal violations (See 18 U.S.C. 1001) </w:t>
      </w:r>
      <w:r>
        <w:rPr>
          <w:rFonts w:ascii="Times New Roman" w:cs="Times New Roman" w:eastAsia="Times New Roman" w:hAnsi="Times New Roman"/>
          <w:sz w:val="18"/>
          <w:szCs w:val="18"/>
          <w:color w:val="auto"/>
        </w:rPr>
        <w:t>Page 7 of 8</w:t>
      </w:r>
    </w:p>
    <w:p>
      <w:pPr>
        <w:sectPr>
          <w:pgSz w:w="11900" w:h="16838" w:orient="portrait"/>
          <w:cols w:equalWidth="0" w:num="1">
            <w:col w:w="10019"/>
          </w:cols>
          <w:pgMar w:left="440" w:top="266"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580" w:type="dxa"/>
            <w:vAlign w:val="bottom"/>
            <w:gridSpan w:val="3"/>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20" w:type="dxa"/>
            <w:vAlign w:val="bottom"/>
          </w:tcPr>
          <w:p>
            <w:pPr>
              <w:spacing w:after="0"/>
              <w:rPr>
                <w:sz w:val="24"/>
                <w:szCs w:val="24"/>
                <w:color w:val="auto"/>
              </w:rPr>
            </w:pPr>
          </w:p>
        </w:tc>
        <w:tc>
          <w:tcPr>
            <w:tcW w:w="8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Joint Filing Agreement dated November 15, 2022 by and between Elevance Health, Inc. and Anthem Insurance Companies,</w:t>
            </w:r>
          </w:p>
        </w:tc>
      </w:tr>
      <w:tr>
        <w:trPr>
          <w:trHeight w:val="196"/>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9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LLC</w:t>
            </w:r>
          </w:p>
        </w:tc>
      </w:tr>
      <w:tr>
        <w:trPr>
          <w:trHeight w:val="385"/>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580" w:type="dxa"/>
            <w:vAlign w:val="bottom"/>
            <w:gridSpan w:val="3"/>
          </w:tcPr>
          <w:p>
            <w:pPr>
              <w:jc w:val="center"/>
              <w:ind w:right="2280"/>
              <w:spacing w:after="0"/>
              <w:rPr>
                <w:sz w:val="20"/>
                <w:szCs w:val="20"/>
                <w:color w:val="auto"/>
              </w:rPr>
            </w:pPr>
            <w:r>
              <w:rPr>
                <w:rFonts w:ascii="Times New Roman" w:cs="Times New Roman" w:eastAsia="Times New Roman" w:hAnsi="Times New Roman"/>
                <w:sz w:val="18"/>
                <w:szCs w:val="18"/>
                <w:color w:val="auto"/>
              </w:rPr>
              <w:t>Page 8 of 8</w:t>
            </w:r>
          </w:p>
        </w:tc>
      </w:tr>
    </w:tbl>
    <w:p>
      <w:pPr>
        <w:jc w:val="center"/>
        <w:ind w:right="2280"/>
        <w:spacing w:after="0"/>
        <w:rPr>
          <w:sz w:val="20"/>
          <w:szCs w:val="20"/>
          <w:color w:val="auto"/>
        </w:rPr>
        <w:sectPr>
          <w:pgSz w:w="11900" w:h="16838" w:orient="portrait"/>
          <w:cols w:equalWidth="0" w:num="1">
            <w:col w:w="10940"/>
          </w:cols>
          <w:pgMar w:left="440" w:top="26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amendments thereto) with respect to certain shares of the Class A common stock of GoHealth, Inc. and further agree that this Joint Filing Agreement shall be included as an exhibit to such joint filing.</w:t>
      </w:r>
    </w:p>
    <w:p>
      <w:pPr>
        <w:spacing w:after="0" w:line="176"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such Schedule 13G and any amendments thereto, and for the completeness and accuracy of the information concerning such party contained therein; provided, however, that no party is responsible for the completeness or accuracy of the information concerning any other party making the filing, unless such party knows or has reason to believe that such information is inaccurate.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parties have executed this Joint Filing Agreement as of November 15,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ELEVANCE HEALTH,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Katheen S. Kiefer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Kathleen S. Kiefer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 Legal and Corporate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ANTHEM INSURANCE COMPANIES,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Katheen S. Kiefer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Kathleen S. Kiefer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Secretary</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bullet"/>
      <w:start w:val="1"/>
    </w:lvl>
  </w:abstractNum>
  <w:abstractNum w:abstractNumId="4">
    <w:nsid w:val="6B68079A"/>
    <w:multiLevelType w:val="hybridMultilevel"/>
    <w:lvl w:ilvl="0">
      <w:lvlJc w:val="left"/>
      <w:lvlText w:val="2"/>
      <w:numFmt w:val="bullet"/>
      <w:start w:val="1"/>
    </w:lvl>
  </w:abstractNum>
  <w:abstractNum w:abstractNumId="5">
    <w:nsid w:val="4E6AFB66"/>
    <w:multiLevelType w:val="hybridMultilevel"/>
    <w:lvl w:ilvl="0">
      <w:lvlJc w:val="left"/>
      <w:lvlText w:val="3"/>
      <w:numFmt w:val="bullet"/>
      <w:start w:val="1"/>
    </w:lvl>
  </w:abstractNum>
  <w:abstractNum w:abstractNumId="6">
    <w:nsid w:val="25E45D32"/>
    <w:multiLevelType w:val="hybridMultilevel"/>
    <w:lvl w:ilvl="0">
      <w:lvlJc w:val="left"/>
      <w:lvlText w:val="4"/>
      <w:numFmt w:val="bullet"/>
      <w:start w:val="1"/>
    </w:lvl>
  </w:abstractNum>
  <w:abstractNum w:abstractNumId="7">
    <w:nsid w:val="519B500D"/>
    <w:multiLevelType w:val="hybridMultilevel"/>
    <w:lvl w:ilvl="0">
      <w:lvlJc w:val="left"/>
      <w:lvlText w:val="9"/>
      <w:numFmt w:val="bullet"/>
      <w:start w:val="1"/>
    </w:lvl>
  </w:abstractNum>
  <w:abstractNum w:abstractNumId="8">
    <w:nsid w:val="431BD7B7"/>
    <w:multiLevelType w:val="hybridMultilevel"/>
    <w:lvl w:ilvl="0">
      <w:lvlJc w:val="left"/>
      <w:lvlText w:val="%1"/>
      <w:numFmt w:val="decimal"/>
      <w:start w:val="1"/>
    </w:lvl>
    <w:lvl w:ilvl="1">
      <w:lvlJc w:val="left"/>
      <w:lvlText w:val="%2"/>
      <w:numFmt w:val="decimal"/>
      <w:start w:val="10"/>
    </w:lvl>
  </w:abstractNum>
  <w:abstractNum w:abstractNumId="9">
    <w:nsid w:val="3F2DBA31"/>
    <w:multiLevelType w:val="hybridMultilevel"/>
    <w:lvl w:ilvl="0">
      <w:lvlJc w:val="left"/>
      <w:lvlText w:val="(%1)"/>
      <w:numFmt w:val="decimal"/>
      <w:start w:val="1"/>
    </w:lvl>
    <w:lvl w:ilvl="1">
      <w:lvlJc w:val="left"/>
      <w:lvlText w:val="%2"/>
      <w:numFmt w:val="decimal"/>
      <w:start w:val="1"/>
    </w:lvl>
  </w:abstractNum>
  <w:abstractNum w:abstractNumId="10">
    <w:nsid w:val="7C83E458"/>
    <w:multiLevelType w:val="hybridMultilevel"/>
    <w:lvl w:ilvl="0">
      <w:lvlJc w:val="left"/>
      <w:lvlText w:val="1"/>
      <w:numFmt w:val="bullet"/>
      <w:start w:val="1"/>
    </w:lvl>
  </w:abstractNum>
  <w:abstractNum w:abstractNumId="11">
    <w:nsid w:val="257130A3"/>
    <w:multiLevelType w:val="hybridMultilevel"/>
    <w:lvl w:ilvl="0">
      <w:lvlJc w:val="left"/>
      <w:lvlText w:val="2"/>
      <w:numFmt w:val="bullet"/>
      <w:start w:val="1"/>
    </w:lvl>
  </w:abstractNum>
  <w:abstractNum w:abstractNumId="12">
    <w:nsid w:val="62BBD95A"/>
    <w:multiLevelType w:val="hybridMultilevel"/>
    <w:lvl w:ilvl="0">
      <w:lvlJc w:val="left"/>
      <w:lvlText w:val="3"/>
      <w:numFmt w:val="bullet"/>
      <w:start w:val="1"/>
    </w:lvl>
  </w:abstractNum>
  <w:abstractNum w:abstractNumId="13">
    <w:nsid w:val="436C6125"/>
    <w:multiLevelType w:val="hybridMultilevel"/>
    <w:lvl w:ilvl="0">
      <w:lvlJc w:val="left"/>
      <w:lvlText w:val="4"/>
      <w:numFmt w:val="bullet"/>
      <w:start w:val="1"/>
    </w:lvl>
  </w:abstractNum>
  <w:abstractNum w:abstractNumId="14">
    <w:nsid w:val="628C895D"/>
    <w:multiLevelType w:val="hybridMultilevel"/>
    <w:lvl w:ilvl="0">
      <w:lvlJc w:val="left"/>
      <w:lvlText w:val="9"/>
      <w:numFmt w:val="bullet"/>
      <w:start w:val="1"/>
    </w:lvl>
  </w:abstractNum>
  <w:abstractNum w:abstractNumId="15">
    <w:nsid w:val="333AB105"/>
    <w:multiLevelType w:val="hybridMultilevel"/>
    <w:lvl w:ilvl="0">
      <w:lvlJc w:val="left"/>
      <w:lvlText w:val="%1"/>
      <w:numFmt w:val="decimal"/>
      <w:start w:val="1"/>
    </w:lvl>
    <w:lvl w:ilvl="1">
      <w:lvlJc w:val="left"/>
      <w:lvlText w:val="%2"/>
      <w:numFmt w:val="decimal"/>
      <w:start w:val="10"/>
    </w:lvl>
  </w:abstractNum>
  <w:abstractNum w:abstractNumId="16">
    <w:nsid w:val="721DA317"/>
    <w:multiLevelType w:val="hybridMultilevel"/>
    <w:lvl w:ilvl="0">
      <w:lvlJc w:val="left"/>
      <w:lvlText w:val="(%1)"/>
      <w:numFmt w:val="decimal"/>
      <w:start w:val="1"/>
    </w:lvl>
    <w:lvl w:ilvl="1">
      <w:lvlJc w:val="left"/>
      <w:lvlText w:val="%2"/>
      <w:numFmt w:val="decimal"/>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lvl w:ilvl="1">
      <w:lvlJc w:val="left"/>
      <w:lvlText w:val="(%2)"/>
      <w:numFmt w:val="lowerRoman"/>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lvl w:ilvl="1">
      <w:lvlJc w:val="left"/>
      <w:lvlText w:val="(%2)"/>
      <w:numFmt w:val="lowerRoman"/>
      <w:start w:val="1"/>
    </w:lvl>
  </w:abstractNum>
  <w:abstractNum w:abstractNumId="21">
    <w:nsid w:val="8EDBDAB"/>
    <w:multiLevelType w:val="hybridMultilevel"/>
    <w:lvl w:ilvl="0">
      <w:lvlJc w:val="left"/>
      <w:lvlText w:val="%1"/>
      <w:numFmt w:val="lowerLetter"/>
      <w:start w:val="1"/>
    </w:lvl>
    <w:lvl w:ilvl="1">
      <w:lvlJc w:val="left"/>
      <w:lvlText w:val="(%2)"/>
      <w:numFmt w:val="lowerLetter"/>
      <w:start w:val="25"/>
    </w:lvl>
  </w:abstractNum>
  <w:abstractNum w:abstractNumId="22">
    <w:nsid w:val="79838CB2"/>
    <w:multiLevelType w:val="hybridMultilevel"/>
    <w:lvl w:ilvl="0">
      <w:lvlJc w:val="left"/>
      <w:lvlText w:val="(%1)"/>
      <w:numFmt w:val="lowerLetter"/>
      <w:start w:val="2"/>
    </w:lvl>
    <w:lvl w:ilvl="1">
      <w:lvlJc w:val="left"/>
      <w:lvlText w:val="(%2)"/>
      <w:numFmt w:val="lowerLetter"/>
      <w:start w:val="9"/>
    </w:lvl>
  </w:abstractNum>
  <w:abstractNum w:abstractNumId="23">
    <w:nsid w:val="4353D0CD"/>
    <w:multiLevelType w:val="hybridMultilevel"/>
    <w:lvl w:ilvl="0">
      <w:lvlJc w:val="left"/>
      <w:lvlText w:val="(%1)"/>
      <w:numFmt w:val="lowerRoman"/>
      <w:start w:val="2"/>
    </w:lvl>
  </w:abstractNum>
  <w:abstractNum w:abstractNumId="24">
    <w:nsid w:val="B03E0C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5">
    <w:nsid w:val="189A769B"/>
    <w:multiLevelType w:val="hybridMultilevel"/>
    <w:lvl w:ilvl="0">
      <w:lvlJc w:val="left"/>
      <w:lvlText w:val="(%1)"/>
      <w:numFmt w:val="lowerRoman"/>
      <w:start w:val="3"/>
    </w:lvl>
    <w:lvl w:ilvl="1">
      <w:lvlJc w:val="left"/>
      <w:lvlText w:val="(%2)"/>
      <w:numFmt w:val="upp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2022-11-15T16:16:05Z</dcterms:created>
  <dcterms:modified xsi:type="dcterms:W3CDTF">2022-11-15T16:16:05Z</dcterms:modified>
</cp:coreProperties>
</file>