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40" w:val="left"/>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tab/>
        <w:t>n/a</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497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GoHealth,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38046W105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38046W105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-189865</wp:posOffset>
            </wp:positionV>
            <wp:extent cx="7132320" cy="268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85415"/>
                    </a:xfrm>
                    <a:prstGeom prst="rect">
                      <a:avLst/>
                    </a:prstGeom>
                    <a:noFill/>
                  </pic:spPr>
                </pic:pic>
              </a:graphicData>
            </a:graphic>
          </wp:anchor>
        </w:drawing>
      </w:r>
    </w:p>
    <w:p>
      <w:pPr>
        <w:spacing w:after="0" w:line="371" w:lineRule="exact"/>
        <w:rPr>
          <w:sz w:val="20"/>
          <w:szCs w:val="20"/>
          <w:color w:val="auto"/>
        </w:rPr>
      </w:pPr>
    </w:p>
    <w:p>
      <w:pPr>
        <w:sectPr>
          <w:pgSz w:w="11900" w:h="16838" w:orient="portrait"/>
          <w:cols w:equalWidth="0" w:num="2">
            <w:col w:w="520" w:space="400"/>
            <w:col w:w="10320"/>
          </w:cols>
          <w:pgMar w:left="320" w:top="513" w:right="339" w:bottom="1440" w:gutter="0" w:footer="0" w:header="0"/>
        </w:sectPr>
      </w:pP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4900" w:hanging="529"/>
        <w:spacing w:after="0" w:line="180" w:lineRule="auto"/>
        <w:tabs>
          <w:tab w:leader="none" w:pos="7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5"/>
          <w:szCs w:val="15"/>
          <w:color w:val="auto"/>
        </w:rPr>
        <w:t>I.R.S. IDENTIFICATION NOS. OF ABOVE PERSONS (ENTITIES ONLY) CREDIT SUISSE AG/</w:t>
      </w:r>
    </w:p>
    <w:p>
      <w:pPr>
        <w:spacing w:after="0" w:line="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000000000</w:t>
      </w:r>
    </w:p>
    <w:p>
      <w:pPr>
        <w:spacing w:after="0" w:line="7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52" w:lineRule="exact"/>
        <w:rPr>
          <w:sz w:val="20"/>
          <w:szCs w:val="20"/>
          <w:color w:val="auto"/>
        </w:rPr>
      </w:pPr>
    </w:p>
    <w:p>
      <w:pPr>
        <w:spacing w:after="0"/>
        <w:tabs>
          <w:tab w:leader="none" w:pos="0" w:val="left"/>
        </w:tabs>
        <w:numPr>
          <w:ilvl w:val="0"/>
          <w:numId w:val="3"/>
        </w:numPr>
        <w:rPr>
          <w:rFonts w:ascii="Times New Roman" w:cs="Times New Roman" w:eastAsia="Times New Roman" w:hAnsi="Times New Roman"/>
          <w:sz w:val="18"/>
          <w:szCs w:val="18"/>
          <w:color w:val="auto"/>
        </w:rPr>
      </w:pPr>
    </w:p>
    <w:p>
      <w:pPr>
        <w:spacing w:after="0" w:line="27"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Times New Roman" w:cs="Times New Roman" w:eastAsia="Times New Roman" w:hAnsi="Times New Roman"/>
          <w:sz w:val="16"/>
          <w:szCs w:val="16"/>
          <w:color w:val="auto"/>
        </w:rPr>
        <w:t>x</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Switzerland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4,528,846</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4,528,846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4,528,846</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32"/>
          <w:szCs w:val="32"/>
          <w:b w:val="1"/>
          <w:bCs w:val="1"/>
          <w:color w:val="auto"/>
        </w:rPr>
        <w:t>10</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5.38%</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8"/>
          <w:szCs w:val="18"/>
          <w:color w:val="auto"/>
        </w:rPr>
        <w:t>BK, 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jc w:val="both"/>
        <w:ind w:left="1300" w:right="8840" w:hanging="644"/>
        <w:spacing w:after="0" w:line="312" w:lineRule="auto"/>
        <w:tabs>
          <w:tab w:leader="none" w:pos="1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GoHealth, Inc.</w:t>
      </w:r>
    </w:p>
    <w:p>
      <w:pPr>
        <w:spacing w:after="0" w:line="166" w:lineRule="exact"/>
        <w:rPr>
          <w:rFonts w:ascii="Times New Roman" w:cs="Times New Roman" w:eastAsia="Times New Roman" w:hAnsi="Times New Roman"/>
          <w:sz w:val="17"/>
          <w:szCs w:val="17"/>
          <w:color w:val="auto"/>
        </w:rPr>
      </w:pPr>
    </w:p>
    <w:p>
      <w:pPr>
        <w:ind w:left="1300" w:right="652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"214 WEST HURON STREET</w:t>
      </w:r>
    </w:p>
    <w:p>
      <w:pPr>
        <w:ind w:left="1300" w:right="8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IL 60654 (312) 386-8222"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SUISSE AG/</w:t>
      </w:r>
    </w:p>
    <w:p>
      <w:pPr>
        <w:spacing w:after="0" w:line="233" w:lineRule="exact"/>
        <w:rPr>
          <w:rFonts w:ascii="Times New Roman" w:cs="Times New Roman" w:eastAsia="Times New Roman" w:hAnsi="Times New Roman"/>
          <w:sz w:val="18"/>
          <w:szCs w:val="18"/>
          <w:color w:val="auto"/>
        </w:rPr>
      </w:pPr>
    </w:p>
    <w:p>
      <w:pPr>
        <w:ind w:left="1300" w:right="566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Uetlibergstrasse 231</w:t>
      </w:r>
    </w:p>
    <w:p>
      <w:pPr>
        <w:ind w:left="1300" w:right="85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 Box 900 CH 8070 Zurich, Switzerland</w:t>
      </w:r>
    </w:p>
    <w:p>
      <w:pPr>
        <w:spacing w:after="0" w:line="212" w:lineRule="exact"/>
        <w:rPr>
          <w:rFonts w:ascii="Times New Roman" w:cs="Times New Roman" w:eastAsia="Times New Roman" w:hAnsi="Times New Roman"/>
          <w:sz w:val="18"/>
          <w:szCs w:val="18"/>
          <w:color w:val="auto"/>
        </w:rPr>
      </w:pPr>
    </w:p>
    <w:p>
      <w:pPr>
        <w:jc w:val="both"/>
        <w:ind w:left="1300" w:right="90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Switzerland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Stock,$0.0001 par value per share</w:t>
      </w:r>
    </w:p>
    <w:p>
      <w:pPr>
        <w:spacing w:after="0" w:line="233" w:lineRule="exact"/>
        <w:rPr>
          <w:rFonts w:ascii="Times New Roman" w:cs="Times New Roman" w:eastAsia="Times New Roman" w:hAnsi="Times New Roman"/>
          <w:sz w:val="18"/>
          <w:szCs w:val="18"/>
          <w:color w:val="auto"/>
        </w:rPr>
      </w:pPr>
    </w:p>
    <w:p>
      <w:pPr>
        <w:ind w:left="1300" w:right="880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38046W105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Broker or dealer registered under section 15 of the Act (15 U.S.C. 78o).</w:t>
      </w:r>
    </w:p>
    <w:p>
      <w:pPr>
        <w:spacing w:after="0" w:line="25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Bank as defined in section 3(a)(6) of the Act (15 U.S.C. 78c).</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0"/>
                <w:szCs w:val="20"/>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Investment company registered under section 8 of the Investment Company Act of 1940 (15 U.S.C 80a-8).</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bl>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 240.13d-1(b)(1)(ii)(G);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441"/>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459"/>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441"/>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w:t>
            </w:r>
          </w:p>
        </w:tc>
        <w:tc>
          <w:tcPr>
            <w:tcW w:w="620" w:type="dxa"/>
            <w:vAlign w:val="bottom"/>
          </w:tcPr>
          <w:p>
            <w:pPr>
              <w:spacing w:after="0"/>
              <w:rPr>
                <w:sz w:val="24"/>
                <w:szCs w:val="24"/>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group, in accordance with § 240.13d-1(b)(1)(ii)(K). If filing as a non-U.S. institution in accordance with § 240.13d-1(b)(1)(ii)</w:t>
            </w:r>
          </w:p>
        </w:tc>
      </w:tr>
      <w:tr>
        <w:trPr>
          <w:trHeight w:val="234"/>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please specify the type of institution:</w:t>
            </w:r>
          </w:p>
        </w:tc>
      </w:tr>
      <w:tr>
        <w:trPr>
          <w:trHeight w:val="898"/>
        </w:trPr>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4,528,846</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5.38%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4,528,846</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4,528,846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EX 99.1</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Credit Suisse AG</w:t>
      </w:r>
    </w:p>
    <w:p>
      <w:pPr>
        <w:sectPr>
          <w:pgSz w:w="11900" w:h="16838" w:orient="portrait"/>
          <w:cols w:equalWidth="0" w:num="1">
            <w:col w:w="11180"/>
          </w:cols>
          <w:pgMar w:left="320" w:top="752" w:right="3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12,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Andric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Robert Andric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ectPr>
          <w:pgSz w:w="11900" w:h="16838" w:orient="portrait"/>
          <w:cols w:equalWidth="0" w:num="3">
            <w:col w:w="4920" w:space="720"/>
            <w:col w:w="260" w:space="80"/>
            <w:col w:w="520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752" w:right="399" w:bottom="1440" w:gutter="0" w:footer="0" w:header="0"/>
          <w:type w:val="continuous"/>
        </w:sectPr>
      </w:pPr>
    </w:p>
    <w:bookmarkStart w:id="5" w:name="page6"/>
    <w:bookmarkEnd w:id="5"/>
    <w:p>
      <w:pPr>
        <w:ind w:right="60"/>
        <w:spacing w:after="0" w:line="254" w:lineRule="auto"/>
        <w:rPr>
          <w:sz w:val="20"/>
          <w:szCs w:val="20"/>
          <w:color w:val="auto"/>
        </w:rPr>
      </w:pPr>
      <w:r>
        <w:rPr>
          <w:rFonts w:ascii="Times New Roman" w:cs="Times New Roman" w:eastAsia="Times New Roman" w:hAnsi="Times New Roman"/>
          <w:sz w:val="18"/>
          <w:szCs w:val="18"/>
          <w:color w:val="auto"/>
        </w:rPr>
        <w:t>In accordance with Securities and Exchange Commission Release No. 34-39538 (January 12, 1998), this Statement is being filed by Credit Suisse AG (the "Bank"), a Swiss bank, on behalf of its subsidiaries to the extent that they conduct business as the Swiss Universal Bank, Asia Pacific, International Wealth Management, Global Markets, Investment Banking &amp; Capital Markets and the Strategic Resolution Unit operating divisions (collectively, the “Divisions” and together with the Bank and its subsidiaries, the "Reporting Person"). The address of the principal business and office of the Bank is Uetlibergstrasse 231, P.O. Box 900, CH 8070 Zurich, Switzerland. The address of the principal business and office of the Reporting Person in the United States is Eleven Madison Avenue, New York, New York 10010. The ultimate parent company of the Bank is Credit Suisse Group AG ("CSG"), a corporation formed under the laws of Switzerland. CSG is a global financial services company, active in all major financial centers and providing a comprehensive range of banking products.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Bank is comprised of three regionally focused divisions: Swiss Universal Bank, Asia Pacific and International Wealth Management serving Europe, the Middle East, Latin America and Africa. Two other divisions—Global Markets as well as Investment Banking &amp; Capital Markets—sit alongside these regional businesses. The Strategic Resolution Unit consolidates, as of December 31, 2018, the Bank’s remaining portfolios from the former non-strategic units plus additional businesses and positions that do not fit with its strategic direction. The business address of CSG is Paradeplatz 8, P.O. Box 1, CH 8070 Zurich, Switzerland. CSG, for purposes of the federal securities laws, may be deemed ultimately to control the Bank and the Reporting Person. CSG, its executive officers and directors, and its direct and indirect subsidiaries may beneficially own securities to which this Statement relates (the "Shares") and such Shares are not reported in this Statement. CSG disclaims beneficial ownership of Shares beneficially owned by its direct and indirect subsidiaries, including the Reporting Person. Each of the Divisions disclaims beneficial ownership of Shares beneficially owned by the Reporting Person. The Reporting Person disclaims beneficial ownership of Shares beneficially owned by CSG and each of the Divisions.</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2021-02-12T15:34:15Z</dcterms:created>
  <dcterms:modified xsi:type="dcterms:W3CDTF">2021-02-12T15:34:15Z</dcterms:modified>
</cp:coreProperties>
</file>