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8, 2022</w:t>
      </w:r>
    </w:p>
    <w:p>
      <w:pPr>
        <w:spacing w:after="0" w:line="123"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05" w:right="339" w:bottom="1440" w:gutter="0" w:footer="0" w:header="0"/>
        </w:sectPr>
      </w:pPr>
    </w:p>
    <w:p>
      <w:pPr>
        <w:spacing w:after="0" w:line="16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05"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05" w:right="339" w:bottom="1440" w:gutter="0" w:footer="0" w:header="0"/>
          <w:type w:val="continuous"/>
        </w:sectPr>
      </w:pPr>
    </w:p>
    <w:p>
      <w:pPr>
        <w:spacing w:after="0" w:line="102"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05"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05"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05"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10"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2"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14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1" w:name="page2"/>
    <w:bookmarkEnd w:id="1"/>
    <w:p>
      <w:pPr>
        <w:ind w:right="3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3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As of July 11, 2022, Shane Cruz, who had been serving as Chief Operating Officer of GoHealth, Inc. (the “Company”), accepted a new position within the Company as Chief Strategy Officer. As the Chief Strategy Officer, Shane will help develop and execute the long-term vision and plan of the Company. At this time, a replacement for the Chief Operating Officer has not been determined.</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July 14, 2022</w:t>
      </w:r>
      <w:r>
        <w:rPr>
          <w:sz w:val="20"/>
          <w:szCs w:val="20"/>
          <w:color w:val="auto"/>
        </w:rPr>
        <w:tab/>
      </w:r>
      <w:r>
        <w:rPr>
          <w:rFonts w:ascii="Arial" w:cs="Arial" w:eastAsia="Arial" w:hAnsi="Arial"/>
          <w:sz w:val="15"/>
          <w:szCs w:val="15"/>
          <w:color w:val="auto"/>
        </w:rPr>
        <w:t>By: /s/ Brian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Brian Farley</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2022-07-14T15:45:29Z</dcterms:created>
  <dcterms:modified xsi:type="dcterms:W3CDTF">2022-07-14T15:45:29Z</dcterms:modified>
</cp:coreProperties>
</file>