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-598170</wp:posOffset>
            </wp:positionV>
            <wp:extent cx="8255" cy="59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-606425</wp:posOffset>
            </wp:positionV>
            <wp:extent cx="825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-582295</wp:posOffset>
            </wp:positionV>
            <wp:extent cx="1270635" cy="55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55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5944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Cruz Brandon M</w:t>
        </w:r>
        <w:r>
          <w:rPr>
            <w:rFonts w:ascii="Arial" w:cs="Arial" w:eastAsia="Arial" w:hAnsi="Arial"/>
            <w:sz w:val="20"/>
            <w:szCs w:val="20"/>
            <w:color w:val="0000EE"/>
          </w:rPr>
          <w:t>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GOCO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135,044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135,044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14.81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112,875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112,875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-2775585</wp:posOffset>
            </wp:positionV>
            <wp:extent cx="7034530" cy="2816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/>
        <w:spacing w:after="0" w:line="24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 ("RSUs") subject to certain vesting conditions, as described in the award agreements applicable to such RSUs. Each RSU represents a contingent right to receive one share of the Issuer's Class A Common Stock and has no expiration date.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in three equal annual installments beginning on February 11, 2022.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Travis J. Matthiesen,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5855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2021-02-16T16:25:12Z</dcterms:created>
  <dcterms:modified xsi:type="dcterms:W3CDTF">2021-02-16T16:25:12Z</dcterms:modified>
</cp:coreProperties>
</file>