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216535</wp:posOffset>
            </wp:positionH>
            <wp:positionV relativeFrom="page">
              <wp:posOffset>748665</wp:posOffset>
            </wp:positionV>
            <wp:extent cx="71151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890"/>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774700</wp:posOffset>
            </wp:positionV>
            <wp:extent cx="71151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255"/>
                    </a:xfrm>
                    <a:prstGeom prst="rect">
                      <a:avLst/>
                    </a:prstGeom>
                    <a:noFill/>
                  </pic:spPr>
                </pic:pic>
              </a:graphicData>
            </a:graphic>
          </wp:anchor>
        </w:drawing>
        <w:t>UNITED STATES</w:t>
      </w:r>
    </w:p>
    <w:p>
      <w:pPr>
        <w:spacing w:after="0" w:line="11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3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WASHINGTON, DC 20549</w:t>
      </w:r>
    </w:p>
    <w:p>
      <w:pPr>
        <w:spacing w:after="0" w:line="9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13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117"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PURSUANT TO SECTION 13 OR 15(D) OF THE SECURITIES EXCHANGE ACT OF 1934</w:t>
      </w:r>
    </w:p>
    <w:p>
      <w:pPr>
        <w:spacing w:after="0" w:line="13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Report (Date of earliest event reported): February 9, 2021</w:t>
      </w:r>
    </w:p>
    <w:p>
      <w:pPr>
        <w:spacing w:after="0" w:line="119" w:lineRule="exact"/>
        <w:rPr>
          <w:sz w:val="24"/>
          <w:szCs w:val="24"/>
          <w:color w:val="auto"/>
        </w:rPr>
      </w:pPr>
    </w:p>
    <w:p>
      <w:pPr>
        <w:ind w:left="4120"/>
        <w:spacing w:after="0"/>
        <w:rPr>
          <w:sz w:val="20"/>
          <w:szCs w:val="20"/>
          <w:color w:val="auto"/>
        </w:rPr>
      </w:pPr>
      <w:r>
        <w:rPr>
          <w:rFonts w:ascii="Arial" w:cs="Arial" w:eastAsia="Arial" w:hAnsi="Arial"/>
          <w:sz w:val="22"/>
          <w:szCs w:val="22"/>
          <w:color w:val="auto"/>
        </w:rPr>
        <w:t>_________________________</w:t>
      </w:r>
    </w:p>
    <w:p>
      <w:pPr>
        <w:spacing w:after="0" w:line="96" w:lineRule="exact"/>
        <w:rPr>
          <w:sz w:val="24"/>
          <w:szCs w:val="24"/>
          <w:color w:val="auto"/>
        </w:rPr>
      </w:pPr>
    </w:p>
    <w:p>
      <w:pPr>
        <w:jc w:val="center"/>
        <w:ind w:right="-19"/>
        <w:spacing w:after="0"/>
        <w:rPr>
          <w:sz w:val="20"/>
          <w:szCs w:val="20"/>
          <w:color w:val="auto"/>
        </w:rPr>
      </w:pPr>
      <w:r>
        <w:rPr>
          <w:rFonts w:ascii="Arial" w:cs="Arial" w:eastAsia="Arial" w:hAnsi="Arial"/>
          <w:sz w:val="40"/>
          <w:szCs w:val="40"/>
          <w:b w:val="1"/>
          <w:bCs w:val="1"/>
          <w:color w:val="auto"/>
        </w:rPr>
        <w:t>GoHealth, Inc.</w:t>
      </w:r>
    </w:p>
    <w:p>
      <w:pPr>
        <w:spacing w:after="0" w:line="139"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(Exact name of registrant as specified in its charter)</w:t>
      </w:r>
    </w:p>
    <w:p>
      <w:pPr>
        <w:spacing w:after="0" w:line="110" w:lineRule="exact"/>
        <w:rPr>
          <w:sz w:val="24"/>
          <w:szCs w:val="24"/>
          <w:color w:val="auto"/>
        </w:rPr>
      </w:pPr>
    </w:p>
    <w:p>
      <w:pPr>
        <w:ind w:left="4120"/>
        <w:spacing w:after="0"/>
        <w:rPr>
          <w:sz w:val="20"/>
          <w:szCs w:val="20"/>
          <w:color w:val="auto"/>
        </w:rPr>
      </w:pPr>
      <w:r>
        <w:rPr>
          <w:rFonts w:ascii="Arial" w:cs="Arial" w:eastAsia="Arial" w:hAnsi="Arial"/>
          <w:sz w:val="22"/>
          <w:szCs w:val="22"/>
          <w:color w:val="auto"/>
        </w:rPr>
        <w:t>_________________________</w:t>
      </w:r>
    </w:p>
    <w:p>
      <w:pPr>
        <w:sectPr>
          <w:pgSz w:w="11900" w:h="16838" w:orient="portrait"/>
          <w:cols w:equalWidth="0" w:num="1">
            <w:col w:w="11240"/>
          </w:cols>
          <w:pgMar w:left="320" w:top="1393" w:right="339" w:bottom="1440" w:gutter="0" w:footer="0" w:header="0"/>
        </w:sectPr>
      </w:pPr>
    </w:p>
    <w:p>
      <w:pPr>
        <w:spacing w:after="0" w:line="166" w:lineRule="exact"/>
        <w:rPr>
          <w:sz w:val="24"/>
          <w:szCs w:val="24"/>
          <w:color w:val="auto"/>
        </w:rPr>
      </w:pPr>
    </w:p>
    <w:p>
      <w:pPr>
        <w:ind w:left="1520"/>
        <w:spacing w:after="0"/>
        <w:rPr>
          <w:sz w:val="20"/>
          <w:szCs w:val="20"/>
          <w:color w:val="auto"/>
        </w:rPr>
      </w:pPr>
      <w:r>
        <w:rPr>
          <w:rFonts w:ascii="Arial" w:cs="Arial" w:eastAsia="Arial" w:hAnsi="Arial"/>
          <w:sz w:val="15"/>
          <w:szCs w:val="15"/>
          <w:b w:val="1"/>
          <w:bCs w:val="1"/>
          <w:color w:val="auto"/>
        </w:rPr>
        <w:t>Delaware</w:t>
      </w:r>
    </w:p>
    <w:p>
      <w:pPr>
        <w:spacing w:after="0" w:line="20" w:lineRule="exact"/>
        <w:rPr>
          <w:sz w:val="24"/>
          <w:szCs w:val="24"/>
          <w:color w:val="auto"/>
        </w:rPr>
      </w:pPr>
      <w:r>
        <w:rPr>
          <w:sz w:val="24"/>
          <w:szCs w:val="24"/>
          <w:color w:val="auto"/>
        </w:rPr>
        <w:br w:type="column"/>
      </w:r>
    </w:p>
    <w:p>
      <w:pPr>
        <w:spacing w:after="0" w:line="146" w:lineRule="exact"/>
        <w:rPr>
          <w:sz w:val="24"/>
          <w:szCs w:val="24"/>
          <w:color w:val="auto"/>
        </w:rPr>
      </w:pPr>
    </w:p>
    <w:p>
      <w:pPr>
        <w:jc w:val="center"/>
        <w:ind w:right="2220"/>
        <w:spacing w:after="0"/>
        <w:rPr>
          <w:sz w:val="20"/>
          <w:szCs w:val="20"/>
          <w:color w:val="auto"/>
        </w:rPr>
      </w:pPr>
      <w:r>
        <w:rPr>
          <w:rFonts w:ascii="Arial" w:cs="Arial" w:eastAsia="Arial" w:hAnsi="Arial"/>
          <w:sz w:val="16"/>
          <w:szCs w:val="16"/>
          <w:b w:val="1"/>
          <w:bCs w:val="1"/>
          <w:color w:val="auto"/>
        </w:rPr>
        <w:t>001-39390</w:t>
      </w:r>
    </w:p>
    <w:p>
      <w:pPr>
        <w:spacing w:after="0" w:line="20" w:lineRule="exact"/>
        <w:rPr>
          <w:sz w:val="24"/>
          <w:szCs w:val="24"/>
          <w:color w:val="auto"/>
        </w:rPr>
      </w:pPr>
      <w:r>
        <w:rPr>
          <w:sz w:val="24"/>
          <w:szCs w:val="24"/>
          <w:color w:val="auto"/>
        </w:rPr>
        <w:br w:type="column"/>
      </w:r>
    </w:p>
    <w:p>
      <w:pPr>
        <w:spacing w:after="0" w:line="146"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85-0563805</w:t>
      </w:r>
    </w:p>
    <w:p>
      <w:pPr>
        <w:spacing w:after="0" w:line="61" w:lineRule="exact"/>
        <w:rPr>
          <w:sz w:val="24"/>
          <w:szCs w:val="24"/>
          <w:color w:val="auto"/>
        </w:rPr>
      </w:pPr>
    </w:p>
    <w:p>
      <w:pPr>
        <w:sectPr>
          <w:pgSz w:w="11900" w:h="16838" w:orient="portrait"/>
          <w:cols w:equalWidth="0" w:num="3">
            <w:col w:w="4500" w:space="720"/>
            <w:col w:w="3000" w:space="720"/>
            <w:col w:w="2300"/>
          </w:cols>
          <w:pgMar w:left="320" w:top="1393" w:right="339" w:bottom="1440" w:gutter="0" w:footer="0" w:header="0"/>
          <w:type w:val="continuous"/>
        </w:sectPr>
      </w:pPr>
    </w:p>
    <w:p>
      <w:pPr>
        <w:ind w:left="280"/>
        <w:spacing w:after="0"/>
        <w:rPr>
          <w:sz w:val="20"/>
          <w:szCs w:val="20"/>
          <w:color w:val="auto"/>
        </w:rPr>
      </w:pPr>
      <w:r>
        <w:rPr>
          <w:rFonts w:ascii="Arial" w:cs="Arial" w:eastAsia="Arial" w:hAnsi="Arial"/>
          <w:sz w:val="16"/>
          <w:szCs w:val="16"/>
          <w:color w:val="auto"/>
        </w:rPr>
        <w:t>(State or other jurisdiction of incorporation 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(I.R.S. Employer Identification No.)</w:t>
      </w:r>
    </w:p>
    <w:p>
      <w:pPr>
        <w:spacing w:after="0" w:line="35" w:lineRule="exact"/>
        <w:rPr>
          <w:sz w:val="24"/>
          <w:szCs w:val="24"/>
          <w:color w:val="auto"/>
        </w:rPr>
      </w:pPr>
    </w:p>
    <w:p>
      <w:pPr>
        <w:sectPr>
          <w:pgSz w:w="11900" w:h="16838" w:orient="portrait"/>
          <w:cols w:equalWidth="0" w:num="3">
            <w:col w:w="3920" w:space="720"/>
            <w:col w:w="2760" w:space="720"/>
            <w:col w:w="3120"/>
          </w:cols>
          <w:pgMar w:left="320" w:top="1393" w:right="339" w:bottom="1440" w:gutter="0" w:footer="0" w:header="0"/>
          <w:type w:val="continuous"/>
        </w:sectPr>
      </w:pPr>
    </w:p>
    <w:p>
      <w:pPr>
        <w:ind w:left="1400"/>
        <w:spacing w:after="0"/>
        <w:rPr>
          <w:sz w:val="20"/>
          <w:szCs w:val="20"/>
          <w:color w:val="auto"/>
        </w:rPr>
      </w:pPr>
      <w:r>
        <w:rPr>
          <w:rFonts w:ascii="Arial" w:cs="Arial" w:eastAsia="Arial" w:hAnsi="Arial"/>
          <w:sz w:val="16"/>
          <w:szCs w:val="16"/>
          <w:color w:val="auto"/>
        </w:rPr>
        <w:t>organization)</w:t>
      </w:r>
    </w:p>
    <w:p>
      <w:pPr>
        <w:spacing w:after="0" w:line="257" w:lineRule="exact"/>
        <w:rPr>
          <w:sz w:val="24"/>
          <w:szCs w:val="24"/>
          <w:color w:val="auto"/>
        </w:rPr>
      </w:pPr>
    </w:p>
    <w:p>
      <w:pPr>
        <w:ind w:left="2040"/>
        <w:spacing w:after="0"/>
        <w:rPr>
          <w:sz w:val="20"/>
          <w:szCs w:val="20"/>
          <w:color w:val="auto"/>
        </w:rPr>
      </w:pPr>
      <w:r>
        <w:rPr>
          <w:rFonts w:ascii="Arial" w:cs="Arial" w:eastAsia="Arial" w:hAnsi="Arial"/>
          <w:sz w:val="16"/>
          <w:szCs w:val="16"/>
          <w:b w:val="1"/>
          <w:bCs w:val="1"/>
          <w:color w:val="auto"/>
        </w:rPr>
        <w:t>214 West Huron St.</w:t>
      </w:r>
    </w:p>
    <w:p>
      <w:pPr>
        <w:sectPr>
          <w:pgSz w:w="11900" w:h="16838" w:orient="portrait"/>
          <w:cols w:equalWidth="0" w:num="1">
            <w:col w:w="11240"/>
          </w:cols>
          <w:pgMar w:left="320" w:top="1393" w:right="339" w:bottom="1440" w:gutter="0" w:footer="0" w:header="0"/>
          <w:type w:val="continuous"/>
        </w:sectPr>
      </w:pPr>
    </w:p>
    <w:p>
      <w:pPr>
        <w:spacing w:after="0" w:line="73" w:lineRule="exact"/>
        <w:rPr>
          <w:sz w:val="24"/>
          <w:szCs w:val="24"/>
          <w:color w:val="auto"/>
        </w:rPr>
      </w:pPr>
    </w:p>
    <w:p>
      <w:pPr>
        <w:ind w:left="2100"/>
        <w:spacing w:after="0"/>
        <w:rPr>
          <w:sz w:val="20"/>
          <w:szCs w:val="20"/>
          <w:color w:val="auto"/>
        </w:rPr>
      </w:pPr>
      <w:r>
        <w:rPr>
          <w:rFonts w:ascii="Arial" w:cs="Arial" w:eastAsia="Arial" w:hAnsi="Arial"/>
          <w:sz w:val="16"/>
          <w:szCs w:val="16"/>
          <w:b w:val="1"/>
          <w:bCs w:val="1"/>
          <w:color w:val="auto"/>
        </w:rPr>
        <w:t>Chicago, Illinois</w:t>
      </w:r>
    </w:p>
    <w:p>
      <w:pPr>
        <w:spacing w:after="0" w:line="20" w:lineRule="exact"/>
        <w:rPr>
          <w:sz w:val="24"/>
          <w:szCs w:val="24"/>
          <w:color w:val="auto"/>
        </w:rPr>
      </w:pPr>
      <w:r>
        <w:rPr>
          <w:sz w:val="24"/>
          <w:szCs w:val="24"/>
          <w:color w:val="auto"/>
        </w:rPr>
        <w:br w:type="column"/>
      </w:r>
    </w:p>
    <w:p>
      <w:pPr>
        <w:spacing w:after="0" w:line="53"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60654</w:t>
      </w:r>
    </w:p>
    <w:p>
      <w:pPr>
        <w:spacing w:after="0" w:line="61" w:lineRule="exact"/>
        <w:rPr>
          <w:sz w:val="24"/>
          <w:szCs w:val="24"/>
          <w:color w:val="auto"/>
        </w:rPr>
      </w:pPr>
    </w:p>
    <w:p>
      <w:pPr>
        <w:sectPr>
          <w:pgSz w:w="11900" w:h="16838" w:orient="portrait"/>
          <w:cols w:equalWidth="0" w:num="2">
            <w:col w:w="7440" w:space="720"/>
            <w:col w:w="3080"/>
          </w:cols>
          <w:pgMar w:left="320" w:top="1393" w:right="339" w:bottom="1440" w:gutter="0" w:footer="0" w:header="0"/>
          <w:type w:val="continuous"/>
        </w:sectPr>
      </w:pPr>
    </w:p>
    <w:p>
      <w:pPr>
        <w:ind w:left="140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7280" w:space="720"/>
            <w:col w:w="3240"/>
          </w:cols>
          <w:pgMar w:left="320" w:top="1393" w:right="339" w:bottom="1440" w:gutter="0" w:footer="0" w:header="0"/>
          <w:type w:val="continuous"/>
        </w:sectPr>
      </w:pP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(312) 386-8200</w:t>
      </w:r>
    </w:p>
    <w:p>
      <w:pPr>
        <w:spacing w:after="0" w:line="115"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(Registrant’s telephone number, including area code)</w:t>
      </w:r>
    </w:p>
    <w:p>
      <w:pPr>
        <w:spacing w:after="0" w:line="111"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N/A</w:t>
      </w:r>
    </w:p>
    <w:p>
      <w:pPr>
        <w:spacing w:after="0" w:line="115"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(Former name or former address, if changed since last report)</w:t>
      </w:r>
    </w:p>
    <w:p>
      <w:pPr>
        <w:spacing w:after="0" w:line="110" w:lineRule="exact"/>
        <w:rPr>
          <w:sz w:val="24"/>
          <w:szCs w:val="24"/>
          <w:color w:val="auto"/>
        </w:rPr>
      </w:pPr>
    </w:p>
    <w:p>
      <w:pPr>
        <w:ind w:left="4120"/>
        <w:spacing w:after="0"/>
        <w:rPr>
          <w:sz w:val="20"/>
          <w:szCs w:val="20"/>
          <w:color w:val="auto"/>
        </w:rPr>
      </w:pPr>
      <w:r>
        <w:rPr>
          <w:rFonts w:ascii="Arial" w:cs="Arial" w:eastAsia="Arial" w:hAnsi="Arial"/>
          <w:sz w:val="22"/>
          <w:szCs w:val="22"/>
          <w:color w:val="auto"/>
        </w:rPr>
        <w:t>_________________________</w:t>
      </w:r>
    </w:p>
    <w:p>
      <w:pPr>
        <w:spacing w:after="0" w:line="114" w:lineRule="exact"/>
        <w:rPr>
          <w:sz w:val="24"/>
          <w:szCs w:val="24"/>
          <w:color w:val="auto"/>
        </w:rPr>
      </w:pPr>
    </w:p>
    <w:p>
      <w:pPr>
        <w:ind w:right="300"/>
        <w:spacing w:after="0" w:line="291" w:lineRule="auto"/>
        <w:rPr>
          <w:sz w:val="20"/>
          <w:szCs w:val="20"/>
          <w:color w:val="auto"/>
        </w:rPr>
      </w:pPr>
      <w:r>
        <w:rPr>
          <w:rFonts w:ascii="Arial" w:cs="Arial" w:eastAsia="Arial" w:hAnsi="Arial"/>
          <w:sz w:val="16"/>
          <w:szCs w:val="16"/>
          <w:color w:val="auto"/>
        </w:rPr>
        <w:t>Check the appropriate box below if the Form 8-K filing is intended to simultaneously satisfy the filing obligation of the registrant under any of the following provisions:</w:t>
      </w:r>
    </w:p>
    <w:p>
      <w:pPr>
        <w:spacing w:after="0" w:line="80" w:lineRule="exact"/>
        <w:rPr>
          <w:sz w:val="24"/>
          <w:szCs w:val="24"/>
          <w:color w:val="auto"/>
        </w:rPr>
      </w:pPr>
    </w:p>
    <w:p>
      <w:pPr>
        <w:ind w:left="520" w:hanging="337"/>
        <w:spacing w:after="0"/>
        <w:tabs>
          <w:tab w:leader="none" w:pos="52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48" w:lineRule="exact"/>
        <w:rPr>
          <w:rFonts w:ascii="MS PGothic" w:cs="MS PGothic" w:eastAsia="MS PGothic" w:hAnsi="MS PGothic"/>
          <w:sz w:val="16"/>
          <w:szCs w:val="16"/>
          <w:color w:val="auto"/>
        </w:rPr>
      </w:pPr>
    </w:p>
    <w:p>
      <w:pPr>
        <w:ind w:left="520" w:hanging="337"/>
        <w:spacing w:after="0"/>
        <w:tabs>
          <w:tab w:leader="none" w:pos="52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32" w:lineRule="exact"/>
        <w:rPr>
          <w:rFonts w:ascii="MS PGothic" w:cs="MS PGothic" w:eastAsia="MS PGothic" w:hAnsi="MS PGothic"/>
          <w:sz w:val="16"/>
          <w:szCs w:val="16"/>
          <w:color w:val="auto"/>
        </w:rPr>
      </w:pPr>
    </w:p>
    <w:p>
      <w:pPr>
        <w:ind w:left="520" w:hanging="337"/>
        <w:spacing w:after="0"/>
        <w:tabs>
          <w:tab w:leader="none" w:pos="52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32" w:lineRule="exact"/>
        <w:rPr>
          <w:rFonts w:ascii="MS PGothic" w:cs="MS PGothic" w:eastAsia="MS PGothic" w:hAnsi="MS PGothic"/>
          <w:sz w:val="16"/>
          <w:szCs w:val="16"/>
          <w:color w:val="auto"/>
        </w:rPr>
      </w:pPr>
    </w:p>
    <w:p>
      <w:pPr>
        <w:ind w:left="520" w:hanging="337"/>
        <w:spacing w:after="0"/>
        <w:tabs>
          <w:tab w:leader="none" w:pos="52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13e-4(c) under the Exchange Act (17 CFR 240.13e-4(c)).</w:t>
      </w:r>
    </w:p>
    <w:p>
      <w:pPr>
        <w:spacing w:after="0" w:line="191" w:lineRule="exact"/>
        <w:rPr>
          <w:sz w:val="24"/>
          <w:szCs w:val="24"/>
          <w:color w:val="auto"/>
        </w:rPr>
      </w:pPr>
    </w:p>
    <w:tbl>
      <w:tblPr>
        <w:tblLayout w:type="fixed"/>
        <w:tblInd w:w="0" w:type="dxa"/>
        <w:tblCellMar>
          <w:top w:w="0" w:type="dxa"/>
          <w:left w:w="0" w:type="dxa"/>
          <w:bottom w:w="0" w:type="dxa"/>
          <w:right w:w="0" w:type="dxa"/>
        </w:tblCellMar>
      </w:tblPr>
      <w:tr>
        <w:trPr>
          <w:trHeight w:val="219"/>
        </w:trPr>
        <w:tc>
          <w:tcPr>
            <w:tcW w:w="4500" w:type="dxa"/>
            <w:vAlign w:val="bottom"/>
            <w:gridSpan w:val="3"/>
          </w:tcPr>
          <w:p>
            <w:pPr>
              <w:spacing w:after="0"/>
              <w:rPr>
                <w:sz w:val="20"/>
                <w:szCs w:val="20"/>
                <w:color w:val="auto"/>
              </w:rPr>
            </w:pPr>
            <w:r>
              <w:rPr>
                <w:rFonts w:ascii="Arial" w:cs="Arial" w:eastAsia="Arial" w:hAnsi="Arial"/>
                <w:sz w:val="16"/>
                <w:szCs w:val="16"/>
                <w:color w:val="auto"/>
              </w:rPr>
              <w:t>Securities registered pursuant to Section 12(b) of the Act:</w:t>
            </w:r>
          </w:p>
        </w:tc>
        <w:tc>
          <w:tcPr>
            <w:tcW w:w="2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80" w:type="dxa"/>
            <w:vAlign w:val="bottom"/>
          </w:tcPr>
          <w:p>
            <w:pPr>
              <w:spacing w:after="0"/>
              <w:rPr>
                <w:sz w:val="19"/>
                <w:szCs w:val="19"/>
                <w:color w:val="auto"/>
              </w:rPr>
            </w:pPr>
          </w:p>
        </w:tc>
      </w:tr>
      <w:tr>
        <w:trPr>
          <w:trHeight w:val="319"/>
        </w:trPr>
        <w:tc>
          <w:tcPr>
            <w:tcW w:w="3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80" w:type="dxa"/>
            <w:vAlign w:val="bottom"/>
          </w:tcPr>
          <w:p>
            <w:pPr>
              <w:jc w:val="center"/>
              <w:spacing w:after="0"/>
              <w:rPr>
                <w:sz w:val="20"/>
                <w:szCs w:val="20"/>
                <w:color w:val="auto"/>
              </w:rPr>
            </w:pPr>
            <w:r>
              <w:rPr>
                <w:rFonts w:ascii="Arial" w:cs="Arial" w:eastAsia="Arial" w:hAnsi="Arial"/>
                <w:sz w:val="16"/>
                <w:szCs w:val="16"/>
                <w:b w:val="1"/>
                <w:bCs w:val="1"/>
                <w:color w:val="auto"/>
              </w:rPr>
              <w:t>Name of each exchange</w:t>
            </w:r>
          </w:p>
        </w:tc>
      </w:tr>
      <w:tr>
        <w:trPr>
          <w:trHeight w:val="232"/>
        </w:trPr>
        <w:tc>
          <w:tcPr>
            <w:tcW w:w="36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Title of each class</w:t>
            </w:r>
          </w:p>
        </w:tc>
        <w:tc>
          <w:tcPr>
            <w:tcW w:w="100" w:type="dxa"/>
            <w:vAlign w:val="bottom"/>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2920" w:type="dxa"/>
            <w:vAlign w:val="bottom"/>
            <w:tcBorders>
              <w:bottom w:val="single" w:sz="8" w:color="auto"/>
            </w:tcBorders>
          </w:tcPr>
          <w:p>
            <w:pPr>
              <w:jc w:val="center"/>
              <w:ind w:right="659"/>
              <w:spacing w:after="0"/>
              <w:rPr>
                <w:sz w:val="20"/>
                <w:szCs w:val="20"/>
                <w:color w:val="auto"/>
              </w:rPr>
            </w:pPr>
            <w:r>
              <w:rPr>
                <w:rFonts w:ascii="Arial" w:cs="Arial" w:eastAsia="Arial" w:hAnsi="Arial"/>
                <w:sz w:val="16"/>
                <w:szCs w:val="16"/>
                <w:b w:val="1"/>
                <w:bCs w:val="1"/>
                <w:color w:val="auto"/>
              </w:rPr>
              <w:t>Trading Symbol(s)</w:t>
            </w:r>
          </w:p>
        </w:tc>
        <w:tc>
          <w:tcPr>
            <w:tcW w:w="100" w:type="dxa"/>
            <w:vAlign w:val="bottom"/>
          </w:tcPr>
          <w:p>
            <w:pPr>
              <w:spacing w:after="0"/>
              <w:rPr>
                <w:sz w:val="20"/>
                <w:szCs w:val="20"/>
                <w:color w:val="auto"/>
              </w:rPr>
            </w:pPr>
          </w:p>
        </w:tc>
        <w:tc>
          <w:tcPr>
            <w:tcW w:w="36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on which registered</w:t>
            </w:r>
          </w:p>
        </w:tc>
      </w:tr>
      <w:tr>
        <w:trPr>
          <w:trHeight w:val="195"/>
        </w:trPr>
        <w:tc>
          <w:tcPr>
            <w:tcW w:w="4500" w:type="dxa"/>
            <w:vAlign w:val="bottom"/>
            <w:gridSpan w:val="3"/>
          </w:tcPr>
          <w:p>
            <w:pPr>
              <w:jc w:val="center"/>
              <w:ind w:right="840"/>
              <w:spacing w:after="0"/>
              <w:rPr>
                <w:sz w:val="20"/>
                <w:szCs w:val="20"/>
                <w:color w:val="auto"/>
              </w:rPr>
            </w:pPr>
            <w:r>
              <w:rPr>
                <w:rFonts w:ascii="Arial" w:cs="Arial" w:eastAsia="Arial" w:hAnsi="Arial"/>
                <w:sz w:val="16"/>
                <w:szCs w:val="16"/>
                <w:color w:val="auto"/>
              </w:rPr>
              <w:t>Class A Common Stock,</w:t>
            </w:r>
          </w:p>
        </w:tc>
        <w:tc>
          <w:tcPr>
            <w:tcW w:w="3020" w:type="dxa"/>
            <w:vAlign w:val="bottom"/>
            <w:gridSpan w:val="2"/>
          </w:tcPr>
          <w:p>
            <w:pPr>
              <w:jc w:val="center"/>
              <w:ind w:right="840"/>
              <w:spacing w:after="0"/>
              <w:rPr>
                <w:sz w:val="20"/>
                <w:szCs w:val="20"/>
                <w:color w:val="auto"/>
              </w:rPr>
            </w:pPr>
            <w:r>
              <w:rPr>
                <w:rFonts w:ascii="Arial" w:cs="Arial" w:eastAsia="Arial" w:hAnsi="Arial"/>
                <w:sz w:val="16"/>
                <w:szCs w:val="16"/>
                <w:color w:val="auto"/>
              </w:rPr>
              <w:t>GOCO</w:t>
            </w:r>
          </w:p>
        </w:tc>
        <w:tc>
          <w:tcPr>
            <w:tcW w:w="3680" w:type="dxa"/>
            <w:vAlign w:val="bottom"/>
          </w:tcPr>
          <w:p>
            <w:pPr>
              <w:jc w:val="center"/>
              <w:spacing w:after="0"/>
              <w:rPr>
                <w:sz w:val="20"/>
                <w:szCs w:val="20"/>
                <w:color w:val="auto"/>
              </w:rPr>
            </w:pPr>
            <w:r>
              <w:rPr>
                <w:rFonts w:ascii="Arial" w:cs="Arial" w:eastAsia="Arial" w:hAnsi="Arial"/>
                <w:sz w:val="16"/>
                <w:szCs w:val="16"/>
                <w:color w:val="auto"/>
              </w:rPr>
              <w:t>The Nasdaq Global Market</w:t>
            </w:r>
          </w:p>
        </w:tc>
      </w:tr>
      <w:tr>
        <w:trPr>
          <w:trHeight w:val="219"/>
        </w:trPr>
        <w:tc>
          <w:tcPr>
            <w:tcW w:w="4500" w:type="dxa"/>
            <w:vAlign w:val="bottom"/>
            <w:gridSpan w:val="3"/>
          </w:tcPr>
          <w:p>
            <w:pPr>
              <w:jc w:val="center"/>
              <w:ind w:right="840"/>
              <w:spacing w:after="0"/>
              <w:rPr>
                <w:sz w:val="20"/>
                <w:szCs w:val="20"/>
                <w:color w:val="auto"/>
              </w:rPr>
            </w:pPr>
            <w:r>
              <w:rPr>
                <w:rFonts w:ascii="Arial" w:cs="Arial" w:eastAsia="Arial" w:hAnsi="Arial"/>
                <w:sz w:val="16"/>
                <w:szCs w:val="16"/>
                <w:color w:val="auto"/>
              </w:rPr>
              <w:t>$0.0001 par value per share</w:t>
            </w:r>
          </w:p>
        </w:tc>
        <w:tc>
          <w:tcPr>
            <w:tcW w:w="2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80" w:type="dxa"/>
            <w:vAlign w:val="bottom"/>
          </w:tcPr>
          <w:p>
            <w:pPr>
              <w:spacing w:after="0"/>
              <w:rPr>
                <w:sz w:val="19"/>
                <w:szCs w:val="19"/>
                <w:color w:val="auto"/>
              </w:rPr>
            </w:pPr>
          </w:p>
        </w:tc>
      </w:tr>
    </w:tbl>
    <w:p>
      <w:pPr>
        <w:spacing w:after="0" w:line="186" w:lineRule="exact"/>
        <w:rPr>
          <w:sz w:val="24"/>
          <w:szCs w:val="24"/>
          <w:color w:val="auto"/>
        </w:rPr>
      </w:pPr>
    </w:p>
    <w:p>
      <w:pPr>
        <w:spacing w:after="0" w:line="291"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1294765</wp:posOffset>
            </wp:positionH>
            <wp:positionV relativeFrom="paragraph">
              <wp:posOffset>-75565</wp:posOffset>
            </wp:positionV>
            <wp:extent cx="78105" cy="793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8105" cy="79375"/>
                    </a:xfrm>
                    <a:prstGeom prst="rect">
                      <a:avLst/>
                    </a:prstGeom>
                    <a:noFill/>
                  </pic:spPr>
                </pic:pic>
              </a:graphicData>
            </a:graphic>
          </wp:anchor>
        </w:drawing>
      </w:r>
    </w:p>
    <w:p>
      <w:pPr>
        <w:spacing w:after="0" w:line="115" w:lineRule="exact"/>
        <w:rPr>
          <w:sz w:val="24"/>
          <w:szCs w:val="24"/>
          <w:color w:val="auto"/>
        </w:rPr>
      </w:pPr>
    </w:p>
    <w:p>
      <w:pPr>
        <w:ind w:right="140"/>
        <w:spacing w:after="0" w:line="211"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739140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87630</wp:posOffset>
            </wp:positionV>
            <wp:extent cx="71151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113665</wp:posOffset>
            </wp:positionV>
            <wp:extent cx="71151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ectPr>
          <w:pgSz w:w="11900" w:h="16838" w:orient="portrait"/>
          <w:cols w:equalWidth="0" w:num="1">
            <w:col w:w="11240"/>
          </w:cols>
          <w:pgMar w:left="320" w:top="1393" w:right="339" w:bottom="1440" w:gutter="0" w:footer="0" w:header="0"/>
          <w:type w:val="continuous"/>
        </w:sectPr>
      </w:pPr>
    </w:p>
    <w:bookmarkStart w:id="1" w:name="page2"/>
    <w:bookmarkEnd w:id="1"/>
    <w:p>
      <w:pPr>
        <w:spacing w:after="0"/>
        <w:tabs>
          <w:tab w:leader="none" w:pos="900" w:val="left"/>
        </w:tabs>
        <w:rPr>
          <w:sz w:val="20"/>
          <w:szCs w:val="20"/>
          <w:color w:val="auto"/>
        </w:rPr>
      </w:pPr>
      <w:r>
        <w:rPr>
          <w:rFonts w:ascii="Arial" w:cs="Arial" w:eastAsia="Arial" w:hAnsi="Arial"/>
          <w:sz w:val="16"/>
          <w:szCs w:val="16"/>
          <w:b w:val="1"/>
          <w:bCs w:val="1"/>
          <w:color w:val="auto"/>
        </w:rPr>
        <w:t>Item 8.01.</w:t>
        <w:tab/>
        <w:t>Other Events.</w:t>
      </w:r>
    </w:p>
    <w:p>
      <w:pPr>
        <w:spacing w:after="0" w:line="115" w:lineRule="exact"/>
        <w:rPr>
          <w:sz w:val="20"/>
          <w:szCs w:val="20"/>
          <w:color w:val="auto"/>
        </w:rPr>
      </w:pPr>
    </w:p>
    <w:p>
      <w:pPr>
        <w:spacing w:after="0" w:line="261" w:lineRule="auto"/>
        <w:rPr>
          <w:sz w:val="20"/>
          <w:szCs w:val="20"/>
          <w:color w:val="auto"/>
        </w:rPr>
      </w:pPr>
      <w:r>
        <w:rPr>
          <w:rFonts w:ascii="Arial" w:cs="Arial" w:eastAsia="Arial" w:hAnsi="Arial"/>
          <w:sz w:val="16"/>
          <w:szCs w:val="16"/>
          <w:color w:val="auto"/>
        </w:rPr>
        <w:t>The Board of Directors of GoHealth, Inc. (the “Company”) has established May 26, 2021 as the date of the Company’s 2021 Annual Meeting of Stockholders (the “2021 Annual Meeting”). The 2021 Annual Meeting will be held virtually by means of remote communication. The details of the virtual annual meeting, including how stockholders can log into the virtual meeting, vote and submit questions, will be disclosed in the Company’s definitive proxy statement for the 2021 Annual Meeting to be filed with the Securities and Exchange Commission.</w:t>
      </w:r>
    </w:p>
    <w:p>
      <w:pPr>
        <w:spacing w:after="0" w:line="64" w:lineRule="exact"/>
        <w:rPr>
          <w:sz w:val="20"/>
          <w:szCs w:val="20"/>
          <w:color w:val="auto"/>
        </w:rPr>
      </w:pPr>
    </w:p>
    <w:p>
      <w:pPr>
        <w:ind w:right="300"/>
        <w:spacing w:after="0" w:line="261" w:lineRule="auto"/>
        <w:rPr>
          <w:sz w:val="20"/>
          <w:szCs w:val="20"/>
          <w:color w:val="auto"/>
        </w:rPr>
      </w:pPr>
      <w:r>
        <w:rPr>
          <w:rFonts w:ascii="Arial" w:cs="Arial" w:eastAsia="Arial" w:hAnsi="Arial"/>
          <w:sz w:val="16"/>
          <w:szCs w:val="16"/>
          <w:color w:val="auto"/>
        </w:rPr>
        <w:t>Any stockholder seeking to bring business before the 2021 Annual Meeting or to nominate a director must provide timely notice, as set forth in the Company’s Amended and Restated Bylaws (the “Bylaws”). Specifically, written notice of any proposed business or nomination must be received at the Company’s principal executive offices no later than February 20, 2021 (which is the tenth day following this public announcement of the date of the 2021 Annual Meeting). Any notice of proposed business or nomination must comply with the specific requirements set forth in the Bylaws.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540385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889" w:right="37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6"/>
          <w:szCs w:val="16"/>
          <w:b w:val="1"/>
          <w:bCs w:val="1"/>
          <w:color w:val="auto"/>
        </w:rPr>
        <w:t>SIGNATURES</w:t>
      </w:r>
    </w:p>
    <w:p>
      <w:pPr>
        <w:spacing w:after="0" w:line="115"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hereunto duly authorized.</w:t>
      </w:r>
    </w:p>
    <w:p>
      <w:pPr>
        <w:spacing w:after="0" w:line="92" w:lineRule="exact"/>
        <w:rPr>
          <w:sz w:val="20"/>
          <w:szCs w:val="20"/>
          <w:color w:val="auto"/>
        </w:rPr>
      </w:pPr>
    </w:p>
    <w:p>
      <w:pPr>
        <w:ind w:left="5380"/>
        <w:spacing w:after="0"/>
        <w:rPr>
          <w:sz w:val="20"/>
          <w:szCs w:val="20"/>
          <w:color w:val="auto"/>
        </w:rPr>
      </w:pPr>
      <w:r>
        <w:rPr>
          <w:rFonts w:ascii="Arial" w:cs="Arial" w:eastAsia="Arial" w:hAnsi="Arial"/>
          <w:sz w:val="16"/>
          <w:szCs w:val="16"/>
          <w:b w:val="1"/>
          <w:bCs w:val="1"/>
          <w:color w:val="auto"/>
        </w:rPr>
        <w:t>GOHEALTH, INC.</w:t>
      </w:r>
    </w:p>
    <w:p>
      <w:pPr>
        <w:spacing w:after="0" w:line="210" w:lineRule="exact"/>
        <w:rPr>
          <w:sz w:val="20"/>
          <w:szCs w:val="20"/>
          <w:color w:val="auto"/>
        </w:rPr>
      </w:pPr>
    </w:p>
    <w:p>
      <w:pPr>
        <w:ind w:left="240"/>
        <w:spacing w:after="0"/>
        <w:tabs>
          <w:tab w:leader="none" w:pos="5740" w:val="left"/>
        </w:tabs>
        <w:rPr>
          <w:sz w:val="20"/>
          <w:szCs w:val="20"/>
          <w:color w:val="auto"/>
        </w:rPr>
      </w:pPr>
      <w:r>
        <w:rPr>
          <w:rFonts w:ascii="Arial" w:cs="Arial" w:eastAsia="Arial" w:hAnsi="Arial"/>
          <w:sz w:val="16"/>
          <w:szCs w:val="16"/>
          <w:color w:val="auto"/>
        </w:rPr>
        <w:t>Date: February 10, 2021</w:t>
      </w:r>
      <w:r>
        <w:rPr>
          <w:sz w:val="20"/>
          <w:szCs w:val="20"/>
          <w:color w:val="auto"/>
        </w:rPr>
        <w:tab/>
      </w:r>
      <w:r>
        <w:rPr>
          <w:rFonts w:ascii="Arial" w:cs="Arial" w:eastAsia="Arial" w:hAnsi="Arial"/>
          <w:sz w:val="15"/>
          <w:szCs w:val="15"/>
          <w:color w:val="auto"/>
        </w:rPr>
        <w:t>By: /s/ Brian P. Farley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3811270</wp:posOffset>
            </wp:positionH>
            <wp:positionV relativeFrom="paragraph">
              <wp:posOffset>31750</wp:posOffset>
            </wp:positionV>
            <wp:extent cx="33261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26130" cy="8255"/>
                    </a:xfrm>
                    <a:prstGeom prst="rect">
                      <a:avLst/>
                    </a:prstGeom>
                    <a:noFill/>
                  </pic:spPr>
                </pic:pic>
              </a:graphicData>
            </a:graphic>
          </wp:anchor>
        </w:drawing>
      </w:r>
    </w:p>
    <w:p>
      <w:pPr>
        <w:spacing w:after="0" w:line="53" w:lineRule="exact"/>
        <w:rPr>
          <w:sz w:val="20"/>
          <w:szCs w:val="20"/>
          <w:color w:val="auto"/>
        </w:rPr>
      </w:pPr>
    </w:p>
    <w:p>
      <w:pPr>
        <w:ind w:left="6020"/>
        <w:spacing w:after="0"/>
        <w:rPr>
          <w:sz w:val="20"/>
          <w:szCs w:val="20"/>
          <w:color w:val="auto"/>
        </w:rPr>
      </w:pPr>
      <w:r>
        <w:rPr>
          <w:rFonts w:ascii="Arial" w:cs="Arial" w:eastAsia="Arial" w:hAnsi="Arial"/>
          <w:sz w:val="16"/>
          <w:szCs w:val="16"/>
          <w:color w:val="auto"/>
        </w:rPr>
        <w:t>Brian P. Farley</w:t>
      </w:r>
    </w:p>
    <w:p>
      <w:pPr>
        <w:spacing w:after="0" w:line="25" w:lineRule="exact"/>
        <w:rPr>
          <w:sz w:val="20"/>
          <w:szCs w:val="20"/>
          <w:color w:val="auto"/>
        </w:rPr>
      </w:pPr>
    </w:p>
    <w:p>
      <w:pPr>
        <w:ind w:left="6020"/>
        <w:spacing w:after="0"/>
        <w:rPr>
          <w:sz w:val="20"/>
          <w:szCs w:val="20"/>
          <w:color w:val="auto"/>
        </w:rPr>
      </w:pPr>
      <w:r>
        <w:rPr>
          <w:rFonts w:ascii="Arial" w:cs="Arial" w:eastAsia="Arial" w:hAnsi="Arial"/>
          <w:sz w:val="16"/>
          <w:szCs w:val="16"/>
          <w:color w:val="auto"/>
        </w:rPr>
        <w:t>Chief Legal Officer &amp; Corporate Secretary</w:t>
      </w:r>
    </w:p>
    <w:sectPr>
      <w:pgSz w:w="11900" w:h="16838" w:orient="portrait"/>
      <w:cols w:equalWidth="0" w:num="1">
        <w:col w:w="11220"/>
      </w:cols>
      <w:pgMar w:left="320" w:top="997"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2021-02-10T15:28:14Z</dcterms:created>
  <dcterms:modified xsi:type="dcterms:W3CDTF">2021-02-10T15:28:14Z</dcterms:modified>
</cp:coreProperties>
</file>