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GOHEALTH, INC.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222 W. Merchandise Mart Plaza, Suite 1750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Chicago, IL 60654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December 19, 2025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VIA EDGAR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United States Securities and Exchange Commission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Washington, D.C. 20549</w:t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0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GoHealth, Inc.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Registration Statement on Form S-3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File No. 333-292177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Ladies and Gentlemen: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right="20"/>
        <w:spacing w:after="0" w:line="29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Pursuant to Rule 461 promulgated under the Securities Act of 1933, as amended, GoHealth, Inc. (the “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i w:val="1"/>
          <w:iCs w:val="1"/>
          <w:color w:val="auto"/>
        </w:rPr>
        <w:t>Company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”) hereby requests acceleration of the effective date of the above referenced Registration Statement to 4:00 p.m., Eastern Time, on December 23, 2025, or as soon thereafter as practicable, or at such other time as the Company or its outside counsel, Kirkland &amp; Ellis LLP, request by telephone that such Registration Statement be declared effective.</w:t>
      </w:r>
    </w:p>
    <w:p>
      <w:pPr>
        <w:spacing w:after="0" w:line="157" w:lineRule="exact"/>
        <w:rPr>
          <w:sz w:val="24"/>
          <w:szCs w:val="24"/>
          <w:color w:val="auto"/>
        </w:rPr>
      </w:pPr>
    </w:p>
    <w:p>
      <w:pPr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Please contact Katherine Shaia of Kirkland &amp; Ellis LLP at (212) 390-4349 or Sharon Freiman, P.C. of Kirkland &amp; Ellis LLP at (212) 909-3345, as soon as the Registration Statement has been declared effective, or if you have any other questions or concerns regarding this matter.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67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Sincerely,</w:t>
      </w:r>
    </w:p>
    <w:p>
      <w:pPr>
        <w:spacing w:after="0" w:line="275" w:lineRule="exact"/>
        <w:rPr>
          <w:sz w:val="24"/>
          <w:szCs w:val="24"/>
          <w:color w:val="auto"/>
        </w:rPr>
      </w:pPr>
    </w:p>
    <w:p>
      <w:pPr>
        <w:ind w:left="67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GOHEALTH, INC.</w:t>
      </w:r>
    </w:p>
    <w:p>
      <w:pPr>
        <w:spacing w:after="0" w:line="283" w:lineRule="exact"/>
        <w:rPr>
          <w:sz w:val="24"/>
          <w:szCs w:val="24"/>
          <w:color w:val="auto"/>
        </w:rPr>
      </w:pPr>
    </w:p>
    <w:p>
      <w:pPr>
        <w:ind w:left="67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/s/ Bradley Burd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4282440</wp:posOffset>
            </wp:positionH>
            <wp:positionV relativeFrom="paragraph">
              <wp:posOffset>43180</wp:posOffset>
            </wp:positionV>
            <wp:extent cx="2854325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432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4" w:lineRule="exact"/>
        <w:rPr>
          <w:sz w:val="24"/>
          <w:szCs w:val="24"/>
          <w:color w:val="auto"/>
        </w:rPr>
      </w:pPr>
    </w:p>
    <w:p>
      <w:pPr>
        <w:ind w:left="67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Bradley Burd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7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i w:val="1"/>
          <w:iCs w:val="1"/>
          <w:color w:val="auto"/>
        </w:rPr>
        <w:t>Chief Legal Officer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1" w:lineRule="exact"/>
        <w:rPr>
          <w:sz w:val="24"/>
          <w:szCs w:val="24"/>
          <w:color w:val="auto"/>
        </w:rPr>
      </w:pPr>
    </w:p>
    <w:p>
      <w:pPr>
        <w:ind w:left="980" w:right="6680" w:hanging="873"/>
        <w:spacing w:after="0" w:line="344" w:lineRule="auto"/>
        <w:tabs>
          <w:tab w:leader="none" w:pos="9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Robert M. Hayward, P.C., Kirkland &amp; Ellis LLP Sharon Freiman, P.C., Kirkland &amp; Ellis LLP Katherine Shaia, Kirkland &amp; Ellis LLP</w:t>
      </w:r>
    </w:p>
    <w:sectPr>
      <w:pgSz w:w="11900" w:h="16838" w:orient="portrait"/>
      <w:cols w:equalWidth="0" w:num="1">
        <w:col w:w="11120"/>
      </w:cols>
      <w:pgMar w:left="320" w:top="1440" w:right="4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2026-04-27T23:15:05Z</dcterms:created>
  <dcterms:modified xsi:type="dcterms:W3CDTF">2026-04-27T23:15:05Z</dcterms:modified>
</cp:coreProperties>
</file>