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607695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CURRENT REPORT</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Date of Report (Date of earliest event reported): September 30, 2024</w:t>
      </w:r>
    </w:p>
    <w:p>
      <w:pPr>
        <w:spacing w:after="0" w:line="98"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35" w:right="359" w:bottom="1440" w:gutter="0" w:footer="0" w:header="0"/>
        </w:sectPr>
      </w:pPr>
    </w:p>
    <w:p>
      <w:pPr>
        <w:spacing w:after="0" w:line="13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35"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35" w:right="359" w:bottom="1440" w:gutter="0" w:footer="0" w:header="0"/>
          <w:type w:val="continuous"/>
        </w:sectPr>
      </w:pPr>
    </w:p>
    <w:p>
      <w:pPr>
        <w:spacing w:after="0" w:line="44"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222 W Merchandise Mart Plaza Suite 1750</w:t>
      </w:r>
    </w:p>
    <w:p>
      <w:pPr>
        <w:sectPr>
          <w:pgSz w:w="11900" w:h="16838" w:orient="portrait"/>
          <w:cols w:equalWidth="0" w:num="1">
            <w:col w:w="11240"/>
          </w:cols>
          <w:pgMar w:left="300" w:top="1135" w:right="359" w:bottom="1440" w:gutter="0" w:footer="0" w:header="0"/>
          <w:type w:val="continuous"/>
        </w:sectPr>
      </w:pPr>
    </w:p>
    <w:p>
      <w:pPr>
        <w:spacing w:after="0" w:line="64"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8520" w:space="720"/>
            <w:col w:w="2000"/>
          </w:cols>
          <w:pgMar w:left="300" w:top="1135" w:right="35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9" w:lineRule="exact"/>
        <w:rPr>
          <w:sz w:val="24"/>
          <w:szCs w:val="24"/>
          <w:color w:val="auto"/>
        </w:rPr>
      </w:pPr>
    </w:p>
    <w:p>
      <w:pPr>
        <w:sectPr>
          <w:pgSz w:w="11900" w:h="16838" w:orient="portrait"/>
          <w:cols w:equalWidth="0" w:num="2">
            <w:col w:w="8380" w:space="720"/>
            <w:col w:w="2140"/>
          </w:cols>
          <w:pgMar w:left="300" w:top="1135"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00" w:top="1135" w:right="359" w:bottom="1440" w:gutter="0" w:footer="0" w:header="0"/>
          <w:type w:val="continuous"/>
        </w:sectPr>
      </w:pPr>
    </w:p>
    <w:p>
      <w:pPr>
        <w:spacing w:after="0" w:line="106"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32"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72" w:lineRule="exact"/>
        <w:rPr>
          <w:sz w:val="24"/>
          <w:szCs w:val="24"/>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90" w:lineRule="exact"/>
        <w:rPr>
          <w:sz w:val="20"/>
          <w:szCs w:val="20"/>
          <w:color w:val="auto"/>
        </w:rPr>
      </w:pPr>
    </w:p>
    <w:p>
      <w:pPr>
        <w:jc w:val="both"/>
        <w:ind w:right="80"/>
        <w:spacing w:after="0" w:line="283" w:lineRule="auto"/>
        <w:rPr>
          <w:sz w:val="20"/>
          <w:szCs w:val="20"/>
          <w:color w:val="auto"/>
        </w:rPr>
      </w:pPr>
      <w:r>
        <w:rPr>
          <w:rFonts w:ascii="Arial" w:cs="Arial" w:eastAsia="Arial" w:hAnsi="Arial"/>
          <w:sz w:val="13"/>
          <w:szCs w:val="13"/>
          <w:color w:val="auto"/>
        </w:rPr>
        <w:t>On October 1, 2024, GoHealth, Inc. issued a press release announcing the closing of certain transactions with e-TeleQuote Insurance, Inc. A copy of the press release filed with this Current Report on Form 8-K is furnished as Exhibit 99.1 hereto and incorporated into this Item 7.01 by reference.</w:t>
      </w:r>
    </w:p>
    <w:p>
      <w:pPr>
        <w:spacing w:after="0" w:line="146"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The information in this Item 7.01 and Exhibit 99.1 shall not be deemed “filed” for purposes of Section 18 of the Exchange Act, as amended (the “Exchange Act”) or otherwise subject to liabilities of that section. This information shall not be deemed to be incorporated by reference in any filing under the Securities Act of 1933, as amended, or the Exchange Act, except as shall be expressly set forth by specific reference to such disclosure in this Current Report on Form 8-K in such filing.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included herewith:</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80" w:type="dxa"/>
            <w:vAlign w:val="bottom"/>
            <w:gridSpan w:val="2"/>
          </w:tcPr>
          <w:p>
            <w:pPr>
              <w:ind w:left="32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5"/>
                <w:szCs w:val="15"/>
                <w:color w:val="auto"/>
              </w:rPr>
            </w:pPr>
          </w:p>
        </w:tc>
        <w:tc>
          <w:tcPr>
            <w:tcW w:w="92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32"/>
        </w:trPr>
        <w:tc>
          <w:tcPr>
            <w:tcW w:w="1600" w:type="dxa"/>
            <w:vAlign w:val="bottom"/>
            <w:tcBorders>
              <w:top w:val="single" w:sz="8" w:color="auto"/>
            </w:tcBorders>
          </w:tcPr>
          <w:p>
            <w:pPr>
              <w:jc w:val="right"/>
              <w:ind w:right="636"/>
              <w:spacing w:after="0" w:line="133" w:lineRule="exact"/>
              <w:rPr>
                <w:sz w:val="20"/>
                <w:szCs w:val="20"/>
                <w:color w:val="auto"/>
              </w:rPr>
            </w:pPr>
            <w:r>
              <w:rPr>
                <w:rFonts w:ascii="Arial" w:cs="Arial" w:eastAsia="Arial" w:hAnsi="Arial"/>
                <w:sz w:val="13"/>
                <w:szCs w:val="13"/>
                <w:color w:val="auto"/>
              </w:rPr>
              <w:t>99.1</w:t>
            </w: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160" w:type="dxa"/>
            <w:vAlign w:val="bottom"/>
            <w:tcBorders>
              <w:top w:val="single" w:sz="8" w:color="auto"/>
              <w:bottom w:val="single" w:sz="8" w:color="3051F2"/>
            </w:tcBorders>
          </w:tcPr>
          <w:p>
            <w:pPr>
              <w:spacing w:after="0" w:line="133" w:lineRule="exact"/>
              <w:rPr>
                <w:sz w:val="20"/>
                <w:szCs w:val="20"/>
                <w:color w:val="auto"/>
              </w:rPr>
            </w:pPr>
            <w:r>
              <w:rPr>
                <w:rFonts w:ascii="Arial" w:cs="Arial" w:eastAsia="Arial" w:hAnsi="Arial"/>
                <w:sz w:val="13"/>
                <w:szCs w:val="13"/>
                <w:color w:val="3051F2"/>
                <w:w w:val="97"/>
              </w:rPr>
              <w:t>Press Release of GoHealth, Inc., dated October 1, 2024</w:t>
            </w:r>
          </w:p>
        </w:tc>
        <w:tc>
          <w:tcPr>
            <w:tcW w:w="6120" w:type="dxa"/>
            <w:vAlign w:val="bottom"/>
            <w:tcBorders>
              <w:top w:val="single" w:sz="8" w:color="auto"/>
            </w:tcBorders>
          </w:tcPr>
          <w:p>
            <w:pPr>
              <w:spacing w:after="0"/>
              <w:rPr>
                <w:sz w:val="11"/>
                <w:szCs w:val="11"/>
                <w:color w:val="auto"/>
              </w:rPr>
            </w:pPr>
          </w:p>
        </w:tc>
      </w:tr>
      <w:tr>
        <w:trPr>
          <w:trHeight w:val="190"/>
        </w:trPr>
        <w:tc>
          <w:tcPr>
            <w:tcW w:w="1600" w:type="dxa"/>
            <w:vAlign w:val="bottom"/>
          </w:tcPr>
          <w:p>
            <w:pPr>
              <w:jc w:val="right"/>
              <w:ind w:right="656"/>
              <w:spacing w:after="0"/>
              <w:rPr>
                <w:sz w:val="20"/>
                <w:szCs w:val="20"/>
                <w:color w:val="auto"/>
              </w:rPr>
            </w:pPr>
            <w:r>
              <w:rPr>
                <w:rFonts w:ascii="Arial" w:cs="Arial" w:eastAsia="Arial" w:hAnsi="Arial"/>
                <w:sz w:val="13"/>
                <w:szCs w:val="13"/>
                <w:color w:val="auto"/>
              </w:rPr>
              <w:t>104</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Cover Page Interactive Data File (formatted as inline XBRL)</w:t>
            </w:r>
          </w:p>
        </w:tc>
      </w:tr>
    </w:tbl>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GOHEALTH, INC.</w:t>
      </w:r>
    </w:p>
    <w:p>
      <w:pPr>
        <w:spacing w:after="0" w:line="158"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October 1, 2024</w:t>
      </w:r>
      <w:r>
        <w:rPr>
          <w:sz w:val="20"/>
          <w:szCs w:val="20"/>
          <w:color w:val="auto"/>
        </w:rPr>
        <w:tab/>
      </w:r>
      <w:r>
        <w:rPr>
          <w:rFonts w:ascii="Arial" w:cs="Arial" w:eastAsia="Arial" w:hAnsi="Arial"/>
          <w:sz w:val="12"/>
          <w:szCs w:val="12"/>
          <w:color w:val="auto"/>
        </w:rPr>
        <w:t>By: /s/ Brad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Brad Burd</w:t>
      </w:r>
    </w:p>
    <w:p>
      <w:pPr>
        <w:ind w:left="6040"/>
        <w:spacing w:after="0"/>
        <w:rPr>
          <w:sz w:val="20"/>
          <w:szCs w:val="20"/>
          <w:color w:val="auto"/>
        </w:rPr>
      </w:pPr>
      <w:r>
        <w:rPr>
          <w:rFonts w:ascii="Arial" w:cs="Arial" w:eastAsia="Arial" w:hAnsi="Arial"/>
          <w:sz w:val="13"/>
          <w:szCs w:val="13"/>
          <w:color w:val="auto"/>
        </w:rPr>
        <w:t>Chief Legal Officer</w:t>
      </w:r>
    </w:p>
    <w:p>
      <w:pPr>
        <w:sectPr>
          <w:pgSz w:w="11900" w:h="16838" w:orient="portrait"/>
          <w:cols w:equalWidth="0" w:num="1">
            <w:col w:w="11280"/>
          </w:cols>
          <w:pgMar w:left="300" w:top="734"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2024-10-01T07:40:12Z</dcterms:created>
  <dcterms:modified xsi:type="dcterms:W3CDTF">2024-10-01T07:40:12Z</dcterms:modified>
</cp:coreProperties>
</file>