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300"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0" w:lineRule="exact"/>
        <w:rPr>
          <w:sz w:val="24"/>
          <w:szCs w:val="24"/>
          <w:color w:val="auto"/>
        </w:rPr>
      </w:pPr>
    </w:p>
    <w:p>
      <w:pPr>
        <w:ind w:left="400" w:hanging="374"/>
        <w:spacing w:after="0" w:line="285" w:lineRule="auto"/>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9"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 the quarterly period ended March 31, 2026</w:t>
      </w:r>
    </w:p>
    <w:p>
      <w:pPr>
        <w:spacing w:after="0" w:line="127"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hanging="374"/>
        <w:spacing w:after="0" w:line="285" w:lineRule="auto"/>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-4445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80645</wp:posOffset>
            </wp:positionV>
            <wp:extent cx="2143125" cy="112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GoHealth, Inc.</w:t>
      </w:r>
    </w:p>
    <w:p>
      <w:pPr>
        <w:spacing w:after="0" w:line="142"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pacing w:after="0" w:line="127"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72"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5320" w:type="dxa"/>
            <w:vAlign w:val="bottom"/>
          </w:tcPr>
          <w:p>
            <w:pPr>
              <w:jc w:val="center"/>
              <w:ind w:right="1044"/>
              <w:spacing w:after="0"/>
              <w:rPr>
                <w:sz w:val="20"/>
                <w:szCs w:val="20"/>
                <w:color w:val="auto"/>
              </w:rPr>
            </w:pPr>
            <w:r>
              <w:rPr>
                <w:rFonts w:ascii="Arial" w:cs="Arial" w:eastAsia="Arial" w:hAnsi="Arial"/>
                <w:sz w:val="14"/>
                <w:szCs w:val="14"/>
                <w:b w:val="1"/>
                <w:bCs w:val="1"/>
                <w:color w:val="auto"/>
              </w:rPr>
              <w:t>Delaware</w:t>
            </w:r>
          </w:p>
        </w:tc>
        <w:tc>
          <w:tcPr>
            <w:tcW w:w="3640" w:type="dxa"/>
            <w:vAlign w:val="bottom"/>
          </w:tcPr>
          <w:p>
            <w:pPr>
              <w:jc w:val="right"/>
              <w:ind w:right="784"/>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243"/>
        </w:trPr>
        <w:tc>
          <w:tcPr>
            <w:tcW w:w="5320" w:type="dxa"/>
            <w:vAlign w:val="bottom"/>
          </w:tcPr>
          <w:p>
            <w:pPr>
              <w:jc w:val="center"/>
              <w:ind w:right="1064"/>
              <w:spacing w:after="0"/>
              <w:rPr>
                <w:sz w:val="20"/>
                <w:szCs w:val="20"/>
                <w:color w:val="auto"/>
              </w:rPr>
            </w:pPr>
            <w:r>
              <w:rPr>
                <w:rFonts w:ascii="Arial" w:cs="Arial" w:eastAsia="Arial" w:hAnsi="Arial"/>
                <w:sz w:val="16"/>
                <w:szCs w:val="16"/>
                <w:color w:val="auto"/>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486"/>
        </w:trPr>
        <w:tc>
          <w:tcPr>
            <w:tcW w:w="5320" w:type="dxa"/>
            <w:vAlign w:val="bottom"/>
          </w:tcPr>
          <w:p>
            <w:pPr>
              <w:jc w:val="center"/>
              <w:ind w:right="1044"/>
              <w:spacing w:after="0"/>
              <w:rPr>
                <w:sz w:val="20"/>
                <w:szCs w:val="20"/>
                <w:color w:val="auto"/>
              </w:rPr>
            </w:pPr>
            <w:r>
              <w:rPr>
                <w:rFonts w:ascii="Arial" w:cs="Arial" w:eastAsia="Arial" w:hAnsi="Arial"/>
                <w:sz w:val="14"/>
                <w:szCs w:val="14"/>
                <w:b w:val="1"/>
                <w:bCs w:val="1"/>
                <w:color w:val="auto"/>
              </w:rPr>
              <w:t>222 W Merchandise Mart Plaza, Suite 1750</w:t>
            </w:r>
          </w:p>
        </w:tc>
        <w:tc>
          <w:tcPr>
            <w:tcW w:w="3640" w:type="dxa"/>
            <w:vAlign w:val="bottom"/>
            <w:vMerge w:val="restart"/>
          </w:tcPr>
          <w:p>
            <w:pPr>
              <w:jc w:val="right"/>
              <w:ind w:right="964"/>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08"/>
        </w:trPr>
        <w:tc>
          <w:tcPr>
            <w:tcW w:w="532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Chicago, Illinois</w:t>
            </w: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32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320" w:type="dxa"/>
            <w:vAlign w:val="bottom"/>
          </w:tcPr>
          <w:p>
            <w:pPr>
              <w:jc w:val="center"/>
              <w:ind w:right="1044"/>
              <w:spacing w:after="0"/>
              <w:rPr>
                <w:sz w:val="20"/>
                <w:szCs w:val="20"/>
                <w:color w:val="auto"/>
              </w:rPr>
            </w:pPr>
            <w:r>
              <w:rPr>
                <w:rFonts w:ascii="Arial" w:cs="Arial" w:eastAsia="Arial" w:hAnsi="Arial"/>
                <w:sz w:val="16"/>
                <w:szCs w:val="16"/>
                <w:color w:val="auto"/>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(312) 386-8200</w:t>
      </w:r>
    </w:p>
    <w:p>
      <w:pPr>
        <w:spacing w:after="0" w:line="113"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6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5"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0"/>
          <w:szCs w:val="20"/>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0"/>
          <w:szCs w:val="20"/>
          <w:color w:val="auto"/>
        </w:rPr>
      </w:pPr>
    </w:p>
    <w:p>
      <w:pPr>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68" w:lineRule="exact"/>
        <w:rPr>
          <w:sz w:val="20"/>
          <w:szCs w:val="20"/>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5" w:lineRule="exact"/>
        <w:rPr>
          <w:sz w:val="20"/>
          <w:szCs w:val="20"/>
          <w:color w:val="auto"/>
        </w:rPr>
      </w:pPr>
    </w:p>
    <w:p>
      <w:pPr>
        <w:spacing w:after="0" w:line="184" w:lineRule="exact"/>
        <w:tabs>
          <w:tab w:leader="none" w:pos="8260" w:val="left"/>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149"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As of May 12, 2026, the registrant had 16,686,419 shares of Class A common stock, $0.0001 par value per share, outstanding and 12,616,075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364490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390525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00" w:type="dxa"/>
            <w:vAlign w:val="bottom"/>
            <w:gridSpan w:val="11"/>
          </w:tcPr>
          <w:p>
            <w:pPr>
              <w:jc w:val="center"/>
              <w:ind w:right="304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5"/>
          </w:tcPr>
          <w:p>
            <w:pPr>
              <w:ind w:left="380"/>
              <w:spacing w:after="0"/>
              <w:rPr>
                <w:sz w:val="20"/>
                <w:szCs w:val="20"/>
                <w:color w:val="auto"/>
              </w:rPr>
            </w:pPr>
            <w:r>
              <w:rPr>
                <w:rFonts w:ascii="Arial" w:cs="Arial" w:eastAsia="Arial" w:hAnsi="Arial"/>
                <w:sz w:val="16"/>
                <w:szCs w:val="16"/>
                <w:color w:val="auto"/>
              </w:rPr>
              <w:t>PAGE</w:t>
            </w:r>
          </w:p>
        </w:tc>
      </w:tr>
      <w:tr>
        <w:trPr>
          <w:trHeight w:val="217"/>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6240" w:type="dxa"/>
            <w:vAlign w:val="bottom"/>
            <w:gridSpan w:val="12"/>
            <w:shd w:val="clear" w:color="auto" w:fill="00497F"/>
          </w:tcPr>
          <w:p>
            <w:pPr>
              <w:jc w:val="center"/>
              <w:ind w:right="2520"/>
              <w:spacing w:after="0"/>
              <w:rPr>
                <w:sz w:val="20"/>
                <w:szCs w:val="20"/>
                <w:color w:val="auto"/>
              </w:rPr>
            </w:pPr>
            <w:r>
              <w:rPr>
                <w:rFonts w:ascii="Arial" w:cs="Arial" w:eastAsia="Arial" w:hAnsi="Arial"/>
                <w:sz w:val="16"/>
                <w:szCs w:val="16"/>
                <w:b w:val="1"/>
                <w:bCs w:val="1"/>
                <w:color w:val="FFFFFF"/>
              </w:rPr>
              <w:t>PART I - FINANCIAL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8760" w:type="dxa"/>
            <w:vAlign w:val="bottom"/>
            <w:gridSpan w:val="21"/>
          </w:tcPr>
          <w:p>
            <w:pPr>
              <w:spacing w:after="0" w:line="175" w:lineRule="exact"/>
              <w:rPr>
                <w:sz w:val="20"/>
                <w:szCs w:val="20"/>
                <w:color w:val="auto"/>
              </w:rPr>
            </w:pPr>
            <w:r>
              <w:rPr>
                <w:rFonts w:ascii="Arial" w:cs="Arial" w:eastAsia="Arial" w:hAnsi="Arial"/>
                <w:sz w:val="16"/>
                <w:szCs w:val="16"/>
                <w:color w:val="0000FF"/>
              </w:rPr>
              <w:t>FINANCIAL STATEMENTS.</w:t>
            </w:r>
          </w:p>
        </w:tc>
        <w:tc>
          <w:tcPr>
            <w:tcW w:w="680" w:type="dxa"/>
            <w:vAlign w:val="bottom"/>
            <w:gridSpan w:val="4"/>
          </w:tcPr>
          <w:p>
            <w:pPr>
              <w:jc w:val="center"/>
              <w:ind w:left="419"/>
              <w:spacing w:after="0" w:line="175" w:lineRule="exact"/>
              <w:rPr>
                <w:sz w:val="20"/>
                <w:szCs w:val="20"/>
                <w:color w:val="auto"/>
              </w:rPr>
            </w:pPr>
            <w:r>
              <w:rPr>
                <w:rFonts w:ascii="Arial" w:cs="Arial" w:eastAsia="Arial" w:hAnsi="Arial"/>
                <w:sz w:val="16"/>
                <w:szCs w:val="16"/>
                <w:color w:val="0000FF"/>
              </w:rPr>
              <w:t>4</w:t>
            </w:r>
          </w:p>
        </w:tc>
        <w:tc>
          <w:tcPr>
            <w:tcW w:w="56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sz w:val="20"/>
                <w:szCs w:val="20"/>
                <w:color w:val="auto"/>
              </w:rPr>
            </w:pPr>
            <w:r>
              <w:rPr>
                <w:rFonts w:ascii="Arial" w:cs="Arial" w:eastAsia="Arial" w:hAnsi="Arial"/>
                <w:sz w:val="16"/>
                <w:szCs w:val="16"/>
                <w:color w:val="0000FF"/>
              </w:rPr>
              <w:t>CONDENSED CONSOLIDATED FINANCIAL STATEMENTS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4</w:t>
            </w:r>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CONDENSED CONSOLIDATED STATEMENTS OF OPERATIONS</w:t>
            </w:r>
          </w:p>
        </w:tc>
        <w:tc>
          <w:tcPr>
            <w:tcW w:w="3720" w:type="dxa"/>
            <w:vAlign w:val="bottom"/>
            <w:gridSpan w:val="8"/>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COMPREHENSIVE INCOME (LOSS)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5</w:t>
            </w: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BALANCE SHEETS</w:t>
            </w:r>
          </w:p>
        </w:tc>
        <w:tc>
          <w:tcPr>
            <w:tcW w:w="2620" w:type="dxa"/>
            <w:vAlign w:val="bottom"/>
            <w:tcBorders>
              <w:top w:val="single" w:sz="8" w:color="0000FF"/>
            </w:tcBorders>
            <w:gridSpan w:val="7"/>
          </w:tcPr>
          <w:p>
            <w:pPr>
              <w:spacing w:after="0"/>
              <w:rPr>
                <w:sz w:val="17"/>
                <w:szCs w:val="17"/>
                <w:color w:val="auto"/>
              </w:rPr>
            </w:pPr>
          </w:p>
        </w:tc>
        <w:tc>
          <w:tcPr>
            <w:tcW w:w="2080" w:type="dxa"/>
            <w:vAlign w:val="bottom"/>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CHANGES IN STOCKHOLDERS’ EQUITY (DEFICIT)</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7</w:t>
            </w: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CASH FLOWS</w:t>
            </w:r>
          </w:p>
        </w:tc>
        <w:tc>
          <w:tcPr>
            <w:tcW w:w="2780" w:type="dxa"/>
            <w:vAlign w:val="bottom"/>
            <w:tcBorders>
              <w:top w:val="single" w:sz="8" w:color="0000FF"/>
            </w:tcBorders>
            <w:gridSpan w:val="5"/>
          </w:tcPr>
          <w:p>
            <w:pPr>
              <w:spacing w:after="0"/>
              <w:rPr>
                <w:sz w:val="17"/>
                <w:szCs w:val="17"/>
                <w:color w:val="auto"/>
              </w:rPr>
            </w:pPr>
          </w:p>
        </w:tc>
        <w:tc>
          <w:tcPr>
            <w:tcW w:w="92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3320" w:type="dxa"/>
            <w:vAlign w:val="bottom"/>
            <w:gridSpan w:val="6"/>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9</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3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MANAGEMENT’S DISCUSSION AND ANALYSIS OF FINANCIAL CONDITIONS AND RESULTS OF OPERATIONS.</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24</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6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34</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76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34</w:t>
            </w:r>
          </w:p>
        </w:tc>
        <w:tc>
          <w:tcPr>
            <w:tcW w:w="560" w:type="dxa"/>
            <w:vAlign w:val="bottom"/>
          </w:tcPr>
          <w:p>
            <w:pPr>
              <w:spacing w:after="0"/>
              <w:rPr>
                <w:sz w:val="17"/>
                <w:szCs w:val="17"/>
                <w:color w:val="auto"/>
              </w:rPr>
            </w:pPr>
          </w:p>
        </w:tc>
      </w:tr>
      <w:tr>
        <w:trPr>
          <w:trHeight w:val="74"/>
        </w:trPr>
        <w:tc>
          <w:tcPr>
            <w:tcW w:w="12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r>
      <w:tr>
        <w:trPr>
          <w:trHeight w:val="216"/>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5700" w:type="dxa"/>
            <w:vAlign w:val="bottom"/>
            <w:gridSpan w:val="11"/>
            <w:shd w:val="clear" w:color="auto" w:fill="00497F"/>
          </w:tcPr>
          <w:p>
            <w:pPr>
              <w:jc w:val="center"/>
              <w:ind w:right="3060"/>
              <w:spacing w:after="0"/>
              <w:rPr>
                <w:sz w:val="20"/>
                <w:szCs w:val="20"/>
                <w:color w:val="auto"/>
              </w:rPr>
            </w:pPr>
            <w:r>
              <w:rPr>
                <w:rFonts w:ascii="Arial" w:cs="Arial" w:eastAsia="Arial" w:hAnsi="Arial"/>
                <w:sz w:val="16"/>
                <w:szCs w:val="16"/>
                <w:b w:val="1"/>
                <w:bCs w:val="1"/>
                <w:color w:val="FFFFFF"/>
                <w:w w:val="99"/>
              </w:rPr>
              <w:t>PART II - OTHER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1820" w:type="dxa"/>
            <w:vAlign w:val="bottom"/>
            <w:tcBorders>
              <w:bottom w:val="single" w:sz="8" w:color="0000FF"/>
            </w:tcBorders>
            <w:gridSpan w:val="6"/>
          </w:tcPr>
          <w:p>
            <w:pPr>
              <w:spacing w:after="0" w:line="175" w:lineRule="exact"/>
              <w:rPr>
                <w:sz w:val="20"/>
                <w:szCs w:val="20"/>
                <w:color w:val="auto"/>
              </w:rPr>
            </w:pPr>
            <w:r>
              <w:rPr>
                <w:rFonts w:ascii="Arial" w:cs="Arial" w:eastAsia="Arial" w:hAnsi="Arial"/>
                <w:sz w:val="16"/>
                <w:szCs w:val="16"/>
                <w:color w:val="0000FF"/>
              </w:rPr>
              <w:t>LEGAL PROCEEDINGS.</w:t>
            </w:r>
          </w:p>
        </w:tc>
        <w:tc>
          <w:tcPr>
            <w:tcW w:w="6940" w:type="dxa"/>
            <w:vAlign w:val="bottom"/>
            <w:gridSpan w:val="15"/>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gridSpan w:val="3"/>
          </w:tcPr>
          <w:p>
            <w:pPr>
              <w:jc w:val="center"/>
              <w:spacing w:after="0" w:line="175" w:lineRule="exact"/>
              <w:rPr>
                <w:sz w:val="20"/>
                <w:szCs w:val="20"/>
                <w:color w:val="auto"/>
              </w:rPr>
            </w:pPr>
            <w:r>
              <w:rPr>
                <w:rFonts w:ascii="Arial" w:cs="Arial" w:eastAsia="Arial" w:hAnsi="Arial"/>
                <w:sz w:val="16"/>
                <w:szCs w:val="16"/>
                <w:color w:val="0000FF"/>
              </w:rPr>
              <w:t>35</w:t>
            </w:r>
          </w:p>
        </w:tc>
        <w:tc>
          <w:tcPr>
            <w:tcW w:w="560" w:type="dxa"/>
            <w:vAlign w:val="bottom"/>
          </w:tcPr>
          <w:p>
            <w:pPr>
              <w:spacing w:after="0"/>
              <w:rPr>
                <w:sz w:val="15"/>
                <w:szCs w:val="15"/>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12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RISK FACTORS.</w:t>
            </w:r>
          </w:p>
        </w:tc>
        <w:tc>
          <w:tcPr>
            <w:tcW w:w="75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760" w:type="dxa"/>
            <w:vAlign w:val="bottom"/>
            <w:gridSpan w:val="2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8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DEFAULTS UPON SENIOR SECURITIES.</w:t>
            </w:r>
          </w:p>
        </w:tc>
        <w:tc>
          <w:tcPr>
            <w:tcW w:w="29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2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MINE SAFETY DISCLOSURES.</w:t>
            </w:r>
          </w:p>
        </w:tc>
        <w:tc>
          <w:tcPr>
            <w:tcW w:w="720" w:type="dxa"/>
            <w:vAlign w:val="bottom"/>
            <w:tcBorders>
              <w:top w:val="single" w:sz="8" w:color="0000FF"/>
            </w:tcBorders>
            <w:gridSpan w:val="2"/>
          </w:tcPr>
          <w:p>
            <w:pPr>
              <w:spacing w:after="0"/>
              <w:rPr>
                <w:sz w:val="17"/>
                <w:szCs w:val="17"/>
                <w:color w:val="auto"/>
              </w:rPr>
            </w:pPr>
          </w:p>
        </w:tc>
        <w:tc>
          <w:tcPr>
            <w:tcW w:w="570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5.</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9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8760" w:type="dxa"/>
            <w:vAlign w:val="bottom"/>
            <w:gridSpan w:val="21"/>
          </w:tcPr>
          <w:p>
            <w:pPr>
              <w:spacing w:after="0"/>
              <w:rPr>
                <w:sz w:val="20"/>
                <w:szCs w:val="20"/>
                <w:color w:val="auto"/>
              </w:rPr>
            </w:pPr>
            <w:r>
              <w:rPr>
                <w:rFonts w:ascii="Arial" w:cs="Arial" w:eastAsia="Arial" w:hAnsi="Arial"/>
                <w:sz w:val="16"/>
                <w:szCs w:val="16"/>
                <w:color w:val="0000FF"/>
              </w:rPr>
              <w:t>EXHIBITS.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37</w:t>
            </w:r>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2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sz w:val="20"/>
                <w:szCs w:val="20"/>
                <w:color w:val="auto"/>
              </w:rPr>
            </w:pPr>
            <w:r>
              <w:rPr>
                <w:rFonts w:ascii="Arial" w:cs="Arial" w:eastAsia="Arial" w:hAnsi="Arial"/>
                <w:sz w:val="16"/>
                <w:szCs w:val="16"/>
                <w:color w:val="0000FF"/>
              </w:rPr>
              <w:t>SIGNATURES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38</w:t>
            </w:r>
          </w:p>
        </w:tc>
        <w:tc>
          <w:tcPr>
            <w:tcW w:w="560" w:type="dxa"/>
            <w:vAlign w:val="bottom"/>
          </w:tcPr>
          <w:p>
            <w:pPr>
              <w:spacing w:after="0"/>
              <w:rPr>
                <w:sz w:val="17"/>
                <w:szCs w:val="17"/>
                <w:color w:val="auto"/>
              </w:rPr>
            </w:pPr>
          </w:p>
        </w:tc>
      </w:tr>
      <w:tr>
        <w:trPr>
          <w:trHeight w:val="1000"/>
        </w:trPr>
        <w:tc>
          <w:tcPr>
            <w:tcW w:w="124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Quarterly Report on Form 10-Q may be forward-looking statements. Statements regarding our ongoing discussions with our lenders and other stakeholders regarding strategic alternatives, a potential change of control or other restructuring of the Company, our future compliance with financial covenants, our ability to satisfy our obligations as they become due, our liquidity position, our ability to continue as a going concern and our plans to mitigate the substantial doubt with respect thereto, future results of operations and financial position, business strategy and plans and objectives for future operations, health plans’ respective decisions related to plan offerings and associated compensation for broker services, our expected growth, future capital expenditures, adoption and use of artificial intelligence technologies, and the impact on our business from regulatory changes, are forward-looking statements.</w:t>
      </w:r>
    </w:p>
    <w:p>
      <w:pPr>
        <w:spacing w:after="0" w:line="200" w:lineRule="exact"/>
        <w:rPr>
          <w:sz w:val="20"/>
          <w:szCs w:val="20"/>
          <w:color w:val="auto"/>
        </w:rPr>
      </w:pPr>
    </w:p>
    <w:p>
      <w:pPr>
        <w:spacing w:after="0" w:line="203"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although not all forward-looking statements contain these identifying words. The forward-looking statements in this Quarterly Report on Form 10-Q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19"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2025 (“2025 Annual Report on Form 10-K”), this Quarterly Report on Form 10-Q for the first quarter ended March 31, 2026 and in our other filings with the Securities and Exchange Commission.</w:t>
      </w:r>
    </w:p>
    <w:p>
      <w:pPr>
        <w:spacing w:after="0" w:line="187"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6"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CERTAIN DEFINITIONS AND KEY TERMS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Quarterly Report on Form 10-Q, unless the context otherwise requires:</w:t>
      </w:r>
    </w:p>
    <w:p>
      <w:pPr>
        <w:spacing w:after="0" w:line="221" w:lineRule="exact"/>
        <w:rPr>
          <w:sz w:val="20"/>
          <w:szCs w:val="20"/>
          <w:color w:val="auto"/>
        </w:rPr>
      </w:pPr>
    </w:p>
    <w:p>
      <w:pPr>
        <w:ind w:left="660" w:right="8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to GoHealth, Inc., and unless otherwise stated, all of its direct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including GoHealth Holdings, LLC (“GHH, LLC”).</w:t>
      </w:r>
    </w:p>
    <w:p>
      <w:pPr>
        <w:spacing w:after="0" w:line="141" w:lineRule="exact"/>
        <w:rPr>
          <w:rFonts w:ascii="Arial" w:cs="Arial" w:eastAsia="Arial" w:hAnsi="Arial"/>
          <w:sz w:val="16"/>
          <w:szCs w:val="16"/>
          <w:color w:val="auto"/>
        </w:rPr>
      </w:pPr>
    </w:p>
    <w:p>
      <w:pPr>
        <w:ind w:left="660" w:right="8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“Blocker Company” </w:t>
      </w:r>
      <w:r>
        <w:rPr>
          <w:rFonts w:ascii="Arial" w:cs="Arial" w:eastAsia="Arial" w:hAnsi="Arial"/>
          <w:sz w:val="16"/>
          <w:szCs w:val="16"/>
          <w:color w:val="auto"/>
        </w:rPr>
        <w:t>refers to an entity affiliated with Centerbridge that was an indirect owner of LLC Interests in GHH, LLC prior to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is taxable as a corporation for U.S. federal income tax purposes.</w:t>
      </w:r>
    </w:p>
    <w:p>
      <w:pPr>
        <w:spacing w:after="0" w:line="141"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69" w:lineRule="exact"/>
        <w:rPr>
          <w:rFonts w:ascii="Arial" w:cs="Arial" w:eastAsia="Arial" w:hAnsi="Arial"/>
          <w:sz w:val="16"/>
          <w:szCs w:val="16"/>
          <w:color w:val="auto"/>
        </w:rPr>
      </w:pPr>
    </w:p>
    <w:p>
      <w:pPr>
        <w:ind w:left="660" w:right="180" w:hanging="328"/>
        <w:spacing w:after="0" w:line="26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spacing w:after="0" w:line="184" w:lineRule="exact"/>
        <w:rPr>
          <w:rFonts w:ascii="Arial" w:cs="Arial" w:eastAsia="Arial" w:hAnsi="Arial"/>
          <w:sz w:val="16"/>
          <w:szCs w:val="16"/>
          <w:color w:val="auto"/>
        </w:rPr>
      </w:pPr>
    </w:p>
    <w:p>
      <w:pPr>
        <w:ind w:left="660" w:right="80" w:hanging="328"/>
        <w:spacing w:after="0" w:line="25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4" w:name="page5"/>
    <w:bookmarkEnd w:id="4"/>
    <w:p>
      <w:pPr>
        <w:ind w:left="660" w:right="64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Cruz, our Co-Founder and Co-Chairman of the Board of Directors and Clinton Jones, our Co-Founder and Co-Chairman of the Board of Directors.</w:t>
      </w:r>
    </w:p>
    <w:p>
      <w:pPr>
        <w:spacing w:after="0" w:line="169" w:lineRule="exact"/>
        <w:rPr>
          <w:rFonts w:ascii="Arial" w:cs="Arial" w:eastAsia="Arial" w:hAnsi="Arial"/>
          <w:sz w:val="16"/>
          <w:szCs w:val="16"/>
          <w:color w:val="auto"/>
        </w:rPr>
      </w:pPr>
    </w:p>
    <w:p>
      <w:pPr>
        <w:ind w:left="660" w:right="120" w:hanging="328"/>
        <w:spacing w:after="0" w:line="26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spacing w:after="0" w:line="176" w:lineRule="exact"/>
        <w:rPr>
          <w:rFonts w:ascii="Arial" w:cs="Arial" w:eastAsia="Arial" w:hAnsi="Arial"/>
          <w:sz w:val="16"/>
          <w:szCs w:val="16"/>
          <w:color w:val="auto"/>
        </w:rPr>
      </w:pPr>
    </w:p>
    <w:p>
      <w:pPr>
        <w:ind w:left="660" w:right="50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“GHH, LLC Agreement” </w:t>
      </w:r>
      <w:r>
        <w:rPr>
          <w:rFonts w:ascii="Arial" w:cs="Arial" w:eastAsia="Arial" w:hAnsi="Arial"/>
          <w:sz w:val="16"/>
          <w:szCs w:val="16"/>
          <w:color w:val="auto"/>
        </w:rPr>
        <w:t>refers to GHH, LLC’s amended and restated limited liability company agreement, as further amended, which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substantially concurrently with or prior to the consummation of our IPO.</w:t>
      </w:r>
    </w:p>
    <w:p>
      <w:pPr>
        <w:spacing w:after="0" w:line="14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GHH, LLC, including those that we purchased with a portion of the net proceeds from our IPO.</w:t>
      </w:r>
    </w:p>
    <w:p>
      <w:pPr>
        <w:spacing w:after="0" w:line="221" w:lineRule="exact"/>
        <w:rPr>
          <w:rFonts w:ascii="Arial" w:cs="Arial" w:eastAsia="Arial" w:hAnsi="Arial"/>
          <w:sz w:val="16"/>
          <w:szCs w:val="16"/>
          <w:color w:val="auto"/>
        </w:rPr>
      </w:pPr>
    </w:p>
    <w:p>
      <w:pPr>
        <w:jc w:val="both"/>
        <w:ind w:left="660" w:right="14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refers to Norvax, LLC, a Delaware limited liability company and a subsidiary of GHH, LLC.</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21"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“Subscribers” </w:t>
      </w:r>
      <w:r>
        <w:rPr>
          <w:rFonts w:ascii="Arial" w:cs="Arial" w:eastAsia="Arial" w:hAnsi="Arial"/>
          <w:sz w:val="16"/>
          <w:szCs w:val="16"/>
          <w:color w:val="auto"/>
        </w:rPr>
        <w:t>refers to the lenders (or their affiliates) holding Class A Revolving Loans and Existing Term Loans that received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4,766,219 shares of Class A common stock, allocated pro rata, in connection with Amendment No. 14 to the Company’s Existing Credit Agreement.</w:t>
      </w:r>
    </w:p>
    <w:p>
      <w:pPr>
        <w:spacing w:after="0" w:line="141"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GHH, LLC, and its principal asset consists of LLC Interests.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Throughout this Quarterly Report on Form 10-Q,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spacing w:after="0" w:line="173" w:lineRule="exact"/>
        <w:rPr>
          <w:sz w:val="20"/>
          <w:szCs w:val="20"/>
          <w:color w:val="auto"/>
        </w:rPr>
      </w:pPr>
    </w:p>
    <w:p>
      <w:pPr>
        <w:ind w:left="660" w:right="480" w:hanging="328"/>
        <w:spacing w:after="0" w:line="304" w:lineRule="auto"/>
        <w:tabs>
          <w:tab w:leader="none" w:pos="6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discussed in Item 2.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Analysis of Financial Condition and Results of Operations.”</w:t>
      </w:r>
    </w:p>
    <w:p>
      <w:pPr>
        <w:spacing w:after="0" w:line="141" w:lineRule="exact"/>
        <w:rPr>
          <w:rFonts w:ascii="Arial" w:cs="Arial" w:eastAsia="Arial" w:hAnsi="Arial"/>
          <w:sz w:val="16"/>
          <w:szCs w:val="16"/>
          <w:i w:val="1"/>
          <w:iCs w:val="1"/>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6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non-GAAP financial performance measure used by management to evaluate the business and monitor the results of operations, as well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2. “Management’s Discussion and Analysis of Financial Condition and Results of Operations” of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BUSINESS PERFORMANCE AND OPERATING METRICS</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Throughout this Quarterly Report on Form 10-Q, we use a number of business and operating metrics to evaluate our business performance and facilitate our operations. The most relevant business and operating metrics are as follows:</w:t>
      </w:r>
    </w:p>
    <w:p>
      <w:pPr>
        <w:spacing w:after="0" w:line="183" w:lineRule="exact"/>
        <w:rPr>
          <w:sz w:val="20"/>
          <w:szCs w:val="20"/>
          <w:color w:val="auto"/>
        </w:rPr>
      </w:pPr>
    </w:p>
    <w:p>
      <w:pPr>
        <w:ind w:left="660" w:right="4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of Submission” </w:t>
      </w:r>
      <w:r>
        <w:rPr>
          <w:rFonts w:ascii="Arial" w:cs="Arial" w:eastAsia="Arial" w:hAnsi="Arial"/>
          <w:sz w:val="16"/>
          <w:szCs w:val="16"/>
          <w:color w:val="auto"/>
        </w:rPr>
        <w:t>is an operating metric that represents costs directly attributable to Submissions generated during a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w:t>
      </w:r>
    </w:p>
    <w:p>
      <w:pPr>
        <w:spacing w:after="0" w:line="213" w:lineRule="exact"/>
        <w:rPr>
          <w:rFonts w:ascii="Arial" w:cs="Arial" w:eastAsia="Arial" w:hAnsi="Arial"/>
          <w:sz w:val="16"/>
          <w:szCs w:val="16"/>
          <w:color w:val="auto"/>
        </w:rPr>
      </w:pPr>
    </w:p>
    <w:p>
      <w:pPr>
        <w:ind w:left="660" w:right="28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per Submission” </w:t>
      </w:r>
      <w:r>
        <w:rPr>
          <w:rFonts w:ascii="Arial" w:cs="Arial" w:eastAsia="Arial" w:hAnsi="Arial"/>
          <w:sz w:val="16"/>
          <w:szCs w:val="16"/>
          <w:color w:val="auto"/>
        </w:rPr>
        <w:t>is an operating metric that represents the average performance of Submissions generated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 Direct Operating Cost per Submission refers to (x) Direct Operating Cost of Submission for a reporting period divided by (y) the number of Submissions generated for such period.</w:t>
      </w:r>
    </w:p>
    <w:p>
      <w:pPr>
        <w:spacing w:after="0" w:line="184" w:lineRule="exact"/>
        <w:rPr>
          <w:rFonts w:ascii="Arial" w:cs="Arial" w:eastAsia="Arial" w:hAnsi="Arial"/>
          <w:sz w:val="16"/>
          <w:szCs w:val="16"/>
          <w:color w:val="auto"/>
        </w:rPr>
      </w:pPr>
    </w:p>
    <w:p>
      <w:pPr>
        <w:ind w:left="660" w:right="70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“Sales/Direct Operating Cost of Submission” </w:t>
      </w:r>
      <w:r>
        <w:rPr>
          <w:rFonts w:ascii="Arial" w:cs="Arial" w:eastAsia="Arial" w:hAnsi="Arial"/>
          <w:sz w:val="16"/>
          <w:szCs w:val="16"/>
          <w:color w:val="auto"/>
        </w:rPr>
        <w:t>represents (x) the numerator of Sales per Submission, as defined below, divided by (y)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 of Submission.</w:t>
      </w:r>
    </w:p>
    <w:p>
      <w:pPr>
        <w:spacing w:after="0" w:line="169" w:lineRule="exact"/>
        <w:rPr>
          <w:rFonts w:ascii="Arial" w:cs="Arial" w:eastAsia="Arial" w:hAnsi="Arial"/>
          <w:sz w:val="16"/>
          <w:szCs w:val="16"/>
          <w:color w:val="auto"/>
        </w:rPr>
      </w:pPr>
    </w:p>
    <w:p>
      <w:pPr>
        <w:ind w:left="660" w:right="20" w:hanging="328"/>
        <w:spacing w:after="0" w:line="25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is an operating metric that represents the average performance of Submissions generated during a reporting period. Sales</w:t>
      </w:r>
      <w:r>
        <w:rPr>
          <w:rFonts w:ascii="Arial" w:cs="Arial" w:eastAsia="Arial" w:hAnsi="Arial"/>
          <w:sz w:val="16"/>
          <w:szCs w:val="16"/>
          <w:i w:val="1"/>
          <w:iCs w:val="1"/>
          <w:color w:val="auto"/>
        </w:rPr>
        <w:t xml:space="preserve"> </w:t>
      </w:r>
      <w:r>
        <w:rPr>
          <w:rFonts w:ascii="Arial" w:cs="Arial" w:eastAsia="Arial" w:hAnsi="Arial"/>
          <w:sz w:val="16"/>
          <w:szCs w:val="16"/>
          <w:color w:val="auto"/>
        </w:rPr>
        <w:t>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Medicare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(ii) Medicare non-agency revenues, comprised of the enrollment and engagement services for which cash is collected in advance or in close proximity to the point in time revenue is recognized, and (iii) revenues from GoHealth Protect, divided by (y) the number of Submissions generated for such period.</w:t>
      </w:r>
    </w:p>
    <w:p>
      <w:pPr>
        <w:spacing w:after="0" w:line="192" w:lineRule="exact"/>
        <w:rPr>
          <w:rFonts w:ascii="Arial" w:cs="Arial" w:eastAsia="Arial" w:hAnsi="Arial"/>
          <w:sz w:val="16"/>
          <w:szCs w:val="16"/>
          <w:color w:val="auto"/>
        </w:rPr>
      </w:pPr>
    </w:p>
    <w:p>
      <w:pPr>
        <w:ind w:left="660" w:right="12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Medicare application with our licensed agent that is submitted to the health plan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approved by the health plan partner during the indicated period, (ii) a transfer by our agent to the health plan partner through the Encompass operating model during the indicated period or (iii) a completed GoHealth Protect application with our licensed agent that is submitted, approved by the health plan partner, and for which the payment information was received by the health plan partner during the indicated period.</w:t>
      </w:r>
    </w:p>
    <w:p>
      <w:pPr>
        <w:spacing w:after="0" w:line="20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Sales per Submission and Direct Operating Cost per Submission are key operating metrics used by management to understand the Company’s underlying financial performance and trends. For further discussion, see Item 2. “Management’s Discussion and Analysis of Financial Condition and Results of Operations.”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FINANCIAL STATEMENTS</w:t>
      </w:r>
    </w:p>
    <w:p>
      <w:pPr>
        <w:spacing w:after="0" w:line="235"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00497F"/>
        </w:rPr>
        <w:t>CONDENSED CONSOLIDATED STATEMENTS OF OPERATIONS</w:t>
      </w:r>
    </w:p>
    <w:p>
      <w:pPr>
        <w:spacing w:after="0" w:line="61"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r>
      <w:tr>
        <w:trPr>
          <w:trHeight w:val="196"/>
        </w:trPr>
        <w:tc>
          <w:tcPr>
            <w:tcW w:w="8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220,972</w:t>
            </w:r>
          </w:p>
        </w:tc>
      </w:tr>
      <w:tr>
        <w:trPr>
          <w:trHeight w:val="178"/>
        </w:trPr>
        <w:tc>
          <w:tcPr>
            <w:tcW w:w="850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7"/>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Revenue share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39,272</w:t>
            </w:r>
          </w:p>
        </w:tc>
      </w:tr>
      <w:tr>
        <w:trPr>
          <w:trHeight w:val="198"/>
        </w:trPr>
        <w:tc>
          <w:tcPr>
            <w:tcW w:w="850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67,415</w:t>
            </w:r>
          </w:p>
        </w:tc>
      </w:tr>
      <w:tr>
        <w:trPr>
          <w:trHeight w:val="207"/>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care and enrollment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51,698</w:t>
            </w:r>
          </w:p>
        </w:tc>
      </w:tr>
      <w:tr>
        <w:trPr>
          <w:trHeight w:val="198"/>
        </w:trPr>
        <w:tc>
          <w:tcPr>
            <w:tcW w:w="850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9,038</w:t>
            </w:r>
          </w:p>
        </w:tc>
      </w:tr>
      <w:tr>
        <w:trPr>
          <w:trHeight w:val="207"/>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22,656</w:t>
            </w:r>
          </w:p>
        </w:tc>
      </w:tr>
      <w:tr>
        <w:trPr>
          <w:trHeight w:val="198"/>
        </w:trPr>
        <w:tc>
          <w:tcPr>
            <w:tcW w:w="850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23,514</w:t>
            </w:r>
          </w:p>
        </w:tc>
      </w:tr>
      <w:tr>
        <w:trPr>
          <w:trHeight w:val="207"/>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Indefinite and long-lived asset impairment charges</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46,708</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214,303</w:t>
            </w:r>
          </w:p>
        </w:tc>
      </w:tr>
      <w:tr>
        <w:trPr>
          <w:trHeight w:val="200"/>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w:t>
            </w: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15,954</w:t>
            </w:r>
          </w:p>
        </w:tc>
      </w:tr>
      <w:tr>
        <w:trPr>
          <w:trHeight w:val="20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(8,684)</w:t>
            </w:r>
          </w:p>
        </w:tc>
      </w:tr>
      <w:tr>
        <w:trPr>
          <w:trHeight w:val="200"/>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(66,136)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(9,786)</w:t>
            </w:r>
          </w:p>
        </w:tc>
      </w:tr>
      <w:tr>
        <w:trPr>
          <w:trHeight w:val="19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r>
      <w:tr>
        <w:trPr>
          <w:trHeight w:val="200"/>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(4,408)</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income (loss) per share (Note 6):</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 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(0.52)</w:t>
            </w:r>
          </w:p>
        </w:tc>
      </w:tr>
      <w:tr>
        <w:trPr>
          <w:trHeight w:val="20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10,373</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COMPREHENSIVE INCOME (LOSS)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r>
      <w:tr>
        <w:trPr>
          <w:trHeight w:val="196"/>
        </w:trPr>
        <w:tc>
          <w:tcPr>
            <w:tcW w:w="8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(9,786)</w:t>
            </w: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(9,905)</w:t>
            </w:r>
          </w:p>
        </w:tc>
      </w:tr>
      <w:tr>
        <w:trPr>
          <w:trHeight w:val="19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(5,443)</w:t>
            </w:r>
          </w:p>
        </w:tc>
      </w:tr>
      <w:tr>
        <w:trPr>
          <w:trHeight w:val="200"/>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(37,163)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(4,462)</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00497F"/>
        </w:rPr>
        <w:t>CONDENSED CONSOLIDATED BALANCE SHEETS</w:t>
      </w:r>
    </w:p>
    <w:p>
      <w:pPr>
        <w:spacing w:after="0" w:line="75"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 31, 2026</w:t>
            </w:r>
          </w:p>
        </w:tc>
        <w:tc>
          <w:tcPr>
            <w:tcW w:w="26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3"/>
                <w:szCs w:val="13"/>
                <w:b w:val="1"/>
                <w:bCs w:val="1"/>
                <w:color w:val="auto"/>
              </w:rPr>
              <w:t>Dec. 31, 2025</w:t>
            </w:r>
          </w:p>
        </w:tc>
      </w:tr>
      <w:tr>
        <w:trPr>
          <w:trHeight w:val="16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0"/>
        </w:trPr>
        <w:tc>
          <w:tcPr>
            <w:tcW w:w="786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1"/>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32,904</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Accounts receivable,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214,558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239,644</w:t>
            </w: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10,465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13,168</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264,903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285,788</w:t>
            </w:r>
          </w:p>
        </w:tc>
      </w:tr>
      <w:tr>
        <w:trPr>
          <w:trHeight w:val="164"/>
        </w:trPr>
        <w:tc>
          <w:tcPr>
            <w:tcW w:w="7860" w:type="dxa"/>
            <w:vAlign w:val="bottom"/>
          </w:tcPr>
          <w:p>
            <w:pPr>
              <w:ind w:left="20"/>
              <w:spacing w:after="0" w:line="146" w:lineRule="exact"/>
              <w:rPr>
                <w:sz w:val="20"/>
                <w:szCs w:val="20"/>
                <w:color w:val="auto"/>
              </w:rPr>
            </w:pPr>
            <w:r>
              <w:rPr>
                <w:rFonts w:ascii="Arial" w:cs="Arial" w:eastAsia="Arial" w:hAnsi="Arial"/>
                <w:sz w:val="13"/>
                <w:szCs w:val="13"/>
                <w:color w:val="auto"/>
              </w:rPr>
              <w:t>Commissions receivable - non-current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637,825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685,527</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9,621</w:t>
            </w: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5,147</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1,297</w:t>
            </w:r>
          </w:p>
        </w:tc>
      </w:tr>
      <w:tr>
        <w:trPr>
          <w:trHeight w:val="167"/>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917,917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987,380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4"/>
        </w:trPr>
        <w:tc>
          <w:tcPr>
            <w:tcW w:w="786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70"/>
        </w:trPr>
        <w:tc>
          <w:tcPr>
            <w:tcW w:w="786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1"/>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6,924</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24,572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34,647</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current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63,947</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Short-term operating lease liability</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8,183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7,160</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25,493</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3,329</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130,235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141,500</w:t>
            </w:r>
          </w:p>
        </w:tc>
      </w:tr>
      <w:tr>
        <w:trPr>
          <w:trHeight w:val="16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Non-current liabilities: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Commissions payable - non-current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149,116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156,532</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operating lease liability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28,694</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Deferred tax liability</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19,256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18,588</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650,758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636,740</w:t>
            </w: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10,645</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856,470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851,199</w:t>
            </w:r>
          </w:p>
        </w:tc>
      </w:tr>
      <w:tr>
        <w:trPr>
          <w:trHeight w:val="151"/>
        </w:trPr>
        <w:tc>
          <w:tcPr>
            <w:tcW w:w="7860" w:type="dxa"/>
            <w:vAlign w:val="bottom"/>
          </w:tcPr>
          <w:p>
            <w:pPr>
              <w:ind w:left="20"/>
              <w:spacing w:after="0" w:line="146" w:lineRule="exact"/>
              <w:rPr>
                <w:sz w:val="20"/>
                <w:szCs w:val="20"/>
                <w:color w:val="auto"/>
              </w:rPr>
            </w:pPr>
            <w:r>
              <w:rPr>
                <w:rFonts w:ascii="Arial" w:cs="Arial" w:eastAsia="Arial" w:hAnsi="Arial"/>
                <w:sz w:val="13"/>
                <w:szCs w:val="13"/>
                <w:color w:val="auto"/>
              </w:rPr>
              <w:t>Commitments and Contingencies (Note 10)</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35"/>
        </w:trPr>
        <w:tc>
          <w:tcPr>
            <w:tcW w:w="7860" w:type="dxa"/>
            <w:vAlign w:val="bottom"/>
            <w:shd w:val="clear" w:color="auto" w:fill="CCEEFF"/>
          </w:tcPr>
          <w:p>
            <w:pPr>
              <w:ind w:left="240"/>
              <w:spacing w:after="0" w:line="136" w:lineRule="exact"/>
              <w:rPr>
                <w:sz w:val="20"/>
                <w:szCs w:val="20"/>
                <w:color w:val="auto"/>
              </w:rPr>
            </w:pPr>
            <w:r>
              <w:rPr>
                <w:rFonts w:ascii="Arial" w:cs="Arial" w:eastAsia="Arial" w:hAnsi="Arial"/>
                <w:sz w:val="13"/>
                <w:szCs w:val="13"/>
                <w:color w:val="auto"/>
                <w:w w:val="99"/>
              </w:rPr>
              <w:t>Series A redeemable convertible preferred stock — $0.0001 par value; 50 shares authorized; 50 shares issued and outstanding as of</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57,911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56,886</w:t>
            </w:r>
          </w:p>
        </w:tc>
      </w:tr>
      <w:tr>
        <w:trPr>
          <w:trHeight w:val="126"/>
        </w:trPr>
        <w:tc>
          <w:tcPr>
            <w:tcW w:w="786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rPr>
              <w:t>both March 31, 2026 and December 31, 2025. Liquidation preference of $59.6 million and $58.5 million as of March 31, 2026 and</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r>
      <w:tr>
        <w:trPr>
          <w:trHeight w:val="175"/>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2025,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0"/>
        </w:trPr>
        <w:tc>
          <w:tcPr>
            <w:tcW w:w="7860" w:type="dxa"/>
            <w:vAlign w:val="bottom"/>
          </w:tcPr>
          <w:p>
            <w:pPr>
              <w:ind w:left="20"/>
              <w:spacing w:after="0"/>
              <w:rPr>
                <w:sz w:val="20"/>
                <w:szCs w:val="20"/>
                <w:color w:val="auto"/>
              </w:rPr>
            </w:pPr>
            <w:r>
              <w:rPr>
                <w:rFonts w:ascii="Arial" w:cs="Arial" w:eastAsia="Arial" w:hAnsi="Arial"/>
                <w:sz w:val="13"/>
                <w:szCs w:val="13"/>
                <w:i w:val="1"/>
                <w:iCs w:val="1"/>
                <w:color w:val="auto"/>
              </w:rPr>
              <w:t>Stockholders’ equity (deficit):</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36"/>
        </w:trPr>
        <w:tc>
          <w:tcPr>
            <w:tcW w:w="7860" w:type="dxa"/>
            <w:vAlign w:val="bottom"/>
            <w:shd w:val="clear" w:color="auto" w:fill="CCEEFF"/>
          </w:tcPr>
          <w:p>
            <w:pPr>
              <w:ind w:left="240"/>
              <w:spacing w:after="0" w:line="136" w:lineRule="exact"/>
              <w:rPr>
                <w:sz w:val="20"/>
                <w:szCs w:val="20"/>
                <w:color w:val="auto"/>
              </w:rPr>
            </w:pPr>
            <w:r>
              <w:rPr>
                <w:rFonts w:ascii="Arial" w:cs="Arial" w:eastAsia="Arial" w:hAnsi="Arial"/>
                <w:sz w:val="13"/>
                <w:szCs w:val="13"/>
                <w:color w:val="auto"/>
                <w:w w:val="99"/>
              </w:rPr>
              <w:t>Class A common stock – $0.0001 par value; 1,100,000 shares authorized as of both March 31, 2026 and December 31, 2025; 17,038</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w:t>
            </w:r>
          </w:p>
        </w:tc>
      </w:tr>
      <w:tr>
        <w:trPr>
          <w:trHeight w:val="126"/>
        </w:trPr>
        <w:tc>
          <w:tcPr>
            <w:tcW w:w="786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rPr>
              <w:t>and 16,984 shares issued as of March 31, 2026 and December 31, 2025, respectively; 16,230 and 16,191 shares outstanding as of</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r>
      <w:tr>
        <w:trPr>
          <w:trHeight w:val="175"/>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March 31, 2026 and December 31, 2025,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w w:val="99"/>
              </w:rPr>
              <w:t>Class B common stock – $0.0001 par value; 615,820 and 615,825 shares authorized as of March 31, 2026 and December 31, 2025,</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1</w:t>
            </w:r>
          </w:p>
        </w:tc>
      </w:tr>
      <w:tr>
        <w:trPr>
          <w:trHeight w:val="173"/>
        </w:trPr>
        <w:tc>
          <w:tcPr>
            <w:tcW w:w="7860" w:type="dxa"/>
            <w:vAlign w:val="bottom"/>
          </w:tcPr>
          <w:p>
            <w:pPr>
              <w:ind w:left="240"/>
              <w:spacing w:after="0"/>
              <w:rPr>
                <w:sz w:val="20"/>
                <w:szCs w:val="20"/>
                <w:color w:val="auto"/>
              </w:rPr>
            </w:pPr>
            <w:r>
              <w:rPr>
                <w:rFonts w:ascii="Arial" w:cs="Arial" w:eastAsia="Arial" w:hAnsi="Arial"/>
                <w:sz w:val="13"/>
                <w:szCs w:val="13"/>
                <w:color w:val="auto"/>
              </w:rPr>
              <w:t>respectively; 12,616 and 12,621 shares issued and outstanding as of March 31, 2026 and December 31, 2025, respectively.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38"/>
        </w:trPr>
        <w:tc>
          <w:tcPr>
            <w:tcW w:w="786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Preferred stock – $0.0001 par value; 20,000 shares authorized (including 50 shares of Series A redeemable convertible preferred</w:t>
            </w: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r>
      <w:tr>
        <w:trPr>
          <w:trHeight w:val="126"/>
        </w:trPr>
        <w:tc>
          <w:tcPr>
            <w:tcW w:w="786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rPr>
              <w:t>stock authorized and 200 shares of Series A-1 convertible preferred stock authorized); 50 shares issued and outstanding as of both</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r>
      <w:tr>
        <w:trPr>
          <w:trHeight w:val="175"/>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March 31, 2026 and December 31, 2025.</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rPr>
              <w:t>Series A-1 convertible preferred stock— $0.0001 par value; 200 shares authorized; no shares issued and outstanding as of both</w:t>
            </w:r>
          </w:p>
        </w:tc>
        <w:tc>
          <w:tcPr>
            <w:tcW w:w="260" w:type="dxa"/>
            <w:vAlign w:val="bottom"/>
          </w:tcPr>
          <w:p>
            <w:pPr>
              <w:spacing w:after="0"/>
              <w:rPr>
                <w:sz w:val="11"/>
                <w:szCs w:val="11"/>
                <w:color w:val="auto"/>
              </w:rPr>
            </w:pPr>
          </w:p>
        </w:tc>
        <w:tc>
          <w:tcPr>
            <w:tcW w:w="14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r>
      <w:tr>
        <w:trPr>
          <w:trHeight w:val="173"/>
        </w:trPr>
        <w:tc>
          <w:tcPr>
            <w:tcW w:w="7860" w:type="dxa"/>
            <w:vAlign w:val="bottom"/>
          </w:tcPr>
          <w:p>
            <w:pPr>
              <w:ind w:left="240"/>
              <w:spacing w:after="0"/>
              <w:rPr>
                <w:sz w:val="20"/>
                <w:szCs w:val="20"/>
                <w:color w:val="auto"/>
              </w:rPr>
            </w:pPr>
            <w:r>
              <w:rPr>
                <w:rFonts w:ascii="Arial" w:cs="Arial" w:eastAsia="Arial" w:hAnsi="Arial"/>
                <w:sz w:val="13"/>
                <w:szCs w:val="13"/>
                <w:color w:val="auto"/>
              </w:rPr>
              <w:t>March 31, 2026 and December 31, 2025.</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808 and 793 shares of Class A common stock as of March 31, 2026 and December 31, 2025,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(9,371)</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729,081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727,635</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(717,505)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(680,334)</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(deficit) attributable to GoHealth, Inc.</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37,873</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(128,830)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(100,078)</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(deficit)</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(126,699)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(62,205)</w:t>
            </w:r>
          </w:p>
        </w:tc>
      </w:tr>
      <w:tr>
        <w:trPr>
          <w:trHeight w:val="167"/>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 (deficit)</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917,917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987,380</w:t>
            </w:r>
          </w:p>
        </w:tc>
      </w:tr>
      <w:tr>
        <w:trPr>
          <w:trHeight w:val="22"/>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CHANGES IN STOCKHOLDERS’ EQUITY (DEFICIT)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Three months ended Mar. 31, 2026</w:t>
      </w:r>
    </w:p>
    <w:p>
      <w:pPr>
        <w:spacing w:after="0" w:line="21" w:lineRule="exact"/>
        <w:rPr>
          <w:sz w:val="20"/>
          <w:szCs w:val="20"/>
          <w:color w:val="auto"/>
        </w:rPr>
      </w:pPr>
    </w:p>
    <w:tbl>
      <w:tblPr>
        <w:tblLayout w:type="fixed"/>
        <w:tblInd w:w="1660" w:type="dxa"/>
        <w:tblCellMar>
          <w:top w:w="0" w:type="dxa"/>
          <w:left w:w="0" w:type="dxa"/>
          <w:bottom w:w="0" w:type="dxa"/>
          <w:right w:w="0" w:type="dxa"/>
        </w:tblCellMar>
      </w:tblPr>
      <w:tr>
        <w:trPr>
          <w:trHeight w:val="163"/>
        </w:trPr>
        <w:tc>
          <w:tcPr>
            <w:tcW w:w="13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Treasury Stock</w:t>
            </w:r>
          </w:p>
        </w:tc>
        <w:tc>
          <w:tcPr>
            <w:tcW w:w="1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08"/>
        </w:trPr>
        <w:tc>
          <w:tcPr>
            <w:tcW w:w="660" w:type="dxa"/>
            <w:vAlign w:val="bottom"/>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800" w:type="dxa"/>
            <w:vAlign w:val="bottom"/>
            <w:gridSpan w:val="2"/>
          </w:tcPr>
          <w:p>
            <w:pPr>
              <w:ind w:left="180"/>
              <w:spacing w:after="0" w:line="108"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780" w:type="dxa"/>
            <w:vAlign w:val="bottom"/>
            <w:gridSpan w:val="2"/>
          </w:tcPr>
          <w:p>
            <w:pPr>
              <w:ind w:left="160"/>
              <w:spacing w:after="0" w:line="108"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700" w:type="dxa"/>
            <w:vAlign w:val="bottom"/>
          </w:tcPr>
          <w:p>
            <w:pPr>
              <w:ind w:left="180"/>
              <w:spacing w:after="0" w:line="108" w:lineRule="exact"/>
              <w:rPr>
                <w:sz w:val="20"/>
                <w:szCs w:val="20"/>
                <w:color w:val="auto"/>
              </w:rPr>
            </w:pPr>
            <w:r>
              <w:rPr>
                <w:rFonts w:ascii="Arial" w:cs="Arial" w:eastAsia="Arial" w:hAnsi="Arial"/>
                <w:sz w:val="11"/>
                <w:szCs w:val="11"/>
                <w:b w:val="1"/>
                <w:bCs w:val="1"/>
                <w:color w:val="auto"/>
              </w:rPr>
              <w:t>Amount</w:t>
            </w:r>
          </w:p>
        </w:tc>
        <w:tc>
          <w:tcPr>
            <w:tcW w:w="11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Additional Paid-</w:t>
            </w:r>
          </w:p>
        </w:tc>
        <w:tc>
          <w:tcPr>
            <w:tcW w:w="9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220" w:type="dxa"/>
            <w:vAlign w:val="bottom"/>
          </w:tcPr>
          <w:p>
            <w:pPr>
              <w:jc w:val="center"/>
              <w:ind w:left="6"/>
              <w:spacing w:after="0" w:line="108" w:lineRule="exact"/>
              <w:rPr>
                <w:sz w:val="20"/>
                <w:szCs w:val="20"/>
                <w:color w:val="auto"/>
              </w:rPr>
            </w:pPr>
            <w:r>
              <w:rPr>
                <w:rFonts w:ascii="Arial" w:cs="Arial" w:eastAsia="Arial" w:hAnsi="Arial"/>
                <w:sz w:val="11"/>
                <w:szCs w:val="11"/>
                <w:b w:val="1"/>
                <w:bCs w:val="1"/>
                <w:color w:val="auto"/>
                <w:w w:val="98"/>
              </w:rPr>
              <w:t>Accumulated Other</w:t>
            </w: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105"/>
        </w:trPr>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In Capital</w:t>
            </w:r>
          </w:p>
        </w:tc>
        <w:tc>
          <w:tcPr>
            <w:tcW w:w="9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Deficit</w:t>
            </w:r>
          </w:p>
        </w:tc>
        <w:tc>
          <w:tcPr>
            <w:tcW w:w="122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9"/>
              </w:rPr>
              <w:t>Comprehensive</w:t>
            </w:r>
          </w:p>
        </w:tc>
        <w:tc>
          <w:tcPr>
            <w:tcW w:w="10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rPr>
              <w:t>Interest</w:t>
            </w:r>
          </w:p>
        </w:tc>
        <w:tc>
          <w:tcPr>
            <w:tcW w:w="98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7"/>
              </w:rPr>
              <w:t>Equity (Deficit)</w:t>
            </w:r>
          </w:p>
        </w:tc>
      </w:tr>
    </w:tbl>
    <w:p>
      <w:pPr>
        <w:ind w:left="8260"/>
        <w:spacing w:after="0"/>
        <w:rPr>
          <w:sz w:val="20"/>
          <w:szCs w:val="20"/>
          <w:color w:val="auto"/>
        </w:rPr>
      </w:pPr>
      <w:r>
        <w:rPr>
          <w:rFonts w:ascii="Arial" w:cs="Arial" w:eastAsia="Arial" w:hAnsi="Arial"/>
          <w:sz w:val="11"/>
          <w:szCs w:val="11"/>
          <w:b w:val="1"/>
          <w:bCs w:val="1"/>
          <w:color w:val="auto"/>
        </w:rPr>
        <w:t>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6" w:lineRule="exact"/>
        <w:rPr>
          <w:sz w:val="20"/>
          <w:szCs w:val="20"/>
          <w:color w:val="auto"/>
        </w:rPr>
      </w:pPr>
    </w:p>
    <w:p>
      <w:pPr>
        <w:ind w:left="20" w:right="260"/>
        <w:spacing w:after="0" w:line="333" w:lineRule="auto"/>
        <w:rPr>
          <w:sz w:val="20"/>
          <w:szCs w:val="20"/>
          <w:color w:val="auto"/>
        </w:rPr>
      </w:pPr>
      <w:r>
        <w:rPr>
          <w:rFonts w:ascii="Arial" w:cs="Arial" w:eastAsia="Arial" w:hAnsi="Arial"/>
          <w:sz w:val="11"/>
          <w:szCs w:val="11"/>
          <w:b w:val="1"/>
          <w:bCs w:val="1"/>
          <w:color w:val="auto"/>
        </w:rPr>
        <w:t xml:space="preserve">Balance at Jan. 1, 2026 </w:t>
      </w:r>
      <w:r>
        <w:rPr>
          <w:rFonts w:ascii="Arial" w:cs="Arial" w:eastAsia="Arial" w:hAnsi="Arial"/>
          <w:sz w:val="11"/>
          <w:szCs w:val="11"/>
          <w:color w:val="auto"/>
        </w:rPr>
        <w:t>Net income (loss)</w:t>
      </w:r>
    </w:p>
    <w:p>
      <w:pPr>
        <w:jc w:val="both"/>
        <w:ind w:left="20"/>
        <w:spacing w:after="0" w:line="226"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16,984</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12,621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(9,371)</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727,635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(680,334)</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(100,078)</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(62,205)</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(37,171)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(28,965)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(66,136)</w:t>
            </w:r>
          </w:p>
        </w:tc>
      </w:tr>
      <w:tr>
        <w:trPr>
          <w:trHeight w:val="162"/>
        </w:trPr>
        <w:tc>
          <w:tcPr>
            <w:tcW w:w="62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-89535</wp:posOffset>
            </wp:positionV>
            <wp:extent cx="71323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1460" w:space="200"/>
            <w:col w:w="9580"/>
          </w:cols>
          <w:pgMar w:left="320" w:top="1327" w:right="3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200" w:type="dxa"/>
            <w:vAlign w:val="bottom"/>
          </w:tcPr>
          <w:p>
            <w:pPr>
              <w:ind w:left="20"/>
              <w:spacing w:after="0"/>
              <w:rPr>
                <w:sz w:val="20"/>
                <w:szCs w:val="20"/>
                <w:color w:val="auto"/>
              </w:rPr>
            </w:pPr>
            <w:r>
              <w:rPr>
                <w:rFonts w:ascii="Arial" w:cs="Arial" w:eastAsia="Arial" w:hAnsi="Arial"/>
                <w:sz w:val="11"/>
                <w:szCs w:val="11"/>
                <w:color w:val="auto"/>
              </w:rPr>
              <w:t>Issuance of Class A common</w:t>
            </w:r>
          </w:p>
        </w:tc>
        <w:tc>
          <w:tcPr>
            <w:tcW w:w="1760" w:type="dxa"/>
            <w:vAlign w:val="bottom"/>
          </w:tcPr>
          <w:p>
            <w:pPr>
              <w:ind w:left="660"/>
              <w:spacing w:after="0"/>
              <w:rPr>
                <w:sz w:val="20"/>
                <w:szCs w:val="20"/>
                <w:color w:val="auto"/>
              </w:rPr>
            </w:pPr>
            <w:r>
              <w:rPr>
                <w:rFonts w:ascii="Arial" w:cs="Arial" w:eastAsia="Arial" w:hAnsi="Arial"/>
                <w:sz w:val="11"/>
                <w:szCs w:val="11"/>
                <w:color w:val="auto"/>
              </w:rPr>
              <w:t>—</w:t>
            </w:r>
          </w:p>
        </w:tc>
        <w:tc>
          <w:tcPr>
            <w:tcW w:w="1480" w:type="dxa"/>
            <w:vAlign w:val="bottom"/>
          </w:tcPr>
          <w:p>
            <w:pPr>
              <w:spacing w:after="0"/>
              <w:rPr>
                <w:sz w:val="10"/>
                <w:szCs w:val="10"/>
                <w:color w:val="auto"/>
              </w:rPr>
            </w:pPr>
          </w:p>
        </w:tc>
        <w:tc>
          <w:tcPr>
            <w:tcW w:w="4140" w:type="dxa"/>
            <w:vAlign w:val="bottom"/>
          </w:tcPr>
          <w:p>
            <w:pPr>
              <w:jc w:val="right"/>
              <w:ind w:right="262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0"/>
                <w:szCs w:val="10"/>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08"/>
        </w:trPr>
        <w:tc>
          <w:tcPr>
            <w:tcW w:w="2200" w:type="dxa"/>
            <w:vAlign w:val="bottom"/>
          </w:tcPr>
          <w:p>
            <w:pPr>
              <w:ind w:left="20"/>
              <w:spacing w:after="0" w:line="108" w:lineRule="exact"/>
              <w:rPr>
                <w:sz w:val="20"/>
                <w:szCs w:val="20"/>
                <w:color w:val="auto"/>
              </w:rPr>
            </w:pPr>
            <w:r>
              <w:rPr>
                <w:rFonts w:ascii="Arial" w:cs="Arial" w:eastAsia="Arial" w:hAnsi="Arial"/>
                <w:sz w:val="11"/>
                <w:szCs w:val="11"/>
                <w:color w:val="auto"/>
              </w:rPr>
              <w:t>shares in connection with credit</w:t>
            </w:r>
          </w:p>
        </w:tc>
        <w:tc>
          <w:tcPr>
            <w:tcW w:w="17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42"/>
        </w:trPr>
        <w:tc>
          <w:tcPr>
            <w:tcW w:w="2200" w:type="dxa"/>
            <w:vAlign w:val="bottom"/>
          </w:tcPr>
          <w:p>
            <w:pPr>
              <w:ind w:left="20"/>
              <w:spacing w:after="0"/>
              <w:rPr>
                <w:sz w:val="20"/>
                <w:szCs w:val="20"/>
                <w:color w:val="auto"/>
              </w:rPr>
            </w:pPr>
            <w:r>
              <w:rPr>
                <w:rFonts w:ascii="Arial" w:cs="Arial" w:eastAsia="Arial" w:hAnsi="Arial"/>
                <w:sz w:val="11"/>
                <w:szCs w:val="11"/>
                <w:color w:val="auto"/>
              </w:rPr>
              <w:t>agreement amendment</w:t>
            </w:r>
          </w:p>
        </w:tc>
        <w:tc>
          <w:tcPr>
            <w:tcW w:w="1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08"/>
        </w:trPr>
        <w:tc>
          <w:tcPr>
            <w:tcW w:w="22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Share-based compensation</w:t>
            </w:r>
          </w:p>
        </w:tc>
        <w:tc>
          <w:tcPr>
            <w:tcW w:w="17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4140" w:type="dxa"/>
            <w:vAlign w:val="bottom"/>
            <w:shd w:val="clear" w:color="auto" w:fill="CCEEFF"/>
          </w:tcPr>
          <w:p>
            <w:pPr>
              <w:jc w:val="right"/>
              <w:ind w:right="2626"/>
              <w:spacing w:after="0" w:line="109" w:lineRule="exact"/>
              <w:rPr>
                <w:sz w:val="20"/>
                <w:szCs w:val="20"/>
                <w:color w:val="auto"/>
              </w:rPr>
            </w:pPr>
            <w:r>
              <w:rPr>
                <w:rFonts w:ascii="Arial" w:cs="Arial" w:eastAsia="Arial" w:hAnsi="Arial"/>
                <w:sz w:val="11"/>
                <w:szCs w:val="11"/>
                <w:color w:val="auto"/>
              </w:rPr>
              <w:t>2,677</w:t>
            </w:r>
          </w:p>
        </w:tc>
        <w:tc>
          <w:tcPr>
            <w:tcW w:w="92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6"/>
              <w:spacing w:after="0" w:line="109" w:lineRule="exact"/>
              <w:rPr>
                <w:sz w:val="20"/>
                <w:szCs w:val="20"/>
                <w:color w:val="auto"/>
              </w:rPr>
            </w:pPr>
            <w:r>
              <w:rPr>
                <w:rFonts w:ascii="Arial" w:cs="Arial" w:eastAsia="Arial" w:hAnsi="Arial"/>
                <w:sz w:val="11"/>
                <w:szCs w:val="11"/>
                <w:color w:val="auto"/>
              </w:rPr>
              <w:t>2,677</w:t>
            </w:r>
          </w:p>
        </w:tc>
      </w:tr>
      <w:tr>
        <w:trPr>
          <w:trHeight w:val="14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expense</w:t>
            </w:r>
          </w:p>
        </w:tc>
        <w:tc>
          <w:tcPr>
            <w:tcW w:w="176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4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r>
      <w:tr>
        <w:trPr>
          <w:trHeight w:val="108"/>
        </w:trPr>
        <w:tc>
          <w:tcPr>
            <w:tcW w:w="2200" w:type="dxa"/>
            <w:vAlign w:val="bottom"/>
          </w:tcPr>
          <w:p>
            <w:pPr>
              <w:ind w:left="20"/>
              <w:spacing w:after="0" w:line="109" w:lineRule="exact"/>
              <w:rPr>
                <w:sz w:val="20"/>
                <w:szCs w:val="20"/>
                <w:color w:val="auto"/>
              </w:rPr>
            </w:pPr>
            <w:r>
              <w:rPr>
                <w:rFonts w:ascii="Arial" w:cs="Arial" w:eastAsia="Arial" w:hAnsi="Arial"/>
                <w:sz w:val="11"/>
                <w:szCs w:val="11"/>
                <w:color w:val="auto"/>
              </w:rPr>
              <w:t>Foreign currency translation</w:t>
            </w:r>
          </w:p>
        </w:tc>
        <w:tc>
          <w:tcPr>
            <w:tcW w:w="17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140" w:type="dxa"/>
            <w:vAlign w:val="bottom"/>
          </w:tcPr>
          <w:p>
            <w:pPr>
              <w:jc w:val="right"/>
              <w:ind w:right="426"/>
              <w:spacing w:after="0" w:line="109" w:lineRule="exact"/>
              <w:rPr>
                <w:sz w:val="20"/>
                <w:szCs w:val="20"/>
                <w:color w:val="auto"/>
              </w:rPr>
            </w:pPr>
            <w:r>
              <w:rPr>
                <w:rFonts w:ascii="Arial" w:cs="Arial" w:eastAsia="Arial" w:hAnsi="Arial"/>
                <w:sz w:val="11"/>
                <w:szCs w:val="11"/>
                <w:color w:val="auto"/>
              </w:rPr>
              <w:t>8</w:t>
            </w:r>
          </w:p>
        </w:tc>
        <w:tc>
          <w:tcPr>
            <w:tcW w:w="920" w:type="dxa"/>
            <w:vAlign w:val="bottom"/>
          </w:tcPr>
          <w:p>
            <w:pPr>
              <w:jc w:val="right"/>
              <w:ind w:right="306"/>
              <w:spacing w:after="0" w:line="109" w:lineRule="exact"/>
              <w:rPr>
                <w:sz w:val="20"/>
                <w:szCs w:val="20"/>
                <w:color w:val="auto"/>
              </w:rPr>
            </w:pPr>
            <w:r>
              <w:rPr>
                <w:rFonts w:ascii="Arial" w:cs="Arial" w:eastAsia="Arial" w:hAnsi="Arial"/>
                <w:sz w:val="11"/>
                <w:szCs w:val="11"/>
                <w:color w:val="auto"/>
              </w:rPr>
              <w:t>6</w:t>
            </w:r>
          </w:p>
        </w:tc>
        <w:tc>
          <w:tcPr>
            <w:tcW w:w="740" w:type="dxa"/>
            <w:vAlign w:val="bottom"/>
          </w:tcPr>
          <w:p>
            <w:pPr>
              <w:jc w:val="right"/>
              <w:ind w:right="6"/>
              <w:spacing w:after="0" w:line="109" w:lineRule="exact"/>
              <w:rPr>
                <w:sz w:val="20"/>
                <w:szCs w:val="20"/>
                <w:color w:val="auto"/>
              </w:rPr>
            </w:pPr>
            <w:r>
              <w:rPr>
                <w:rFonts w:ascii="Arial" w:cs="Arial" w:eastAsia="Arial" w:hAnsi="Arial"/>
                <w:sz w:val="11"/>
                <w:szCs w:val="11"/>
                <w:color w:val="auto"/>
              </w:rPr>
              <w:t>14</w:t>
            </w:r>
          </w:p>
        </w:tc>
      </w:tr>
      <w:tr>
        <w:trPr>
          <w:trHeight w:val="142"/>
        </w:trPr>
        <w:tc>
          <w:tcPr>
            <w:tcW w:w="22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1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08"/>
        </w:trPr>
        <w:tc>
          <w:tcPr>
            <w:tcW w:w="22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A common shares</w:t>
            </w:r>
          </w:p>
        </w:tc>
        <w:tc>
          <w:tcPr>
            <w:tcW w:w="1760" w:type="dxa"/>
            <w:vAlign w:val="bottom"/>
            <w:shd w:val="clear" w:color="auto" w:fill="CCEEFF"/>
          </w:tcPr>
          <w:p>
            <w:pPr>
              <w:spacing w:after="0"/>
              <w:rPr>
                <w:sz w:val="9"/>
                <w:szCs w:val="9"/>
                <w:color w:val="auto"/>
              </w:rPr>
            </w:pPr>
          </w:p>
        </w:tc>
        <w:tc>
          <w:tcPr>
            <w:tcW w:w="1480" w:type="dxa"/>
            <w:vAlign w:val="bottom"/>
            <w:shd w:val="clear" w:color="auto" w:fill="CCEEFF"/>
          </w:tcPr>
          <w:p>
            <w:pPr>
              <w:jc w:val="right"/>
              <w:ind w:right="226"/>
              <w:spacing w:after="0" w:line="109" w:lineRule="exact"/>
              <w:rPr>
                <w:sz w:val="20"/>
                <w:szCs w:val="20"/>
                <w:color w:val="auto"/>
              </w:rPr>
            </w:pPr>
            <w:r>
              <w:rPr>
                <w:rFonts w:ascii="Arial" w:cs="Arial" w:eastAsia="Arial" w:hAnsi="Arial"/>
                <w:sz w:val="11"/>
                <w:szCs w:val="11"/>
                <w:color w:val="auto"/>
              </w:rPr>
              <w:t>(15)</w:t>
            </w:r>
          </w:p>
        </w:tc>
        <w:tc>
          <w:tcPr>
            <w:tcW w:w="4140" w:type="dxa"/>
            <w:vAlign w:val="bottom"/>
            <w:shd w:val="clear" w:color="auto" w:fill="CCEEFF"/>
          </w:tcPr>
          <w:p>
            <w:pPr>
              <w:jc w:val="right"/>
              <w:ind w:right="3626"/>
              <w:spacing w:after="0" w:line="109" w:lineRule="exact"/>
              <w:rPr>
                <w:sz w:val="20"/>
                <w:szCs w:val="20"/>
                <w:color w:val="auto"/>
              </w:rPr>
            </w:pPr>
            <w:r>
              <w:rPr>
                <w:rFonts w:ascii="Arial" w:cs="Arial" w:eastAsia="Arial" w:hAnsi="Arial"/>
                <w:sz w:val="11"/>
                <w:szCs w:val="11"/>
                <w:color w:val="auto"/>
              </w:rPr>
              <w:t>(25)</w:t>
            </w:r>
          </w:p>
        </w:tc>
        <w:tc>
          <w:tcPr>
            <w:tcW w:w="9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(25)</w:t>
            </w:r>
          </w:p>
        </w:tc>
      </w:tr>
      <w:tr>
        <w:trPr>
          <w:trHeight w:val="108"/>
        </w:trPr>
        <w:tc>
          <w:tcPr>
            <w:tcW w:w="220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repurchased for employee tax</w:t>
            </w:r>
          </w:p>
        </w:tc>
        <w:tc>
          <w:tcPr>
            <w:tcW w:w="17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4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14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withholdings</w:t>
            </w:r>
          </w:p>
        </w:tc>
        <w:tc>
          <w:tcPr>
            <w:tcW w:w="176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4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r>
      <w:tr>
        <w:trPr>
          <w:trHeight w:val="108"/>
        </w:trPr>
        <w:tc>
          <w:tcPr>
            <w:tcW w:w="2200" w:type="dxa"/>
            <w:vAlign w:val="bottom"/>
          </w:tcPr>
          <w:p>
            <w:pPr>
              <w:ind w:left="20"/>
              <w:spacing w:after="0" w:line="109" w:lineRule="exact"/>
              <w:rPr>
                <w:sz w:val="20"/>
                <w:szCs w:val="20"/>
                <w:color w:val="auto"/>
              </w:rPr>
            </w:pPr>
            <w:r>
              <w:rPr>
                <w:rFonts w:ascii="Arial" w:cs="Arial" w:eastAsia="Arial" w:hAnsi="Arial"/>
                <w:sz w:val="11"/>
                <w:szCs w:val="11"/>
                <w:color w:val="auto"/>
              </w:rPr>
              <w:t>Dividends accumulated on</w:t>
            </w:r>
          </w:p>
        </w:tc>
        <w:tc>
          <w:tcPr>
            <w:tcW w:w="17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140" w:type="dxa"/>
            <w:vAlign w:val="bottom"/>
          </w:tcPr>
          <w:p>
            <w:pPr>
              <w:jc w:val="right"/>
              <w:ind w:right="2586"/>
              <w:spacing w:after="0" w:line="109" w:lineRule="exact"/>
              <w:rPr>
                <w:sz w:val="20"/>
                <w:szCs w:val="20"/>
                <w:color w:val="auto"/>
              </w:rPr>
            </w:pPr>
            <w:r>
              <w:rPr>
                <w:rFonts w:ascii="Arial" w:cs="Arial" w:eastAsia="Arial" w:hAnsi="Arial"/>
                <w:sz w:val="11"/>
                <w:szCs w:val="11"/>
                <w:color w:val="auto"/>
              </w:rPr>
              <w:t>(1,024)</w:t>
            </w:r>
          </w:p>
        </w:tc>
        <w:tc>
          <w:tcPr>
            <w:tcW w:w="9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1"/>
                <w:szCs w:val="11"/>
                <w:color w:val="auto"/>
              </w:rPr>
              <w:t>(1,024)</w:t>
            </w:r>
          </w:p>
        </w:tc>
      </w:tr>
      <w:tr>
        <w:trPr>
          <w:trHeight w:val="108"/>
        </w:trPr>
        <w:tc>
          <w:tcPr>
            <w:tcW w:w="2200" w:type="dxa"/>
            <w:vAlign w:val="bottom"/>
          </w:tcPr>
          <w:p>
            <w:pPr>
              <w:ind w:left="20"/>
              <w:spacing w:after="0" w:line="108" w:lineRule="exact"/>
              <w:rPr>
                <w:sz w:val="20"/>
                <w:szCs w:val="20"/>
                <w:color w:val="auto"/>
              </w:rPr>
            </w:pPr>
            <w:r>
              <w:rPr>
                <w:rFonts w:ascii="Arial" w:cs="Arial" w:eastAsia="Arial" w:hAnsi="Arial"/>
                <w:sz w:val="11"/>
                <w:szCs w:val="11"/>
                <w:color w:val="auto"/>
              </w:rPr>
              <w:t>Series A redeemable</w:t>
            </w:r>
          </w:p>
        </w:tc>
        <w:tc>
          <w:tcPr>
            <w:tcW w:w="17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42"/>
        </w:trPr>
        <w:tc>
          <w:tcPr>
            <w:tcW w:w="2200" w:type="dxa"/>
            <w:vAlign w:val="bottom"/>
          </w:tcPr>
          <w:p>
            <w:pPr>
              <w:ind w:left="20"/>
              <w:spacing w:after="0"/>
              <w:rPr>
                <w:sz w:val="20"/>
                <w:szCs w:val="20"/>
                <w:color w:val="auto"/>
              </w:rPr>
            </w:pPr>
            <w:r>
              <w:rPr>
                <w:rFonts w:ascii="Arial" w:cs="Arial" w:eastAsia="Arial" w:hAnsi="Arial"/>
                <w:sz w:val="11"/>
                <w:szCs w:val="11"/>
                <w:color w:val="auto"/>
              </w:rPr>
              <w:t>convertible preferred stock</w:t>
            </w:r>
          </w:p>
        </w:tc>
        <w:tc>
          <w:tcPr>
            <w:tcW w:w="1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p>
      <w:pPr>
        <w:spacing w:after="0" w:line="20" w:lineRule="exact"/>
        <w:rPr>
          <w:sz w:val="20"/>
          <w:szCs w:val="20"/>
          <w:color w:val="auto"/>
        </w:rPr>
      </w:pPr>
    </w:p>
    <w:p>
      <w:pPr>
        <w:ind w:left="20" w:right="60"/>
        <w:spacing w:after="0" w:line="406" w:lineRule="auto"/>
        <w:rPr>
          <w:sz w:val="20"/>
          <w:szCs w:val="20"/>
          <w:color w:val="auto"/>
        </w:rPr>
      </w:pPr>
      <w:r>
        <w:rPr>
          <w:rFonts w:ascii="Arial" w:cs="Arial" w:eastAsia="Arial" w:hAnsi="Arial"/>
          <w:sz w:val="10"/>
          <w:szCs w:val="10"/>
          <w:color w:val="auto"/>
        </w:rPr>
        <w:t xml:space="preserve">Redemption of LLC Interests </w:t>
      </w:r>
      <w:r>
        <w:rPr>
          <w:rFonts w:ascii="Arial" w:cs="Arial" w:eastAsia="Arial" w:hAnsi="Arial"/>
          <w:sz w:val="10"/>
          <w:szCs w:val="10"/>
          <w:b w:val="1"/>
          <w:bCs w:val="1"/>
          <w:color w:val="auto"/>
        </w:rPr>
        <w:t>Balance at Mar.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right="260"/>
        <w:spacing w:after="0" w:line="333" w:lineRule="auto"/>
        <w:rPr>
          <w:sz w:val="20"/>
          <w:szCs w:val="20"/>
          <w:color w:val="auto"/>
        </w:rPr>
      </w:pPr>
      <w:r>
        <w:rPr>
          <w:rFonts w:ascii="Arial" w:cs="Arial" w:eastAsia="Arial" w:hAnsi="Arial"/>
          <w:sz w:val="11"/>
          <w:szCs w:val="11"/>
          <w:b w:val="1"/>
          <w:bCs w:val="1"/>
          <w:color w:val="auto"/>
        </w:rPr>
        <w:t xml:space="preserve">Balance at Jan. 1, 2025 </w:t>
      </w:r>
      <w:r>
        <w:rPr>
          <w:rFonts w:ascii="Arial" w:cs="Arial" w:eastAsia="Arial" w:hAnsi="Arial"/>
          <w:sz w:val="11"/>
          <w:szCs w:val="11"/>
          <w:color w:val="auto"/>
        </w:rPr>
        <w:t>Net income (loss)</w:t>
      </w:r>
    </w:p>
    <w:p>
      <w:pPr>
        <w:jc w:val="both"/>
        <w:ind w:left="20"/>
        <w:spacing w:after="0" w:line="226"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1" w:lineRule="exact"/>
        <w:rPr>
          <w:sz w:val="20"/>
          <w:szCs w:val="20"/>
          <w:color w:val="auto"/>
        </w:rPr>
      </w:pPr>
    </w:p>
    <w:p>
      <w:pPr>
        <w:ind w:left="20" w:right="120"/>
        <w:spacing w:after="0" w:line="236" w:lineRule="auto"/>
        <w:rPr>
          <w:sz w:val="20"/>
          <w:szCs w:val="20"/>
          <w:color w:val="auto"/>
        </w:rPr>
      </w:pPr>
      <w:r>
        <w:rPr>
          <w:rFonts w:ascii="Arial" w:cs="Arial" w:eastAsia="Arial" w:hAnsi="Arial"/>
          <w:sz w:val="11"/>
          <w:szCs w:val="11"/>
          <w:color w:val="auto"/>
        </w:rPr>
        <w:t>Share-based compensation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55"/>
        </w:trPr>
        <w:tc>
          <w:tcPr>
            <w:tcW w:w="6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5"/>
        </w:trPr>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17,038</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12,616</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(9,396)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729,081</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(717,505)</w:t>
            </w: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(51)</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(128,830)</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(126,699)</w:t>
            </w:r>
          </w:p>
        </w:tc>
      </w:tr>
      <w:tr>
        <w:trPr>
          <w:trHeight w:val="27"/>
        </w:trPr>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Mar. 31,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A Common Stock</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08"/>
        </w:trPr>
        <w:tc>
          <w:tcPr>
            <w:tcW w:w="100" w:type="dxa"/>
            <w:vAlign w:val="bottom"/>
          </w:tcPr>
          <w:p>
            <w:pPr>
              <w:spacing w:after="0"/>
              <w:rPr>
                <w:sz w:val="9"/>
                <w:szCs w:val="9"/>
                <w:color w:val="auto"/>
              </w:rPr>
            </w:pPr>
          </w:p>
        </w:tc>
        <w:tc>
          <w:tcPr>
            <w:tcW w:w="7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Additional Paid-</w:t>
            </w: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1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Accumulated Other</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tcPr>
          <w:p>
            <w:pPr>
              <w:jc w:val="right"/>
              <w:ind w:right="107"/>
              <w:spacing w:after="0" w:line="108" w:lineRule="exact"/>
              <w:rPr>
                <w:sz w:val="20"/>
                <w:szCs w:val="20"/>
                <w:color w:val="auto"/>
              </w:rPr>
            </w:pPr>
            <w:r>
              <w:rPr>
                <w:rFonts w:ascii="Arial" w:cs="Arial" w:eastAsia="Arial" w:hAnsi="Arial"/>
                <w:sz w:val="11"/>
                <w:szCs w:val="11"/>
                <w:color w:val="auto"/>
              </w:rPr>
              <w:t>Stockholders’</w:t>
            </w:r>
          </w:p>
        </w:tc>
      </w:tr>
      <w:tr>
        <w:trPr>
          <w:trHeight w:val="95"/>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In Capital</w:t>
            </w:r>
          </w:p>
        </w:tc>
        <w:tc>
          <w:tcPr>
            <w:tcW w:w="120" w:type="dxa"/>
            <w:vAlign w:val="bottom"/>
          </w:tcPr>
          <w:p>
            <w:pPr>
              <w:spacing w:after="0"/>
              <w:rPr>
                <w:sz w:val="8"/>
                <w:szCs w:val="8"/>
                <w:color w:val="auto"/>
              </w:rPr>
            </w:pPr>
          </w:p>
        </w:tc>
        <w:tc>
          <w:tcPr>
            <w:tcW w:w="9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8"/>
                <w:szCs w:val="8"/>
                <w:color w:val="auto"/>
              </w:rPr>
            </w:pPr>
          </w:p>
        </w:tc>
        <w:tc>
          <w:tcPr>
            <w:tcW w:w="10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860" w:type="dxa"/>
            <w:vAlign w:val="bottom"/>
            <w:gridSpan w:val="2"/>
          </w:tcPr>
          <w:p>
            <w:pPr>
              <w:jc w:val="center"/>
              <w:ind w:right="280"/>
              <w:spacing w:after="0" w:line="95" w:lineRule="exact"/>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8"/>
                <w:szCs w:val="8"/>
                <w:color w:val="auto"/>
              </w:rPr>
            </w:pPr>
          </w:p>
        </w:tc>
        <w:tc>
          <w:tcPr>
            <w:tcW w:w="860" w:type="dxa"/>
            <w:vAlign w:val="bottom"/>
          </w:tcPr>
          <w:p>
            <w:pPr>
              <w:jc w:val="right"/>
              <w:ind w:right="67"/>
              <w:spacing w:after="0" w:line="95" w:lineRule="exact"/>
              <w:rPr>
                <w:sz w:val="20"/>
                <w:szCs w:val="20"/>
                <w:color w:val="auto"/>
              </w:rPr>
            </w:pPr>
            <w:r>
              <w:rPr>
                <w:rFonts w:ascii="Arial" w:cs="Arial" w:eastAsia="Arial" w:hAnsi="Arial"/>
                <w:sz w:val="10"/>
                <w:szCs w:val="10"/>
                <w:color w:val="auto"/>
              </w:rPr>
              <w:t>Equity (Deficit)</w:t>
            </w:r>
          </w:p>
        </w:tc>
      </w:tr>
      <w:tr>
        <w:trPr>
          <w:trHeight w:val="155"/>
        </w:trPr>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Income (Loss)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10,614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12,711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(4,150)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669,346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(423,208)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163,599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405,438</w:t>
            </w:r>
          </w:p>
        </w:tc>
      </w:tr>
      <w:tr>
        <w:trPr>
          <w:trHeight w:val="142"/>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(5,378)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(9,786)</w:t>
            </w:r>
          </w:p>
        </w:tc>
      </w:tr>
      <w:tr>
        <w:trPr>
          <w:trHeight w:val="162"/>
        </w:trPr>
        <w:tc>
          <w:tcPr>
            <w:tcW w:w="1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1</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3,330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-552450</wp:posOffset>
            </wp:positionV>
            <wp:extent cx="7132320"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-329565</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1460" w:space="100"/>
            <w:col w:w="9680"/>
          </w:cols>
          <w:pgMar w:left="320" w:top="1327" w:right="3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1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w:t>
            </w:r>
          </w:p>
        </w:tc>
      </w:tr>
      <w:tr>
        <w:trPr>
          <w:trHeight w:val="162"/>
        </w:trPr>
        <w:tc>
          <w:tcPr>
            <w:tcW w:w="1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08"/>
        </w:trPr>
        <w:tc>
          <w:tcPr>
            <w:tcW w:w="166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shares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1"/>
                <w:szCs w:val="11"/>
                <w:color w:val="auto"/>
              </w:rPr>
              <w:t>(62)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Arial" w:cs="Arial" w:eastAsia="Arial" w:hAnsi="Arial"/>
                <w:sz w:val="11"/>
                <w:szCs w:val="11"/>
                <w:color w:val="auto"/>
              </w:rPr>
              <w:t>(822)</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(822)</w:t>
            </w:r>
          </w:p>
        </w:tc>
      </w:tr>
      <w:tr>
        <w:trPr>
          <w:trHeight w:val="108"/>
        </w:trPr>
        <w:tc>
          <w:tcPr>
            <w:tcW w:w="1660" w:type="dxa"/>
            <w:vAlign w:val="bottom"/>
          </w:tcPr>
          <w:p>
            <w:pPr>
              <w:ind w:left="20"/>
              <w:spacing w:after="0" w:line="108" w:lineRule="exact"/>
              <w:rPr>
                <w:sz w:val="20"/>
                <w:szCs w:val="20"/>
                <w:color w:val="auto"/>
              </w:rPr>
            </w:pPr>
            <w:r>
              <w:rPr>
                <w:rFonts w:ascii="Arial" w:cs="Arial" w:eastAsia="Arial" w:hAnsi="Arial"/>
                <w:sz w:val="11"/>
                <w:szCs w:val="11"/>
                <w:color w:val="auto"/>
              </w:rPr>
              <w:t>repurchased for employee tax</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42"/>
        </w:trPr>
        <w:tc>
          <w:tcPr>
            <w:tcW w:w="1660" w:type="dxa"/>
            <w:vAlign w:val="bottom"/>
          </w:tcPr>
          <w:p>
            <w:pPr>
              <w:ind w:left="20"/>
              <w:spacing w:after="0"/>
              <w:rPr>
                <w:sz w:val="20"/>
                <w:szCs w:val="20"/>
                <w:color w:val="auto"/>
              </w:rPr>
            </w:pPr>
            <w:r>
              <w:rPr>
                <w:rFonts w:ascii="Arial" w:cs="Arial" w:eastAsia="Arial" w:hAnsi="Arial"/>
                <w:sz w:val="11"/>
                <w:szCs w:val="11"/>
                <w:color w:val="auto"/>
              </w:rPr>
              <w:t>withholdings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accumulated on</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(956)</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(956)</w:t>
            </w:r>
          </w:p>
        </w:tc>
      </w:tr>
      <w:tr>
        <w:trPr>
          <w:trHeight w:val="108"/>
        </w:trPr>
        <w:tc>
          <w:tcPr>
            <w:tcW w:w="16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Series A redeemable</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r>
      <w:tr>
        <w:trPr>
          <w:trHeight w:val="142"/>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convertible preferred stock</w:t>
            </w: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r>
      <w:tr>
        <w:trPr>
          <w:trHeight w:val="108"/>
        </w:trPr>
        <w:tc>
          <w:tcPr>
            <w:tcW w:w="1660" w:type="dxa"/>
            <w:vAlign w:val="bottom"/>
          </w:tcPr>
          <w:p>
            <w:pPr>
              <w:ind w:left="20"/>
              <w:spacing w:after="0" w:line="109" w:lineRule="exact"/>
              <w:rPr>
                <w:sz w:val="20"/>
                <w:szCs w:val="20"/>
                <w:color w:val="auto"/>
              </w:rPr>
            </w:pPr>
            <w:r>
              <w:rPr>
                <w:rFonts w:ascii="Arial" w:cs="Arial" w:eastAsia="Arial" w:hAnsi="Arial"/>
                <w:sz w:val="11"/>
                <w:szCs w:val="11"/>
                <w:color w:val="auto"/>
              </w:rPr>
              <w:t>Forfeitures of Time-Vesting</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4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jc w:val="right"/>
              <w:ind w:right="6"/>
              <w:spacing w:after="0" w:line="109" w:lineRule="exact"/>
              <w:rPr>
                <w:sz w:val="20"/>
                <w:szCs w:val="20"/>
                <w:color w:val="auto"/>
              </w:rPr>
            </w:pPr>
            <w:r>
              <w:rPr>
                <w:rFonts w:ascii="Arial" w:cs="Arial" w:eastAsia="Arial" w:hAnsi="Arial"/>
                <w:sz w:val="11"/>
                <w:szCs w:val="11"/>
                <w:color w:val="auto"/>
              </w:rPr>
              <w:t>—</w:t>
            </w:r>
          </w:p>
        </w:tc>
      </w:tr>
      <w:tr>
        <w:trPr>
          <w:trHeight w:val="142"/>
        </w:trPr>
        <w:tc>
          <w:tcPr>
            <w:tcW w:w="1660" w:type="dxa"/>
            <w:vAlign w:val="bottom"/>
          </w:tcPr>
          <w:p>
            <w:pPr>
              <w:ind w:left="20"/>
              <w:spacing w:after="0"/>
              <w:rPr>
                <w:sz w:val="20"/>
                <w:szCs w:val="20"/>
                <w:color w:val="auto"/>
              </w:rPr>
            </w:pPr>
            <w:r>
              <w:rPr>
                <w:rFonts w:ascii="Arial" w:cs="Arial" w:eastAsia="Arial" w:hAnsi="Arial"/>
                <w:sz w:val="11"/>
                <w:szCs w:val="11"/>
                <w:color w:val="auto"/>
              </w:rPr>
              <w:t>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2"/>
        </w:trPr>
        <w:tc>
          <w:tcPr>
            <w:tcW w:w="1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 of LLC Interests</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9"/>
        </w:trPr>
        <w:tc>
          <w:tcPr>
            <w:tcW w:w="1660" w:type="dxa"/>
            <w:vAlign w:val="bottom"/>
          </w:tcPr>
          <w:p>
            <w:pPr>
              <w:ind w:left="20"/>
              <w:spacing w:after="0"/>
              <w:rPr>
                <w:sz w:val="20"/>
                <w:szCs w:val="20"/>
                <w:color w:val="auto"/>
              </w:rPr>
            </w:pPr>
            <w:r>
              <w:rPr>
                <w:rFonts w:ascii="Arial" w:cs="Arial" w:eastAsia="Arial" w:hAnsi="Arial"/>
                <w:sz w:val="11"/>
                <w:szCs w:val="11"/>
                <w:b w:val="1"/>
                <w:bCs w:val="1"/>
                <w:color w:val="auto"/>
              </w:rPr>
              <w:t>Balance at Mar. 31, 2025</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10,930</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12,623</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(384)</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(4,972)</w:t>
            </w: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674,420</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(427,616)</w:t>
            </w:r>
          </w:p>
        </w:tc>
        <w:tc>
          <w:tcPr>
            <w:tcW w:w="1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(205)</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155,457</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397,086</w:t>
            </w:r>
          </w:p>
        </w:tc>
      </w:tr>
      <w:tr>
        <w:trPr>
          <w:trHeight w:val="27"/>
        </w:trPr>
        <w:tc>
          <w:tcPr>
            <w:tcW w:w="1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CASH FLOWS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Three months ended Mar. 31,</w:t>
            </w:r>
          </w:p>
        </w:tc>
        <w:tc>
          <w:tcPr>
            <w:tcW w:w="580" w:type="dxa"/>
            <w:vAlign w:val="bottom"/>
            <w:tcBorders>
              <w:bottom w:val="single" w:sz="8" w:color="auto"/>
            </w:tcBorders>
          </w:tcPr>
          <w:p>
            <w:pPr>
              <w:spacing w:after="0"/>
              <w:rPr>
                <w:sz w:val="15"/>
                <w:szCs w:val="15"/>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2026</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57"/>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(66,136)</w:t>
            </w:r>
          </w:p>
        </w:tc>
        <w:tc>
          <w:tcPr>
            <w:tcW w:w="100" w:type="dxa"/>
            <w:vAlign w:val="bottom"/>
          </w:tcPr>
          <w:p>
            <w:pPr>
              <w:spacing w:after="0"/>
              <w:rPr>
                <w:sz w:val="14"/>
                <w:szCs w:val="14"/>
                <w:color w:val="auto"/>
              </w:rPr>
            </w:pP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(9,786)</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2,568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2,803</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23,514</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Deferred tax liability</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1,057</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lease expense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Other non-cash items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(271)</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interest payable in kind</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Indefinite and long-lived asset impairment charges</w:t>
            </w:r>
          </w:p>
        </w:tc>
        <w:tc>
          <w:tcPr>
            <w:tcW w:w="10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710</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(1,444)</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72,789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52,979</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2,749</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9,557</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5,705</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(10,075)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(39,105)</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(30,051)</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(11,312)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(29,057)</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Operating lease liabilities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w:t>
            </w:r>
          </w:p>
        </w:tc>
      </w:tr>
      <w:tr>
        <w:trPr>
          <w:trHeight w:val="171"/>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(2,617)</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(12,405)</w:t>
            </w:r>
          </w:p>
        </w:tc>
      </w:tr>
      <w:tr>
        <w:trPr>
          <w:trHeight w:val="154"/>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7"/>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property, equipment and software</w:t>
            </w:r>
          </w:p>
        </w:tc>
        <w:tc>
          <w:tcPr>
            <w:tcW w:w="10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Net cash provided by (used in) investing activities</w:t>
            </w:r>
          </w:p>
        </w:tc>
        <w:tc>
          <w:tcPr>
            <w:tcW w:w="10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(3,048)</w:t>
            </w:r>
          </w:p>
        </w:tc>
      </w:tr>
      <w:tr>
        <w:trPr>
          <w:trHeight w:val="16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7860" w:type="dxa"/>
            <w:vAlign w:val="bottom"/>
          </w:tcPr>
          <w:p>
            <w:pPr>
              <w:ind w:left="140"/>
              <w:spacing w:after="0"/>
              <w:rPr>
                <w:sz w:val="20"/>
                <w:szCs w:val="20"/>
                <w:color w:val="auto"/>
              </w:rPr>
            </w:pPr>
            <w:r>
              <w:rPr>
                <w:rFonts w:ascii="Arial" w:cs="Arial" w:eastAsia="Arial" w:hAnsi="Arial"/>
                <w:sz w:val="13"/>
                <w:szCs w:val="13"/>
                <w:color w:val="auto"/>
              </w:rPr>
              <w:t>Repayment of borrowings</w:t>
            </w:r>
          </w:p>
        </w:tc>
        <w:tc>
          <w:tcPr>
            <w:tcW w:w="10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(2,375)</w:t>
            </w:r>
          </w:p>
        </w:tc>
      </w:tr>
      <w:tr>
        <w:trPr>
          <w:trHeight w:val="180"/>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w:t>
            </w:r>
          </w:p>
        </w:tc>
      </w:tr>
      <w:tr>
        <w:trPr>
          <w:trHeight w:val="171"/>
        </w:trPr>
        <w:tc>
          <w:tcPr>
            <w:tcW w:w="7860" w:type="dxa"/>
            <w:vAlign w:val="bottom"/>
          </w:tcPr>
          <w:p>
            <w:pPr>
              <w:ind w:left="140"/>
              <w:spacing w:after="0"/>
              <w:rPr>
                <w:sz w:val="20"/>
                <w:szCs w:val="20"/>
                <w:color w:val="auto"/>
              </w:rPr>
            </w:pPr>
            <w:r>
              <w:rPr>
                <w:rFonts w:ascii="Arial" w:cs="Arial" w:eastAsia="Arial" w:hAnsi="Arial"/>
                <w:sz w:val="13"/>
                <w:szCs w:val="13"/>
                <w:color w:val="auto"/>
              </w:rPr>
              <w:t>Proceeds from stock option exercises</w:t>
            </w:r>
          </w:p>
        </w:tc>
        <w:tc>
          <w:tcPr>
            <w:tcW w:w="10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(3,196)</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Effect of exchange rate changes on cash and cash equivalents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6,975</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(18,768)</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Cash and cash equivalents at beginning of period</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32,904</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40,921</w:t>
            </w:r>
          </w:p>
        </w:tc>
      </w:tr>
      <w:tr>
        <w:trPr>
          <w:trHeight w:val="19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4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39,879</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22,153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NOTES TO CONDENSED CONSOLIDATED FINANCIAL STATEMENTS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19" w:lineRule="exact"/>
        <w:rPr>
          <w:sz w:val="20"/>
          <w:szCs w:val="20"/>
          <w:color w:val="auto"/>
        </w:rPr>
      </w:pPr>
    </w:p>
    <w:p>
      <w:pPr>
        <w:ind w:right="5380" w:firstLine="8"/>
        <w:spacing w:after="0" w:line="554" w:lineRule="auto"/>
        <w:tabs>
          <w:tab w:leader="none" w:pos="180" w:val="left"/>
        </w:tabs>
        <w:numPr>
          <w:ilvl w:val="0"/>
          <w:numId w:val="7"/>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DESCRIPTION OF BUSINESS AND SIGNIFICANT ACCOUNTING POLICIES </w:t>
      </w:r>
      <w:r>
        <w:rPr>
          <w:rFonts w:ascii="Arial" w:cs="Arial" w:eastAsia="Arial" w:hAnsi="Arial"/>
          <w:sz w:val="16"/>
          <w:szCs w:val="16"/>
          <w:b w:val="1"/>
          <w:bCs w:val="1"/>
          <w:color w:val="000000"/>
        </w:rPr>
        <w:t>Description of Business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GoHealth (the “Company”) is a health insurance marketplace and Medicare-focused digital health company whose purpose is to compassionately ensure consumers’ peace of mind when making healthcare decisions so they can focus on living life. With a widely scalable end-to-end platform in the Medicare landscape, GoHealth believes it is uniquely positioned as a trusted partner to the 68.0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GoHealth aims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w:t>
      </w:r>
    </w:p>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GoHealth offers Medicare plans, including, but not limited to, Medicare Advantage, Medicare Supplement and prescription drug plans. Its proprietary technology platform integrates artificial intelligence and modern machine-learning algorithms, powered by over two decades of insurance purchasing behavior, to reimagine the process of matching a health plan to a consumer’s specific needs. GoHealth’s unbiased, technology-driven marketplace coupled with highly-skilled licensed agents has facilitated the enrollment of millions of consumers in Medicare plans since its inception. Health plan partners benefit from the GoHealth platform by gaining access to the large and rapidly growing Medicare-eligible population. GoHealth believes health plan partners utilize its large-scale data, technology and efficient marketing processes to maximize scale and reduce their cost of submission, compared to health plan partner-employed agent workforces.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GoHealth believes its streamlined, consumer-centric Encompass operating model drives both high-quality enrollments and a strong consumer experience.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strives to be a trusted, high-quality enrollment partner for both consumers and health plan partners.</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Refer to the Liquidity and Going Concern section in this Note 1 for management’s assessment of the Company’s ability to continue as a going concern.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21"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Condensed Consolidated Financial Statements and reports non-controlling interests for the economic interest in GHH, LLC held by the Continuing Equity Owners.</w:t>
      </w:r>
    </w:p>
    <w:p>
      <w:pPr>
        <w:spacing w:after="0" w:line="17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U.S. generally accepted accounting principles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2025 Annual Report on Form 10-K, which was filed with the Securities and Exchange Commission on March 31, 2026.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7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There have been no material changes to the Company’s significant accounting policies from those disclosed in the notes to the Company’s audited Consolidated Financial Statements as of and for the year ended December 31, 2025, which were included in the Company’s 2025 Annual Report on Form 10-K.</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Going Concern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2" w:name="page13"/>
    <w:bookmarkEnd w:id="12"/>
    <w:p>
      <w:pPr>
        <w:ind w:right="40"/>
        <w:spacing w:after="0" w:line="275" w:lineRule="auto"/>
        <w:rPr>
          <w:sz w:val="20"/>
          <w:szCs w:val="20"/>
          <w:color w:val="auto"/>
        </w:rPr>
      </w:pPr>
      <w:r>
        <w:rPr>
          <w:rFonts w:ascii="Arial" w:cs="Arial" w:eastAsia="Arial" w:hAnsi="Arial"/>
          <w:sz w:val="16"/>
          <w:szCs w:val="16"/>
          <w:color w:val="auto"/>
        </w:rPr>
        <w:t>These Condensed Consolidated Financial Statements have been prepared in accordance with GAAP applicable to a going concern, which contemplates the realization of assets and satisfaction of liabilities in the normal course of business within twelve months after the date that these Condensed Consolidated Financial Statements are issued.</w:t>
      </w:r>
    </w:p>
    <w:p>
      <w:pPr>
        <w:spacing w:after="0" w:line="17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Under the Company’s Superpriority Credit Agreement and Amendment No. 14 to its existing term loan (as defined and described further in Note 3, “Long-Term Debt”), the Company is required to meet certain financial covenants, including a minimum liquidity covenant, and make scheduled principal and interest payments. As of March 31, 2026, the Company was in compliance with all of its financial covenants; however, management’s current financial projections indicate that, based on the Company’s current business plan, it is probable that the Company will be unable to maintain compliance with its liquidity covenant within the twelve months after these Condensed Consolidated Financial Statements are issued, unless the mitigating plans described below are implemented successfully. In the event the Company is unable to meet its liquidity financial covenant or make scheduled principal and interest payments, the Company’s lenders may not waive compliance and could elect to declare an event of default under the Superpriority Credit Agreement and Amendment No. 14 and accelerate the repayment of the obligations thereunder. The Company does not expect it would have sufficient liquidity to repay its outstanding debt obligations if they are accelerated. As a result, the Company’s lenders could seek to exercise rights and remedies available to them, including enforcing against the collateral securing these debt obligations.</w:t>
      </w:r>
    </w:p>
    <w:p>
      <w:pPr>
        <w:spacing w:after="0" w:line="21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Company is engaged in ongoing discussions with its lenders and other stakeholders regarding strategic alternatives to address the Company’s capital structure and liquidity position. Such alternatives may involve a change of control or other restructuring of the Company. In addition, management has implemented and continues to implement various operational initiatives that include further cost savings measures. The outcome of the Company’s discussions with its lenders and other stakeholders is uncertain and there can be no assurance that the Company will be successful in implementing its operational initiatives. In addition, the Company’s ongoing discussions with its lenders and other stakeholders may be adversely affected by any default under, or acceleration of, the Company’s debt obligations. In such event, as described above, the Company’s lenders could seek to exercise rights and remedies available to them. Because of the uncertainty of (i) successfully completing operational initiatives to comply with the minimum liquidity covenant and (ii) the outcome of the discussions with the Company’s lenders and other stakeholders, management has concluded there is substantial doubt about the Company’s ability to continue as a going concern within twelve months after the date that these Condensed Consolidated Financial Statements are issued.</w:t>
      </w:r>
    </w:p>
    <w:p>
      <w:pPr>
        <w:spacing w:after="0" w:line="20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Condensed Consolidated Financial Statements do not include any adjustments to the carrying amounts and classification of assets, liabilities and reported expenses that may be necessary if the Company were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Medicare annual enrollment period (“AEP”) occurs from October 15th to December 7th. As a result, and in general, the Company experiences an increase in the number of Submissions during the fourth quarter and an increase in expense related to the Submissions during the third and fourth quarters. Additionally, as a result of the annual Medicare Advantage open enrollment period that occurs from January 1st to March 31st, Submissions are typically second-highest in the first quarter. The second and third quarters are known as special election periods, during which Submissions are typically lowest. A significant portion of the Company’s marketing and advertising expenses is driven by the number of health insurance applications submitted through the Company. Marketing and advertising expenses are generally higher in the fourth quarter during AEP, but because commissions from approved consumers are paid to the Company over time, the Company’s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Starting in 2025, the usual Medicare enrollment seasonality became more pronounced mainly due to regulatory changes affecting enrollment rules for dual-eligible beneficiaries and those receiving Medicare Part D Low Income Subsidies (“LIS”). In 2025, CMS eliminated the special enrollment period that allowed dual-eligible and LIS beneficiaries to enroll in Medicare Advantage plans quarterly. These regulatory changes restricted eligibility to enroll in or switch between Medicare Advantage plans outside of AEP for this group.</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Not Yet Adopted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6"/>
          <w:szCs w:val="16"/>
          <w:color w:val="auto"/>
        </w:rPr>
        <w:t>In September 2025, the FASB issued ASU 2025-06, Intangibles—Goodwill and Other—Internal-Use Software (Subtopic 350-40): Targeted Improvements to the Accounting for Internal-Use Software. This pronouncement updates the guidance on capitalization of internal-use software, including removing the development stages utilized for evaluation of when certain activities are capital eligible. The ASU instead provides that an entity is required to start capitalizing eligible software development costs when (1) management has authorized and committed to funding the software project and (2) it is probable that the project will be completed and the software will be used to perform the function intended, which is referred to as the “probable-to-complete recognition threshold”. This probable-to- complete threshold includes an evaluation of whether there is significant uncertainty associated with the development activities of the software. The ASU is effective for fiscal years beginning after December 15, 2027. The Company is currently in the process of evaluating the impacts this amendment will have on our internal-use software capitalization policy.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Reporting Comprehensive Income-Expense Disaggregation Disclosures (Subtopic</w:t>
      </w:r>
    </w:p>
    <w:p>
      <w:pPr>
        <w:spacing w:after="0" w:line="3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i w:val="1"/>
          <w:iCs w:val="1"/>
          <w:color w:val="auto"/>
        </w:rPr>
        <w:t xml:space="preserve">220-40): Disaggregation of Income Statement Expenses </w:t>
      </w:r>
      <w:r>
        <w:rPr>
          <w:rFonts w:ascii="Arial" w:cs="Arial" w:eastAsia="Arial" w:hAnsi="Arial"/>
          <w:sz w:val="16"/>
          <w:szCs w:val="16"/>
          <w:color w:val="auto"/>
        </w:rPr>
        <w:t>(“ASU 2024-03”), which requires disclosure about the types of costs and expenses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FAIR VALUE MEASUREMENTS</w:t>
      </w:r>
    </w:p>
    <w:p>
      <w:pPr>
        <w:spacing w:after="0" w:line="248"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p>
      <w:pPr>
        <w:sectPr>
          <w:pgSz w:w="11900" w:h="16838" w:orient="portrait"/>
          <w:cols w:equalWidth="0" w:num="1">
            <w:col w:w="11240"/>
          </w:cols>
          <w:pgMar w:left="320" w:top="1327"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3716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71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57003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5700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712" w:lineRule="exact"/>
        <w:rPr>
          <w:sz w:val="20"/>
          <w:szCs w:val="20"/>
          <w:color w:val="auto"/>
        </w:rPr>
      </w:pPr>
    </w:p>
    <w:p>
      <w:pPr>
        <w:sectPr>
          <w:pgSz w:w="11900" w:h="16838" w:orient="portrait"/>
          <w:cols w:equalWidth="0" w:num="2">
            <w:col w:w="1960" w:space="320"/>
            <w:col w:w="8960"/>
          </w:cols>
          <w:pgMar w:left="320" w:top="1327" w:right="339" w:bottom="1440" w:gutter="0" w:footer="0" w:header="0"/>
          <w:type w:val="continuous"/>
        </w:sectPr>
      </w:pPr>
    </w:p>
    <w:p>
      <w:pPr>
        <w:spacing w:after="0" w:line="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16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$0.7 million in operating lease impairment charges for the three months ended March 31, 2025 which are recorded in “Indefinite and long-lived asset impairment charges” on the Condensed Consolidated Statements of Operations. There were no operating lease impairment charge recorded for the three months ended March 31, 2026. The operating lease impairment charges reduce the carrying value of the associated ROU assets and leasehold improvements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3.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Mar. 31, 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 31, 2025</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Facilities</w:t>
            </w: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701,811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688,464</w:t>
            </w:r>
          </w:p>
        </w:tc>
        <w:tc>
          <w:tcPr>
            <w:tcW w:w="0" w:type="dxa"/>
            <w:vAlign w:val="bottom"/>
          </w:tcPr>
          <w:p>
            <w:pPr>
              <w:spacing w:after="0"/>
              <w:rPr>
                <w:sz w:val="1"/>
                <w:szCs w:val="1"/>
                <w:color w:val="auto"/>
              </w:rPr>
            </w:pPr>
          </w:p>
        </w:tc>
      </w:tr>
      <w:tr>
        <w:trPr>
          <w:trHeight w:val="19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(51,724)</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debt</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653,133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636,740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Current portion of long-term debt</w:t>
            </w: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long-term debt</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636,740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Maturities of long-term debt for each of the next five years is as follows:</w:t>
            </w: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40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840" w:type="dxa"/>
            <w:vAlign w:val="bottom"/>
            <w:vMerge w:val="restart"/>
          </w:tcPr>
          <w:p>
            <w:pPr>
              <w:ind w:left="3660"/>
              <w:spacing w:after="0"/>
              <w:rPr>
                <w:sz w:val="20"/>
                <w:szCs w:val="20"/>
                <w:color w:val="auto"/>
              </w:rPr>
            </w:pPr>
            <w:r>
              <w:rPr>
                <w:rFonts w:ascii="Arial" w:cs="Arial" w:eastAsia="Arial" w:hAnsi="Arial"/>
                <w:sz w:val="14"/>
                <w:szCs w:val="14"/>
                <w:color w:val="auto"/>
              </w:rPr>
              <w:t>GoHealth, Inc.</w:t>
            </w:r>
          </w:p>
        </w:tc>
        <w:tc>
          <w:tcPr>
            <w:tcW w:w="20" w:type="dxa"/>
            <w:vAlign w:val="bottom"/>
          </w:tcPr>
          <w:p>
            <w:pPr>
              <w:spacing w:after="0"/>
              <w:rPr>
                <w:sz w:val="24"/>
                <w:szCs w:val="24"/>
                <w:color w:val="auto"/>
              </w:rPr>
            </w:pPr>
          </w:p>
        </w:tc>
        <w:tc>
          <w:tcPr>
            <w:tcW w:w="1540" w:type="dxa"/>
            <w:vAlign w:val="bottom"/>
            <w:vMerge w:val="restart"/>
          </w:tcPr>
          <w:p>
            <w:pPr>
              <w:ind w:left="240"/>
              <w:spacing w:after="0"/>
              <w:rPr>
                <w:sz w:val="20"/>
                <w:szCs w:val="20"/>
                <w:color w:val="auto"/>
              </w:rPr>
            </w:pPr>
            <w:r>
              <w:rPr>
                <w:rFonts w:ascii="Arial" w:cs="Arial" w:eastAsia="Arial" w:hAnsi="Arial"/>
                <w:sz w:val="14"/>
                <w:szCs w:val="14"/>
                <w:color w:val="auto"/>
              </w:rPr>
              <w:t>2026 Form 10-Q</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540" w:type="dxa"/>
            <w:vAlign w:val="bottom"/>
            <w:vMerge w:val="continue"/>
          </w:tcPr>
          <w:p>
            <w:pPr>
              <w:spacing w:after="0"/>
              <w:rPr>
                <w:sz w:val="17"/>
                <w:szCs w:val="17"/>
                <w:color w:val="auto"/>
              </w:rPr>
            </w:pPr>
          </w:p>
        </w:tc>
        <w:tc>
          <w:tcPr>
            <w:tcW w:w="1460" w:type="dxa"/>
            <w:vAlign w:val="bottom"/>
            <w:tcBorders>
              <w:left w:val="single" w:sz="8" w:color="auto"/>
            </w:tcBorders>
          </w:tcPr>
          <w:p>
            <w:pPr>
              <w:jc w:val="right"/>
              <w:ind w:right="112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2026</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980" w:type="dxa"/>
            <w:vAlign w:val="bottom"/>
          </w:tcPr>
          <w:p>
            <w:pPr>
              <w:ind w:left="20"/>
              <w:spacing w:after="0"/>
              <w:rPr>
                <w:sz w:val="20"/>
                <w:szCs w:val="20"/>
                <w:color w:val="auto"/>
              </w:rPr>
            </w:pPr>
            <w:r>
              <w:rPr>
                <w:rFonts w:ascii="Arial" w:cs="Arial" w:eastAsia="Arial" w:hAnsi="Arial"/>
                <w:sz w:val="16"/>
                <w:szCs w:val="16"/>
                <w:color w:val="auto"/>
              </w:rPr>
              <w:t>2027</w:t>
            </w:r>
          </w:p>
        </w:tc>
        <w:tc>
          <w:tcPr>
            <w:tcW w:w="8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17"/>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r>
      <w:tr>
        <w:trPr>
          <w:trHeight w:val="21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2029</w:t>
            </w: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682,811</w:t>
            </w:r>
          </w:p>
        </w:tc>
      </w:tr>
      <w:tr>
        <w:trPr>
          <w:trHeight w:val="235"/>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701,811</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Existing Credit Agreement</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On November 4, 2024 (the “Effective Date”), Norvax (the “Borrower”) entered into the Existing Credit Agreement to provide for, among other provisions as further described below, a class of term loan facilities (the “New Term Loan Facility” or “Existing Term Loans”) in an aggregate principal amount equal to $475.0 million. Starting on March 31, 2025, principal repayments equal to 2.00% per annum of the initial principal balance were made in equal quarterly installments. In March 2025, the Borrower repaid $2.4 million under this facility. Prior to Amendment No. 14 (as defined and further described below), at the option of the Borrower, the New Term Loan Facility bore interest at either (i) ABR plus 6.50% per annum or (ii) Adjusted Term SOFR plus 7.50% per annum. To the extent not previously paid, the New Term Loan Facility, together with all accrued and unpaid interest thereon, is due and payable on November 4, 2029.</w:t>
      </w:r>
    </w:p>
    <w:p>
      <w:pPr>
        <w:spacing w:after="0" w:line="203"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In addition to the New Term Loan Facility, the Existing Credit Agreement provided for a revolving credit facility with a commitment amount of $88.5 million (the “Class A Revolving Credit Facility”) and a revolving credit facility with a commitment amount of $35.0 million (the “Class A-1 Revolving Credit Facility"). The Class A Revolving Credit Facility bore interest at either (i) ABR plus 5.50% per annum or (ii) SOFR plus 6.50% per annum. The Borrower was required to pay a commitment fee of 0.50% per annum on undrawn amounts under the Class A Revolving Credit Facility. The Class A-1 Revolving Credit Facility was to be made available to the Borrower upon the termination of the Class A Revolving Credit Facility on or prior to June 30, 2025 (which was then further extended pursuant to Amendment No. 13 and Amendment No. 14). Following the entry into Amendment No. 14, the Class A-1 Revolving Credit Facility was terminated.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No. 13</w:t>
      </w:r>
    </w:p>
    <w:p>
      <w:pPr>
        <w:spacing w:after="0" w:line="24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June 30, 2025, the Borrower entered into Amendment No. 13 to the Existing Credit Agreement (“Amendment No. 13”), which modified the Existing Credit Agreement to, among other things, (i) provide that all interest payable for the New Term Loan Facility and Class A Revolving Credit Facility occurring on or prior to September 30, 2025 would be payable in-kind, and thus capitalized and added to the respective principal balances, (ii) waive the principal payments of the New Term Loan Facility on June 30, 2025 and September 30, 2025, (iii) extend the maturity date of borrowings outstanding under the Class A Revolving Credit Facility from June 30, 2025 to September 30, 2025 (which was then further extended pursuant to Amendment No. 14) and (iv) permit the Borrower to negotiate and consummate a receivables financing, securitization, receivables facility or other similar financing.</w:t>
      </w:r>
    </w:p>
    <w:p>
      <w:pPr>
        <w:spacing w:after="0" w:line="21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Pursuant to Amendment No. 13, the Company incurred $5.6 million in debt issuance costs which are payable in-kind, and thus capitalized and added to the outstanding principal balance. The Company paid an additional $0.4 million in debt issuance costs in cash related to Amendment No. 13. The total debt issuance costs are amortized over the life of the debt to interest expense using the effective interest method.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No. 14</w:t>
      </w:r>
    </w:p>
    <w:p>
      <w:pPr>
        <w:spacing w:after="0" w:line="233"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On August 6, 2025, the Borrower entered into Amendment No. 14 to the Existing Credit Agreement (“Amendment No. 14”), which further amends the Existing Credit Agreement to, among other things, (i) terminate all revolving commitments under the Class A-1 Revolving Credit Facility (with no revolving loans under the Class A-1 Revolving Credit Facility being outstanding on August 6, 2025), (ii) terminate all Class A revolving commitments and extend the maturity date of the remaining Class A revolving loans outstanding to August 5, 2029 (the “Class A Loans”), (iii) permit the Borrower to pay in-kind a portion of the interest on the outstanding Existing Term Loans and Class A Loans with such loan accruing interest at a rate equal to Adjusted Term SOFR plus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8.00% per annum, of which an amount of interest equal to at least Adjusted Term SOFR plus 4.50% is payable in cash with the remainder of such interest paid in-kind and (iv) waive the principal payments of the Existing Term Loans until December 31, 2026. Following Amendment No. 14, amounts repaid or prepaid in respect of the Class A Loans may not be reborrowed. As consideration for, and as a condition to, the lenders’ entry into Amendment No. 14, on August 6, 2025, the Company issued to lenders (or their affiliates) holding Class A Loans and Existing Term Loans (for these purposes, the “Subscribers”), pro rata based on their respective holdings thereof, an aggregate of 4,766,219 shares of Class A common stock. Both the New Class A Revolving Credit Facility and the Class A-1 Revolving credit facility were terminated with Amendment No. 14 and as a result there were no outstanding balances as of December 31, 2025.</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Superpriority Credit Agreement</w:t>
      </w:r>
    </w:p>
    <w:p>
      <w:pPr>
        <w:spacing w:after="0" w:line="26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August 6, 2025 (the “Closing Date”), the Borrower entered into the Superpriority Credit Agreement. The Superpriority Credit Agreement governs a senior secured superpriority term loan facility in an aggregate principal amount of $115.0 million (the “Superpriority Facility”) consisting of (a) $80.0 million in new-money term loans (together, the “New Money Term Loans”), of which (i) $40.0 million was funded on the closing date (the “Initial New Money Term Loans”) and (ii) $40.0 million is available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290195</wp:posOffset>
            </wp:positionV>
            <wp:extent cx="825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290195</wp:posOffset>
            </wp:positionV>
            <wp:extent cx="889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15" w:name="page16"/>
    <w:bookmarkEnd w:id="15"/>
    <w:p>
      <w:pPr>
        <w:ind w:right="40"/>
        <w:spacing w:after="0" w:line="259" w:lineRule="auto"/>
        <w:rPr>
          <w:sz w:val="20"/>
          <w:szCs w:val="20"/>
          <w:color w:val="auto"/>
        </w:rPr>
      </w:pPr>
      <w:r>
        <w:rPr>
          <w:rFonts w:ascii="Arial" w:cs="Arial" w:eastAsia="Arial" w:hAnsi="Arial"/>
          <w:sz w:val="16"/>
          <w:szCs w:val="16"/>
          <w:color w:val="auto"/>
        </w:rPr>
        <w:t>delayed-draw term loans (the “Delayed Draw Term Loans”), and (b) $35.0 million of roll-up term loans funded on the closing date (the “Roll-Up Term Loans” and together with the New Money Term Loans, the “Superpriority Term Loans”) resulting from the cashless conversion of a corresponding amount of Class A Loans at par that were outstanding under the Existing Credit Agreement into term loans on a dollar-for-dollar basis. Provided that no default or event of default has occurred and is continuing, the Delayed Draw Term Loans will be available to the Borrower on or after October 1, 2025, with the aggregate principal amount of such loans funded prior to November 1, 2025 not to exceed $15.0 million and prior to December 1, 2025, not to exceed $30.0 million, with the full amount available thereafter. Pursuant to this agreement, the Company had drawn the full $40.0 million of the Delayed Draw Term Loans as of March 31, 2026 and December 31, 2025.</w:t>
      </w:r>
    </w:p>
    <w:p>
      <w:pPr>
        <w:spacing w:after="0" w:line="217"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color w:val="auto"/>
        </w:rPr>
        <w:t>The Superpriority Facility matures on August 5, 2029. The New Money Term Loans bear interest in cash, at the Borrower’s election from time to time, at either (i) Adjusted Term SOFR plus 5.50% per annum or (ii) ABR plus 4.50% per annum. The Roll-Up Term Loans bear interest and have payment and prepayment terms substantially consistent with the Class A Loans.</w:t>
      </w:r>
    </w:p>
    <w:p>
      <w:pPr>
        <w:spacing w:after="0" w:line="19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Additionally, the New Money Term Loans are subject to a 2.00x multiple-on-invested-capital (“MOIC”), payable in cash upon partial or full repayment, prepayment, maturity or acceleration of the New Money Term Loans. The MOIC steps down to 1.75x for repayments occurring on or after January 1, 2026 but prior to April 1, 2027 and to 1.50x for repayments occurring on or after the closing date of the Superpriority Facility and prior to January 1, 2026. The MOIC payable is accrued over the term of the New Money Term Loans using the effective interest method. As of March 31, 2026 and December 31, 2025, the Company had recorded a liability of $6.1 million and $3.1 million, respectively, related to the MOIC payable which is recorded in “Long-term debt, net of current portion” on the Condensed Consolidated Balance Sheets and included in the outstanding principal balance of the New Money Term Loans.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Pursuant to Amendment No. 14 and the Superpriority Credit Agreement, the Company recognized an aggregate loss on extinguishment of debt of</w:t>
      </w:r>
    </w:p>
    <w:p>
      <w:pPr>
        <w:spacing w:after="0" w:line="2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$1.7 million. The Company recorded debt discounts of $25.1 million related to the Class A common stock issued as non-cash consideration pursuant to Amendment No. 14 and $2.4 million of closing fees payable in-kind, and thus capitalized and added to the outstanding principal balance. The Company paid an additional $8.0 million in debt issuance costs. The total debt discount and debt issuance costs are being amortized over the life of the debt to interest expense using the effective interest method.</w:t>
      </w:r>
    </w:p>
    <w:p>
      <w:pPr>
        <w:spacing w:after="0" w:line="212"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As of March 31, 2026 and December 31, 2025, the Borrower had a principal amount of $701.8 million and $688.5 million outstanding under the Borrower’s term loan facilities, respectively. The effective interest rate of the term loan facilities was 14.7% and 14.43% as of March 31, 2026 and December 31, 2025, respectively.</w:t>
      </w:r>
    </w:p>
    <w:p>
      <w:pPr>
        <w:spacing w:after="0" w:line="198"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As of December 31, 2025, the Company had no amounts outstanding and a remaining capacity of $35.0 million under the Class A-1 Revolving Credit Facility. Following the entry into Amendment No. 14, revolving commitments under the Class A Revolving Credit Facility and Class A-1 Revolving Credit Facility were terminated and amounts repaid or prepaid in respect to the Class A Loans may not be reborrowed.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 and Security</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Blizzard Midco, LLC, the Borrower and certain other subsidiaries of the Company are guarantors of the Borrower’s obligations under the Existing Credit Agreement. In addition, the obligations of the Borrower are secured by a first priority lien on substantially all of such guarantors’ assets, including a pledge of all of the equity interests of each of their respective subsidiaries, in each case, subject to customary exceptions and limitations.</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All principal, interest, premium, fees and other obligations in respect of the Superpriority Term Loans are (i) jointly and severally guaranteed by the subsidiaries of the Company that guarantee the Existing Credit Agreement, and any future material subsidiaries that execute a joinder to the guaranty and related collateral agreements and (ii) secured by a first priority lien on substantially all of the Borrower’s and the guarantors’ assets, subject to certain customary exceptions, on a senior basis to, and with payment priority senior to, all obligations outstanding under the Existing Credit Agreement on the closing date, subject to certain exceptions. In addition, pursuant to the Superpriority Credit Agreement, the Borrower is not permitted to make voluntary or mandatory prepayments of the Class A Revolving Loans and/or the Existing Term Loans, other than payment of amortization in respect of the Existing Term Loans, prior to the repayment in full, in cash, of the Superpriority Term Loan obligations.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 and Other Matters</w:t>
      </w:r>
    </w:p>
    <w:p>
      <w:pPr>
        <w:spacing w:after="0" w:line="24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Existing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its subsidiaries; change their fiscal year; and amend or modify governing documents. In addition, the Existing Credit Agreement contains financial and non-financial covenants. The Company is in compliance with all covenants as of March 31, 2026.</w:t>
      </w:r>
    </w:p>
    <w:p>
      <w:pPr>
        <w:spacing w:after="0" w:line="20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Existing Credit Agreement also contains certain customary representations and warranties and affirmative covenants, and certain reporting obligations. In addition, the lenders under the Existing Credit Facilities are permitted to accelerate all</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ind w:right="220"/>
        <w:spacing w:after="0" w:line="265" w:lineRule="auto"/>
        <w:rPr>
          <w:sz w:val="20"/>
          <w:szCs w:val="20"/>
          <w:color w:val="auto"/>
        </w:rPr>
      </w:pPr>
      <w:r>
        <w:rPr>
          <w:rFonts w:ascii="Arial" w:cs="Arial" w:eastAsia="Arial" w:hAnsi="Arial"/>
          <w:sz w:val="16"/>
          <w:szCs w:val="16"/>
          <w:color w:val="auto"/>
        </w:rPr>
        <w:t>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Superpriority Credit Agreement, the Borrower will be required to comply with a minimum liquidity covenant of (i)</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$5.0 million at the end of each calendar week, commencing with the calendar week beginning October 5, 2025, (ii) $15.0 million at the end of each calendar week, commencing with the calendar week beginning March 29, 2026, (iii) $20.0 million at the end of each calendar week, commencing with the calendar week beginning June 28, 2026, and (iv) $30.0 million at the end of each calendar week, commencing with the calendar week beginning September 27, 2026 and thereafter; provided, that during any period ending during the fiscal year ending December 31, 2026 and thereafter where the last business day of any calendar week therein occurs during the month of October, November or December, minimum liquidity shall instead be $10.0 million.</w:t>
      </w:r>
    </w:p>
    <w:p>
      <w:pPr>
        <w:spacing w:after="0" w:line="20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Superpriority Credit Agreement contains customary non-financial covenants consistent with the Existing Credit Agreement that limit, among other things, mergers and acquisitions; investments, loans, and advances; affiliate transactions; changes to capital structure and the business; additional indebtedness; additional liens; the payment of dividends; and the sale of assets, in each case, subject to certain customary exceptions. In addition, the Superpriority Credit Agreement contains a covenant pursuant to which the Borrower and its subsidiaries are restricted from pursuing certain “liability management transactions” without the consent of the lenders holding a majority of the Roll-Up Term Loans and also includes certain restrictions on future financings.</w:t>
      </w:r>
    </w:p>
    <w:p>
      <w:pPr>
        <w:spacing w:after="0" w:line="21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Superpriority Credit Agreement also contains customary events of default, including payment defaults, breaches of representations and warranties, covenant defaults, defaults under other material debt, events of bankruptcy and insolvency, failure of any guaranty or security document to be in full force and effect, and a change of control of the business.</w:t>
      </w:r>
    </w:p>
    <w:p>
      <w:pPr>
        <w:spacing w:after="0" w:line="191"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See Note 1, “Description of Business and Significant Accounting Policies,” to the Condensed Consolidated Financial Statements for information regarding the Company’s going concern assessment</w:t>
      </w:r>
      <w:r>
        <w:rPr>
          <w:rFonts w:ascii="Arial" w:cs="Arial" w:eastAsia="Arial" w:hAnsi="Arial"/>
          <w:sz w:val="21"/>
          <w:szCs w:val="2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4. STOCKHOLDERS' EQUITY (DEFICIT)</w:t>
      </w:r>
    </w:p>
    <w:p>
      <w:pPr>
        <w:spacing w:after="0" w:line="2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92"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Board of Directors is authorized to direct the Company to issue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7" w:lineRule="exact"/>
        <w:rPr>
          <w:sz w:val="20"/>
          <w:szCs w:val="20"/>
          <w:color w:val="auto"/>
        </w:rPr>
      </w:pPr>
    </w:p>
    <w:p>
      <w:pPr>
        <w:jc w:val="both"/>
        <w:ind w:right="220"/>
        <w:spacing w:after="0" w:line="265"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ind w:right="340"/>
        <w:spacing w:after="0" w:line="286" w:lineRule="auto"/>
        <w:rPr>
          <w:sz w:val="20"/>
          <w:szCs w:val="20"/>
          <w:color w:val="auto"/>
        </w:rPr>
      </w:pPr>
      <w:r>
        <w:rPr>
          <w:rFonts w:ascii="Arial" w:cs="Arial" w:eastAsia="Arial" w:hAnsi="Arial"/>
          <w:sz w:val="16"/>
          <w:szCs w:val="16"/>
          <w:color w:val="auto"/>
        </w:rPr>
        <w:t>price of one share of the Company’s Class A common stock for each LLC Interest so redeemed, in each case, in accordance with the terms of the GHH, LLC Agreement.</w:t>
      </w:r>
    </w:p>
    <w:p>
      <w:pPr>
        <w:spacing w:after="0" w:line="16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three months ended March 31, 2026 and 2025 were 43.8% and 55.0%, respectively.</w:t>
      </w:r>
    </w:p>
    <w:p>
      <w:pPr>
        <w:spacing w:after="0" w:line="17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Convertible Preferred Stock</w:t>
      </w:r>
    </w:p>
    <w:p>
      <w:pPr>
        <w:spacing w:after="0" w:line="235"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w:t>
      </w:r>
    </w:p>
    <w:p>
      <w:pPr>
        <w:spacing w:after="0" w:line="17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 is authorized to issue 20,000,000 shares of preferred stock with a par value of $0.0001 per share as of both March 31, 2026 and December 31, 2025,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7.0%. Holders of Series A-1 convertible preferred stock are only entitled to dividends if the Company declares such dividends. For the three months ended March 31, 2026 and 2025, the Company accrued $1.0 million, for each period of dividends relating to the Series A redeemable convertible preferred stock that were not paid in cash. The accrued dividends are included in temporary equity on the Condensed Consolidated Balance Sheets.</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March 31, 2026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spacing w:after="0" w:line="3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The Nasdaq Global Market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8" w:name="page19"/>
    <w:bookmarkEnd w:id="18"/>
    <w:p>
      <w:pPr>
        <w:ind w:right="40"/>
        <w:spacing w:after="0" w:line="258" w:lineRule="auto"/>
        <w:rPr>
          <w:sz w:val="20"/>
          <w:szCs w:val="20"/>
          <w:color w:val="auto"/>
        </w:rPr>
      </w:pPr>
      <w:r>
        <w:rPr>
          <w:rFonts w:ascii="Arial" w:cs="Arial" w:eastAsia="Arial" w:hAnsi="Arial"/>
          <w:sz w:val="16"/>
          <w:szCs w:val="16"/>
          <w:color w:val="auto"/>
        </w:rPr>
        <w:t>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listing rules of The Nasdaq Global Market. The Series A-1 convertible preferred stock is not entitled to vote with the Class A common stock on matters submitted to a vote of the holders of the Class A common stock and will have no voting rights except as required by applicable law.</w:t>
      </w:r>
    </w:p>
    <w:p>
      <w:pPr>
        <w:spacing w:after="0" w:line="180"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w:t>
      </w:r>
    </w:p>
    <w:p>
      <w:pPr>
        <w:spacing w:after="0" w:line="21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Issuance of Shares of Class A Common Stock</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As consideration for, and as a condition to, the lenders’ entry into Amendment No. 14 to the Existing Credit Agreement, on August 6, 2025, the Company issued to lenders (or their affiliates) holding Class A Revolving Loans and Existing Term Loans (for these purposes, the “Subscribers”), pro rata based on their respective holdings thereof, an aggregate of 4,766,219 shares of Class A common stock, which represented an aggregate of 19.99% of the total issued and outstanding shares of the Company’s Class A common stock and Class B common stock, calculated immediately prior to the consummation of the transactions contemplated by Amendment No. 14, or 16.66% post-closing. Pursuant to a Registration Rights Agreement among the Company and the Subscribers (as amended), the Subscribers are entitled to certain customary registration rights with respect to the shares issued to them. Refer to Note 3, “Long-Term Debt”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SHARE-BASED COMPENSATION PLANS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(benefit) by operating function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Consumer care and enrollment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20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203"/>
        </w:trPr>
        <w:tc>
          <w:tcPr>
            <w:tcW w:w="85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w:t>
            </w:r>
          </w:p>
        </w:tc>
      </w:tr>
      <w:tr>
        <w:trPr>
          <w:trHeight w:val="221"/>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 (benefit)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580" w:hanging="332"/>
        <w:spacing w:after="0" w:line="298" w:lineRule="auto"/>
        <w:tabs>
          <w:tab w:leader="none" w:pos="32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For the </w:t>
      </w:r>
      <w:r>
        <w:rPr>
          <w:rFonts w:ascii="Arial" w:cs="Arial" w:eastAsia="Arial" w:hAnsi="Arial"/>
          <w:sz w:val="16"/>
          <w:szCs w:val="16"/>
          <w:color w:val="auto"/>
        </w:rPr>
        <w:t>three months ended March 31, 2026</w:t>
      </w:r>
      <w:r>
        <w:rPr>
          <w:rFonts w:ascii="Arial" w:cs="Arial" w:eastAsia="Arial" w:hAnsi="Arial"/>
          <w:sz w:val="14"/>
          <w:szCs w:val="14"/>
          <w:i w:val="1"/>
          <w:iCs w:val="1"/>
          <w:color w:val="auto"/>
        </w:rPr>
        <w:t xml:space="preserve"> and 2025, share-based compensation expense (benefit) includes expense related to the stock appreciation rights (“SARs”), which are liability classified awards.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6. NET INCOME (LOSS) PER SHARE</w:t>
      </w:r>
    </w:p>
    <w:p>
      <w:pPr>
        <w:spacing w:after="0" w:line="22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Basic income (loss) per share is computed by dividing net income (loss) attributable to common stockholders by the weighted-average number of shares of Class A common stock outstanding during the period. Diluted income (loss) per share is computed giving effect to all potentially dilutive shares.</w:t>
      </w:r>
    </w:p>
    <w:p>
      <w:pPr>
        <w:spacing w:after="0" w:line="14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 reconciliation of the numerator and denominator used in the calculation of basic and diluted net income (loss) per share of Class A common stock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(66,136)</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(9,786)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0" w:type="dxa"/>
            <w:vAlign w:val="bottom"/>
          </w:tcPr>
          <w:p>
            <w:pPr>
              <w:spacing w:after="0"/>
              <w:rPr>
                <w:sz w:val="1"/>
                <w:szCs w:val="1"/>
                <w:color w:val="auto"/>
              </w:rPr>
            </w:pP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GoHealth, Inc.</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(4,408)</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Dividends accumulated on redeemable convertible preferred stock</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common stockholders - basic</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(38,195)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18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Denominator:</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of Class A common stock outstanding—basic and diluted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10,373</w:t>
            </w:r>
          </w:p>
        </w:tc>
        <w:tc>
          <w:tcPr>
            <w:tcW w:w="0" w:type="dxa"/>
            <w:vAlign w:val="bottom"/>
          </w:tcPr>
          <w:p>
            <w:pPr>
              <w:spacing w:after="0"/>
              <w:rPr>
                <w:sz w:val="1"/>
                <w:szCs w:val="1"/>
                <w:color w:val="auto"/>
              </w:rPr>
            </w:pPr>
          </w:p>
        </w:tc>
      </w:tr>
      <w:tr>
        <w:trPr>
          <w:trHeight w:val="22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per share of Class A common stock—basic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income (loss) per share of Class A common stock—diluted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0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(0.52)</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following number of shares were excluded from the calculation of diluted income (loss) per share of Class A common stock because the effect of including such potentially dilutive shares would have been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Mar. 31,</w:t>
            </w:r>
          </w:p>
        </w:tc>
        <w:tc>
          <w:tcPr>
            <w:tcW w:w="1020" w:type="dxa"/>
            <w:vAlign w:val="bottom"/>
            <w:tcBorders>
              <w:bottom w:val="single" w:sz="8" w:color="auto"/>
            </w:tcBorders>
          </w:tcPr>
          <w:p>
            <w:pPr>
              <w:spacing w:after="0"/>
              <w:rPr>
                <w:sz w:val="17"/>
                <w:szCs w:val="17"/>
                <w:color w:val="auto"/>
              </w:rPr>
            </w:pPr>
          </w:p>
        </w:tc>
      </w:tr>
      <w:tr>
        <w:trPr>
          <w:trHeight w:val="19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w:t>
            </w:r>
          </w:p>
        </w:tc>
      </w:tr>
      <w:tr>
        <w:trPr>
          <w:trHeight w:val="199"/>
        </w:trPr>
        <w:tc>
          <w:tcPr>
            <w:tcW w:w="83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5,219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4,113</w:t>
            </w:r>
          </w:p>
        </w:tc>
      </w:tr>
      <w:tr>
        <w:trPr>
          <w:trHeight w:val="20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B common stock</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12,616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12,623</w:t>
            </w:r>
          </w:p>
        </w:tc>
      </w:tr>
    </w:tbl>
    <w:p>
      <w:pPr>
        <w:spacing w:after="0" w:line="296"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income (loss) per share of Class B common stock under the two-class method has not been presented.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279400</wp:posOffset>
            </wp:positionV>
            <wp:extent cx="825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279400</wp:posOffset>
            </wp:positionV>
            <wp:extent cx="889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0" w:name="page21"/>
    <w:bookmarkEnd w:id="20"/>
    <w:p>
      <w:pPr>
        <w:ind w:right="780"/>
        <w:spacing w:after="0" w:line="286" w:lineRule="auto"/>
        <w:rPr>
          <w:sz w:val="20"/>
          <w:szCs w:val="20"/>
          <w:color w:val="auto"/>
        </w:rPr>
      </w:pPr>
      <w:r>
        <w:rPr>
          <w:rFonts w:ascii="Arial" w:cs="Arial" w:eastAsia="Arial" w:hAnsi="Arial"/>
          <w:sz w:val="16"/>
          <w:szCs w:val="16"/>
          <w:color w:val="auto"/>
        </w:rPr>
        <w:t>of Series A redeemable convertible preferred stock are not participating securities as holders receive a contractual dividend. Accordingly, separate presentation of income (loss) per share of Series A redeemable convertible preferred stock under the two-class method has not been presented.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7. INCOME TAXES</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except for a foreign subsidiary, which is treated as a foreign disregarded entity. As a partnership, GHH, LLC does not pay any federal income taxes, as income or loss is included in the tax returns of the individual members. In 2024, the Company acquired a 100% equity interest in e-TeleQuote Insurance, Inc. (“e-TeleQuote”) which is taxed as a corporation. These corporations are subject to federal and state income taxes in the jurisdictions in which they operate. Additionally, the Company’s foreign subsidiaries are subject to foreign income taxes in the jurisdiction in which they operate. The accruals for such taxes are included in the Condensed Consolidated Financial Statements.</w:t>
      </w:r>
    </w:p>
    <w:p>
      <w:pPr>
        <w:spacing w:after="0" w:line="180"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The Company’s effective tax rate for the three months ended March 31, 2026, and 2025 was (1.09)% and (13.47)%,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Receivable Agreement</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March 31, 2026 and December 31, 2025, the Company determined that $1.3 million liability related to the Tax Receivable Agreement arose from the Transactions, respectively. Should the Company determine that any additional Tax Receivable Agreement liability is considered probable at a future date based on new information, any changes will be recorded within earnings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8</w:t>
      </w:r>
      <w:r>
        <w:rPr>
          <w:rFonts w:ascii="Arial" w:cs="Arial" w:eastAsia="Arial" w:hAnsi="Arial"/>
          <w:sz w:val="16"/>
          <w:szCs w:val="16"/>
          <w:b w:val="1"/>
          <w:bCs w:val="1"/>
          <w:color w:val="00497F"/>
        </w:rPr>
        <w:t>. REVENUE</w:t>
      </w:r>
    </w:p>
    <w:p>
      <w:pPr>
        <w:spacing w:after="0" w:line="22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primary services provided by the Company relate to the sale and administration of Medicare insurance products through either the agency model or the non-agency model, as described below. Beginning in the quarter ended June 30, 2025, we revised the presentation of disaggregation of revenue to further disaggregate Other Revenue into other agency revenue and other non-agency revenue. Prior period presentation has been conformed to reflect current period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Revenue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8"/>
        </w:trPr>
        <w:tc>
          <w:tcPr>
            <w:tcW w:w="8500" w:type="dxa"/>
            <w:vAlign w:val="bottom"/>
          </w:tcPr>
          <w:p>
            <w:pPr>
              <w:ind w:left="240"/>
              <w:spacing w:after="0"/>
              <w:rPr>
                <w:sz w:val="20"/>
                <w:szCs w:val="20"/>
                <w:color w:val="auto"/>
              </w:rPr>
            </w:pPr>
            <w:r>
              <w:rPr>
                <w:rFonts w:ascii="Arial" w:cs="Arial" w:eastAsia="Arial" w:hAnsi="Arial"/>
                <w:sz w:val="14"/>
                <w:szCs w:val="14"/>
                <w:color w:val="auto"/>
              </w:rPr>
              <w:t>Medicare Agency Revenue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8500" w:type="dxa"/>
            <w:vAlign w:val="bottom"/>
            <w:shd w:val="clear" w:color="auto" w:fill="CCEEFF"/>
          </w:tcPr>
          <w:p>
            <w:pPr>
              <w:jc w:val="center"/>
              <w:ind w:right="5988"/>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9"/>
                <w:szCs w:val="9"/>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167,109</w:t>
            </w:r>
          </w:p>
        </w:tc>
      </w:tr>
      <w:tr>
        <w:trPr>
          <w:trHeight w:val="198"/>
        </w:trPr>
        <w:tc>
          <w:tcPr>
            <w:tcW w:w="85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Partner Marketing and Other Revenue</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20,524</w:t>
            </w:r>
          </w:p>
        </w:tc>
      </w:tr>
      <w:tr>
        <w:trPr>
          <w:trHeight w:val="200"/>
        </w:trPr>
        <w:tc>
          <w:tcPr>
            <w:tcW w:w="8500" w:type="dxa"/>
            <w:vAlign w:val="bottom"/>
            <w:shd w:val="clear" w:color="auto" w:fill="CCEEFF"/>
          </w:tcPr>
          <w:p>
            <w:pPr>
              <w:jc w:val="center"/>
              <w:ind w:right="5988"/>
              <w:spacing w:after="0"/>
              <w:rPr>
                <w:sz w:val="20"/>
                <w:szCs w:val="20"/>
                <w:color w:val="auto"/>
              </w:rPr>
            </w:pPr>
            <w:r>
              <w:rPr>
                <w:rFonts w:ascii="Arial" w:cs="Arial" w:eastAsia="Arial" w:hAnsi="Arial"/>
                <w:sz w:val="14"/>
                <w:szCs w:val="14"/>
                <w:color w:val="auto"/>
              </w:rPr>
              <w:t>Total Medicare Agency Revenue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187,633</w:t>
            </w:r>
          </w:p>
        </w:tc>
      </w:tr>
      <w:tr>
        <w:trPr>
          <w:trHeight w:val="192"/>
        </w:trPr>
        <w:tc>
          <w:tcPr>
            <w:tcW w:w="8500" w:type="dxa"/>
            <w:vAlign w:val="bottom"/>
            <w:tcBorders>
              <w:bottom w:val="single" w:sz="8" w:color="CCEEFF"/>
            </w:tcBorders>
          </w:tcPr>
          <w:p>
            <w:pPr>
              <w:jc w:val="center"/>
              <w:ind w:right="6028"/>
              <w:spacing w:after="0"/>
              <w:rPr>
                <w:sz w:val="20"/>
                <w:szCs w:val="20"/>
                <w:color w:val="auto"/>
              </w:rPr>
            </w:pPr>
            <w:r>
              <w:rPr>
                <w:rFonts w:ascii="Arial" w:cs="Arial" w:eastAsia="Arial" w:hAnsi="Arial"/>
                <w:sz w:val="14"/>
                <w:szCs w:val="14"/>
                <w:color w:val="auto"/>
              </w:rPr>
              <w:t>Medicare Non-Agency Revenue</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31,771</w:t>
            </w:r>
          </w:p>
        </w:tc>
      </w:tr>
      <w:tr>
        <w:trPr>
          <w:trHeight w:val="200"/>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Medicare Revenue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9,995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219,404</w:t>
            </w:r>
          </w:p>
        </w:tc>
      </w:tr>
      <w:tr>
        <w:trPr>
          <w:trHeight w:val="179"/>
        </w:trPr>
        <w:tc>
          <w:tcPr>
            <w:tcW w:w="850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6"/>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Non-Agency Revenue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w:t>
            </w:r>
          </w:p>
        </w:tc>
      </w:tr>
      <w:tr>
        <w:trPr>
          <w:trHeight w:val="19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Agency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r>
      <w:tr>
        <w:trPr>
          <w:trHeight w:val="19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Revenue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1,568</w:t>
            </w:r>
          </w:p>
        </w:tc>
      </w:tr>
      <w:tr>
        <w:trPr>
          <w:trHeight w:val="197"/>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220,972</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360045</wp:posOffset>
            </wp:positionV>
            <wp:extent cx="825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360045</wp:posOffset>
            </wp:positionV>
            <wp:extent cx="889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21" w:name="page22"/>
    <w:bookmarkEnd w:id="21"/>
    <w:p>
      <w:pPr>
        <w:spacing w:after="0"/>
        <w:tabs>
          <w:tab w:leader="none" w:pos="300" w:val="left"/>
        </w:tabs>
        <w:rPr>
          <w:sz w:val="20"/>
          <w:szCs w:val="20"/>
          <w:color w:val="auto"/>
        </w:rPr>
      </w:pPr>
      <w:r>
        <w:rPr>
          <w:rFonts w:ascii="Arial" w:cs="Arial" w:eastAsia="Arial" w:hAnsi="Arial"/>
          <w:sz w:val="14"/>
          <w:szCs w:val="14"/>
          <w:i w:val="1"/>
          <w:iCs w:val="1"/>
          <w:color w:val="auto"/>
        </w:rPr>
        <w:t>(1)</w:t>
        <w:tab/>
        <w:t>Commission revenue excludes commissions generated from the sale of individual and family plan insurance products</w:t>
      </w:r>
      <w:r>
        <w:rPr>
          <w:rFonts w:ascii="Arial" w:cs="Arial" w:eastAsia="Arial" w:hAnsi="Arial"/>
          <w:sz w:val="16"/>
          <w:szCs w:val="16"/>
          <w:i w:val="1"/>
          <w:iCs w:val="1"/>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Medicare Revenue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Agency Revenue</w:t>
      </w:r>
    </w:p>
    <w:p>
      <w:pPr>
        <w:spacing w:after="0" w:line="24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Medicare agency revenue refers to the commission revenue and partner marketing and other revenue the Company receives when GoHealth agents or the Company’s independent network of outsourced agents, also referred to as external agents, enroll the consumer and submit the Medicare policy application to the health plan partner, becoming the agent of record. The Company records as commission revenue the expected amount of initial commissions received from the health plan partners and any renewal commissions to be paid on such placement as long as the policyholder remains with the same insurance 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 utilizes a practical expedient to estimate commission revenue for each insurance product by applying the use of a portfolio approach to group approved members by the effective month of the relevant policy (referred to as a “vintage”). 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w:t>
      </w: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is also compensated by its health plan partners for providing Medicare-related marketing services over a predetermined measurement period, which the Company records as partner marketing and other revenue. The Company recognizes these revenues over the measurement period as insurance applications produced by the Company are generated. The Company generally gets paid a fixed fee per application, with the amount of variable consideration resolved within 90 days of the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Non-Agency Revenue</w:t>
      </w:r>
    </w:p>
    <w:p>
      <w:pPr>
        <w:spacing w:after="0" w:line="21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Medicare non-agency revenue includes enrollment and engagement services through Encompass Connect and Encompass Engage. Encompass Connect is designed to provide enrollment related services to participating partners for Medicare products.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 revenue or health plan partner experience to the extent available and expectations as to future retention rates. The Company does not receive commissions or fees on subsequent renewals generated from the transferred leads. Encompass Engage includes post-enrollment member outreach and engagement services, including facilitating an onboarding experience customized to a members’ Medicare plan and health needs. The Company recognizes Encompass Engage revenue at the point in time the service is provided based on member retention and providing post-enrollment services.</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Medicare non-agency revenue also includes value-based care provider engagement, health risk assessments, social determinants of health screening and preferred pharmacy programs. The Company recognizes revenue for the related performance obligation at the point in time the service is provided.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Non-Agency Revenue</w:t>
      </w:r>
    </w:p>
    <w:p>
      <w:pPr>
        <w:spacing w:after="0" w:line="2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Other non-agency revenue includes enrollment related services through GoHealth Protect, a suite of products to cover unexpected life events, including guaranteed acceptance life insurance. The Company is compensated for guaranteed acceptance life insurance through the non-agency model where GoHealth is not the agent of record and cash is collected in close proximity to the point of sale. Revenue is recognized at the point in time the enrollment is submitted, approved by the health plan partner, and for which the payment information was received by the health plan partner. The Company’s performance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22" w:name="page23"/>
    <w:bookmarkEnd w:id="22"/>
    <w:p>
      <w:pPr>
        <w:jc w:val="both"/>
        <w:ind w:right="600"/>
        <w:spacing w:after="0" w:line="275" w:lineRule="auto"/>
        <w:rPr>
          <w:sz w:val="20"/>
          <w:szCs w:val="20"/>
          <w:color w:val="auto"/>
        </w:rPr>
      </w:pPr>
      <w:r>
        <w:rPr>
          <w:rFonts w:ascii="Arial" w:cs="Arial" w:eastAsia="Arial" w:hAnsi="Arial"/>
          <w:sz w:val="16"/>
          <w:szCs w:val="16"/>
          <w:color w:val="auto"/>
        </w:rPr>
        <w:t>obligation is complete when the health plan partner has received the enrollment. The Company estimates the amount of variable consideration that it expects to receive based on expectations as to future retention rates and average premium levels. Other non-agency revenue also includes revenue unrelated to Medicare products, including certain post-enrollment services.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Agency Revenue</w:t>
      </w:r>
    </w:p>
    <w:p>
      <w:pPr>
        <w:spacing w:after="0" w:line="23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Other agency revenue is comprised of revenue unrelated to Medicare products, including commissions revenue generated from the sale of individual and family plan insurance products.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23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records commissions receivable, commissions payable and deferred revenue related to its contracts with customers. Commissions receivable represents estimated variable consideration for commissions to be received from health plan partners for performance obligations that have been satisfied. Commissions payable represents estimated commissions to be paid to the Company’s external partners.</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 had unbilled receivables for performance-based enrollment fees and non-agency revenue, as well as prepaid expenses for revenue share, as of March 31, 2026 and December 31, 2025 of $0.6 million and $0.7 million, respectively, which are recorded in prepaid expenses and other current assets on the Condensed Consolidated Balance Sheets. The $0.1 million decrease was primarily due to a decline in unbilled receivables for performance-based enrollment fees pursuant to Encompass Connect. In addition, the Company had accrued payments for revenue share as of March 31, 2026 and December 31, 2025 of $8.2 million and $13.3 million, respectively, which are recorded in accrued liabilities on the Condensed Consolidated Balance Sheets.</w:t>
      </w:r>
    </w:p>
    <w:p>
      <w:pPr>
        <w:spacing w:after="0" w:line="18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Deferred revenue includes amounts collected for partner marketing services and non-agency revenue in advance of the Company satisfying its performance obligations for such customers. The decrease in deferred revenue during the three months ended March 31, 2026 compared to December 31, 2025 was primarily due to less cash received as of March 31, 2026 compared to December 31, 2025 for marketing, administrative and enrollment fees in advance of performing such services that the Company expects to satisfy within the next twelve months. During the three months ended March 31, 2026 and 2025, the Company recognized revenue that was recorded in deferred revenue on the Condensed Consolidated Balance Sheets at the beginning of the respective fiscal year of $1.7 million and $41.6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925,171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1,053,560</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9"/>
                <w:szCs w:val="9"/>
                <w:color w:val="auto"/>
              </w:rPr>
              <w:t>(1)</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170,537</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(223,515)</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Allowance for credit loss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852,383</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1,000,617</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Commissions receivable - current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214,558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207,443</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793,174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Commission revenue includes commissions generated from the sale of individual and family plan insurance products.</w:t>
      </w:r>
    </w:p>
    <w:p>
      <w:pPr>
        <w:spacing w:after="0" w:line="22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commissions receivable balances. The Company estimates the maximum credit risk in determining the commissions receivable amount recorded on the Condensed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health plan partners representing 10% or more of the Company’s total net revenues for the periods indicated: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20</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3" w:name="page24"/>
    <w:bookmarkEnd w:id="23"/>
    <w:p>
      <w:pPr>
        <w:ind w:left="8780"/>
        <w:spacing w:after="0"/>
        <w:rPr>
          <w:sz w:val="20"/>
          <w:szCs w:val="20"/>
          <w:color w:val="auto"/>
        </w:rPr>
      </w:pPr>
      <w:r>
        <w:rPr>
          <w:rFonts w:ascii="Arial" w:cs="Arial" w:eastAsia="Arial" w:hAnsi="Arial"/>
          <w:sz w:val="14"/>
          <w:szCs w:val="14"/>
          <w:b w:val="1"/>
          <w:bCs w:val="1"/>
          <w:color w:val="auto"/>
        </w:rPr>
        <w:t>Three months ended Mar.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r>
      <w:tr>
        <w:trPr>
          <w:trHeight w:val="197"/>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Elevance Health</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54.5 %</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r>
      <w:tr>
        <w:trPr>
          <w:trHeight w:val="198"/>
        </w:trPr>
        <w:tc>
          <w:tcPr>
            <w:tcW w:w="9220" w:type="dxa"/>
            <w:vAlign w:val="bottom"/>
            <w:gridSpan w:val="2"/>
          </w:tcPr>
          <w:p>
            <w:pPr>
              <w:ind w:left="20"/>
              <w:spacing w:after="0"/>
              <w:rPr>
                <w:sz w:val="20"/>
                <w:szCs w:val="20"/>
                <w:color w:val="auto"/>
              </w:rPr>
            </w:pPr>
            <w:r>
              <w:rPr>
                <w:rFonts w:ascii="Arial" w:cs="Arial" w:eastAsia="Arial" w:hAnsi="Arial"/>
                <w:sz w:val="14"/>
                <w:szCs w:val="14"/>
                <w:color w:val="auto"/>
              </w:rPr>
              <w:t>United</w:t>
            </w:r>
          </w:p>
        </w:tc>
        <w:tc>
          <w:tcPr>
            <w:tcW w:w="50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37.4 %</w:t>
            </w:r>
          </w:p>
        </w:tc>
      </w:tr>
      <w:tr>
        <w:trPr>
          <w:trHeight w:val="207"/>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Colonial Penn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13.2 %</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8"/>
        </w:trPr>
        <w:tc>
          <w:tcPr>
            <w:tcW w:w="9220" w:type="dxa"/>
            <w:vAlign w:val="bottom"/>
            <w:gridSpan w:val="2"/>
          </w:tcPr>
          <w:p>
            <w:pPr>
              <w:ind w:left="20"/>
              <w:spacing w:after="0"/>
              <w:rPr>
                <w:sz w:val="20"/>
                <w:szCs w:val="20"/>
                <w:color w:val="auto"/>
              </w:rPr>
            </w:pPr>
            <w:r>
              <w:rPr>
                <w:rFonts w:ascii="Arial" w:cs="Arial" w:eastAsia="Arial" w:hAnsi="Arial"/>
                <w:sz w:val="14"/>
                <w:szCs w:val="14"/>
                <w:color w:val="auto"/>
              </w:rPr>
              <w:t>Centene</w:t>
            </w:r>
          </w:p>
        </w:tc>
        <w:tc>
          <w:tcPr>
            <w:tcW w:w="5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10.6 %</w:t>
            </w:r>
          </w:p>
        </w:tc>
      </w:tr>
      <w:tr>
        <w:trPr>
          <w:trHeight w:val="207"/>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Humana</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does not require collateral or other security in granting credit. As of March 31, 2026, one customer represented 10% or more of the Company’s total accounts receivable and unbilled receivables and, in aggregate, represented 96.4%, or $0.5 million, of the combined total. As of December 31, 2025, two customers each represented 10% or more of the Company’s total accounts receivable and unbilled receivables and, in aggregate, represented 100%, or $0.7 million, of the combined total.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9. LEASES</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Company has entered into operating agreements with lease periods expiring between 2025 and 2032. Lease expense for operating lease payments is recognized on a straight-line basis over the lease term.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Components of lease expense are as follows, all recorded within operating expenses in the Condensed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r>
      <w:tr>
        <w:trPr>
          <w:trHeight w:val="203"/>
        </w:trPr>
        <w:tc>
          <w:tcPr>
            <w:tcW w:w="8500" w:type="dxa"/>
            <w:vAlign w:val="bottom"/>
          </w:tcPr>
          <w:p>
            <w:pPr>
              <w:ind w:left="20"/>
              <w:spacing w:after="0" w:line="202" w:lineRule="exact"/>
              <w:rPr>
                <w:sz w:val="20"/>
                <w:szCs w:val="20"/>
                <w:color w:val="auto"/>
              </w:rPr>
            </w:pPr>
            <w:r>
              <w:rPr>
                <w:rFonts w:ascii="Arial" w:cs="Arial" w:eastAsia="Arial" w:hAnsi="Arial"/>
                <w:sz w:val="14"/>
                <w:szCs w:val="14"/>
                <w:color w:val="auto"/>
              </w:rPr>
              <w:t>Short-term lease cost</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85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Variable lease cost</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r>
      <w:tr>
        <w:trPr>
          <w:trHeight w:val="22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net lease expense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costs related to leases, which at the commencement date, have a lease term of 12 months or less.</w:t>
      </w:r>
    </w:p>
    <w:p>
      <w:pPr>
        <w:spacing w:after="0" w:line="26" w:lineRule="exact"/>
        <w:rPr>
          <w:rFonts w:ascii="Arial" w:cs="Arial" w:eastAsia="Arial" w:hAnsi="Arial"/>
          <w:sz w:val="14"/>
          <w:szCs w:val="14"/>
          <w:i w:val="1"/>
          <w:iCs w:val="1"/>
          <w:color w:val="auto"/>
        </w:rPr>
      </w:pPr>
    </w:p>
    <w:p>
      <w:pPr>
        <w:ind w:left="340" w:right="80" w:hanging="332"/>
        <w:spacing w:after="0" w:line="264" w:lineRule="auto"/>
        <w:tabs>
          <w:tab w:leader="none" w:pos="32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costs incurred by the Company for the right to use an underlying asset that vary because of changes in facts or circumstances occurring after the commencement date, other than the passage of time.</w:t>
      </w: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$0.7 million in operating lease impairment charges for the three months ended March 31, 2025 which are recorded in “Indefinite and long-lived asset impairment charges” on the Condensed Consolidated Statements of Operations. The operating lease impairment charges reduce the carrying value of the associated ROU assets and leasehold improvements to their estimated fair values. For the three months ended March 31, 2025, the Company recognized $0.2 million of one-time gains from the remeasurement of the lease liability and adjustment of the ROU asset (which was previously impaired) related to the early termination of one of its leases. The gain on lease remeasurement was recorded in general and administrative expense on the Condensed Consolidated Statements of Operations. There were no operating lease impairment charges recorded for the three months ended March 31, 2026.</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future minimum lease payments for operating leases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97"/>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8,859</w:t>
            </w:r>
          </w:p>
        </w:tc>
        <w:tc>
          <w:tcPr>
            <w:tcW w:w="0" w:type="dxa"/>
            <w:vAlign w:val="bottom"/>
          </w:tcPr>
          <w:p>
            <w:pPr>
              <w:spacing w:after="0"/>
              <w:rPr>
                <w:sz w:val="1"/>
                <w:szCs w:val="1"/>
                <w:color w:val="auto"/>
              </w:rPr>
            </w:pPr>
          </w:p>
        </w:tc>
      </w:tr>
      <w:tr>
        <w:trPr>
          <w:trHeight w:val="198"/>
        </w:trPr>
        <w:tc>
          <w:tcPr>
            <w:tcW w:w="9660" w:type="dxa"/>
            <w:vAlign w:val="bottom"/>
          </w:tcPr>
          <w:p>
            <w:pPr>
              <w:ind w:left="20"/>
              <w:spacing w:after="0"/>
              <w:rPr>
                <w:sz w:val="20"/>
                <w:szCs w:val="20"/>
                <w:color w:val="auto"/>
              </w:rPr>
            </w:pPr>
            <w:r>
              <w:rPr>
                <w:rFonts w:ascii="Arial" w:cs="Arial" w:eastAsia="Arial" w:hAnsi="Arial"/>
                <w:sz w:val="14"/>
                <w:szCs w:val="14"/>
                <w:color w:val="auto"/>
              </w:rPr>
              <w:t>2027</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206"/>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199"/>
        </w:trPr>
        <w:tc>
          <w:tcPr>
            <w:tcW w:w="9660" w:type="dxa"/>
            <w:vAlign w:val="bottom"/>
          </w:tcPr>
          <w:p>
            <w:pPr>
              <w:ind w:left="20"/>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5,717</w:t>
            </w:r>
          </w:p>
        </w:tc>
        <w:tc>
          <w:tcPr>
            <w:tcW w:w="0" w:type="dxa"/>
            <w:vAlign w:val="bottom"/>
          </w:tcPr>
          <w:p>
            <w:pPr>
              <w:spacing w:after="0"/>
              <w:rPr>
                <w:sz w:val="1"/>
                <w:szCs w:val="1"/>
                <w:color w:val="auto"/>
              </w:rPr>
            </w:pPr>
          </w:p>
        </w:tc>
      </w:tr>
      <w:tr>
        <w:trPr>
          <w:trHeight w:val="206"/>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19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8,738</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43,579</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Imputed interest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(8,592)</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34,987</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3"/>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paid for amounts included in the measurement of lease liabilities: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8"/>
        </w:trPr>
        <w:tc>
          <w:tcPr>
            <w:tcW w:w="8300" w:type="dxa"/>
            <w:vAlign w:val="bottom"/>
          </w:tcPr>
          <w:p>
            <w:pPr>
              <w:ind w:left="240"/>
              <w:spacing w:after="0"/>
              <w:rPr>
                <w:sz w:val="20"/>
                <w:szCs w:val="20"/>
                <w:color w:val="auto"/>
              </w:rPr>
            </w:pPr>
            <w:r>
              <w:rPr>
                <w:rFonts w:ascii="Arial" w:cs="Arial" w:eastAsia="Arial" w:hAnsi="Arial"/>
                <w:sz w:val="14"/>
                <w:szCs w:val="14"/>
                <w:color w:val="auto"/>
              </w:rPr>
              <w:t>Operating cash flows from operating leases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2,341</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Non-cash activity: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8300" w:type="dxa"/>
            <w:vAlign w:val="bottom"/>
          </w:tcPr>
          <w:p>
            <w:pPr>
              <w:ind w:left="240"/>
              <w:spacing w:after="0" w:line="202" w:lineRule="exact"/>
              <w:rPr>
                <w:sz w:val="20"/>
                <w:szCs w:val="20"/>
                <w:color w:val="auto"/>
              </w:rPr>
            </w:pPr>
            <w:r>
              <w:rPr>
                <w:rFonts w:ascii="Arial" w:cs="Arial" w:eastAsia="Arial" w:hAnsi="Arial"/>
                <w:sz w:val="14"/>
                <w:szCs w:val="14"/>
                <w:color w:val="auto"/>
              </w:rPr>
              <w:t>Operating lease assets obtained in exchange for new lease obligations</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1,626</w:t>
            </w:r>
          </w:p>
        </w:tc>
      </w:tr>
      <w:tr>
        <w:trPr>
          <w:trHeight w:val="203"/>
        </w:trPr>
        <w:tc>
          <w:tcPr>
            <w:tcW w:w="8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Reduction in operating lease liabilities due to remeasurement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 xml:space="preserve">For the </w:t>
      </w:r>
      <w:r>
        <w:rPr>
          <w:rFonts w:ascii="Arial" w:cs="Arial" w:eastAsia="Arial" w:hAnsi="Arial"/>
          <w:sz w:val="14"/>
          <w:szCs w:val="14"/>
          <w:color w:val="auto"/>
        </w:rPr>
        <w:t>three months ended March 31, 2025</w:t>
      </w:r>
      <w:r>
        <w:rPr>
          <w:rFonts w:ascii="Arial" w:cs="Arial" w:eastAsia="Arial" w:hAnsi="Arial"/>
          <w:sz w:val="14"/>
          <w:szCs w:val="14"/>
          <w:i w:val="1"/>
          <w:iCs w:val="1"/>
          <w:color w:val="auto"/>
        </w:rPr>
        <w:t>, the Company recognized operating lease assets arising from operating leases of an acquiree.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operating lease term and discount rate are as follows:</w:t>
      </w:r>
    </w:p>
    <w:p>
      <w:pPr>
        <w:spacing w:after="0" w:line="280"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Mar.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r>
      <w:tr>
        <w:trPr>
          <w:trHeight w:val="197"/>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years</w:t>
            </w:r>
          </w:p>
        </w:tc>
      </w:tr>
      <w:tr>
        <w:trPr>
          <w:trHeight w:val="194"/>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660" w:type="dxa"/>
            <w:vAlign w:val="bottom"/>
          </w:tcPr>
          <w:p>
            <w:pPr>
              <w:jc w:val="right"/>
              <w:spacing w:after="0"/>
              <w:rPr>
                <w:sz w:val="20"/>
                <w:szCs w:val="20"/>
                <w:color w:val="auto"/>
              </w:rPr>
            </w:pPr>
            <w:r>
              <w:rPr>
                <w:rFonts w:ascii="Arial" w:cs="Arial" w:eastAsia="Arial" w:hAnsi="Arial"/>
                <w:sz w:val="14"/>
                <w:szCs w:val="14"/>
                <w:color w:val="auto"/>
              </w:rPr>
              <w:t>9.2 %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9.4 %</w:t>
            </w:r>
          </w:p>
        </w:tc>
      </w:tr>
    </w:tbl>
    <w:p>
      <w:pPr>
        <w:spacing w:after="0" w:line="304" w:lineRule="exact"/>
        <w:rPr>
          <w:sz w:val="20"/>
          <w:szCs w:val="20"/>
          <w:color w:val="auto"/>
        </w:rPr>
      </w:pPr>
    </w:p>
    <w:p>
      <w:pPr>
        <w:ind w:right="7940" w:firstLine="8"/>
        <w:spacing w:after="0" w:line="545" w:lineRule="auto"/>
        <w:tabs>
          <w:tab w:leader="none" w:pos="270" w:val="left"/>
        </w:tabs>
        <w:numPr>
          <w:ilvl w:val="0"/>
          <w:numId w:val="10"/>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COMMITMENTS AND CONTINGENCIES </w:t>
      </w:r>
      <w:r>
        <w:rPr>
          <w:rFonts w:ascii="Arial" w:cs="Arial" w:eastAsia="Arial" w:hAnsi="Arial"/>
          <w:sz w:val="16"/>
          <w:szCs w:val="16"/>
          <w:b w:val="1"/>
          <w:bCs w:val="1"/>
          <w:color w:val="000000"/>
        </w:rPr>
        <w:t>Legal Proceedings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On May 19, 2021, a derivative action (the “Derivative Action”) was filed in the U.S. District Court for the Northern District of Illinois, purportedly on behalf of the Company and against certain of the Company’s officers and directors. The Derivative Action alleges breaches of fiduciary duty and other claims, based on substantially the same factual allegations as those alleged in the now-resolved Securities Class Action, which had included allegations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On June 6, 2022, the Derivative Action was stayed pursuant to the parties’ stipulation. The settlement in the Securities Class Action, which was approved on May 22, 2024, did not resolve the Derivative Action. The parties in the Derivative Action have reached a settlement, the terms of which are set forth in a Stipulation and Agreement of Settlement dated December 19, 2025 (the “Stipulation”), which was filed with the Court on December 23, 2025. The settlement dismisses all claims that have been or could have been asserted in the Derivative Action in exchange for, among other things, certain corporate reforms to be implemented by the Company for a designated compliance period, subject to Court approval. On January 8, 2026, the Court entered an order preliminarily approving the Stipulation and the settlement contemplated therein, and on March 26, 2026, the Court entered an order approving the settlement and final judgment. For full details regarding the settlement, please see the full Stipulation and its exhibits posted on the investor relations portion of the Company’s website, </w:t>
      </w:r>
      <w:r>
        <w:rPr>
          <w:rFonts w:ascii="Arial" w:cs="Arial" w:eastAsia="Arial" w:hAnsi="Arial"/>
          <w:sz w:val="16"/>
          <w:szCs w:val="16"/>
          <w:color w:val="467886"/>
        </w:rPr>
        <w:t>https://investors.gohealth.com/</w:t>
      </w:r>
      <w:r>
        <w:rPr>
          <w:rFonts w:ascii="Arial" w:cs="Arial" w:eastAsia="Arial" w:hAnsi="Arial"/>
          <w:sz w:val="16"/>
          <w:szCs w:val="16"/>
          <w:color w:val="000000"/>
        </w:rPr>
        <w:t>.</w:t>
      </w: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On January 15, 2025, we were made aware that the Department of Justice filed a notice of intervention in a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proceeding filed by private party relators under seal related to our arrangements with certain insurance health plan partners. On May 1, 2025, the Department of Justice filed a complaint in partial intervention (the “Complaint”) in the U.S. District Court for the District of Massachusetts intervening in the previously sealed case against multiple insurers who sponsor Medicare Advantage plans and multiple brokers those insurers appointed to sell their plans, including GoHealth. The relator, Andrew Shea, filed the original lawsuit in the U.S. District Court for the District of Massachusetts on behalf of the United States on November 2, 2021 under seal. The</w:t>
      </w:r>
    </w:p>
    <w:p>
      <w:pPr>
        <w:spacing w:after="0" w:line="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 xml:space="preserve">current matter is captioned </w:t>
      </w:r>
      <w:r>
        <w:rPr>
          <w:rFonts w:ascii="Arial" w:cs="Arial" w:eastAsia="Arial" w:hAnsi="Arial"/>
          <w:sz w:val="16"/>
          <w:szCs w:val="16"/>
          <w:i w:val="1"/>
          <w:iCs w:val="1"/>
          <w:color w:val="auto"/>
        </w:rPr>
        <w:t>United States of America ex rel. Andrew Shea v. eHealth, Inc., eHealth Insurance Services, Inc., CVS Health Corporation, Aetna</w:t>
      </w:r>
      <w:r>
        <w:rPr>
          <w:rFonts w:ascii="Arial" w:cs="Arial" w:eastAsia="Arial" w:hAnsi="Arial"/>
          <w:sz w:val="16"/>
          <w:szCs w:val="16"/>
          <w:color w:val="auto"/>
        </w:rPr>
        <w:t xml:space="preserve"> </w:t>
      </w:r>
      <w:r>
        <w:rPr>
          <w:rFonts w:ascii="Arial" w:cs="Arial" w:eastAsia="Arial" w:hAnsi="Arial"/>
          <w:sz w:val="16"/>
          <w:szCs w:val="16"/>
          <w:i w:val="1"/>
          <w:iCs w:val="1"/>
          <w:color w:val="auto"/>
        </w:rPr>
        <w:t>Life Insurance Company, Aetna, Inc., Humana Inc., Elevance Health Inc., GoHealth, Inc., and SelectQuote, Inc</w:t>
      </w:r>
      <w:r>
        <w:rPr>
          <w:rFonts w:ascii="Arial" w:cs="Arial" w:eastAsia="Arial" w:hAnsi="Arial"/>
          <w:sz w:val="16"/>
          <w:szCs w:val="16"/>
          <w:color w:val="auto"/>
        </w:rPr>
        <w:t>., No. 21-CV-11777-DJC. The claims in both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Complaint, as well as the relator’s original complaint, are based on alleged violations of the False Claims Act and the Anti-Kickback Statute. Specifically,</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plaintiffs allege, in relevant part, that the Company was compensated and discriminated against individuals in violation of federal law. The Complaint seeks, among other things, treble damages, civil penalties and costs. The ultimate outcome of any damages that may become payable if its defense is unsuccessful in whole or in part is not probable nor estimable at this time. The Company intends to vigorously defend against these allegations. All defendants filed motions to dismiss; however, on March 25, 2026, the Court denied substantially all of the motions. While the Company feels confident in its defenses, there can be no assurance that it will prevail or that damages awarded will not be material to the results of operations or financial condition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11. RELATED PARTY TRANSACTIONS</w:t>
      </w:r>
    </w:p>
    <w:p>
      <w:pPr>
        <w:spacing w:after="0" w:line="2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Company is party to a lease agreement with Wilson Tech 5, LLC, which is controlled by significant stockholders of the Company, to lease offices in Lindon, Utah. The Company pays rent, operating expenses, maintenance and utilities under the terms of the leases. For the three months ended March 31, 2026, the Company made aggregate lease payments of $0.4 million,</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under these leases. For the three months ended March 31, 2025, the Company made aggregate lease payments of $1.2 million under these leases.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FFFFFF"/>
        </w:rPr>
        <w:t>ITEM 2. MANAGEMENT’S DISCUSSION AND ANALYSIS OF FINANCIAL CONDITIONS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358"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 titled “Cautionary Note Regarding Forward-Looking Statements” in this Quarterly Report on Form 10-Q and the sections titled “Cautionary Note Regarding Forward-Looking Statements,” “Summary Risk Factors” and “Risk Factors” in our </w:t>
      </w:r>
      <w:r>
        <w:rPr>
          <w:rFonts w:ascii="Arial" w:cs="Arial" w:eastAsia="Arial" w:hAnsi="Arial"/>
          <w:sz w:val="16"/>
          <w:szCs w:val="16"/>
          <w:color w:val="auto"/>
        </w:rPr>
        <w:t>2025</w:t>
      </w:r>
      <w:r>
        <w:rPr>
          <w:rFonts w:ascii="Arial" w:cs="Arial" w:eastAsia="Arial" w:hAnsi="Arial"/>
          <w:sz w:val="16"/>
          <w:szCs w:val="16"/>
          <w:i w:val="1"/>
          <w:iCs w:val="1"/>
          <w:color w:val="auto"/>
        </w:rPr>
        <w:t xml:space="preserve"> Annual Report on Form 10-K. The risks and uncertainties described in our </w:t>
      </w:r>
      <w:r>
        <w:rPr>
          <w:rFonts w:ascii="Arial" w:cs="Arial" w:eastAsia="Arial" w:hAnsi="Arial"/>
          <w:sz w:val="16"/>
          <w:szCs w:val="16"/>
          <w:color w:val="auto"/>
        </w:rPr>
        <w:t>2025</w:t>
      </w:r>
      <w:r>
        <w:rPr>
          <w:rFonts w:ascii="Arial" w:cs="Arial" w:eastAsia="Arial" w:hAnsi="Arial"/>
          <w:sz w:val="16"/>
          <w:szCs w:val="16"/>
          <w:i w:val="1"/>
          <w:iCs w:val="1"/>
          <w:color w:val="auto"/>
        </w:rPr>
        <w:t xml:space="preserve">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all dollars are in thousands. In certain cases, numbers and percentages in the tables below may not foot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are a health insurance marketplace and Medicare-focused digital health company whose purpose is to compassionately ensure consumers’ peace of mind when making healthcare decisions so they can focus on living life. With a widely scalable end-to-end platform presence in the Medicare landscape, we believe we are uniquely positioned as a trusted partner to the 68 million Medicare-eligible Americans, as well as the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 on Business Trends and Strategy</w:t>
      </w:r>
    </w:p>
    <w:p>
      <w:pPr>
        <w:spacing w:after="0" w:line="24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GoHealth has evolved from a traditional Medicare enrollment company to a Medicare engagement and digital health marketplace focusing on forging high-quality relationships with our consumers. This shift emphasizes a more integrated and interactive approach to consumer care and reflects how our Encompass operating model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6"/>
          <w:szCs w:val="16"/>
          <w:color w:val="auto"/>
        </w:rPr>
        <w:t>In 2025, insurers offering Medicare Advantage plans faced ongoing disruptions affecting their financial performance, driven by rising medical costs and regulatory pressures. Carriers are increasingly prioritizing profitability over membership growth, focusing on plan quality, member retention, and overall consumer experience. Consistent with our expectation, we continue to observe significant changes to the Medicare Advantage landscape. Specifically, health plans have tightened plan economics by reducing or eliminating prefunded marketing spend, adjusting broker compensation structures, and eliminating or consolidating low-margin plans. In some cases, consumer-preferred plans have been designated as non-commissionable. We believe that these actions reflect a clear industry shift toward retention and stability rather than broad enrollment growth. We see our choice model as a valuable tool for matching consumers with appropriate coverage through our carrier-agnostic platform, supported by our brand and relationships with carrier partners. The timing, scope and duration of these market dynamics remain uncertain and may continue to adversely affect consumer demand, carrier participation and the economics of Medicare Advantage marketing and enrollment activities.</w:t>
      </w:r>
    </w:p>
    <w:p>
      <w:pPr>
        <w:spacing w:after="0" w:line="22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Given these factors, the Company focused on strategic and financial flexibility. Starting in the third quarter of 2025, we reduced our Medicare Advantage activities and continue to focus on GoHealth Protect. To maintain strategic flexibility, we have adopted and continue to operate under a disciplined approach that prioritizes cash preservation and emphasizes retaining existing customers rather than increasing new sales. This reduction continued through the first quarter of 2026 contributing to lower revenues compared to the prior year.</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response to these market conditions and lower revenue levels, the Company has implemented and continues to implement various operational initiatives that include cost savings measures. These initiatives have included reducing infrastructure expenses, including costs related to our technology platform and underlying network infrastructure, executing workforce reductions and pursuing cash management initiatives to further reduce operating expenses and enhance cash flow. The Company continues to evaluate additional measures intended to align its cost structure with current market conditions and business activity levels.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27" w:name="page28"/>
    <w:bookmarkEnd w:id="27"/>
    <w:p>
      <w:pPr>
        <w:spacing w:after="0" w:line="117"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In addition, the Company is engaged in ongoing discussions with its lenders and other stakeholders regarding strategic alternatives to address the Company’s capital structure and liquidity position. Such alternatives may involve a change of control or other restructuring of the Company. The outcome of the Company’s discussions with its lenders and other stakeholders is uncertain and agreements, measures or other actions that may result from, or be considered in connection with, these discussions could materially impact the Company’s business, liquidity, financial condition, results of operations and cash flows.</w:t>
      </w:r>
    </w:p>
    <w:p>
      <w:pPr>
        <w:spacing w:after="0" w:line="20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We continue our focus on GoHealth Protect, a product line launched in 2025, designed to expand our offerings beyond Medicare-related insurance products, initially through the marketing of certain life insurance products intended to help consumers address end-of-life expenses and other financial protection needs. We believe GoHealth Protect provides an opportunity to diversify our revenue streams and generate consumer engagement outside of the Medicare annual enrollment cycle, while leveraging our existing distribution capabilities and consumer relationships. We will endeavor to leverage GoHealth Protect to further utilize our technology platform, consumer relationships and distribution capabilities to serve consumers across a broader set of insurance needs and extend engagement with consumers beyond the Medicare enrollment process.</w:t>
      </w:r>
    </w:p>
    <w:p>
      <w:pPr>
        <w:spacing w:after="0" w:line="219" w:lineRule="exact"/>
        <w:rPr>
          <w:sz w:val="20"/>
          <w:szCs w:val="20"/>
          <w:color w:val="auto"/>
        </w:rPr>
      </w:pPr>
    </w:p>
    <w:p>
      <w:pPr>
        <w:ind w:right="420"/>
        <w:spacing w:after="0" w:line="247" w:lineRule="auto"/>
        <w:rPr>
          <w:sz w:val="20"/>
          <w:szCs w:val="20"/>
          <w:color w:val="auto"/>
        </w:rPr>
      </w:pPr>
      <w:r>
        <w:rPr>
          <w:rFonts w:ascii="Arial" w:cs="Arial" w:eastAsia="Arial" w:hAnsi="Arial"/>
          <w:sz w:val="16"/>
          <w:szCs w:val="16"/>
          <w:color w:val="auto"/>
        </w:rPr>
        <w:t>The Encompass operating model supports all Medicare services, including agency and non-agency revenue. Agency revenue refers to the commission revenue and partner marketing revenue we receive when GoHealth’s internal agents or our external agents enroll the consumer and submit the policy application to the health plan partner, becoming the agent of record. Non-agency revenue refers to services our internal agents or our external agents provide that support enrollment and engagement activities in which GoHealth is not the agent of record. The non-agency model moves away from the agency structure in that cash is collected in advance or in close proximity to the point in time revenue is recognized.</w:t>
      </w:r>
    </w:p>
    <w:p>
      <w:pPr>
        <w:spacing w:after="0" w:line="201"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enrollment and engagement services offered through our non-agency model are strategically designed to enhance the consumer experience, reflecting our focus on building trusted, long-term relationships with our consumers. Non-agency revenue for the three months ended March 31, 2026 represented 16.5% of total net revenue compared to 15.0% of total net revenue for the three months ended March 31, 2025. The shift from non-agency to agency revenue is a result of changing carrier mix within the non-agency channel. The mix of agency and non-agency contracts is dependent on the plans most suitable for the consumers we serve and is impacted by changing market dynamics as further described below. In response to evolving dynamics in the Medicare Advantage market, we have also increased our focus on retention, quality of enrollment and long-term consumer engagement rather than solely prioritizing enrollment volume.</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Driven by artificial intelligence and automation, we continue our focus on streamlining processes and improving call handle times and reducing costs. As part of this effort, we continue to operate under our Encompass Express model which is an enhanced, consumer-centric operating model built on the foundation of our original Encompass workflow. Encompass Express includes streamlined scripting and hand-offs, utilizing technology-driven standardization and automation to deliver efficiency and enhance the consumer experience while maintaining quality. These initiatives also support our broader focus on improving operating leverage and capital efficiency by lowering the cost of consumer acquisition and servicing while maintaining high-quality outcomes.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GoHealth, Inc. is the sole managing member of GHH, LLC. and has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months ended March 31, 2026 and 2025 was 43.8% and 55.0%,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March 31, 2026,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851535</wp:posOffset>
            </wp:positionV>
            <wp:extent cx="5143500" cy="2143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4, “Stockholders' Equity (Deficit)” of the Notes to the Condensed Consolidated Financial Statements.</w:t>
      </w:r>
    </w:p>
    <w:p>
      <w:pPr>
        <w:spacing w:after="0" w:line="17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6"/>
          <w:szCs w:val="16"/>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consolidated results of operations for the three months ended March 31,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8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11,914</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220,972</w:t>
            </w:r>
          </w:p>
        </w:tc>
        <w:tc>
          <w:tcPr>
            <w:tcW w:w="0" w:type="dxa"/>
            <w:vAlign w:val="bottom"/>
          </w:tcPr>
          <w:p>
            <w:pPr>
              <w:spacing w:after="0"/>
              <w:rPr>
                <w:sz w:val="1"/>
                <w:szCs w:val="1"/>
                <w:color w:val="auto"/>
              </w:rPr>
            </w:pPr>
          </w:p>
        </w:tc>
      </w:tr>
      <w:tr>
        <w:trPr>
          <w:trHeight w:val="177"/>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8,318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39,272</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2,223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67,415</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6,815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51,698</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7,659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9,038</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21,693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22,656</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23,514</w:t>
            </w:r>
          </w:p>
        </w:tc>
        <w:tc>
          <w:tcPr>
            <w:tcW w:w="0" w:type="dxa"/>
            <w:vAlign w:val="bottom"/>
          </w:tcPr>
          <w:p>
            <w:pPr>
              <w:spacing w:after="0"/>
              <w:rPr>
                <w:sz w:val="1"/>
                <w:szCs w:val="1"/>
                <w:color w:val="auto"/>
              </w:rPr>
            </w:pPr>
          </w:p>
        </w:tc>
      </w:tr>
      <w:tr>
        <w:trPr>
          <w:trHeight w:val="204"/>
        </w:trPr>
        <w:tc>
          <w:tcPr>
            <w:tcW w:w="8180" w:type="dxa"/>
            <w:vAlign w:val="bottom"/>
          </w:tcPr>
          <w:p>
            <w:pPr>
              <w:ind w:left="240"/>
              <w:spacing w:after="0"/>
              <w:rPr>
                <w:sz w:val="20"/>
                <w:szCs w:val="20"/>
                <w:color w:val="auto"/>
              </w:rPr>
            </w:pPr>
            <w:r>
              <w:rPr>
                <w:rFonts w:ascii="Arial" w:cs="Arial" w:eastAsia="Arial" w:hAnsi="Arial"/>
                <w:sz w:val="14"/>
                <w:szCs w:val="14"/>
                <w:color w:val="auto"/>
              </w:rPr>
              <w:t>Indefinite and long-lived asset impairment charges</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00" w:type="dxa"/>
            <w:vAlign w:val="bottom"/>
            <w:tcBorders>
              <w:top w:val="single" w:sz="8" w:color="929292"/>
              <w:bottom w:val="single" w:sz="8" w:color="929292"/>
            </w:tcBorders>
          </w:tcPr>
          <w:p>
            <w:pPr>
              <w:spacing w:after="0"/>
              <w:rPr>
                <w:sz w:val="17"/>
                <w:szCs w:val="17"/>
                <w:color w:val="auto"/>
              </w:rPr>
            </w:pPr>
          </w:p>
        </w:tc>
        <w:tc>
          <w:tcPr>
            <w:tcW w:w="1140" w:type="dxa"/>
            <w:vAlign w:val="bottom"/>
            <w:tcBorders>
              <w:top w:val="single" w:sz="8" w:color="929292"/>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46,708</w:t>
            </w:r>
          </w:p>
        </w:tc>
        <w:tc>
          <w:tcPr>
            <w:tcW w:w="80" w:type="dxa"/>
            <w:vAlign w:val="bottom"/>
          </w:tcPr>
          <w:p>
            <w:pPr>
              <w:spacing w:after="0"/>
              <w:rPr>
                <w:sz w:val="17"/>
                <w:szCs w:val="17"/>
                <w:color w:val="auto"/>
              </w:rPr>
            </w:pPr>
          </w:p>
        </w:tc>
        <w:tc>
          <w:tcPr>
            <w:tcW w:w="340" w:type="dxa"/>
            <w:vAlign w:val="bottom"/>
            <w:tcBorders>
              <w:top w:val="single" w:sz="8" w:color="929292"/>
              <w:bottom w:val="single" w:sz="8" w:color="929292"/>
            </w:tcBorders>
          </w:tcPr>
          <w:p>
            <w:pPr>
              <w:spacing w:after="0"/>
              <w:rPr>
                <w:sz w:val="17"/>
                <w:szCs w:val="17"/>
                <w:color w:val="auto"/>
              </w:rPr>
            </w:pPr>
          </w:p>
        </w:tc>
        <w:tc>
          <w:tcPr>
            <w:tcW w:w="110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214,303</w:t>
            </w: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(34,794)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6,669</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30,786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15,954</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rPr>
              <w:t>(65,424)</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(8,684)</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712</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rPr>
              <w:t>(66,136)</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(9,786)</w:t>
            </w: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(28,965)</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(5,378)</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rPr>
              <w:t>(37,171)</w:t>
            </w:r>
          </w:p>
        </w:tc>
        <w:tc>
          <w:tcPr>
            <w:tcW w:w="80" w:type="dxa"/>
            <w:vAlign w:val="bottom"/>
          </w:tcPr>
          <w:p>
            <w:pPr>
              <w:spacing w:after="0"/>
              <w:rPr>
                <w:sz w:val="17"/>
                <w:szCs w:val="17"/>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b w:val="1"/>
                <w:bCs w:val="1"/>
                <w:color w:val="auto"/>
              </w:rPr>
              <w:t>(4,408)</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(34,331)</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33,747</w:t>
            </w: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(22,222)</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42,060</w:t>
            </w: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Net Income (Loss) Margin</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1"/>
        </w:trPr>
        <w:tc>
          <w:tcPr>
            <w:tcW w:w="8180" w:type="dxa"/>
            <w:vAlign w:val="bottom"/>
          </w:tcPr>
          <w:p>
            <w:pPr>
              <w:ind w:left="1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net revenues for the three months ended March 31, 2026 and 2025:</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10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200"/>
              <w:spacing w:after="0"/>
              <w:rPr>
                <w:sz w:val="20"/>
                <w:szCs w:val="20"/>
                <w:color w:val="auto"/>
              </w:rPr>
            </w:pPr>
            <w:r>
              <w:rPr>
                <w:rFonts w:ascii="Arial" w:cs="Arial" w:eastAsia="Arial" w:hAnsi="Arial"/>
                <w:sz w:val="14"/>
                <w:szCs w:val="14"/>
                <w:color w:val="auto"/>
              </w:rPr>
              <w:t>Three months ended Mar.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1"/>
        </w:trPr>
        <w:tc>
          <w:tcPr>
            <w:tcW w:w="5100" w:type="dxa"/>
            <w:vAlign w:val="bottom"/>
            <w:tcBorders>
              <w:left w:val="single" w:sz="8" w:color="929292"/>
            </w:tcBorders>
          </w:tcPr>
          <w:p>
            <w:pPr>
              <w:ind w:left="2100"/>
              <w:spacing w:after="0"/>
              <w:rPr>
                <w:sz w:val="20"/>
                <w:szCs w:val="20"/>
                <w:color w:val="auto"/>
              </w:rPr>
            </w:pPr>
            <w:r>
              <w:rPr>
                <w:rFonts w:ascii="Arial" w:cs="Arial" w:eastAsia="Arial" w:hAnsi="Arial"/>
                <w:sz w:val="14"/>
                <w:szCs w:val="14"/>
                <w:b w:val="1"/>
                <w:bCs w:val="1"/>
                <w:color w:val="0A2299"/>
              </w:rPr>
              <w:t>Net revenues</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 Change</w:t>
            </w:r>
          </w:p>
        </w:tc>
      </w:tr>
      <w:tr>
        <w:trPr>
          <w:trHeight w:val="193"/>
        </w:trPr>
        <w:tc>
          <w:tcPr>
            <w:tcW w:w="510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11,914</w:t>
            </w:r>
          </w:p>
        </w:tc>
        <w:tc>
          <w:tcPr>
            <w:tcW w:w="100" w:type="dxa"/>
            <w:vAlign w:val="bottom"/>
          </w:tcPr>
          <w:p>
            <w:pPr>
              <w:spacing w:after="0"/>
              <w:rPr>
                <w:sz w:val="16"/>
                <w:szCs w:val="16"/>
                <w:color w:val="auto"/>
              </w:rPr>
            </w:pPr>
          </w:p>
        </w:tc>
        <w:tc>
          <w:tcPr>
            <w:tcW w:w="320" w:type="dxa"/>
            <w:vAlign w:val="bottom"/>
            <w:tcBorders>
              <w:top w:val="single" w:sz="8" w:color="929292"/>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220,972</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(209,058)</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(94.6)%</w:t>
            </w:r>
          </w:p>
        </w:tc>
      </w:tr>
    </w:tbl>
    <w:p>
      <w:pPr>
        <w:spacing w:after="0" w:line="29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attributable to the scale back of our Medicare Advantage activities in response to tightening health plan economics, partially offset by the launch of GoHealth Protect during the second quarter of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key components of operating expenses and results thereof for the three months ended March 31, 2026 and 2025:</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1120"/>
              <w:spacing w:after="0"/>
              <w:rPr>
                <w:sz w:val="20"/>
                <w:szCs w:val="20"/>
                <w:color w:val="auto"/>
              </w:rPr>
            </w:pPr>
            <w:r>
              <w:rPr>
                <w:rFonts w:ascii="Arial" w:cs="Arial" w:eastAsia="Arial" w:hAnsi="Arial"/>
                <w:sz w:val="14"/>
                <w:szCs w:val="14"/>
                <w:b w:val="1"/>
                <w:bCs w:val="1"/>
                <w:color w:val="0A2299"/>
              </w:rPr>
              <w:t>Revenue share</w:t>
            </w:r>
          </w:p>
        </w:tc>
        <w:tc>
          <w:tcPr>
            <w:tcW w:w="80" w:type="dxa"/>
            <w:vAlign w:val="bottom"/>
            <w:shd w:val="clear" w:color="auto" w:fill="929292"/>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8,318</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39,272</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(30,954)</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69.8%</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7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driven by a decrease in Submissions generated by our external agents, which decreased the amount of expense we recognized pursuant to our revenue-sharing agreements with our external partners.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440"/>
              <w:spacing w:after="0"/>
              <w:rPr>
                <w:sz w:val="20"/>
                <w:szCs w:val="20"/>
                <w:color w:val="auto"/>
              </w:rPr>
            </w:pPr>
            <w:r>
              <w:rPr>
                <w:rFonts w:ascii="Arial" w:cs="Arial" w:eastAsia="Arial" w:hAnsi="Arial"/>
                <w:sz w:val="14"/>
                <w:szCs w:val="14"/>
                <w:b w:val="1"/>
                <w:bCs w:val="1"/>
                <w:color w:val="0A2299"/>
              </w:rPr>
              <w:t>Marketing and advertising expense</w:t>
            </w:r>
          </w:p>
        </w:tc>
        <w:tc>
          <w:tcPr>
            <w:tcW w:w="100" w:type="dxa"/>
            <w:vAlign w:val="bottom"/>
            <w:shd w:val="clear" w:color="auto" w:fill="929292"/>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2,223</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67,415</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(65,192)</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18.7%</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-145415</wp:posOffset>
            </wp:positionV>
            <wp:extent cx="15513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76"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attributable to an intentional pullback on marketing and advertising spend during the quarter, reflecting the scale back of our Medicare Advantage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279400</wp:posOffset>
            </wp:positionV>
            <wp:extent cx="825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279400</wp:posOffset>
            </wp:positionV>
            <wp:extent cx="889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30" w:name="page31"/>
    <w:bookmarkEnd w:id="30"/>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580"/>
              <w:spacing w:after="0"/>
              <w:rPr>
                <w:sz w:val="20"/>
                <w:szCs w:val="20"/>
                <w:color w:val="auto"/>
              </w:rPr>
            </w:pPr>
            <w:r>
              <w:rPr>
                <w:rFonts w:ascii="Arial" w:cs="Arial" w:eastAsia="Arial" w:hAnsi="Arial"/>
                <w:sz w:val="14"/>
                <w:szCs w:val="14"/>
                <w:b w:val="1"/>
                <w:bCs w:val="1"/>
                <w:color w:val="0A2299"/>
              </w:rPr>
              <w:t>Consumer care and enrollment</w:t>
            </w:r>
          </w:p>
        </w:tc>
        <w:tc>
          <w:tcPr>
            <w:tcW w:w="100" w:type="dxa"/>
            <w:vAlign w:val="bottom"/>
            <w:shd w:val="clear" w:color="auto" w:fill="929292"/>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6,815</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51,698</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(44,883)</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57.2%</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-145415</wp:posOffset>
            </wp:positionV>
            <wp:extent cx="15513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attributable to a reduced agent headcount aligning with our scale back of Medicare Advantage activities.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jc w:val="right"/>
              <w:ind w:right="528"/>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920"/>
              <w:spacing w:after="0"/>
              <w:rPr>
                <w:sz w:val="20"/>
                <w:szCs w:val="20"/>
                <w:color w:val="auto"/>
              </w:rPr>
            </w:pPr>
            <w:r>
              <w:rPr>
                <w:rFonts w:ascii="Arial" w:cs="Arial" w:eastAsia="Arial" w:hAnsi="Arial"/>
                <w:sz w:val="14"/>
                <w:szCs w:val="14"/>
                <w:b w:val="1"/>
                <w:bCs w:val="1"/>
                <w:color w:val="0A2299"/>
              </w:rPr>
              <w:t>Technology expense</w:t>
            </w:r>
          </w:p>
        </w:tc>
        <w:tc>
          <w:tcPr>
            <w:tcW w:w="100" w:type="dxa"/>
            <w:vAlign w:val="bottom"/>
            <w:shd w:val="clear" w:color="auto" w:fill="929292"/>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7,659</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9,038</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64.3%</w:t>
            </w:r>
          </w:p>
        </w:tc>
        <w:tc>
          <w:tcPr>
            <w:tcW w:w="1260" w:type="dxa"/>
            <w:vAlign w:val="bottom"/>
            <w:tcBorders>
              <w:top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7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attributable to decreased headcount in our technology support functions.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400"/>
              <w:spacing w:after="0"/>
              <w:rPr>
                <w:sz w:val="20"/>
                <w:szCs w:val="20"/>
                <w:color w:val="auto"/>
              </w:rPr>
            </w:pPr>
            <w:r>
              <w:rPr>
                <w:rFonts w:ascii="Arial" w:cs="Arial" w:eastAsia="Arial" w:hAnsi="Arial"/>
                <w:sz w:val="14"/>
                <w:szCs w:val="14"/>
                <w:b w:val="1"/>
                <w:bCs w:val="1"/>
                <w:color w:val="0A2299"/>
              </w:rPr>
              <w:t>General and administrative expense</w:t>
            </w:r>
          </w:p>
        </w:tc>
        <w:tc>
          <w:tcPr>
            <w:tcW w:w="100" w:type="dxa"/>
            <w:vAlign w:val="bottom"/>
            <w:shd w:val="clear" w:color="auto" w:fill="929292"/>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21,693</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22,656</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288"/>
              <w:spacing w:after="0"/>
              <w:rPr>
                <w:sz w:val="20"/>
                <w:szCs w:val="20"/>
                <w:color w:val="auto"/>
              </w:rPr>
            </w:pPr>
            <w:r>
              <w:rPr>
                <w:rFonts w:ascii="Arial" w:cs="Arial" w:eastAsia="Arial" w:hAnsi="Arial"/>
                <w:sz w:val="14"/>
                <w:szCs w:val="14"/>
                <w:color w:val="FFFFFF"/>
              </w:rPr>
              <w:t>182.1%</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decrease for the three months ended March 31, 2026 compared to the prior year period was primarily attributable to decreased headcount.</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2"/>
        </w:trPr>
        <w:tc>
          <w:tcPr>
            <w:tcW w:w="3240" w:type="dxa"/>
            <w:vAlign w:val="bottom"/>
            <w:tcBorders>
              <w:left w:val="single" w:sz="8" w:color="929292"/>
            </w:tcBorders>
          </w:tcPr>
          <w:p>
            <w:pPr>
              <w:ind w:left="500"/>
              <w:spacing w:after="0"/>
              <w:rPr>
                <w:sz w:val="20"/>
                <w:szCs w:val="20"/>
                <w:color w:val="auto"/>
              </w:rPr>
            </w:pPr>
            <w:r>
              <w:rPr>
                <w:rFonts w:ascii="Arial" w:cs="Arial" w:eastAsia="Arial" w:hAnsi="Arial"/>
                <w:sz w:val="14"/>
                <w:szCs w:val="14"/>
                <w:b w:val="1"/>
                <w:bCs w:val="1"/>
                <w:color w:val="0A2299"/>
              </w:rPr>
              <w:t>Amortization of intangible assets</w:t>
            </w:r>
          </w:p>
        </w:tc>
        <w:tc>
          <w:tcPr>
            <w:tcW w:w="100" w:type="dxa"/>
            <w:vAlign w:val="bottom"/>
            <w:tcBorders>
              <w:bottom w:val="single" w:sz="8" w:color="929292"/>
            </w:tcBorders>
            <w:shd w:val="clear" w:color="auto" w:fill="929292"/>
          </w:tcPr>
          <w:p>
            <w:pPr>
              <w:spacing w:after="0"/>
              <w:rPr>
                <w:sz w:val="19"/>
                <w:szCs w:val="19"/>
                <w:color w:val="auto"/>
              </w:rPr>
            </w:pPr>
          </w:p>
        </w:tc>
        <w:tc>
          <w:tcPr>
            <w:tcW w:w="220" w:type="dxa"/>
            <w:vAlign w:val="bottom"/>
            <w:tcBorders>
              <w:bottom w:val="single" w:sz="8" w:color="929292"/>
            </w:tcBorders>
          </w:tcPr>
          <w:p>
            <w:pPr>
              <w:spacing w:after="0"/>
              <w:rPr>
                <w:sz w:val="19"/>
                <w:szCs w:val="19"/>
                <w:color w:val="auto"/>
              </w:rPr>
            </w:pPr>
          </w:p>
        </w:tc>
        <w:tc>
          <w:tcPr>
            <w:tcW w:w="1020" w:type="dxa"/>
            <w:vAlign w:val="bottom"/>
            <w:tcBorders>
              <w:bottom w:val="single" w:sz="8" w:color="929292"/>
            </w:tcBorders>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Borders>
              <w:bottom w:val="single" w:sz="8" w:color="929292"/>
            </w:tcBorders>
          </w:tcPr>
          <w:p>
            <w:pPr>
              <w:spacing w:after="0"/>
              <w:rPr>
                <w:sz w:val="19"/>
                <w:szCs w:val="19"/>
                <w:color w:val="auto"/>
              </w:rPr>
            </w:pPr>
          </w:p>
        </w:tc>
        <w:tc>
          <w:tcPr>
            <w:tcW w:w="960" w:type="dxa"/>
            <w:vAlign w:val="bottom"/>
            <w:tcBorders>
              <w:bottom w:val="single" w:sz="8" w:color="929292"/>
            </w:tcBorders>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Borders>
              <w:bottom w:val="single" w:sz="8" w:color="929292"/>
            </w:tcBorders>
          </w:tcPr>
          <w:p>
            <w:pPr>
              <w:spacing w:after="0"/>
              <w:rPr>
                <w:sz w:val="19"/>
                <w:szCs w:val="19"/>
                <w:color w:val="auto"/>
              </w:rPr>
            </w:pPr>
          </w:p>
        </w:tc>
        <w:tc>
          <w:tcPr>
            <w:tcW w:w="1040" w:type="dxa"/>
            <w:vAlign w:val="bottom"/>
            <w:tcBorders>
              <w:bottom w:val="single" w:sz="8" w:color="929292"/>
            </w:tcBorders>
          </w:tcPr>
          <w:p>
            <w:pPr>
              <w:jc w:val="right"/>
              <w:ind w:right="228"/>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9"/>
                <w:szCs w:val="19"/>
                <w:color w:val="auto"/>
              </w:rPr>
            </w:pPr>
          </w:p>
        </w:tc>
        <w:tc>
          <w:tcPr>
            <w:tcW w:w="1360" w:type="dxa"/>
            <w:vAlign w:val="bottom"/>
            <w:tcBorders>
              <w:bottom w:val="single" w:sz="8" w:color="929292"/>
            </w:tcBorders>
          </w:tcPr>
          <w:p>
            <w:pPr>
              <w:jc w:val="right"/>
              <w:ind w:right="268"/>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9"/>
                <w:szCs w:val="19"/>
                <w:color w:val="auto"/>
              </w:rPr>
            </w:pPr>
          </w:p>
        </w:tc>
        <w:tc>
          <w:tcPr>
            <w:tcW w:w="1180" w:type="dxa"/>
            <w:vAlign w:val="bottom"/>
            <w:tcBorders>
              <w:bottom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tcBorders>
              <w:bottom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3"/>
          </w:tcPr>
          <w:p>
            <w:pPr>
              <w:ind w:left="800"/>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18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w:t>
            </w:r>
          </w:p>
        </w:tc>
        <w:tc>
          <w:tcPr>
            <w:tcW w:w="1260" w:type="dxa"/>
            <w:vAlign w:val="bottom"/>
            <w:shd w:val="clear" w:color="auto" w:fill="929292"/>
          </w:tcPr>
          <w:p>
            <w:pPr>
              <w:jc w:val="right"/>
              <w:ind w:right="308"/>
              <w:spacing w:after="0"/>
              <w:rPr>
                <w:sz w:val="20"/>
                <w:szCs w:val="20"/>
                <w:color w:val="auto"/>
              </w:rPr>
            </w:pPr>
            <w:r>
              <w:rPr>
                <w:rFonts w:ascii="Arial" w:cs="Arial" w:eastAsia="Arial" w:hAnsi="Arial"/>
                <w:sz w:val="14"/>
                <w:szCs w:val="14"/>
                <w:color w:val="FFFFFF"/>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-145415</wp:posOffset>
            </wp:positionV>
            <wp:extent cx="1551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76"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decrease for the three months ended March 31, 2026 compared to the prior year was primarily attributed to the 2025 amortization of intangible assets expense related to the developed technology and customer relationships. These intangible assets were impaired during 2025 and therefore there was no amortization of intangibles for the three months ended March 31, 2026.</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929292"/>
              <w:left w:val="single" w:sz="8" w:color="929292"/>
            </w:tcBorders>
            <w:vMerge w:val="restart"/>
          </w:tcPr>
          <w:p>
            <w:pPr>
              <w:jc w:val="center"/>
              <w:spacing w:after="0"/>
              <w:rPr>
                <w:sz w:val="20"/>
                <w:szCs w:val="20"/>
                <w:color w:val="auto"/>
              </w:rPr>
            </w:pPr>
            <w:r>
              <w:rPr>
                <w:rFonts w:ascii="Arial" w:cs="Arial" w:eastAsia="Arial" w:hAnsi="Arial"/>
                <w:sz w:val="14"/>
                <w:szCs w:val="14"/>
                <w:b w:val="1"/>
                <w:bCs w:val="1"/>
                <w:color w:val="0A2299"/>
              </w:rPr>
              <w:t>Indefinite and long-lived asset impairment</w:t>
            </w:r>
          </w:p>
        </w:tc>
        <w:tc>
          <w:tcPr>
            <w:tcW w:w="100" w:type="dxa"/>
            <w:vAlign w:val="bottom"/>
            <w:tcBorders>
              <w:top w:val="single" w:sz="8" w:color="929292"/>
            </w:tcBorders>
            <w:shd w:val="clear" w:color="auto" w:fill="929292"/>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jc w:val="right"/>
              <w:ind w:right="528"/>
              <w:spacing w:after="0"/>
              <w:rPr>
                <w:sz w:val="20"/>
                <w:szCs w:val="20"/>
                <w:color w:val="auto"/>
              </w:rPr>
            </w:pPr>
            <w:r>
              <w:rPr>
                <w:rFonts w:ascii="Arial" w:cs="Arial" w:eastAsia="Arial" w:hAnsi="Arial"/>
                <w:sz w:val="14"/>
                <w:szCs w:val="14"/>
                <w:color w:val="FFFFFF"/>
              </w:rPr>
              <w:t>% of Net Revenues</w:t>
            </w:r>
          </w:p>
        </w:tc>
        <w:tc>
          <w:tcPr>
            <w:tcW w:w="0" w:type="dxa"/>
            <w:vAlign w:val="bottom"/>
          </w:tcPr>
          <w:p>
            <w:pPr>
              <w:spacing w:after="0"/>
              <w:rPr>
                <w:sz w:val="1"/>
                <w:szCs w:val="1"/>
                <w:color w:val="auto"/>
              </w:rPr>
            </w:pPr>
          </w:p>
        </w:tc>
      </w:tr>
      <w:tr>
        <w:trPr>
          <w:trHeight w:val="100"/>
        </w:trPr>
        <w:tc>
          <w:tcPr>
            <w:tcW w:w="3260" w:type="dxa"/>
            <w:vAlign w:val="bottom"/>
            <w:tcBorders>
              <w:left w:val="single" w:sz="8" w:color="929292"/>
            </w:tcBorders>
            <w:vMerge w:val="continue"/>
          </w:tcPr>
          <w:p>
            <w:pPr>
              <w:spacing w:after="0"/>
              <w:rPr>
                <w:sz w:val="8"/>
                <w:szCs w:val="8"/>
                <w:color w:val="auto"/>
              </w:rPr>
            </w:pPr>
          </w:p>
        </w:tc>
        <w:tc>
          <w:tcPr>
            <w:tcW w:w="100" w:type="dxa"/>
            <w:vAlign w:val="bottom"/>
            <w:shd w:val="clear" w:color="auto" w:fill="929292"/>
          </w:tcPr>
          <w:p>
            <w:pPr>
              <w:spacing w:after="0"/>
              <w:rPr>
                <w:sz w:val="8"/>
                <w:szCs w:val="8"/>
                <w:color w:val="auto"/>
              </w:rPr>
            </w:pPr>
          </w:p>
        </w:tc>
        <w:tc>
          <w:tcPr>
            <w:tcW w:w="1220" w:type="dxa"/>
            <w:vAlign w:val="bottom"/>
            <w:vMerge w:val="restart"/>
          </w:tcPr>
          <w:p>
            <w:pPr>
              <w:jc w:val="right"/>
              <w:ind w:right="36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color w:val="auto"/>
              </w:rPr>
              <w:t>$ Change</w:t>
            </w:r>
          </w:p>
        </w:tc>
        <w:tc>
          <w:tcPr>
            <w:tcW w:w="100" w:type="dxa"/>
            <w:vAlign w:val="bottom"/>
            <w:vMerge w:val="restart"/>
          </w:tcPr>
          <w:p>
            <w:pPr>
              <w:spacing w:after="0"/>
              <w:rPr>
                <w:sz w:val="8"/>
                <w:szCs w:val="8"/>
                <w:color w:val="auto"/>
              </w:rPr>
            </w:pP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color w:val="auto"/>
              </w:rPr>
              <w:t>% Change</w:t>
            </w:r>
          </w:p>
        </w:tc>
        <w:tc>
          <w:tcPr>
            <w:tcW w:w="100" w:type="dxa"/>
            <w:vAlign w:val="bottom"/>
            <w:vMerge w:val="restart"/>
          </w:tcPr>
          <w:p>
            <w:pPr>
              <w:spacing w:after="0"/>
              <w:rPr>
                <w:sz w:val="8"/>
                <w:szCs w:val="8"/>
                <w:color w:val="auto"/>
              </w:rPr>
            </w:pPr>
          </w:p>
        </w:tc>
        <w:tc>
          <w:tcPr>
            <w:tcW w:w="1180" w:type="dxa"/>
            <w:vAlign w:val="bottom"/>
            <w:vMerge w:val="restart"/>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vMerge w:val="restart"/>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c>
          <w:tcPr>
            <w:tcW w:w="0" w:type="dxa"/>
            <w:vAlign w:val="bottom"/>
          </w:tcPr>
          <w:p>
            <w:pPr>
              <w:spacing w:after="0"/>
              <w:rPr>
                <w:sz w:val="1"/>
                <w:szCs w:val="1"/>
                <w:color w:val="auto"/>
              </w:rPr>
            </w:pPr>
          </w:p>
        </w:tc>
      </w:tr>
      <w:tr>
        <w:trPr>
          <w:trHeight w:val="115"/>
        </w:trPr>
        <w:tc>
          <w:tcPr>
            <w:tcW w:w="3260" w:type="dxa"/>
            <w:vAlign w:val="bottom"/>
            <w:tcBorders>
              <w:left w:val="single" w:sz="8" w:color="929292"/>
            </w:tcBorders>
          </w:tcPr>
          <w:p>
            <w:pPr>
              <w:jc w:val="center"/>
              <w:spacing w:after="0" w:line="115" w:lineRule="exact"/>
              <w:rPr>
                <w:sz w:val="20"/>
                <w:szCs w:val="20"/>
                <w:color w:val="auto"/>
              </w:rPr>
            </w:pPr>
            <w:r>
              <w:rPr>
                <w:rFonts w:ascii="Arial" w:cs="Arial" w:eastAsia="Arial" w:hAnsi="Arial"/>
                <w:sz w:val="13"/>
                <w:szCs w:val="13"/>
                <w:b w:val="1"/>
                <w:bCs w:val="1"/>
                <w:color w:val="0A2299"/>
              </w:rPr>
              <w:t>charges</w:t>
            </w:r>
          </w:p>
        </w:tc>
        <w:tc>
          <w:tcPr>
            <w:tcW w:w="100" w:type="dxa"/>
            <w:vAlign w:val="bottom"/>
            <w:tcBorders>
              <w:bottom w:val="single" w:sz="8" w:color="929292"/>
            </w:tcBorders>
            <w:shd w:val="clear" w:color="auto" w:fill="929292"/>
          </w:tcPr>
          <w:p>
            <w:pPr>
              <w:spacing w:after="0"/>
              <w:rPr>
                <w:sz w:val="10"/>
                <w:szCs w:val="10"/>
                <w:color w:val="auto"/>
              </w:rPr>
            </w:pPr>
          </w:p>
        </w:tc>
        <w:tc>
          <w:tcPr>
            <w:tcW w:w="1220" w:type="dxa"/>
            <w:vAlign w:val="bottom"/>
            <w:tcBorders>
              <w:bottom w:val="single" w:sz="8" w:color="929292"/>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929292"/>
            </w:tcBorders>
          </w:tcPr>
          <w:p>
            <w:pPr>
              <w:spacing w:after="0"/>
              <w:rPr>
                <w:sz w:val="10"/>
                <w:szCs w:val="10"/>
                <w:color w:val="auto"/>
              </w:rPr>
            </w:pPr>
          </w:p>
        </w:tc>
        <w:tc>
          <w:tcPr>
            <w:tcW w:w="940" w:type="dxa"/>
            <w:vAlign w:val="bottom"/>
            <w:tcBorders>
              <w:bottom w:val="single" w:sz="8" w:color="929292"/>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929292"/>
            </w:tcBorders>
          </w:tcPr>
          <w:p>
            <w:pPr>
              <w:spacing w:after="0"/>
              <w:rPr>
                <w:sz w:val="10"/>
                <w:szCs w:val="10"/>
                <w:color w:val="auto"/>
              </w:rPr>
            </w:pPr>
          </w:p>
        </w:tc>
        <w:tc>
          <w:tcPr>
            <w:tcW w:w="1040" w:type="dxa"/>
            <w:vAlign w:val="bottom"/>
            <w:tcBorders>
              <w:bottom w:val="single" w:sz="8" w:color="929292"/>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360" w:type="dxa"/>
            <w:vAlign w:val="bottom"/>
            <w:tcBorders>
              <w:bottom w:val="single" w:sz="8" w:color="929292"/>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80" w:type="dxa"/>
            <w:vAlign w:val="bottom"/>
            <w:tcBorders>
              <w:bottom w:val="single" w:sz="8" w:color="929292"/>
            </w:tcBorders>
            <w:vMerge w:val="continue"/>
            <w:shd w:val="clear" w:color="auto" w:fill="929292"/>
          </w:tcPr>
          <w:p>
            <w:pPr>
              <w:spacing w:after="0"/>
              <w:rPr>
                <w:sz w:val="10"/>
                <w:szCs w:val="10"/>
                <w:color w:val="auto"/>
              </w:rPr>
            </w:pPr>
          </w:p>
        </w:tc>
        <w:tc>
          <w:tcPr>
            <w:tcW w:w="1260" w:type="dxa"/>
            <w:vAlign w:val="bottom"/>
            <w:tcBorders>
              <w:bottom w:val="single" w:sz="8" w:color="929292"/>
            </w:tcBorders>
            <w:vMerge w:val="continue"/>
            <w:shd w:val="clear" w:color="auto" w:fill="929292"/>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26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600" w:type="dxa"/>
            <w:vAlign w:val="bottom"/>
            <w:gridSpan w:val="3"/>
          </w:tcPr>
          <w:p>
            <w:pPr>
              <w:ind w:left="1020"/>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(100.0)%</w:t>
            </w:r>
          </w:p>
        </w:tc>
        <w:tc>
          <w:tcPr>
            <w:tcW w:w="100" w:type="dxa"/>
            <w:vAlign w:val="bottom"/>
          </w:tcPr>
          <w:p>
            <w:pPr>
              <w:spacing w:after="0"/>
              <w:rPr>
                <w:sz w:val="17"/>
                <w:szCs w:val="17"/>
                <w:color w:val="auto"/>
              </w:rPr>
            </w:pPr>
          </w:p>
        </w:tc>
        <w:tc>
          <w:tcPr>
            <w:tcW w:w="1180" w:type="dxa"/>
            <w:vAlign w:val="bottom"/>
            <w:shd w:val="clear" w:color="auto" w:fill="929292"/>
          </w:tcPr>
          <w:p>
            <w:pPr>
              <w:jc w:val="center"/>
              <w:spacing w:after="0"/>
              <w:rPr>
                <w:sz w:val="20"/>
                <w:szCs w:val="20"/>
                <w:color w:val="auto"/>
              </w:rPr>
            </w:pPr>
            <w:r>
              <w:rPr>
                <w:rFonts w:ascii="Arial" w:cs="Arial" w:eastAsia="Arial" w:hAnsi="Arial"/>
                <w:sz w:val="14"/>
                <w:szCs w:val="14"/>
                <w:color w:val="FFFFFF"/>
              </w:rPr>
              <w:t>—%</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-145415</wp:posOffset>
            </wp:positionV>
            <wp:extent cx="15513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51" w:lineRule="exact"/>
        <w:rPr>
          <w:sz w:val="20"/>
          <w:szCs w:val="20"/>
          <w:color w:val="auto"/>
        </w:rPr>
      </w:pPr>
    </w:p>
    <w:p>
      <w:pPr>
        <w:jc w:val="both"/>
        <w:ind w:right="400"/>
        <w:spacing w:after="0" w:line="304" w:lineRule="auto"/>
        <w:rPr>
          <w:sz w:val="20"/>
          <w:szCs w:val="20"/>
          <w:color w:val="auto"/>
        </w:rPr>
      </w:pPr>
      <w:r>
        <w:rPr>
          <w:rFonts w:ascii="Arial" w:cs="Arial" w:eastAsia="Arial" w:hAnsi="Arial"/>
          <w:sz w:val="16"/>
          <w:szCs w:val="16"/>
          <w:color w:val="auto"/>
        </w:rPr>
        <w:t>The decrease for the three months ended March 31, 2026 compared to the prior year period was driven by an impairment charge related to right-of-use assets of $0.7 million for the three months ended March 31, 2025.</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jc w:val="right"/>
              <w:ind w:right="528"/>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1060"/>
              <w:spacing w:after="0"/>
              <w:rPr>
                <w:sz w:val="20"/>
                <w:szCs w:val="20"/>
                <w:color w:val="auto"/>
              </w:rPr>
            </w:pPr>
            <w:r>
              <w:rPr>
                <w:rFonts w:ascii="Arial" w:cs="Arial" w:eastAsia="Arial" w:hAnsi="Arial"/>
                <w:sz w:val="14"/>
                <w:szCs w:val="14"/>
                <w:b w:val="1"/>
                <w:bCs w:val="1"/>
                <w:color w:val="0A2299"/>
              </w:rPr>
              <w:t>Interest expense</w:t>
            </w:r>
          </w:p>
        </w:tc>
        <w:tc>
          <w:tcPr>
            <w:tcW w:w="80" w:type="dxa"/>
            <w:vAlign w:val="bottom"/>
            <w:shd w:val="clear" w:color="auto" w:fill="929292"/>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2026</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2025</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30,786</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15,954</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14,832</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93.0 %</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288"/>
              <w:spacing w:after="0"/>
              <w:rPr>
                <w:sz w:val="20"/>
                <w:szCs w:val="20"/>
                <w:color w:val="auto"/>
              </w:rPr>
            </w:pPr>
            <w:r>
              <w:rPr>
                <w:rFonts w:ascii="Arial" w:cs="Arial" w:eastAsia="Arial" w:hAnsi="Arial"/>
                <w:sz w:val="14"/>
                <w:szCs w:val="14"/>
                <w:color w:val="FFFFFF"/>
              </w:rPr>
              <w:t>258.4%</w:t>
            </w:r>
          </w:p>
        </w:tc>
        <w:tc>
          <w:tcPr>
            <w:tcW w:w="1260" w:type="dxa"/>
            <w:vAlign w:val="bottom"/>
            <w:tcBorders>
              <w:top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increase for the three months ended March 31, 2026 compared to the prior year period was primarily attributable to an increase in interest rates as well as an increase in our outstanding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the business and to monitor its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290195</wp:posOffset>
            </wp:positionV>
            <wp:extent cx="825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290195</wp:posOffset>
            </wp:positionV>
            <wp:extent cx="889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31" w:name="page32"/>
    <w:bookmarkEnd w:id="31"/>
    <w:p>
      <w:pPr>
        <w:ind w:right="220"/>
        <w:spacing w:after="0" w:line="286"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in the table furnished below. Adjusted EBITDA Margin represents Adjusted EBITDA divided by net revenues.</w:t>
      </w:r>
    </w:p>
    <w:p>
      <w:pPr>
        <w:spacing w:after="0" w:line="16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68"/>
              <w:spacing w:after="0"/>
              <w:rPr>
                <w:sz w:val="20"/>
                <w:szCs w:val="20"/>
                <w:color w:val="auto"/>
              </w:rPr>
            </w:pPr>
            <w:r>
              <w:rPr>
                <w:rFonts w:ascii="Arial" w:cs="Arial" w:eastAsia="Arial" w:hAnsi="Arial"/>
                <w:sz w:val="14"/>
                <w:szCs w:val="14"/>
                <w:color w:val="auto"/>
              </w:rPr>
              <w:t>Three months ended Mar. 31,</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Non-GAAP Financial Measures</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8"/>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revenues</w:t>
            </w: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11,914</w:t>
            </w:r>
          </w:p>
        </w:tc>
        <w:tc>
          <w:tcPr>
            <w:tcW w:w="8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220,972</w:t>
            </w:r>
          </w:p>
        </w:tc>
        <w:tc>
          <w:tcPr>
            <w:tcW w:w="0" w:type="dxa"/>
            <w:vAlign w:val="bottom"/>
          </w:tcPr>
          <w:p>
            <w:pPr>
              <w:spacing w:after="0"/>
              <w:rPr>
                <w:sz w:val="1"/>
                <w:szCs w:val="1"/>
                <w:color w:val="auto"/>
              </w:rPr>
            </w:pPr>
          </w:p>
        </w:tc>
      </w:tr>
      <w:tr>
        <w:trPr>
          <w:trHeight w:val="190"/>
        </w:trPr>
        <w:tc>
          <w:tcPr>
            <w:tcW w:w="8280" w:type="dxa"/>
            <w:vAlign w:val="bottom"/>
            <w:gridSpan w:val="2"/>
          </w:tcPr>
          <w:p>
            <w:pPr>
              <w:ind w:left="140"/>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(66,136)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(9,786)</w:t>
            </w:r>
          </w:p>
        </w:tc>
        <w:tc>
          <w:tcPr>
            <w:tcW w:w="0" w:type="dxa"/>
            <w:vAlign w:val="bottom"/>
          </w:tcPr>
          <w:p>
            <w:pPr>
              <w:spacing w:after="0"/>
              <w:rPr>
                <w:sz w:val="1"/>
                <w:szCs w:val="1"/>
                <w:color w:val="auto"/>
              </w:rPr>
            </w:pPr>
          </w:p>
        </w:tc>
      </w:tr>
      <w:tr>
        <w:trPr>
          <w:trHeight w:val="203"/>
        </w:trPr>
        <w:tc>
          <w:tcPr>
            <w:tcW w:w="8280" w:type="dxa"/>
            <w:vAlign w:val="bottom"/>
            <w:gridSpan w:val="2"/>
          </w:tcPr>
          <w:p>
            <w:pPr>
              <w:ind w:left="1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30,786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15,954</w:t>
            </w:r>
          </w:p>
        </w:tc>
        <w:tc>
          <w:tcPr>
            <w:tcW w:w="0" w:type="dxa"/>
            <w:vAlign w:val="bottom"/>
          </w:tcPr>
          <w:p>
            <w:pPr>
              <w:spacing w:after="0"/>
              <w:rPr>
                <w:sz w:val="1"/>
                <w:szCs w:val="1"/>
                <w:color w:val="auto"/>
              </w:rPr>
            </w:pPr>
          </w:p>
        </w:tc>
      </w:tr>
      <w:tr>
        <w:trPr>
          <w:trHeight w:val="203"/>
        </w:trPr>
        <w:tc>
          <w:tcPr>
            <w:tcW w:w="8280" w:type="dxa"/>
            <w:vAlign w:val="bottom"/>
            <w:gridSpan w:val="2"/>
          </w:tcPr>
          <w:p>
            <w:pPr>
              <w:ind w:left="140"/>
              <w:spacing w:after="0"/>
              <w:rPr>
                <w:sz w:val="20"/>
                <w:szCs w:val="20"/>
                <w:color w:val="auto"/>
              </w:rPr>
            </w:pPr>
            <w:r>
              <w:rPr>
                <w:rFonts w:ascii="Arial" w:cs="Arial" w:eastAsia="Arial" w:hAnsi="Arial"/>
                <w:sz w:val="14"/>
                <w:szCs w:val="14"/>
                <w:color w:val="auto"/>
              </w:rPr>
              <w:t>Income tax expense (benefit)</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04"/>
        </w:trPr>
        <w:tc>
          <w:tcPr>
            <w:tcW w:w="828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tcBorders>
              <w:bottom w:val="single" w:sz="8" w:color="929292"/>
            </w:tcBorders>
          </w:tcPr>
          <w:p>
            <w:pPr>
              <w:spacing w:after="0"/>
              <w:rPr>
                <w:sz w:val="17"/>
                <w:szCs w:val="17"/>
                <w:color w:val="auto"/>
              </w:rPr>
            </w:pPr>
          </w:p>
        </w:tc>
        <w:tc>
          <w:tcPr>
            <w:tcW w:w="112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26,477</w:t>
            </w:r>
          </w:p>
        </w:tc>
        <w:tc>
          <w:tcPr>
            <w:tcW w:w="0" w:type="dxa"/>
            <w:vAlign w:val="bottom"/>
          </w:tcPr>
          <w:p>
            <w:pPr>
              <w:spacing w:after="0"/>
              <w:rPr>
                <w:sz w:val="1"/>
                <w:szCs w:val="1"/>
                <w:color w:val="auto"/>
              </w:rPr>
            </w:pPr>
          </w:p>
        </w:tc>
      </w:tr>
      <w:tr>
        <w:trPr>
          <w:trHeight w:val="196"/>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EBITDA</w:t>
            </w:r>
          </w:p>
        </w:tc>
        <w:tc>
          <w:tcPr>
            <w:tcW w:w="320" w:type="dxa"/>
            <w:vAlign w:val="bottom"/>
            <w:tcBorders>
              <w:bottom w:val="single" w:sz="8" w:color="929292"/>
            </w:tcBorders>
          </w:tcPr>
          <w:p>
            <w:pPr>
              <w:spacing w:after="0"/>
              <w:rPr>
                <w:sz w:val="17"/>
                <w:szCs w:val="17"/>
                <w:color w:val="auto"/>
              </w:rPr>
            </w:pPr>
          </w:p>
        </w:tc>
        <w:tc>
          <w:tcPr>
            <w:tcW w:w="112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(34,331)</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33,747</w:t>
            </w:r>
          </w:p>
        </w:tc>
        <w:tc>
          <w:tcPr>
            <w:tcW w:w="0" w:type="dxa"/>
            <w:vAlign w:val="bottom"/>
          </w:tcPr>
          <w:p>
            <w:pPr>
              <w:spacing w:after="0"/>
              <w:rPr>
                <w:sz w:val="1"/>
                <w:szCs w:val="1"/>
                <w:color w:val="auto"/>
              </w:rPr>
            </w:pPr>
          </w:p>
        </w:tc>
      </w:tr>
      <w:tr>
        <w:trPr>
          <w:trHeight w:val="204"/>
        </w:trPr>
        <w:tc>
          <w:tcPr>
            <w:tcW w:w="8280" w:type="dxa"/>
            <w:vAlign w:val="bottom"/>
            <w:gridSpan w:val="2"/>
          </w:tcPr>
          <w:p>
            <w:pPr>
              <w:ind w:left="140"/>
              <w:spacing w:after="0" w:line="204" w:lineRule="exact"/>
              <w:rPr>
                <w:sz w:val="20"/>
                <w:szCs w:val="20"/>
                <w:color w:val="auto"/>
              </w:rPr>
            </w:pPr>
            <w:r>
              <w:rPr>
                <w:rFonts w:ascii="Arial" w:cs="Arial" w:eastAsia="Arial" w:hAnsi="Arial"/>
                <w:sz w:val="14"/>
                <w:szCs w:val="14"/>
                <w:color w:val="auto"/>
              </w:rPr>
              <w:t>Operating lease ROU asset impairment charges</w:t>
            </w:r>
            <w:r>
              <w:rPr>
                <w:rFonts w:ascii="Arial" w:cs="Arial" w:eastAsia="Arial" w:hAnsi="Arial"/>
                <w:sz w:val="18"/>
                <w:szCs w:val="18"/>
                <w:color w:val="auto"/>
                <w:vertAlign w:val="superscript"/>
              </w:rPr>
              <w:t>(1)</w:t>
            </w:r>
          </w:p>
        </w:tc>
        <w:tc>
          <w:tcPr>
            <w:tcW w:w="3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3"/>
        </w:trPr>
        <w:tc>
          <w:tcPr>
            <w:tcW w:w="828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Share-based compensation expense (benefit)</w:t>
            </w:r>
            <w:r>
              <w:rPr>
                <w:rFonts w:ascii="Arial" w:cs="Arial" w:eastAsia="Arial" w:hAnsi="Arial"/>
                <w:sz w:val="18"/>
                <w:szCs w:val="18"/>
                <w:color w:val="auto"/>
                <w:vertAlign w:val="superscript"/>
              </w:rPr>
              <w:t>(2)</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2,568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203"/>
        </w:trPr>
        <w:tc>
          <w:tcPr>
            <w:tcW w:w="828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(3)</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7,414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203"/>
        </w:trPr>
        <w:tc>
          <w:tcPr>
            <w:tcW w:w="828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Legal fees</w:t>
            </w:r>
            <w:r>
              <w:rPr>
                <w:rFonts w:ascii="Arial" w:cs="Arial" w:eastAsia="Arial" w:hAnsi="Arial"/>
                <w:sz w:val="18"/>
                <w:szCs w:val="18"/>
                <w:color w:val="auto"/>
                <w:vertAlign w:val="superscript"/>
              </w:rPr>
              <w:t>(4)</w:t>
            </w: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01"/>
        </w:trPr>
        <w:tc>
          <w:tcPr>
            <w:tcW w:w="8280" w:type="dxa"/>
            <w:vAlign w:val="bottom"/>
            <w:gridSpan w:val="2"/>
          </w:tcPr>
          <w:p>
            <w:pPr>
              <w:ind w:left="140"/>
              <w:spacing w:after="0" w:line="201"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(5)</w:t>
            </w:r>
          </w:p>
        </w:tc>
        <w:tc>
          <w:tcPr>
            <w:tcW w:w="3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3,815</w:t>
            </w:r>
          </w:p>
        </w:tc>
        <w:tc>
          <w:tcPr>
            <w:tcW w:w="0" w:type="dxa"/>
            <w:vAlign w:val="bottom"/>
          </w:tcPr>
          <w:p>
            <w:pPr>
              <w:spacing w:after="0"/>
              <w:rPr>
                <w:sz w:val="1"/>
                <w:szCs w:val="1"/>
                <w:color w:val="auto"/>
              </w:rPr>
            </w:pPr>
          </w:p>
        </w:tc>
      </w:tr>
      <w:tr>
        <w:trPr>
          <w:trHeight w:val="196"/>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Borders>
              <w:top w:val="single" w:sz="8" w:color="B6B6B6"/>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(22,222)</w:t>
            </w:r>
          </w:p>
        </w:tc>
        <w:tc>
          <w:tcPr>
            <w:tcW w:w="80" w:type="dxa"/>
            <w:vAlign w:val="bottom"/>
          </w:tcPr>
          <w:p>
            <w:pPr>
              <w:spacing w:after="0"/>
              <w:rPr>
                <w:sz w:val="17"/>
                <w:szCs w:val="17"/>
                <w:color w:val="auto"/>
              </w:rPr>
            </w:pPr>
          </w:p>
        </w:tc>
        <w:tc>
          <w:tcPr>
            <w:tcW w:w="340" w:type="dxa"/>
            <w:vAlign w:val="bottom"/>
            <w:tcBorders>
              <w:top w:val="single" w:sz="8" w:color="B6B6B6"/>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42,060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32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3"/>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Adjusted EBITDA Margin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340" w:right="80" w:hanging="332"/>
        <w:spacing w:after="0" w:line="243" w:lineRule="auto"/>
        <w:tabs>
          <w:tab w:leader="none" w:pos="332"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their estimated fair values. For the three months ended March 31, 2025, the amount includes a one-time gain of $0.2 million from the remeasurement of the lease liability and adjustment of the ROU asset (which was previously impaired) related to the early termination of a lease.</w:t>
      </w:r>
    </w:p>
    <w:p>
      <w:pPr>
        <w:spacing w:after="0" w:line="1" w:lineRule="exact"/>
        <w:rPr>
          <w:rFonts w:ascii="Arial" w:cs="Arial" w:eastAsia="Arial" w:hAnsi="Arial"/>
          <w:sz w:val="13"/>
          <w:szCs w:val="13"/>
          <w:i w:val="1"/>
          <w:iCs w:val="1"/>
          <w:color w:val="auto"/>
        </w:rPr>
      </w:pPr>
    </w:p>
    <w:p>
      <w:pPr>
        <w:ind w:left="340" w:right="160" w:hanging="332"/>
        <w:spacing w:after="0" w:line="242" w:lineRule="auto"/>
        <w:tabs>
          <w:tab w:leader="none" w:pos="332"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non-routine consulting fees and other professional services.</w:t>
      </w:r>
    </w:p>
    <w:p>
      <w:pPr>
        <w:spacing w:after="0" w:line="7" w:lineRule="exact"/>
        <w:rPr>
          <w:rFonts w:ascii="Arial" w:cs="Arial" w:eastAsia="Arial" w:hAnsi="Arial"/>
          <w:sz w:val="13"/>
          <w:szCs w:val="13"/>
          <w:i w:val="1"/>
          <w:iCs w:val="1"/>
          <w:color w:val="auto"/>
        </w:rPr>
      </w:pPr>
    </w:p>
    <w:p>
      <w:pPr>
        <w:ind w:left="340" w:right="220" w:hanging="332"/>
        <w:spacing w:after="0" w:line="238" w:lineRule="auto"/>
        <w:tabs>
          <w:tab w:leader="none" w:pos="332"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acquisitions, litigation, Existing Credit Agreement amendments or new credit agreements and other non-routine legal or regulatory matters.</w:t>
      </w: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other fees associated with a reduction in workforce unrelated to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80" w:type="dxa"/>
            <w:vAlign w:val="bottom"/>
            <w:tcBorders>
              <w:top w:val="single" w:sz="8" w:color="B6B6B6"/>
              <w:left w:val="single" w:sz="8" w:color="B6B6B6"/>
              <w:right w:val="single" w:sz="8" w:color="B6B6B6"/>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80"/>
              <w:spacing w:after="0"/>
              <w:rPr>
                <w:sz w:val="20"/>
                <w:szCs w:val="20"/>
                <w:color w:val="auto"/>
              </w:rPr>
            </w:pPr>
            <w:r>
              <w:rPr>
                <w:rFonts w:ascii="Arial" w:cs="Arial" w:eastAsia="Arial" w:hAnsi="Arial"/>
                <w:sz w:val="14"/>
                <w:szCs w:val="14"/>
                <w:color w:val="auto"/>
              </w:rPr>
              <w:t>Three months ended Mar. 31,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top w:val="single" w:sz="8" w:color="929292"/>
            </w:tcBorders>
            <w:gridSpan w:val="2"/>
            <w:shd w:val="clear" w:color="auto" w:fill="929292"/>
          </w:tcPr>
          <w:p>
            <w:pPr>
              <w:jc w:val="right"/>
              <w:ind w:right="628"/>
              <w:spacing w:after="0"/>
              <w:rPr>
                <w:sz w:val="20"/>
                <w:szCs w:val="20"/>
                <w:color w:val="auto"/>
              </w:rPr>
            </w:pPr>
            <w:r>
              <w:rPr>
                <w:rFonts w:ascii="Arial" w:cs="Arial" w:eastAsia="Arial" w:hAnsi="Arial"/>
                <w:sz w:val="14"/>
                <w:szCs w:val="14"/>
                <w:color w:val="FFFFFF"/>
              </w:rPr>
              <w:t>% of Net Revenues</w:t>
            </w:r>
          </w:p>
        </w:tc>
      </w:tr>
      <w:tr>
        <w:trPr>
          <w:trHeight w:val="220"/>
        </w:trPr>
        <w:tc>
          <w:tcPr>
            <w:tcW w:w="3380" w:type="dxa"/>
            <w:vAlign w:val="bottom"/>
            <w:tcBorders>
              <w:left w:val="single" w:sz="8" w:color="B6B6B6"/>
              <w:right w:val="single" w:sz="8" w:color="B6B6B6"/>
            </w:tcBorders>
          </w:tcPr>
          <w:p>
            <w:pPr>
              <w:ind w:left="1100"/>
              <w:spacing w:after="0"/>
              <w:rPr>
                <w:sz w:val="20"/>
                <w:szCs w:val="20"/>
                <w:color w:val="auto"/>
              </w:rPr>
            </w:pPr>
            <w:r>
              <w:rPr>
                <w:rFonts w:ascii="Arial" w:cs="Arial" w:eastAsia="Arial" w:hAnsi="Arial"/>
                <w:sz w:val="14"/>
                <w:szCs w:val="14"/>
                <w:b w:val="1"/>
                <w:bCs w:val="1"/>
                <w:color w:val="00497F"/>
              </w:rPr>
              <w:t>Adjusted EBITDA</w:t>
            </w:r>
          </w:p>
        </w:tc>
        <w:tc>
          <w:tcPr>
            <w:tcW w:w="80" w:type="dxa"/>
            <w:vAlign w:val="bottom"/>
            <w:shd w:val="clear" w:color="auto" w:fill="929292"/>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 Change</w:t>
            </w:r>
          </w:p>
        </w:tc>
        <w:tc>
          <w:tcPr>
            <w:tcW w:w="1360" w:type="dxa"/>
            <w:vAlign w:val="bottom"/>
            <w:gridSpan w:val="2"/>
          </w:tcPr>
          <w:p>
            <w:pPr>
              <w:ind w:left="280"/>
              <w:spacing w:after="0"/>
              <w:rPr>
                <w:sz w:val="20"/>
                <w:szCs w:val="20"/>
                <w:color w:val="auto"/>
              </w:rPr>
            </w:pPr>
            <w:r>
              <w:rPr>
                <w:rFonts w:ascii="Arial" w:cs="Arial" w:eastAsia="Arial" w:hAnsi="Arial"/>
                <w:sz w:val="14"/>
                <w:szCs w:val="14"/>
                <w:color w:val="auto"/>
              </w:rPr>
              <w:t>% Change</w:t>
            </w:r>
          </w:p>
        </w:tc>
        <w:tc>
          <w:tcPr>
            <w:tcW w:w="1560" w:type="dxa"/>
            <w:vAlign w:val="bottom"/>
            <w:shd w:val="clear" w:color="auto" w:fill="929292"/>
          </w:tcPr>
          <w:p>
            <w:pPr>
              <w:jc w:val="right"/>
              <w:ind w:right="688"/>
              <w:spacing w:after="0"/>
              <w:rPr>
                <w:sz w:val="20"/>
                <w:szCs w:val="20"/>
                <w:color w:val="auto"/>
              </w:rPr>
            </w:pPr>
            <w:r>
              <w:rPr>
                <w:rFonts w:ascii="Arial" w:cs="Arial" w:eastAsia="Arial" w:hAnsi="Arial"/>
                <w:sz w:val="14"/>
                <w:szCs w:val="14"/>
                <w:color w:val="FFFFFF"/>
              </w:rPr>
              <w:t>2026</w:t>
            </w:r>
          </w:p>
        </w:tc>
        <w:tc>
          <w:tcPr>
            <w:tcW w:w="1080" w:type="dxa"/>
            <w:vAlign w:val="bottom"/>
            <w:shd w:val="clear" w:color="auto" w:fill="929292"/>
          </w:tcPr>
          <w:p>
            <w:pPr>
              <w:jc w:val="right"/>
              <w:ind w:right="408"/>
              <w:spacing w:after="0"/>
              <w:rPr>
                <w:sz w:val="20"/>
                <w:szCs w:val="20"/>
                <w:color w:val="auto"/>
              </w:rPr>
            </w:pPr>
            <w:r>
              <w:rPr>
                <w:rFonts w:ascii="Arial" w:cs="Arial" w:eastAsia="Arial" w:hAnsi="Arial"/>
                <w:sz w:val="14"/>
                <w:szCs w:val="14"/>
                <w:color w:val="FFFFFF"/>
              </w:rPr>
              <w:t>2025</w:t>
            </w:r>
          </w:p>
        </w:tc>
      </w:tr>
      <w:tr>
        <w:trPr>
          <w:trHeight w:val="194"/>
        </w:trPr>
        <w:tc>
          <w:tcPr>
            <w:tcW w:w="3380" w:type="dxa"/>
            <w:vAlign w:val="bottom"/>
            <w:tcBorders>
              <w:left w:val="single" w:sz="8" w:color="B6B6B6"/>
              <w:bottom w:val="single" w:sz="8" w:color="929292"/>
              <w:right w:val="single" w:sz="8" w:color="B6B6B6"/>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18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(22,222)</w:t>
            </w:r>
          </w:p>
        </w:tc>
        <w:tc>
          <w:tcPr>
            <w:tcW w:w="100" w:type="dxa"/>
            <w:vAlign w:val="bottom"/>
          </w:tcPr>
          <w:p>
            <w:pPr>
              <w:spacing w:after="0"/>
              <w:rPr>
                <w:sz w:val="16"/>
                <w:szCs w:val="16"/>
                <w:color w:val="auto"/>
              </w:rPr>
            </w:pPr>
          </w:p>
        </w:tc>
        <w:tc>
          <w:tcPr>
            <w:tcW w:w="260" w:type="dxa"/>
            <w:vAlign w:val="bottom"/>
            <w:tcBorders>
              <w:top w:val="single" w:sz="8" w:color="929292"/>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42,060</w:t>
            </w:r>
          </w:p>
        </w:tc>
        <w:tc>
          <w:tcPr>
            <w:tcW w:w="100" w:type="dxa"/>
            <w:vAlign w:val="bottom"/>
          </w:tcPr>
          <w:p>
            <w:pPr>
              <w:spacing w:after="0"/>
              <w:rPr>
                <w:sz w:val="16"/>
                <w:szCs w:val="16"/>
                <w:color w:val="auto"/>
              </w:rPr>
            </w:pPr>
          </w:p>
        </w:tc>
        <w:tc>
          <w:tcPr>
            <w:tcW w:w="18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(64,282)</w:t>
            </w:r>
          </w:p>
        </w:tc>
        <w:tc>
          <w:tcPr>
            <w:tcW w:w="100" w:type="dxa"/>
            <w:vAlign w:val="bottom"/>
          </w:tcPr>
          <w:p>
            <w:pPr>
              <w:spacing w:after="0"/>
              <w:rPr>
                <w:sz w:val="16"/>
                <w:szCs w:val="16"/>
                <w:color w:val="auto"/>
              </w:rPr>
            </w:pPr>
          </w:p>
        </w:tc>
        <w:tc>
          <w:tcPr>
            <w:tcW w:w="12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6"/>
                <w:szCs w:val="16"/>
                <w:color w:val="auto"/>
              </w:rPr>
            </w:pPr>
          </w:p>
        </w:tc>
        <w:tc>
          <w:tcPr>
            <w:tcW w:w="1560" w:type="dxa"/>
            <w:vAlign w:val="bottom"/>
            <w:tcBorders>
              <w:top w:val="single" w:sz="8" w:color="929292"/>
            </w:tcBorders>
            <w:shd w:val="clear" w:color="auto" w:fill="929292"/>
          </w:tcPr>
          <w:p>
            <w:pPr>
              <w:jc w:val="right"/>
              <w:ind w:right="228"/>
              <w:spacing w:after="0"/>
              <w:rPr>
                <w:sz w:val="20"/>
                <w:szCs w:val="20"/>
                <w:color w:val="auto"/>
              </w:rPr>
            </w:pPr>
            <w:r>
              <w:rPr>
                <w:rFonts w:ascii="Arial" w:cs="Arial" w:eastAsia="Arial" w:hAnsi="Arial"/>
                <w:sz w:val="14"/>
                <w:szCs w:val="14"/>
                <w:color w:val="FFFFFF"/>
              </w:rPr>
              <w:t>(186.5)%</w:t>
            </w:r>
          </w:p>
        </w:tc>
        <w:tc>
          <w:tcPr>
            <w:tcW w:w="108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4"/>
                <w:szCs w:val="14"/>
                <w:color w:val="FFFFFF"/>
              </w:rPr>
              <w:t>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-145415</wp:posOffset>
            </wp:positionV>
            <wp:extent cx="16802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0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due to a decrease in net revenues driven by management’s intentional pullback of Medicare Advantage activities, partially offset by ongoing reduction in expenses driven by cost reduction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279400</wp:posOffset>
            </wp:positionV>
            <wp:extent cx="825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279400</wp:posOffset>
            </wp:positionV>
            <wp:extent cx="889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32" w:name="page33"/>
    <w:bookmarkEnd w:id="32"/>
    <w:p>
      <w:pPr>
        <w:ind w:left="20"/>
        <w:spacing w:after="0"/>
        <w:rPr>
          <w:sz w:val="20"/>
          <w:szCs w:val="20"/>
          <w:color w:val="auto"/>
        </w:rPr>
      </w:pPr>
      <w:r>
        <w:rPr>
          <w:rFonts w:ascii="Arial" w:cs="Arial" w:eastAsia="Arial" w:hAnsi="Arial"/>
          <w:sz w:val="16"/>
          <w:szCs w:val="16"/>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Beginning in the quarter ended June 30, 2025, we revised the definitions of certain business and operating metrics to reflect our recent expansion into GoHealth Protect. This revised presentation aligns with how we currently manage our operations. We did not revise prior periods’ metrics because GoHealth Protect was not significant prior to the second quarter of 2025.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Submissions, Sales per Submission and Direct Operating Cost per Submission for the periods presented: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740" w:type="dxa"/>
            <w:vAlign w:val="bottom"/>
            <w:gridSpan w:val="4"/>
          </w:tcPr>
          <w:p>
            <w:pPr>
              <w:jc w:val="right"/>
              <w:ind w:right="348"/>
              <w:spacing w:after="0"/>
              <w:rPr>
                <w:sz w:val="20"/>
                <w:szCs w:val="20"/>
                <w:color w:val="auto"/>
              </w:rPr>
            </w:pPr>
            <w:r>
              <w:rPr>
                <w:rFonts w:ascii="Arial" w:cs="Arial" w:eastAsia="Arial" w:hAnsi="Arial"/>
                <w:sz w:val="14"/>
                <w:szCs w:val="14"/>
                <w:color w:val="auto"/>
              </w:rPr>
              <w:t>Three months ended Mar. 31,</w:t>
            </w:r>
          </w:p>
        </w:tc>
      </w:tr>
      <w:tr>
        <w:trPr>
          <w:trHeight w:val="204"/>
        </w:trPr>
        <w:tc>
          <w:tcPr>
            <w:tcW w:w="8480" w:type="dxa"/>
            <w:vAlign w:val="bottom"/>
          </w:tcPr>
          <w:p>
            <w:pPr>
              <w:spacing w:after="0"/>
              <w:rPr>
                <w:sz w:val="17"/>
                <w:szCs w:val="17"/>
                <w:color w:val="auto"/>
              </w:rPr>
            </w:pPr>
          </w:p>
        </w:tc>
        <w:tc>
          <w:tcPr>
            <w:tcW w:w="13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2025</w:t>
            </w:r>
          </w:p>
        </w:tc>
      </w:tr>
      <w:tr>
        <w:trPr>
          <w:trHeight w:val="194"/>
        </w:trPr>
        <w:tc>
          <w:tcPr>
            <w:tcW w:w="8480" w:type="dxa"/>
            <w:vAlign w:val="bottom"/>
          </w:tcPr>
          <w:p>
            <w:pPr>
              <w:spacing w:after="0"/>
              <w:rPr>
                <w:sz w:val="20"/>
                <w:szCs w:val="20"/>
                <w:color w:val="auto"/>
              </w:rPr>
            </w:pPr>
            <w:r>
              <w:rPr>
                <w:rFonts w:ascii="Arial" w:cs="Arial" w:eastAsia="Arial" w:hAnsi="Arial"/>
                <w:sz w:val="14"/>
                <w:szCs w:val="14"/>
                <w:color w:val="auto"/>
              </w:rPr>
              <w:t>Submissions</w:t>
            </w:r>
          </w:p>
        </w:tc>
        <w:tc>
          <w:tcPr>
            <w:tcW w:w="1320" w:type="dxa"/>
            <w:vAlign w:val="bottom"/>
          </w:tcPr>
          <w:p>
            <w:pPr>
              <w:jc w:val="right"/>
              <w:spacing w:after="0"/>
              <w:rPr>
                <w:sz w:val="20"/>
                <w:szCs w:val="20"/>
                <w:color w:val="auto"/>
              </w:rPr>
            </w:pPr>
            <w:r>
              <w:rPr>
                <w:rFonts w:ascii="Arial" w:cs="Arial" w:eastAsia="Arial" w:hAnsi="Arial"/>
                <w:sz w:val="14"/>
                <w:szCs w:val="14"/>
                <w:color w:val="auto"/>
              </w:rPr>
              <w:t>18,615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303,026</w:t>
            </w:r>
          </w:p>
        </w:tc>
      </w:tr>
      <w:tr>
        <w:trPr>
          <w:trHeight w:val="203"/>
        </w:trPr>
        <w:tc>
          <w:tcPr>
            <w:tcW w:w="8480" w:type="dxa"/>
            <w:vAlign w:val="bottom"/>
          </w:tcPr>
          <w:p>
            <w:pPr>
              <w:spacing w:after="0"/>
              <w:rPr>
                <w:sz w:val="20"/>
                <w:szCs w:val="20"/>
                <w:color w:val="auto"/>
              </w:rPr>
            </w:pPr>
            <w:r>
              <w:rPr>
                <w:rFonts w:ascii="Arial" w:cs="Arial" w:eastAsia="Arial" w:hAnsi="Arial"/>
                <w:sz w:val="14"/>
                <w:szCs w:val="14"/>
                <w:color w:val="auto"/>
              </w:rPr>
              <w:t>Sales per Submission</w:t>
            </w:r>
          </w:p>
        </w:tc>
        <w:tc>
          <w:tcPr>
            <w:tcW w:w="132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724</w:t>
            </w:r>
          </w:p>
        </w:tc>
      </w:tr>
      <w:tr>
        <w:trPr>
          <w:trHeight w:val="203"/>
        </w:trPr>
        <w:tc>
          <w:tcPr>
            <w:tcW w:w="8480" w:type="dxa"/>
            <w:vAlign w:val="bottom"/>
          </w:tcPr>
          <w:p>
            <w:pPr>
              <w:spacing w:after="0"/>
              <w:rPr>
                <w:sz w:val="20"/>
                <w:szCs w:val="20"/>
                <w:color w:val="auto"/>
              </w:rPr>
            </w:pPr>
            <w:r>
              <w:rPr>
                <w:rFonts w:ascii="Arial" w:cs="Arial" w:eastAsia="Arial" w:hAnsi="Arial"/>
                <w:sz w:val="14"/>
                <w:szCs w:val="14"/>
                <w:color w:val="auto"/>
              </w:rPr>
              <w:t>Direct Operating Cost per Submission</w:t>
            </w:r>
          </w:p>
        </w:tc>
        <w:tc>
          <w:tcPr>
            <w:tcW w:w="1320" w:type="dxa"/>
            <w:vAlign w:val="bottom"/>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522</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Submissions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Submissions are counted when an individual either (i) completes a Medicare application with our licensed agent that is submitted to the health plan partner and subsequently approved by the health plan partner during the indicated period, (ii) is transferred by our agent to the health plan partner through the Encompass marketplace during the indicated period, or (iii) completes a GoHealth Protect application with our licensed agent that is submitted, approved by the health plan partner, and for which the payment information was received by the health plan partner during the indicated period. Not all Submissions will go into effect, as some individuals may fail to enroll or once enrolled may switch out of a policy within the disenrollment period during the first 90 days of the policy.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40" w:type="dxa"/>
            <w:vAlign w:val="bottom"/>
            <w:tcBorders>
              <w:top w:val="single" w:sz="8" w:color="B6B6B6"/>
              <w:left w:val="single" w:sz="8" w:color="B6B6B6"/>
              <w:right w:val="single" w:sz="8" w:color="B6B6B6"/>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800" w:type="dxa"/>
            <w:vAlign w:val="bottom"/>
            <w:gridSpan w:val="4"/>
          </w:tcPr>
          <w:p>
            <w:pPr>
              <w:ind w:left="420"/>
              <w:spacing w:after="0"/>
              <w:rPr>
                <w:sz w:val="20"/>
                <w:szCs w:val="20"/>
                <w:color w:val="auto"/>
              </w:rPr>
            </w:pPr>
            <w:r>
              <w:rPr>
                <w:rFonts w:ascii="Arial" w:cs="Arial" w:eastAsia="Arial" w:hAnsi="Arial"/>
                <w:sz w:val="14"/>
                <w:szCs w:val="14"/>
                <w:color w:val="auto"/>
              </w:rPr>
              <w:t>Three months ended Mar. 31,</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8"/>
        </w:trPr>
        <w:tc>
          <w:tcPr>
            <w:tcW w:w="5540" w:type="dxa"/>
            <w:vAlign w:val="bottom"/>
            <w:tcBorders>
              <w:left w:val="single" w:sz="8" w:color="B6B6B6"/>
              <w:right w:val="single" w:sz="8" w:color="B6B6B6"/>
            </w:tcBorders>
          </w:tcPr>
          <w:p>
            <w:pPr>
              <w:ind w:left="2320"/>
              <w:spacing w:after="0"/>
              <w:rPr>
                <w:sz w:val="20"/>
                <w:szCs w:val="20"/>
                <w:color w:val="auto"/>
              </w:rPr>
            </w:pPr>
            <w:r>
              <w:rPr>
                <w:rFonts w:ascii="Arial" w:cs="Arial" w:eastAsia="Arial" w:hAnsi="Arial"/>
                <w:sz w:val="14"/>
                <w:szCs w:val="14"/>
                <w:b w:val="1"/>
                <w:bCs w:val="1"/>
                <w:color w:val="00497F"/>
              </w:rPr>
              <w:t>Submissions</w:t>
            </w:r>
          </w:p>
        </w:tc>
        <w:tc>
          <w:tcPr>
            <w:tcW w:w="80" w:type="dxa"/>
            <w:vAlign w:val="bottom"/>
            <w:shd w:val="clear" w:color="auto" w:fill="929292"/>
          </w:tcPr>
          <w:p>
            <w:pPr>
              <w:spacing w:after="0"/>
              <w:rPr>
                <w:sz w:val="17"/>
                <w:szCs w:val="17"/>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Change</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40" w:type="dxa"/>
            <w:vAlign w:val="bottom"/>
            <w:tcBorders>
              <w:left w:val="single" w:sz="8" w:color="B6B6B6"/>
              <w:bottom w:val="single" w:sz="8" w:color="B6B6B6"/>
              <w:right w:val="single" w:sz="8" w:color="B6B6B6"/>
            </w:tcBorders>
          </w:tcPr>
          <w:p>
            <w:pPr>
              <w:spacing w:after="0"/>
              <w:rPr>
                <w:sz w:val="16"/>
                <w:szCs w:val="16"/>
                <w:color w:val="auto"/>
              </w:rPr>
            </w:pPr>
          </w:p>
        </w:tc>
        <w:tc>
          <w:tcPr>
            <w:tcW w:w="80" w:type="dxa"/>
            <w:vAlign w:val="bottom"/>
            <w:tcBorders>
              <w:top w:val="single" w:sz="8" w:color="929292"/>
            </w:tcBorders>
            <w:shd w:val="clear" w:color="auto" w:fill="929292"/>
          </w:tcPr>
          <w:p>
            <w:pPr>
              <w:spacing w:after="0"/>
              <w:rPr>
                <w:sz w:val="16"/>
                <w:szCs w:val="16"/>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18,615</w:t>
            </w:r>
          </w:p>
        </w:tc>
        <w:tc>
          <w:tcPr>
            <w:tcW w:w="100" w:type="dxa"/>
            <w:vAlign w:val="bottom"/>
          </w:tcPr>
          <w:p>
            <w:pPr>
              <w:spacing w:after="0"/>
              <w:rPr>
                <w:sz w:val="16"/>
                <w:szCs w:val="16"/>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303,026</w:t>
            </w:r>
          </w:p>
        </w:tc>
        <w:tc>
          <w:tcPr>
            <w:tcW w:w="100" w:type="dxa"/>
            <w:vAlign w:val="bottom"/>
          </w:tcPr>
          <w:p>
            <w:pPr>
              <w:spacing w:after="0"/>
              <w:rPr>
                <w:sz w:val="16"/>
                <w:szCs w:val="16"/>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(284,411)</w:t>
            </w:r>
          </w:p>
        </w:tc>
        <w:tc>
          <w:tcPr>
            <w:tcW w:w="100" w:type="dxa"/>
            <w:vAlign w:val="bottom"/>
          </w:tcPr>
          <w:p>
            <w:pPr>
              <w:spacing w:after="0"/>
              <w:rPr>
                <w:sz w:val="16"/>
                <w:szCs w:val="16"/>
                <w:color w:val="auto"/>
              </w:rPr>
            </w:pPr>
          </w:p>
        </w:tc>
        <w:tc>
          <w:tcPr>
            <w:tcW w:w="14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(93.9)%</w:t>
            </w:r>
          </w:p>
        </w:tc>
      </w:tr>
    </w:tbl>
    <w:p>
      <w:pPr>
        <w:spacing w:after="0" w:line="283"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auto"/>
        </w:rPr>
        <w:t>The decrease for the three months ended March 31, 2026 compared to the prior year period was primarily attributable to a decrease in Submissions generated by GoHealth’s internal and external network of agents, partially offset by the ramp up of GoHealth Protect.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Sales per Submission</w:t>
      </w:r>
    </w:p>
    <w:p>
      <w:pPr>
        <w:spacing w:after="0" w:line="248"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Sales per Submission is an operating metric that represents the average performance of Submissions generated during the reporting period. Sales per Submission refers to (x) the sum of (i) aggregate Medicare commissions estimated to be collected over the estimated life of all commissionable Submissions</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6"/>
          <w:szCs w:val="16"/>
          <w:color w:val="auto"/>
        </w:rPr>
        <w:t>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w:t>
      </w:r>
    </w:p>
    <w:p>
      <w:pPr>
        <w:spacing w:after="0" w:line="1" w:lineRule="exact"/>
        <w:rPr>
          <w:sz w:val="20"/>
          <w:szCs w:val="20"/>
          <w:color w:val="auto"/>
        </w:rPr>
      </w:pPr>
    </w:p>
    <w:p>
      <w:pPr>
        <w:ind w:right="20" w:firstLine="8"/>
        <w:spacing w:after="0" w:line="231"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Medicare non-agency revenue, (iii) Medicare partner marketing and other revenue and (iv) consideration estimated to be collected for GoHealth Protect for the relevant period based on multiple factors, including but not limited to, contracted rates, average premium levels and persistency, divided by (y) the number of Submissions for such period. Sales per Submission measures revenues only from the Submissions generated in the period and excludes items that are unrelated to such Submissions. Sales per Submission is not meant to be considered as an indicator of financial performance in isolation from or as a substitute for the Company’s net revenues. Management uses this metric to measure the performance of the Submissions generated in a reporting period by reviewing and presenting average performance on a per Submission basis over time.</w:t>
      </w:r>
    </w:p>
    <w:p>
      <w:pPr>
        <w:spacing w:after="0" w:line="21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numerator of Sales per Submission includes revenues generated by Submissions produced in the reporting period through both our agency and non-agency models. 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Agency revenue refers to the expected amount of initial commission revenue and any renewal commissions to be paid from the health plan partners on such placement as long as the policyholder remains with the same insurance product.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281305</wp:posOffset>
            </wp:positionV>
            <wp:extent cx="825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281305</wp:posOffset>
            </wp:positionV>
            <wp:extent cx="889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33" w:name="page34"/>
    <w:bookmarkEnd w:id="33"/>
    <w:p>
      <w:pPr>
        <w:ind w:right="40"/>
        <w:spacing w:after="0" w:line="265" w:lineRule="auto"/>
        <w:rPr>
          <w:sz w:val="20"/>
          <w:szCs w:val="20"/>
          <w:color w:val="auto"/>
        </w:rPr>
      </w:pPr>
      <w:r>
        <w:rPr>
          <w:rFonts w:ascii="Arial" w:cs="Arial" w:eastAsia="Arial" w:hAnsi="Arial"/>
          <w:sz w:val="16"/>
          <w:szCs w:val="16"/>
          <w:color w:val="auto"/>
        </w:rPr>
        <w:t>values from period to period. See “Risk Factors—Risks Related to Our Business—Our operating results may be adversely impacted by factors that impact our estimate of LTV” in our 2025 Annual Report on Form 10-K. Agency revenue includes partner marketing revenue, in which the Company is compensated by its health plan partners for providing marketing services over a predetermined measurement period. The Company recognizes partner marketing revenue over the measurement period as Submissions are generated and generally gets paid a fixed fee per Submission that results in either a policy effectuating or staying in-force through the rapid disenrollment period, or 90 days post-effectuation.</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Non-agency revenue refers to Medicare enrollment and engagement services for which cash is collected in advance or in close proximity to the point in time revenue is recognized, with the amount of variable consideration generally resolved within 90 days of when the related policy effectuates. Non-agency revenue also includes enrollment related services through GoHealth Protect, a suite of products to cover unexpected life events, including guaranteed acceptance life insurance. Revenue is recognized at the point in time the enrollment is submitted, approved by the health plan partner, and for which the payment information was received by the health plan partner. The Company estimates the amount of variable consideration that it expects to receive based on expectations as to future retention rates and average premium levels. The Company does not receive commissions on subsequent renewals for non-agency Submissions. For more information on the Company’s agency and non-agency revenue, refer to Note 8, “Revenue.”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60" w:type="dxa"/>
            <w:vAlign w:val="bottom"/>
            <w:tcBorders>
              <w:top w:val="single" w:sz="8" w:color="B6B6B6"/>
              <w:left w:val="single" w:sz="8" w:color="B6B6B6"/>
              <w:right w:val="single" w:sz="8" w:color="B6B6B6"/>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color w:val="auto"/>
              </w:rPr>
              <w:t>Three months ended Mar. 31,</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8"/>
        </w:trPr>
        <w:tc>
          <w:tcPr>
            <w:tcW w:w="5560" w:type="dxa"/>
            <w:vAlign w:val="bottom"/>
            <w:tcBorders>
              <w:left w:val="single" w:sz="8" w:color="B6B6B6"/>
              <w:right w:val="single" w:sz="8" w:color="B6B6B6"/>
            </w:tcBorders>
          </w:tcPr>
          <w:p>
            <w:pPr>
              <w:ind w:left="2040"/>
              <w:spacing w:after="0"/>
              <w:rPr>
                <w:sz w:val="20"/>
                <w:szCs w:val="20"/>
                <w:color w:val="auto"/>
              </w:rPr>
            </w:pPr>
            <w:r>
              <w:rPr>
                <w:rFonts w:ascii="Arial" w:cs="Arial" w:eastAsia="Arial" w:hAnsi="Arial"/>
                <w:sz w:val="14"/>
                <w:szCs w:val="14"/>
                <w:b w:val="1"/>
                <w:bCs w:val="1"/>
                <w:color w:val="00497F"/>
              </w:rPr>
              <w:t>Sales per Submission</w:t>
            </w:r>
          </w:p>
        </w:tc>
        <w:tc>
          <w:tcPr>
            <w:tcW w:w="80" w:type="dxa"/>
            <w:vAlign w:val="bottom"/>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60" w:type="dxa"/>
            <w:vAlign w:val="bottom"/>
            <w:tcBorders>
              <w:left w:val="single" w:sz="8" w:color="B6B6B6"/>
              <w:bottom w:val="single" w:sz="8" w:color="929292"/>
              <w:right w:val="single" w:sz="8" w:color="B6B6B6"/>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621</w:t>
            </w:r>
          </w:p>
        </w:tc>
        <w:tc>
          <w:tcPr>
            <w:tcW w:w="80" w:type="dxa"/>
            <w:vAlign w:val="bottom"/>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4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(14.2)%</w:t>
            </w:r>
          </w:p>
        </w:tc>
      </w:tr>
    </w:tbl>
    <w:p>
      <w:pPr>
        <w:spacing w:after="0" w:line="283"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The decreases for the three months ended March 31, 2026 compared to the prior year period was primarily attributable to the shift in focus to GoHealth Protect. The guaranteed acceptance life insurance product produces lower revenues on a per-submission basis compared to Medicare products. The decreases were also attributable to a shift from non-agency to agency revenue as a result of changing carrier mix within the non-agency channel.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Direct Operating Cost per Submission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Direct Operating Cost per Submission is an operating metric that represents the average performance of Submissions generated during the reporting period.</w:t>
      </w:r>
    </w:p>
    <w:p>
      <w:pPr>
        <w:spacing w:after="0" w:line="8"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Direct Operating Cost per Submission measures costs directly attributable to Submissions generated in the period and excludes costs that are indirect or fixed. The numerator of Direct Operating Cost per Submission, referred to as Direct Operating Cost of Submission, is the portion of the respective operating</w:t>
      </w:r>
    </w:p>
    <w:p>
      <w:pPr>
        <w:ind w:right="60"/>
        <w:spacing w:after="0" w:line="238" w:lineRule="auto"/>
        <w:rPr>
          <w:sz w:val="20"/>
          <w:szCs w:val="20"/>
          <w:color w:val="auto"/>
        </w:rPr>
      </w:pPr>
      <w:r>
        <w:rPr>
          <w:rFonts w:ascii="Arial" w:cs="Arial" w:eastAsia="Arial" w:hAnsi="Arial"/>
          <w:sz w:val="16"/>
          <w:szCs w:val="16"/>
          <w:color w:val="auto"/>
        </w:rPr>
        <w:t>expenses for revenue share, marketing and advertising and consumer care and enrollment that are directly related to the Submissions generated in the reporting period. Management uses this metric to measure the cost of the Submissions generated in a reporting period by reviewing and presenting average cost on a per Submission basis over time.</w:t>
      </w:r>
    </w:p>
    <w:p>
      <w:pPr>
        <w:spacing w:after="0" w:line="206"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Revenue share represents variable expense related to agency and non-agency Submissions generated in the reporting period by our external agents with whom we have a revenue-sharing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and other expenses unrelated to Medicare. Consumer care and enrollment expenses primarily consist of compensation and benefits costs for enrollment personnel who assist consumers during the health plan enrollment and application processes and such expenses are generally variable with Submissions. These amounts exclude items that are unrelated to Submissions generated in the reporting period such as share-based compensation expense and other expenses unrelated to Medicare.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Direct Operating Cost per Submission for the periods presented:</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40" w:type="dxa"/>
            <w:vAlign w:val="bottom"/>
            <w:tcBorders>
              <w:top w:val="single" w:sz="8" w:color="B6B6B6"/>
              <w:left w:val="single" w:sz="8" w:color="B6B6B6"/>
              <w:right w:val="single" w:sz="8" w:color="B6B6B6"/>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ind w:left="140"/>
              <w:spacing w:after="0"/>
              <w:rPr>
                <w:sz w:val="20"/>
                <w:szCs w:val="20"/>
                <w:color w:val="auto"/>
              </w:rPr>
            </w:pPr>
            <w:r>
              <w:rPr>
                <w:rFonts w:ascii="Arial" w:cs="Arial" w:eastAsia="Arial" w:hAnsi="Arial"/>
                <w:sz w:val="14"/>
                <w:szCs w:val="14"/>
                <w:color w:val="auto"/>
              </w:rPr>
              <w:t>Three months ended Mar. 31,</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5540" w:type="dxa"/>
            <w:vAlign w:val="bottom"/>
            <w:tcBorders>
              <w:left w:val="single" w:sz="8" w:color="B6B6B6"/>
              <w:right w:val="single" w:sz="8" w:color="B6B6B6"/>
            </w:tcBorders>
          </w:tcPr>
          <w:p>
            <w:pPr>
              <w:ind w:left="1480"/>
              <w:spacing w:after="0"/>
              <w:rPr>
                <w:sz w:val="20"/>
                <w:szCs w:val="20"/>
                <w:color w:val="auto"/>
              </w:rPr>
            </w:pPr>
            <w:r>
              <w:rPr>
                <w:rFonts w:ascii="Arial" w:cs="Arial" w:eastAsia="Arial" w:hAnsi="Arial"/>
                <w:sz w:val="14"/>
                <w:szCs w:val="14"/>
                <w:b w:val="1"/>
                <w:bCs w:val="1"/>
                <w:color w:val="00497F"/>
              </w:rPr>
              <w:t>Direct Operating Cost per Submission</w:t>
            </w:r>
          </w:p>
        </w:tc>
        <w:tc>
          <w:tcPr>
            <w:tcW w:w="80" w:type="dxa"/>
            <w:vAlign w:val="bottom"/>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40" w:type="dxa"/>
            <w:vAlign w:val="bottom"/>
            <w:tcBorders>
              <w:left w:val="single" w:sz="8" w:color="B6B6B6"/>
              <w:bottom w:val="single" w:sz="8" w:color="929292"/>
              <w:right w:val="single" w:sz="8" w:color="B6B6B6"/>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60" w:type="dxa"/>
            <w:vAlign w:val="bottom"/>
            <w:tcBorders>
              <w:top w:val="single" w:sz="8" w:color="929292"/>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6"/>
                <w:szCs w:val="16"/>
                <w:color w:val="auto"/>
              </w:rPr>
            </w:pPr>
          </w:p>
        </w:tc>
        <w:tc>
          <w:tcPr>
            <w:tcW w:w="14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80.5 %</w:t>
            </w:r>
          </w:p>
        </w:tc>
      </w:tr>
    </w:tbl>
    <w:p>
      <w:pPr>
        <w:spacing w:after="0" w:line="29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increase in Direct Operating Cost per Submission for the three months ended March 31, 2026 compared to the prior year period was primarily attributable to management’s intentional pullback of Medicare Advantage activities during 2025 partially offset by ongoing reduced expenses driven by cost cutting initiatives.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Sales/Direct Operating Cost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474980</wp:posOffset>
            </wp:positionV>
            <wp:extent cx="825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474980</wp:posOffset>
            </wp:positionV>
            <wp:extent cx="889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4" w:name="page35"/>
    <w:bookmarkEnd w:id="34"/>
    <w:p>
      <w:pPr>
        <w:ind w:right="580"/>
        <w:spacing w:after="0" w:line="268" w:lineRule="auto"/>
        <w:rPr>
          <w:sz w:val="20"/>
          <w:szCs w:val="20"/>
          <w:color w:val="auto"/>
        </w:rPr>
      </w:pPr>
      <w:r>
        <w:rPr>
          <w:rFonts w:ascii="Arial" w:cs="Arial" w:eastAsia="Arial" w:hAnsi="Arial"/>
          <w:sz w:val="16"/>
          <w:szCs w:val="16"/>
          <w:color w:val="auto"/>
        </w:rPr>
        <w:t>Sales/Direct Operating Cost of Submission represents the numerator of Sales per Submission, as defined above, divided by Direct Operating Cost of Submission, as defined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Direct Operating Cost of Submission (in thousands) and Sales/Direct Operating Cost of Submission for the periods presented:</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4"/>
          </w:tcPr>
          <w:p>
            <w:pPr>
              <w:jc w:val="right"/>
              <w:ind w:right="348"/>
              <w:spacing w:after="0"/>
              <w:rPr>
                <w:sz w:val="20"/>
                <w:szCs w:val="20"/>
                <w:color w:val="auto"/>
              </w:rPr>
            </w:pPr>
            <w:r>
              <w:rPr>
                <w:rFonts w:ascii="Arial" w:cs="Arial" w:eastAsia="Arial" w:hAnsi="Arial"/>
                <w:sz w:val="14"/>
                <w:szCs w:val="14"/>
                <w:color w:val="auto"/>
              </w:rPr>
              <w:t>Three months ended Mar. 31,</w:t>
            </w:r>
          </w:p>
        </w:tc>
      </w:tr>
      <w:tr>
        <w:trPr>
          <w:trHeight w:val="192"/>
        </w:trPr>
        <w:tc>
          <w:tcPr>
            <w:tcW w:w="8300" w:type="dxa"/>
            <w:vAlign w:val="bottom"/>
          </w:tcPr>
          <w:p>
            <w:pPr>
              <w:spacing w:after="0"/>
              <w:rPr>
                <w:sz w:val="16"/>
                <w:szCs w:val="16"/>
                <w:color w:val="auto"/>
              </w:rPr>
            </w:pPr>
          </w:p>
        </w:tc>
        <w:tc>
          <w:tcPr>
            <w:tcW w:w="80" w:type="dxa"/>
            <w:vAlign w:val="bottom"/>
            <w:tcBorders>
              <w:bottom w:val="single" w:sz="8" w:color="929292"/>
            </w:tcBorders>
            <w:shd w:val="clear" w:color="auto" w:fill="92929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929292"/>
            </w:tcBorders>
          </w:tcPr>
          <w:p>
            <w:pPr>
              <w:spacing w:after="0"/>
              <w:rPr>
                <w:sz w:val="16"/>
                <w:szCs w:val="16"/>
                <w:color w:val="auto"/>
              </w:rPr>
            </w:pPr>
          </w:p>
        </w:tc>
        <w:tc>
          <w:tcPr>
            <w:tcW w:w="106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02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2025</w:t>
            </w:r>
          </w:p>
        </w:tc>
      </w:tr>
      <w:tr>
        <w:trPr>
          <w:trHeight w:val="194"/>
        </w:trPr>
        <w:tc>
          <w:tcPr>
            <w:tcW w:w="8300" w:type="dxa"/>
            <w:vAlign w:val="bottom"/>
          </w:tcPr>
          <w:p>
            <w:pPr>
              <w:spacing w:after="0"/>
              <w:rPr>
                <w:sz w:val="20"/>
                <w:szCs w:val="20"/>
                <w:color w:val="auto"/>
              </w:rPr>
            </w:pPr>
            <w:r>
              <w:rPr>
                <w:rFonts w:ascii="Arial" w:cs="Arial" w:eastAsia="Arial" w:hAnsi="Arial"/>
                <w:sz w:val="14"/>
                <w:szCs w:val="14"/>
                <w:color w:val="auto"/>
              </w:rPr>
              <w:t>Direct Operating Cost of Submission</w:t>
            </w:r>
          </w:p>
        </w:tc>
        <w:tc>
          <w:tcPr>
            <w:tcW w:w="80" w:type="dxa"/>
            <w:vAlign w:val="bottom"/>
            <w:shd w:val="clear" w:color="auto" w:fill="929292"/>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17,534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158,042</w:t>
            </w:r>
          </w:p>
        </w:tc>
      </w:tr>
      <w:tr>
        <w:trPr>
          <w:trHeight w:val="211"/>
        </w:trPr>
        <w:tc>
          <w:tcPr>
            <w:tcW w:w="8300" w:type="dxa"/>
            <w:vAlign w:val="bottom"/>
          </w:tcPr>
          <w:p>
            <w:pPr>
              <w:spacing w:after="0"/>
              <w:rPr>
                <w:sz w:val="20"/>
                <w:szCs w:val="20"/>
                <w:color w:val="auto"/>
              </w:rPr>
            </w:pPr>
            <w:r>
              <w:rPr>
                <w:rFonts w:ascii="Arial" w:cs="Arial" w:eastAsia="Arial" w:hAnsi="Arial"/>
                <w:sz w:val="14"/>
                <w:szCs w:val="14"/>
                <w:color w:val="auto"/>
              </w:rPr>
              <w:t>Sales/Direct Operating Cost of Submission</w:t>
            </w:r>
          </w:p>
        </w:tc>
        <w:tc>
          <w:tcPr>
            <w:tcW w:w="80" w:type="dxa"/>
            <w:vAlign w:val="bottom"/>
            <w:shd w:val="clear" w:color="auto" w:fill="92929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29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decrease in Sales/Direct Operating Cost of Submission for the three months ended March 31, 2026 compared to the prior year period was primarily attributable to a decrease in sales offset partially by implemented cost cutting initiatives.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4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liquidity needs primarily include working capital and debt service requirements, including ongoing cash interest payments related to our outstanding borrowings. At March 31, 2026, cash and cash equivalents totaled $39.9 million. Short-term liquidity needs are primarily funded through cash from operating activities and cash and cash equivalents.</w:t>
      </w:r>
    </w:p>
    <w:p>
      <w:pPr>
        <w:spacing w:after="0" w:line="19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current financial projections indicate that, based on our current business plan, it is probable that we will be unable to maintain compliance with our liquidity covenant within the twelve months after the Condensed Consolidated Financial Statements included in this Quarterly Report on Form 10-Q are issued, unless the mitigating plans described below are implemented successfully. In the event we are unable to meet our liquidity financial covenant or make scheduled principal and interest payments, our lenders may not waive compliance and could elect to declare an event of default under the Superpriority Credit Agreement and Amendment No. 14 and accelerate the repayment of our obligations thereunder. We do not expect we would have sufficient liquidity to repay our debt obligations if they are accelerated. As a result, our lenders could seek to exercise rights and remedies available to them, including enforcing against the collateral securing these debt obligations.</w:t>
      </w:r>
    </w:p>
    <w:p>
      <w:pPr>
        <w:spacing w:after="0" w:line="18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are engaged in ongoing discussions with our lenders and other stakeholders regarding strategic alternatives to address our capital structure and liquidity position. Such alternatives may involve a change of control or other restructuring of the Company. In addition, we have implemented and continue to implement various operational initiatives that include further cost savings measures. The outcome of our discussions with our lenders and other stakeholders is uncertain and there can be no assurance that we will be successful in implementing our operational initiatives. In addition, our ongoing discussions with our lenders and other stakeholders may be adversely affected by any default under, or acceleration of, our debt obligations. In such event, as described above, our lenders could seek to exercise rights and remedies available to them. Because of the uncertainty of (i) successfully completing operational initiatives to comply with the minimum liquidity covenant and (ii) the outcome of the discussions with our lenders and other stakeholders, we have concluded there is substantial doubt about our ability to continue as a going concern within the next twelve months.</w:t>
      </w:r>
    </w:p>
    <w:p>
      <w:pPr>
        <w:spacing w:after="0" w:line="23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See Note 1, “Description of Business and Significant Accounting Policies,” to the Condensed Consolidated Financial Statements in this Quarterly Report on Form 10-Q for additional information regarding the Company’s going concern assessment.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three months ended March 31,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228"/>
              <w:spacing w:after="0"/>
              <w:rPr>
                <w:sz w:val="20"/>
                <w:szCs w:val="20"/>
                <w:color w:val="auto"/>
              </w:rPr>
            </w:pPr>
            <w:r>
              <w:rPr>
                <w:rFonts w:ascii="Arial" w:cs="Arial" w:eastAsia="Arial" w:hAnsi="Arial"/>
                <w:sz w:val="14"/>
                <w:szCs w:val="14"/>
                <w:color w:val="auto"/>
              </w:rPr>
              <w:t>Three months ended Mar. 31,</w:t>
            </w:r>
          </w:p>
        </w:tc>
      </w:tr>
      <w:tr>
        <w:trPr>
          <w:trHeight w:val="194"/>
        </w:trPr>
        <w:tc>
          <w:tcPr>
            <w:tcW w:w="864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6"/>
                <w:szCs w:val="16"/>
                <w:color w:val="auto"/>
              </w:rPr>
            </w:pPr>
          </w:p>
        </w:tc>
        <w:tc>
          <w:tcPr>
            <w:tcW w:w="260" w:type="dxa"/>
            <w:vAlign w:val="bottom"/>
            <w:tcBorders>
              <w:bottom w:val="single" w:sz="8" w:color="929292"/>
            </w:tcBorders>
          </w:tcPr>
          <w:p>
            <w:pPr>
              <w:spacing w:after="0"/>
              <w:rPr>
                <w:sz w:val="16"/>
                <w:szCs w:val="16"/>
                <w:color w:val="auto"/>
              </w:rPr>
            </w:pPr>
          </w:p>
        </w:tc>
        <w:tc>
          <w:tcPr>
            <w:tcW w:w="94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2025</w:t>
            </w:r>
          </w:p>
        </w:tc>
      </w:tr>
      <w:tr>
        <w:trPr>
          <w:trHeight w:val="192"/>
        </w:trPr>
        <w:tc>
          <w:tcPr>
            <w:tcW w:w="864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929292"/>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6,986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(12,405)</w:t>
            </w:r>
          </w:p>
        </w:tc>
      </w:tr>
      <w:tr>
        <w:trPr>
          <w:trHeight w:val="203"/>
        </w:trPr>
        <w:tc>
          <w:tcPr>
            <w:tcW w:w="86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(3,048)</w:t>
            </w:r>
          </w:p>
        </w:tc>
      </w:tr>
      <w:tr>
        <w:trPr>
          <w:trHeight w:val="211"/>
        </w:trPr>
        <w:tc>
          <w:tcPr>
            <w:tcW w:w="864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92929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2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Cash provided by (used in) operating activities primarily consists of net income (loss) adjusted for certain non-cash items including share-based compensation, depreciation and amortization, amortization of intangible assets, amortization of debt discount and issuance costs, operating lease impairment charges, intangible asset impairment charges, accrued interest payable in kind, deferred tax liability, non-cash lease expense and the effect of changes in working capital and other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290195</wp:posOffset>
            </wp:positionV>
            <wp:extent cx="825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290195</wp:posOffset>
            </wp:positionV>
            <wp:extent cx="889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5" w:name="page36"/>
    <w:bookmarkEnd w:id="35"/>
    <w:p>
      <w:pPr>
        <w:ind w:right="80"/>
        <w:spacing w:after="0" w:line="286"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spacing w:after="0" w:line="169"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w:t>
      </w:r>
    </w:p>
    <w:p>
      <w:pPr>
        <w:spacing w:after="0" w:line="164"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Net cash provided by operating activities was $7.0 million for the three months ended March 31, 2026, compared to net cash used in operating activities of $12.4 million for the three months ended March 31, 2025. The $19.4 million increase in net cash provided was primarily driven by an increase in interest payable in kind of $13.3 million and a increase in cash from working capital components from accrued liabilities of $29.0 million, commissions receivable of $19.8 million, deferred revenue of $28.4 million, commission payable of $17.7 million and accounts receivable $1.5 million . The increase in net cash used was partially offset by a decrease in net income (loss) of $56.4 million. non-cash items including amortization of intangible assets of $23.5 million, prepaid expenses and other assets of $6.8 million and accounts payable $4.2 million,</w:t>
      </w:r>
    </w:p>
    <w:p>
      <w:pPr>
        <w:spacing w:after="0" w:line="17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Net cash used in investing activities for the three months ended March 31, 2026 was $0.0 million, compared to net cash used by investing activities for the three months ended March 31, 2025 of $3.0 million. The $3.0 million increase in net cash used was due to the absence of capitalized internal-use software expenditures for the three months ended March 31, 2026 compared to capitalized internal-use software expenditures related to new technology, software and systems incurred during the three months ended March 31, 2025.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2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Net cash used in financing activities for the three months ended March 31, 2026 was $0.0 million, compared to net cash used in financing activities for the three months ended March 31, 2025 of $3.0 million. The $3.0 million increase in net cash provided was primarily driven by a decrease in repayment of borrowings on our Existing Term Loans.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Facilities</w:t>
      </w:r>
    </w:p>
    <w:p>
      <w:pPr>
        <w:spacing w:after="0" w:line="260"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As of March 31, 2026 and December 31, 2025, the Borrower had a principal amount of $701.8 million and $688.5 million outstanding under the Borrower’s term loan facilities, respectively. The effective interest rate of the New Term Loan Facility was 14.65% and 14.43% as of March 31, 2026 and December 31, 2025, respectively.</w:t>
      </w:r>
    </w:p>
    <w:p>
      <w:pPr>
        <w:spacing w:after="0" w:line="200" w:lineRule="exact"/>
        <w:rPr>
          <w:sz w:val="20"/>
          <w:szCs w:val="20"/>
          <w:color w:val="auto"/>
        </w:rPr>
      </w:pPr>
    </w:p>
    <w:p>
      <w:pPr>
        <w:spacing w:after="0" w:line="234"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See Note 3, “Long-Term Debt” to the Condensed Consolidated Financial Statements in this Quarterly Report on Form 10-Q for additional information regarding the Company’s Term Loan Facilities.</w:t>
      </w:r>
    </w:p>
    <w:p>
      <w:pPr>
        <w:spacing w:after="0" w:line="19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See Note 1, “Description of Business and Significant Accounting Policies,” to the Condensed Consolidated Financial Statements in this Quarterly Report on Form 10-Q for additional information regarding the Company’s going concern assessment.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a discussion of new accounting pronouncements not yet adopted, see Part 1, Note 1, “Description of Business and Significant Accounting Policies,” to the Condensed Consolidated Financial Statements included elsewhere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preparation of the Condensed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spacing w:after="0" w:line="18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 Critical Accounting Policies and Estimates” in our 2025 Annual Report on Form 10-K. During the three months ended March 31, 2026, there were no material changes to our critical accounting policies from those discussed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33</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6"/>
          <w:szCs w:val="16"/>
          <w:b w:val="1"/>
          <w:bCs w:val="1"/>
          <w:color w:val="FFFF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we are not required to include disclosure under this item.</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6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8" w:lineRule="exact"/>
        <w:rPr>
          <w:sz w:val="20"/>
          <w:szCs w:val="20"/>
          <w:color w:val="auto"/>
        </w:rPr>
      </w:pPr>
    </w:p>
    <w:p>
      <w:pPr>
        <w:ind w:left="660" w:right="340" w:hanging="328"/>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96" w:lineRule="exact"/>
        <w:rPr>
          <w:rFonts w:ascii="Arial" w:cs="Arial" w:eastAsia="Arial" w:hAnsi="Arial"/>
          <w:sz w:val="16"/>
          <w:szCs w:val="16"/>
          <w:color w:val="auto"/>
        </w:rPr>
      </w:pPr>
    </w:p>
    <w:p>
      <w:pPr>
        <w:ind w:left="660" w:right="100" w:hanging="328"/>
        <w:spacing w:after="0" w:line="26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211"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as of March 31, 2026,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 Based on this evaluation and those criteria, our management concluded that our internal control over financial reporting was effective as of March 31, 2026.</w:t>
      </w:r>
    </w:p>
    <w:p>
      <w:pPr>
        <w:spacing w:after="0" w:line="20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There were no changes in our internal controls over financial reporting identified in management’s evaluation pursuant to Rules 13a-15(d) or 15d-15(d) of the Exchange Act during the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auto"/>
        </w:rPr>
        <w:t>Refer to Note 10, “Commitments and Contingencies,” of the Notes to the Condensed Consolidated Financial Statements for information about legal proceedings.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refer you to our 2025 Annual Report on Form 10-K for a discussion of the risk factors that affect our business and financial results. Except as discussed below, there have been no material changes in our risk factors from those disclosed in our 2025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liquidity position raises substantial doubt about our ability to continue as a going concern.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Under the Superpriority Credit Agreement and Amendment No. 14 to our existing term loan (as defined and described further in Note 3, “Long-Term Debt” to the Condensed Consolidated Financial Statements in this Quarterly Report on Form 10-Q), we are required to meet certain financial covenants, including a minimum liquidity covenant, and make scheduled principal and interest payments. Our current financial projections indicate that, based on our current business plan, it is probable that we will be unable to maintain compliance with our liquidity covenant within the twelve months after the Condensed Consolidated Financial Statements included in this Quarterly Report on Form 10-Q are issued, unless the mitigating plans described below are implemented successfully. In the event we are unable to meet our liquidity financial covenant or make scheduled principal and interest payments, the Company’s lenders may not waive compliance and could elect to declare an event of default under the Superpriority Credit Agreement and Amendment No. 14 and accelerate the repayment of the obligations thereunder. We do not expect we would have sufficient liquidity to repay our debt obligations if they are accelerated. As a result, our lenders could seek to exercise rights and remedies available to them, including enforcing against the collateral securing these debt obligations.</w:t>
      </w:r>
    </w:p>
    <w:p>
      <w:pPr>
        <w:spacing w:after="0" w:line="22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We are engaged in ongoing discussions with our lenders and other stakeholders regarding strategic alternatives to address our capital structure and liquidity position. Such alternatives may involve a change of control or other restructuring of the Company. In addition, management has implemented and continues to implement various operational initiatives that include further cost savings measures. The outcome of our discussions with our lenders and other stakeholders is uncertain and there can be no assurance that we will be successful in implementing our operational initiatives. In addition, the ongoing discussions with our lenders and other stakeholders may be adversely affected by any default under, or acceleration of, our debt obligations. In such event, as described above, our lenders could seek to exercise rights and remedies available to them. Because of the uncertainty of (i) successfully completing operational initiatives to comply with the minimum liquidity covenant and (ii) the outcome of the discussions with our lenders and other stakeholders, management has concluded there is substantial doubt about our ability to continue as a going concern within the next twelve months.</w:t>
      </w:r>
    </w:p>
    <w:p>
      <w:pPr>
        <w:spacing w:after="0" w:line="20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Our Condensed Consolidated Financial Statements do not include any adjustments to the carrying amounts and classification of assets, liabilities, and reported expenses that may be necessary if we were unable to continue as a going concern.</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Unregistered Sale of Equity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During the quarter ended March 31, 2026, none of our directors or officers (as defined in Rule 16a-1(f) under the Exchange Act) adopted, modified, or terminated a Rule 10b5-1 trading plan or a non-Rule 10b5-1 trading arrangement for our securities (as defined in Item 408(c)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424815</wp:posOffset>
            </wp:positionV>
            <wp:extent cx="825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424815</wp:posOffset>
            </wp:positionV>
            <wp:extent cx="889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180"/>
          </w:cols>
          <w:pgMar w:left="320" w:top="138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2026 Form 10-Q</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1" w:right="399" w:bottom="1440" w:gutter="0" w:footer="0" w:header="0"/>
          <w:type w:val="continuous"/>
        </w:sectPr>
      </w:pPr>
    </w:p>
    <w:bookmarkStart w:id="38" w:name="page39"/>
    <w:bookmarkEnd w:id="38"/>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6"/>
          <w:szCs w:val="16"/>
          <w:b w:val="1"/>
          <w:bCs w:val="1"/>
          <w:color w:val="FFFF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r>
      <w:tr>
        <w:trPr>
          <w:trHeight w:val="34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r>
      <w:tr>
        <w:trPr>
          <w:trHeight w:val="20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11"/>
          </w:tcPr>
          <w:p>
            <w:pPr>
              <w:ind w:left="5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176"/>
        </w:trPr>
        <w:tc>
          <w:tcPr>
            <w:tcW w:w="102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15"/>
          </w:tcPr>
          <w:p>
            <w:pPr>
              <w:spacing w:after="0"/>
              <w:rPr>
                <w:rFonts w:ascii="Arial" w:cs="Arial" w:eastAsia="Arial" w:hAnsi="Arial"/>
                <w:sz w:val="14"/>
                <w:szCs w:val="14"/>
                <w:color w:val="0000FF"/>
              </w:rPr>
            </w:pPr>
            <w:hyperlink r:id="rId139">
              <w:r>
                <w:rPr>
                  <w:rFonts w:ascii="Arial" w:cs="Arial" w:eastAsia="Arial" w:hAnsi="Arial"/>
                  <w:sz w:val="14"/>
                  <w:szCs w:val="14"/>
                  <w:color w:val="0000FF"/>
                </w:rPr>
                <w:t>Amended and Restated Certificate of Incorporation of GoHealth, Inc.</w:t>
              </w:r>
            </w:hyperlink>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r:id="rId140">
              <w:r>
                <w:rPr>
                  <w:rFonts w:ascii="Arial" w:cs="Arial" w:eastAsia="Arial" w:hAnsi="Arial"/>
                  <w:sz w:val="14"/>
                  <w:szCs w:val="14"/>
                  <w:color w:val="0000FF"/>
                </w:rPr>
                <w:t>Amended and Restated Bylaws of GoHealth, Inc.</w:t>
              </w:r>
            </w:hyperlink>
          </w:p>
        </w:tc>
        <w:tc>
          <w:tcPr>
            <w:tcW w:w="1220" w:type="dxa"/>
            <w:vAlign w:val="bottom"/>
            <w:tcBorders>
              <w:top w:val="single" w:sz="8" w:color="0000FF"/>
            </w:tcBorders>
            <w:gridSpan w:val="2"/>
          </w:tcPr>
          <w:p>
            <w:pPr>
              <w:spacing w:after="0"/>
              <w:rPr>
                <w:sz w:val="18"/>
                <w:szCs w:val="18"/>
                <w:color w:val="auto"/>
              </w:rPr>
            </w:pPr>
          </w:p>
        </w:tc>
        <w:tc>
          <w:tcPr>
            <w:tcW w:w="600" w:type="dxa"/>
            <w:vAlign w:val="bottom"/>
            <w:gridSpan w:val="8"/>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Borders>
              <w:bottom w:val="single" w:sz="8" w:color="0000FF"/>
            </w:tcBorders>
            <w:gridSpan w:val="9"/>
          </w:tcPr>
          <w:p>
            <w:pPr>
              <w:spacing w:after="0"/>
              <w:rPr>
                <w:rFonts w:ascii="Arial" w:cs="Arial" w:eastAsia="Arial" w:hAnsi="Arial"/>
                <w:sz w:val="14"/>
                <w:szCs w:val="14"/>
                <w:color w:val="0000FF"/>
              </w:rPr>
            </w:pPr>
            <w:hyperlink r:id="rId141">
              <w:r>
                <w:rPr>
                  <w:rFonts w:ascii="Arial" w:cs="Arial" w:eastAsia="Arial" w:hAnsi="Arial"/>
                  <w:sz w:val="14"/>
                  <w:szCs w:val="14"/>
                  <w:color w:val="0000FF"/>
                </w:rPr>
                <w:t>Certificate of Designations of Series A Convertible Perpetual Preferred</w:t>
              </w:r>
            </w:hyperlink>
          </w:p>
        </w:tc>
        <w:tc>
          <w:tcPr>
            <w:tcW w:w="460" w:type="dxa"/>
            <w:vAlign w:val="bottom"/>
            <w:gridSpan w:val="6"/>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5"/>
          </w:tcPr>
          <w:p>
            <w:pPr>
              <w:spacing w:after="0" w:line="155" w:lineRule="exact"/>
              <w:rPr>
                <w:rFonts w:ascii="Arial" w:cs="Arial" w:eastAsia="Arial" w:hAnsi="Arial"/>
                <w:sz w:val="14"/>
                <w:szCs w:val="14"/>
                <w:color w:val="0000FF"/>
              </w:rPr>
            </w:pPr>
            <w:hyperlink r:id="rId141">
              <w:r>
                <w:rPr>
                  <w:rFonts w:ascii="Arial" w:cs="Arial" w:eastAsia="Arial" w:hAnsi="Arial"/>
                  <w:sz w:val="14"/>
                  <w:szCs w:val="14"/>
                  <w:color w:val="0000FF"/>
                </w:rPr>
                <w:t>Stock of GoHealth,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13"/>
          </w:tcPr>
          <w:p>
            <w:pPr>
              <w:spacing w:after="0"/>
              <w:rPr>
                <w:rFonts w:ascii="Arial" w:cs="Arial" w:eastAsia="Arial" w:hAnsi="Arial"/>
                <w:sz w:val="14"/>
                <w:szCs w:val="14"/>
                <w:color w:val="0000FF"/>
              </w:rPr>
            </w:pPr>
            <w:hyperlink r:id="rId142">
              <w:r>
                <w:rPr>
                  <w:rFonts w:ascii="Arial" w:cs="Arial" w:eastAsia="Arial" w:hAnsi="Arial"/>
                  <w:sz w:val="14"/>
                  <w:szCs w:val="14"/>
                  <w:color w:val="0000FF"/>
                </w:rPr>
                <w:t>Certificate of Designations of Series A-1 Convertible Non-Voting Perpetual</w:t>
              </w:r>
            </w:hyperlink>
          </w:p>
        </w:tc>
        <w:tc>
          <w:tcPr>
            <w:tcW w:w="220" w:type="dxa"/>
            <w:vAlign w:val="bottom"/>
            <w:gridSpan w:val="2"/>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5"/>
          </w:tcPr>
          <w:p>
            <w:pPr>
              <w:spacing w:after="0" w:line="155" w:lineRule="exact"/>
              <w:rPr>
                <w:rFonts w:ascii="Arial" w:cs="Arial" w:eastAsia="Arial" w:hAnsi="Arial"/>
                <w:sz w:val="14"/>
                <w:szCs w:val="14"/>
                <w:color w:val="0000FF"/>
              </w:rPr>
            </w:pPr>
            <w:hyperlink r:id="rId142">
              <w:r>
                <w:rPr>
                  <w:rFonts w:ascii="Arial" w:cs="Arial" w:eastAsia="Arial" w:hAnsi="Arial"/>
                  <w:sz w:val="14"/>
                  <w:szCs w:val="14"/>
                  <w:color w:val="0000FF"/>
                </w:rPr>
                <w:t>Preferred Stock of GoHealth,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gridSpan w:val="15"/>
          </w:tcPr>
          <w:p>
            <w:pPr>
              <w:spacing w:after="0"/>
              <w:rPr>
                <w:rFonts w:ascii="Arial" w:cs="Arial" w:eastAsia="Arial" w:hAnsi="Arial"/>
                <w:sz w:val="14"/>
                <w:szCs w:val="14"/>
                <w:color w:val="0000FF"/>
              </w:rPr>
            </w:pPr>
            <w:hyperlink r:id="rId143">
              <w:r>
                <w:rPr>
                  <w:rFonts w:ascii="Arial" w:cs="Arial" w:eastAsia="Arial" w:hAnsi="Arial"/>
                  <w:sz w:val="14"/>
                  <w:szCs w:val="14"/>
                  <w:color w:val="0000FF"/>
                </w:rPr>
                <w:t>Specimen Stock Certificate evidencing the shares of Class A common</w:t>
              </w:r>
            </w:hyperlink>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8"/>
          </w:tcPr>
          <w:p>
            <w:pPr>
              <w:spacing w:after="0" w:line="155" w:lineRule="exact"/>
              <w:rPr>
                <w:rFonts w:ascii="Arial" w:cs="Arial" w:eastAsia="Arial" w:hAnsi="Arial"/>
                <w:sz w:val="14"/>
                <w:szCs w:val="14"/>
                <w:color w:val="0000FF"/>
              </w:rPr>
            </w:pPr>
            <w:hyperlink r:id="rId143">
              <w:r>
                <w:rPr>
                  <w:rFonts w:ascii="Arial" w:cs="Arial" w:eastAsia="Arial" w:hAnsi="Arial"/>
                  <w:sz w:val="14"/>
                  <w:szCs w:val="14"/>
                  <w:color w:val="0000FF"/>
                </w:rPr>
                <w:t>stock.</w:t>
              </w:r>
            </w:hyperlink>
          </w:p>
        </w:tc>
        <w:tc>
          <w:tcPr>
            <w:tcW w:w="50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24"/>
                <w:szCs w:val="24"/>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0000FF"/>
              </w:rPr>
              <w:t>Certification of Chief Executive Officer pursuant to Exchange Act Rule 13a-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6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4"/>
                <w:szCs w:val="14"/>
                <w:color w:val="0000FF"/>
              </w:rPr>
              <w:t>14(a).</w:t>
            </w: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8"/>
                <w:szCs w:val="18"/>
                <w:color w:val="auto"/>
              </w:rPr>
            </w:pPr>
          </w:p>
        </w:tc>
        <w:tc>
          <w:tcPr>
            <w:tcW w:w="472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Certification of Chief Financial Officer pursuant to Exchange Act Rule 13a-</w:t>
            </w:r>
          </w:p>
        </w:tc>
        <w:tc>
          <w:tcPr>
            <w:tcW w:w="28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0" w:type="dxa"/>
            <w:vAlign w:val="bottom"/>
            <w:gridSpan w:val="17"/>
          </w:tcPr>
          <w:p>
            <w:pPr>
              <w:spacing w:after="0" w:line="155" w:lineRule="exact"/>
              <w:rPr>
                <w:sz w:val="20"/>
                <w:szCs w:val="20"/>
                <w:color w:val="auto"/>
              </w:rPr>
            </w:pPr>
            <w:r>
              <w:rPr>
                <w:rFonts w:ascii="Arial" w:cs="Arial" w:eastAsia="Arial" w:hAnsi="Arial"/>
                <w:sz w:val="14"/>
                <w:szCs w:val="14"/>
                <w:color w:val="0000FF"/>
              </w:rPr>
              <w:t>14(a).</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8"/>
                <w:szCs w:val="18"/>
                <w:color w:val="auto"/>
              </w:rPr>
            </w:pPr>
          </w:p>
        </w:tc>
        <w:tc>
          <w:tcPr>
            <w:tcW w:w="40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Principal Executive Officer pursuant to 18 U.S.C.</w:t>
            </w:r>
          </w:p>
        </w:tc>
        <w:tc>
          <w:tcPr>
            <w:tcW w:w="94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rPr>
              <w:t>Section 1350.</w:t>
            </w:r>
          </w:p>
        </w:tc>
        <w:tc>
          <w:tcPr>
            <w:tcW w:w="412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8"/>
                <w:szCs w:val="18"/>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12"/>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1020" w:type="dxa"/>
            <w:vAlign w:val="bottom"/>
          </w:tcPr>
          <w:p>
            <w:pPr>
              <w:jc w:val="center"/>
              <w:spacing w:after="0"/>
              <w:rPr>
                <w:sz w:val="20"/>
                <w:szCs w:val="20"/>
                <w:color w:val="auto"/>
              </w:rPr>
            </w:pPr>
            <w:r>
              <w:rPr>
                <w:rFonts w:ascii="Arial" w:cs="Arial" w:eastAsia="Arial" w:hAnsi="Arial"/>
                <w:sz w:val="14"/>
                <w:szCs w:val="14"/>
                <w:color w:val="auto"/>
              </w:rPr>
              <w:t>101.INS</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Instance Document – the instance document does not appear in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2"/>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the Interactive Data File because its XBRL tags are embedded within the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document.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4"/>
                <w:szCs w:val="14"/>
                <w:color w:val="auto"/>
              </w:rPr>
              <w:t>101.SCH</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101.CAL</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101.DEF</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101.LAB</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4"/>
                <w:szCs w:val="14"/>
                <w:color w:val="auto"/>
              </w:rPr>
              <w:t>101.PRE</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39" w:lineRule="exact"/>
        <w:rPr>
          <w:sz w:val="20"/>
          <w:szCs w:val="20"/>
          <w:color w:val="auto"/>
        </w:rPr>
      </w:pPr>
    </w:p>
    <w:p>
      <w:pPr>
        <w:ind w:left="1100" w:right="4060" w:hanging="733"/>
        <w:spacing w:after="0" w:line="305" w:lineRule="auto"/>
        <w:tabs>
          <w:tab w:leader="none" w:pos="110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28" w:lineRule="exact"/>
        <w:rPr>
          <w:rFonts w:ascii="Arial" w:cs="Arial" w:eastAsia="Arial" w:hAnsi="Arial"/>
          <w:sz w:val="14"/>
          <w:szCs w:val="14"/>
          <w:color w:val="auto"/>
        </w:rPr>
      </w:pPr>
    </w:p>
    <w:p>
      <w:pPr>
        <w:ind w:left="280" w:hanging="272"/>
        <w:spacing w:after="0"/>
        <w:tabs>
          <w:tab w:leader="none" w:pos="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line="287" w:lineRule="auto"/>
        <w:rPr>
          <w:sz w:val="20"/>
          <w:szCs w:val="20"/>
          <w:color w:val="auto"/>
        </w:rPr>
      </w:pPr>
      <w:r>
        <w:rPr>
          <w:rFonts w:ascii="Arial" w:cs="Arial" w:eastAsia="Arial" w:hAnsi="Arial"/>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-17145</wp:posOffset>
            </wp:positionV>
            <wp:extent cx="702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10020" w:space="320"/>
            <w:col w:w="700"/>
          </w:cols>
          <w:pgMar w:left="320" w:top="1367" w:right="5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00497F"/>
        </w:rPr>
        <w:t>SIGNATURES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51"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18, 2026</w:t>
      </w:r>
      <w:r>
        <w:rPr>
          <w:sz w:val="20"/>
          <w:szCs w:val="20"/>
          <w:color w:val="auto"/>
        </w:rPr>
        <w:tab/>
      </w:r>
      <w:r>
        <w:rPr>
          <w:rFonts w:ascii="Arial" w:cs="Arial" w:eastAsia="Arial" w:hAnsi="Arial"/>
          <w:sz w:val="15"/>
          <w:szCs w:val="15"/>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Vijay Kotte</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pacing w:after="0" w:line="151"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18, 2026</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2026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38</w:t>
            </w:r>
          </w:p>
        </w:tc>
      </w:tr>
    </w:tbl>
    <w:p>
      <w:pPr>
        <w:sectPr>
          <w:pgSz w:w="11900" w:h="16838" w:orient="portrait"/>
          <w:cols w:equalWidth="0" w:num="1">
            <w:col w:w="10340"/>
          </w:cols>
          <w:pgMar w:left="320" w:top="1327" w:right="1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Vijay Kotte, certify that:</w:t>
      </w:r>
    </w:p>
    <w:p>
      <w:pPr>
        <w:spacing w:after="0" w:line="22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34" w:lineRule="exact"/>
        <w:rPr>
          <w:rFonts w:ascii="Arial" w:cs="Arial" w:eastAsia="Arial" w:hAnsi="Arial"/>
          <w:sz w:val="16"/>
          <w:szCs w:val="16"/>
          <w:color w:val="auto"/>
        </w:rPr>
      </w:pPr>
    </w:p>
    <w:p>
      <w:pPr>
        <w:jc w:val="both"/>
        <w:ind w:left="980" w:right="60" w:hanging="486"/>
        <w:spacing w:after="0" w:line="26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980" w:right="180" w:hanging="48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ind w:left="1460" w:right="80" w:hanging="480"/>
        <w:spacing w:after="0" w:line="275"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460" w:hanging="480"/>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[omitted];</w:t>
      </w:r>
    </w:p>
    <w:p>
      <w:pPr>
        <w:spacing w:after="0" w:line="234" w:lineRule="exact"/>
        <w:rPr>
          <w:rFonts w:ascii="Arial" w:cs="Arial" w:eastAsia="Arial" w:hAnsi="Arial"/>
          <w:sz w:val="16"/>
          <w:szCs w:val="16"/>
          <w:color w:val="auto"/>
        </w:rPr>
      </w:pPr>
    </w:p>
    <w:p>
      <w:pPr>
        <w:jc w:val="both"/>
        <w:ind w:left="1460" w:hanging="480"/>
        <w:spacing w:after="0" w:line="286" w:lineRule="auto"/>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60" w:right="200" w:hanging="480"/>
        <w:spacing w:after="0" w:line="266"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980" w:right="120" w:hanging="48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1460" w:right="480" w:hanging="480"/>
        <w:spacing w:after="0" w:line="286"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460" w:right="120" w:hanging="480"/>
        <w:spacing w:after="0" w:line="304"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18, 2026</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1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Brendan Shanahan, certify that:</w:t>
      </w:r>
    </w:p>
    <w:p>
      <w:pPr>
        <w:spacing w:after="0" w:line="221"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34" w:lineRule="exact"/>
        <w:rPr>
          <w:rFonts w:ascii="Arial" w:cs="Arial" w:eastAsia="Arial" w:hAnsi="Arial"/>
          <w:sz w:val="16"/>
          <w:szCs w:val="16"/>
          <w:color w:val="auto"/>
        </w:rPr>
      </w:pPr>
    </w:p>
    <w:p>
      <w:pPr>
        <w:jc w:val="both"/>
        <w:ind w:left="980" w:right="60" w:hanging="486"/>
        <w:spacing w:after="0" w:line="26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980" w:right="180" w:hanging="486"/>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ind w:left="1460" w:right="80" w:hanging="480"/>
        <w:spacing w:after="0" w:line="275"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460" w:hanging="480"/>
        <w:spacing w:after="0"/>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[omitted];</w:t>
      </w:r>
    </w:p>
    <w:p>
      <w:pPr>
        <w:spacing w:after="0" w:line="234" w:lineRule="exact"/>
        <w:rPr>
          <w:rFonts w:ascii="Arial" w:cs="Arial" w:eastAsia="Arial" w:hAnsi="Arial"/>
          <w:sz w:val="16"/>
          <w:szCs w:val="16"/>
          <w:color w:val="auto"/>
        </w:rPr>
      </w:pPr>
    </w:p>
    <w:p>
      <w:pPr>
        <w:jc w:val="both"/>
        <w:ind w:left="1460" w:hanging="480"/>
        <w:spacing w:after="0" w:line="286"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60" w:right="200" w:hanging="480"/>
        <w:spacing w:after="0" w:line="266"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980" w:right="120" w:hanging="486"/>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1460" w:right="480" w:hanging="480"/>
        <w:spacing w:after="0" w:line="286"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460" w:right="120" w:hanging="480"/>
        <w:spacing w:after="0" w:line="304"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18, 2026</w:t>
      </w:r>
      <w:r>
        <w:rPr>
          <w:sz w:val="20"/>
          <w:szCs w:val="20"/>
          <w:color w:val="auto"/>
        </w:rPr>
        <w:tab/>
      </w:r>
      <w:r>
        <w:rPr>
          <w:rFonts w:ascii="Arial" w:cs="Arial" w:eastAsia="Arial" w:hAnsi="Arial"/>
          <w:sz w:val="16"/>
          <w:szCs w:val="16"/>
          <w:color w:val="auto"/>
        </w:rPr>
        <w:t>By:</w:t>
        <w:tab/>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1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March 31, 2026 as filed with the Securities and Exchange Commission on the date hereof (the “Report”), I certify, pursuant to 18 U.S.C. § 1350, as adopted pursuant to § 906 of the Sarbanes-Oxley Act of 2002, that:</w:t>
      </w:r>
    </w:p>
    <w:p>
      <w:pPr>
        <w:spacing w:after="0" w:line="185"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304"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18, 2026</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1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March 31, 2026 as filed with the Securities and Exchange Commission on the date hereof (the “Report”), I certify, pursuant to 18 U.S.C. § 1350, as adopted pursuant to § 906 of the Sarbanes-Oxley Act of 2002, that:</w:t>
      </w:r>
    </w:p>
    <w:p>
      <w:pPr>
        <w:spacing w:after="0" w:line="185" w:lineRule="exact"/>
        <w:rPr>
          <w:sz w:val="20"/>
          <w:szCs w:val="20"/>
          <w:color w:val="auto"/>
        </w:rPr>
      </w:pPr>
    </w:p>
    <w:p>
      <w:pPr>
        <w:ind w:left="980" w:hanging="567"/>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304" w:lineRule="auto"/>
        <w:tabs>
          <w:tab w:leader="none" w:pos="9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18, 2026</w:t>
      </w:r>
      <w:r>
        <w:rPr>
          <w:sz w:val="20"/>
          <w:szCs w:val="20"/>
          <w:color w:val="auto"/>
        </w:rPr>
        <w:tab/>
      </w:r>
      <w:r>
        <w:rPr>
          <w:rFonts w:ascii="Arial" w:cs="Arial" w:eastAsia="Arial" w:hAnsi="Arial"/>
          <w:sz w:val="16"/>
          <w:szCs w:val="16"/>
          <w:color w:val="auto"/>
        </w:rPr>
        <w:t>By:</w:t>
        <w:tab/>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Brendan Shanahan</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2"/>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lvl w:ilvl="1">
      <w:lvlJc w:val="left"/>
      <w:lvlText w:val="%2"/>
      <w:numFmt w:val="decimal"/>
      <w:start w:val="104"/>
    </w:lvl>
  </w:abstractNum>
  <w:abstractNum w:abstractNumId="14">
    <w:nsid w:val="25E45D32"/>
    <w:multiLevelType w:val="hybridMultilevel"/>
    <w:lvl w:ilvl="0">
      <w:lvlJc w:val="left"/>
      <w:lvlText w:val="**"/>
      <w:numFmt w:val="bullet"/>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39" Type="http://schemas.openxmlformats.org/officeDocument/2006/relationships/hyperlink" Target="https://www.sec.gov/Archives/edgar/data/1808220/000119312520224832/d935246dex31.htm" TargetMode="External"/><Relationship Id="rId140" Type="http://schemas.openxmlformats.org/officeDocument/2006/relationships/hyperlink" Target="https://www.sec.gov/Archives/edgar/data/1808220/000119312520224832/d935246dex32.htm" TargetMode="External"/><Relationship Id="rId141" Type="http://schemas.openxmlformats.org/officeDocument/2006/relationships/hyperlink" Target="https://www.sec.gov/Archives/edgar/data/1808220/000119312522250700/d299834dex31.htm" TargetMode="External"/><Relationship Id="rId142" Type="http://schemas.openxmlformats.org/officeDocument/2006/relationships/hyperlink" Target="https://www.sec.gov/Archives/edgar/data/1808220/000119312522250700/d299834dex32.htm" TargetMode="External"/><Relationship Id="rId143" Type="http://schemas.openxmlformats.org/officeDocument/2006/relationships/hyperlink" Target="https://www.sec.gov/Archives/edgar/data/1808220/000119312520173051/d7971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2026-05-18T15:46:44Z</dcterms:created>
  <dcterms:modified xsi:type="dcterms:W3CDTF">2026-05-18T15:46:44Z</dcterms:modified>
</cp:coreProperties>
</file>