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13G/A</w:t>
      </w:r>
    </w:p>
    <w:p>
      <w:pPr>
        <w:spacing w:after="0" w:line="221" w:lineRule="exact"/>
        <w:rPr>
          <w:sz w:val="24"/>
          <w:szCs w:val="24"/>
          <w:color w:val="auto"/>
        </w:rPr>
      </w:pPr>
    </w:p>
    <w:p>
      <w:pPr>
        <w:jc w:val="center"/>
        <w:ind w:left="50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13d-2 UNDER THE SECURITIES EXCHANGE ACT OF 1934*</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GoHealth,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38046W105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right="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Arial" w:cs="Arial" w:eastAsia="Arial" w:hAnsi="Arial"/>
                <w:sz w:val="18"/>
                <w:szCs w:val="18"/>
                <w:color w:val="auto"/>
                <w:w w:val="93"/>
              </w:rPr>
              <w:t>CUSIP No. 38046W105</w:t>
            </w:r>
          </w:p>
        </w:tc>
        <w:tc>
          <w:tcPr>
            <w:tcW w:w="9120" w:type="dxa"/>
            <w:vAlign w:val="bottom"/>
          </w:tcPr>
          <w:p>
            <w:pPr>
              <w:ind w:left="3360"/>
              <w:spacing w:after="0"/>
              <w:rPr>
                <w:sz w:val="20"/>
                <w:szCs w:val="20"/>
                <w:color w:val="auto"/>
              </w:rPr>
            </w:pPr>
            <w:r>
              <w:rPr>
                <w:rFonts w:ascii="Arial" w:cs="Arial" w:eastAsia="Arial" w:hAnsi="Arial"/>
                <w:sz w:val="18"/>
                <w:szCs w:val="18"/>
                <w:color w:val="auto"/>
              </w:rPr>
              <w:t>SCHEDULE 13</w:t>
            </w:r>
          </w:p>
        </w:tc>
        <w:tc>
          <w:tcPr>
            <w:tcW w:w="0" w:type="dxa"/>
            <w:vAlign w:val="bottom"/>
          </w:tcPr>
          <w:p>
            <w:pPr>
              <w:spacing w:after="0"/>
              <w:rPr>
                <w:sz w:val="1"/>
                <w:szCs w:val="1"/>
                <w:color w:val="auto"/>
              </w:rPr>
            </w:pPr>
          </w:p>
        </w:tc>
      </w:tr>
      <w:tr>
        <w:trPr>
          <w:trHeight w:val="148"/>
        </w:trPr>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92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Norwest Equity Partners IX, LP</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0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9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spacing w:after="0"/>
              <w:rPr>
                <w:sz w:val="15"/>
                <w:szCs w:val="15"/>
                <w:color w:val="auto"/>
              </w:rPr>
            </w:pPr>
          </w:p>
        </w:tc>
        <w:tc>
          <w:tcPr>
            <w:tcW w:w="80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180" w:type="dxa"/>
            <w:vAlign w:val="bottom"/>
          </w:tcPr>
          <w:p>
            <w:pPr>
              <w:spacing w:after="0"/>
              <w:rPr>
                <w:sz w:val="15"/>
                <w:szCs w:val="15"/>
                <w:color w:val="auto"/>
              </w:rPr>
            </w:pPr>
          </w:p>
        </w:tc>
        <w:tc>
          <w:tcPr>
            <w:tcW w:w="2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91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4"/>
              </w:rPr>
              <w:t>Person</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80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7"/>
              </w:rPr>
              <w:t>With:</w:t>
            </w: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2"/>
                <w:szCs w:val="12"/>
                <w:color w:val="auto"/>
              </w:rPr>
            </w:pPr>
          </w:p>
        </w:tc>
        <w:tc>
          <w:tcPr>
            <w:tcW w:w="9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8"/>
              </w:rPr>
              <w:t>5,498,441</w:t>
            </w:r>
            <w:r>
              <w:rPr>
                <w:rFonts w:ascii="Arial" w:cs="Arial" w:eastAsia="Arial" w:hAnsi="Arial"/>
                <w:sz w:val="15"/>
                <w:szCs w:val="15"/>
                <w:color w:val="auto"/>
                <w:w w:val="88"/>
              </w:rPr>
              <w:t>1</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2</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3"/>
          <w:szCs w:val="13"/>
          <w:color w:val="auto"/>
        </w:rPr>
      </w:pPr>
      <w:r>
        <w:rPr>
          <w:rFonts w:ascii="Arial" w:cs="Arial" w:eastAsia="Arial" w:hAnsi="Arial"/>
          <w:sz w:val="16"/>
          <w:szCs w:val="16"/>
          <w:color w:val="auto"/>
        </w:rPr>
        <w:t>Consists of (i) 498,441 shares of Common Stock, and (ii) 5,000,000 LLC Interests that may be redeemed at any time for shares of Common Stock</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on a one-to-one basis.</w:t>
      </w:r>
    </w:p>
    <w:p>
      <w:pPr>
        <w:spacing w:after="0" w:line="8" w:lineRule="exact"/>
        <w:rPr>
          <w:sz w:val="20"/>
          <w:szCs w:val="20"/>
          <w:color w:val="auto"/>
        </w:rPr>
      </w:pPr>
    </w:p>
    <w:p>
      <w:pPr>
        <w:ind w:left="424" w:right="160" w:hanging="424"/>
        <w:spacing w:after="0" w:line="325" w:lineRule="auto"/>
        <w:tabs>
          <w:tab w:leader="none" w:pos="424" w:val="left"/>
        </w:tabs>
        <w:numPr>
          <w:ilvl w:val="0"/>
          <w:numId w:val="4"/>
        </w:numPr>
        <w:rPr>
          <w:rFonts w:ascii="Arial" w:cs="Arial" w:eastAsia="Arial" w:hAnsi="Arial"/>
          <w:sz w:val="13"/>
          <w:szCs w:val="13"/>
          <w:color w:val="auto"/>
        </w:rPr>
      </w:pPr>
      <w:r>
        <w:rPr>
          <w:rFonts w:ascii="Arial" w:cs="Arial" w:eastAsia="Arial" w:hAnsi="Arial"/>
          <w:sz w:val="16"/>
          <w:szCs w:val="16"/>
          <w:color w:val="auto"/>
        </w:rPr>
        <w:t>Based on (i) 114,773,928 shares outstanding as of August 4, 2021, as such number was provided in the Issuer’s Quarterly Report on Form 10-Q filed with the SEC on August 12, 2021, plus (ii) 5,000,000 shares that would be outstanding upon redemption of the LLC Interests.</w:t>
      </w:r>
    </w:p>
    <w:p>
      <w:pPr>
        <w:spacing w:after="0" w:line="6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0944"/>
          </w:cols>
          <w:pgMar w:left="436" w:top="274" w:right="51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Arial" w:cs="Arial" w:eastAsia="Arial" w:hAnsi="Arial"/>
                <w:sz w:val="18"/>
                <w:szCs w:val="18"/>
                <w:color w:val="auto"/>
                <w:w w:val="93"/>
              </w:rPr>
              <w:t>CUSIP No. 38046W105</w:t>
            </w:r>
          </w:p>
        </w:tc>
        <w:tc>
          <w:tcPr>
            <w:tcW w:w="9120" w:type="dxa"/>
            <w:vAlign w:val="bottom"/>
          </w:tcPr>
          <w:p>
            <w:pPr>
              <w:ind w:left="3360"/>
              <w:spacing w:after="0"/>
              <w:rPr>
                <w:sz w:val="20"/>
                <w:szCs w:val="20"/>
                <w:color w:val="auto"/>
              </w:rPr>
            </w:pPr>
            <w:r>
              <w:rPr>
                <w:rFonts w:ascii="Arial" w:cs="Arial" w:eastAsia="Arial" w:hAnsi="Arial"/>
                <w:sz w:val="18"/>
                <w:szCs w:val="18"/>
                <w:color w:val="auto"/>
              </w:rPr>
              <w:t>SCHEDULE 13</w:t>
            </w:r>
          </w:p>
        </w:tc>
        <w:tc>
          <w:tcPr>
            <w:tcW w:w="0" w:type="dxa"/>
            <w:vAlign w:val="bottom"/>
          </w:tcPr>
          <w:p>
            <w:pPr>
              <w:spacing w:after="0"/>
              <w:rPr>
                <w:sz w:val="1"/>
                <w:szCs w:val="1"/>
                <w:color w:val="auto"/>
              </w:rPr>
            </w:pPr>
          </w:p>
        </w:tc>
      </w:tr>
      <w:tr>
        <w:trPr>
          <w:trHeight w:val="148"/>
        </w:trPr>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92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Itasca Partners IX, LLC</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0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9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spacing w:after="0"/>
              <w:rPr>
                <w:sz w:val="15"/>
                <w:szCs w:val="15"/>
                <w:color w:val="auto"/>
              </w:rPr>
            </w:pPr>
          </w:p>
        </w:tc>
        <w:tc>
          <w:tcPr>
            <w:tcW w:w="80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180" w:type="dxa"/>
            <w:vAlign w:val="bottom"/>
          </w:tcPr>
          <w:p>
            <w:pPr>
              <w:spacing w:after="0"/>
              <w:rPr>
                <w:sz w:val="15"/>
                <w:szCs w:val="15"/>
                <w:color w:val="auto"/>
              </w:rPr>
            </w:pPr>
          </w:p>
        </w:tc>
        <w:tc>
          <w:tcPr>
            <w:tcW w:w="2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91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4"/>
              </w:rPr>
              <w:t>Person</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80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7"/>
              </w:rPr>
              <w:t>With:</w:t>
            </w: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2"/>
                <w:szCs w:val="12"/>
                <w:color w:val="auto"/>
              </w:rPr>
            </w:pPr>
          </w:p>
        </w:tc>
        <w:tc>
          <w:tcPr>
            <w:tcW w:w="9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8"/>
              </w:rPr>
              <w:t>5,498,441</w:t>
            </w:r>
            <w:r>
              <w:rPr>
                <w:rFonts w:ascii="Arial" w:cs="Arial" w:eastAsia="Arial" w:hAnsi="Arial"/>
                <w:sz w:val="15"/>
                <w:szCs w:val="15"/>
                <w:color w:val="auto"/>
                <w:w w:val="88"/>
              </w:rPr>
              <w:t>3</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4</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3"/>
          <w:szCs w:val="13"/>
          <w:color w:val="auto"/>
        </w:rPr>
      </w:pPr>
      <w:r>
        <w:rPr>
          <w:rFonts w:ascii="Arial" w:cs="Arial" w:eastAsia="Arial" w:hAnsi="Arial"/>
          <w:sz w:val="16"/>
          <w:szCs w:val="16"/>
          <w:color w:val="auto"/>
        </w:rPr>
        <w:t>Consists of (i) 498,441 shares of Common Stock, and (ii) 5,000,000 LLC Interests that may be redeemed at any time for shares of Common Stock</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on a one-to-one basis.</w:t>
      </w:r>
    </w:p>
    <w:p>
      <w:pPr>
        <w:spacing w:after="0" w:line="8" w:lineRule="exact"/>
        <w:rPr>
          <w:sz w:val="20"/>
          <w:szCs w:val="20"/>
          <w:color w:val="auto"/>
        </w:rPr>
      </w:pPr>
    </w:p>
    <w:p>
      <w:pPr>
        <w:ind w:left="424" w:right="160" w:hanging="424"/>
        <w:spacing w:after="0" w:line="325" w:lineRule="auto"/>
        <w:tabs>
          <w:tab w:leader="none" w:pos="424" w:val="left"/>
        </w:tabs>
        <w:numPr>
          <w:ilvl w:val="0"/>
          <w:numId w:val="6"/>
        </w:numPr>
        <w:rPr>
          <w:rFonts w:ascii="Arial" w:cs="Arial" w:eastAsia="Arial" w:hAnsi="Arial"/>
          <w:sz w:val="13"/>
          <w:szCs w:val="13"/>
          <w:color w:val="auto"/>
        </w:rPr>
      </w:pPr>
      <w:r>
        <w:rPr>
          <w:rFonts w:ascii="Arial" w:cs="Arial" w:eastAsia="Arial" w:hAnsi="Arial"/>
          <w:sz w:val="16"/>
          <w:szCs w:val="16"/>
          <w:color w:val="auto"/>
        </w:rPr>
        <w:t>Based on (i) 114,773,928 shares outstanding as of August 4, 2021, as such number was provided in the Issuer’s Quarterly Report on Form 10-Q filed with the SEC on August 12, 2021, plus (ii) 5,000,000 shares that would be outstanding upon redemption of the LLC Interests.</w:t>
      </w:r>
    </w:p>
    <w:p>
      <w:pPr>
        <w:spacing w:after="0" w:line="6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0944"/>
          </w:cols>
          <w:pgMar w:left="436" w:top="274" w:right="51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Arial" w:cs="Arial" w:eastAsia="Arial" w:hAnsi="Arial"/>
                <w:sz w:val="18"/>
                <w:szCs w:val="18"/>
                <w:color w:val="auto"/>
                <w:w w:val="93"/>
              </w:rPr>
              <w:t>CUSIP No. 38046W105</w:t>
            </w:r>
          </w:p>
        </w:tc>
        <w:tc>
          <w:tcPr>
            <w:tcW w:w="9120" w:type="dxa"/>
            <w:vAlign w:val="bottom"/>
          </w:tcPr>
          <w:p>
            <w:pPr>
              <w:ind w:left="3360"/>
              <w:spacing w:after="0"/>
              <w:rPr>
                <w:sz w:val="20"/>
                <w:szCs w:val="20"/>
                <w:color w:val="auto"/>
              </w:rPr>
            </w:pPr>
            <w:r>
              <w:rPr>
                <w:rFonts w:ascii="Arial" w:cs="Arial" w:eastAsia="Arial" w:hAnsi="Arial"/>
                <w:sz w:val="18"/>
                <w:szCs w:val="18"/>
                <w:color w:val="auto"/>
              </w:rPr>
              <w:t>SCHEDULE 13</w:t>
            </w:r>
          </w:p>
        </w:tc>
        <w:tc>
          <w:tcPr>
            <w:tcW w:w="0" w:type="dxa"/>
            <w:vAlign w:val="bottom"/>
          </w:tcPr>
          <w:p>
            <w:pPr>
              <w:spacing w:after="0"/>
              <w:rPr>
                <w:sz w:val="1"/>
                <w:szCs w:val="1"/>
                <w:color w:val="auto"/>
              </w:rPr>
            </w:pPr>
          </w:p>
        </w:tc>
      </w:tr>
      <w:tr>
        <w:trPr>
          <w:trHeight w:val="148"/>
        </w:trPr>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92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Norwest Venture Capital Management, Inc.</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0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9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3"/>
              </w:rPr>
              <w:t>Minnesota</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spacing w:after="0"/>
              <w:rPr>
                <w:sz w:val="15"/>
                <w:szCs w:val="15"/>
                <w:color w:val="auto"/>
              </w:rPr>
            </w:pPr>
          </w:p>
        </w:tc>
        <w:tc>
          <w:tcPr>
            <w:tcW w:w="80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180" w:type="dxa"/>
            <w:vAlign w:val="bottom"/>
          </w:tcPr>
          <w:p>
            <w:pPr>
              <w:spacing w:after="0"/>
              <w:rPr>
                <w:sz w:val="15"/>
                <w:szCs w:val="15"/>
                <w:color w:val="auto"/>
              </w:rPr>
            </w:pPr>
          </w:p>
        </w:tc>
        <w:tc>
          <w:tcPr>
            <w:tcW w:w="2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91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4"/>
              </w:rPr>
              <w:t>Person</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80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7"/>
              </w:rPr>
              <w:t>With:</w:t>
            </w: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2"/>
                <w:szCs w:val="12"/>
                <w:color w:val="auto"/>
              </w:rPr>
            </w:pPr>
          </w:p>
        </w:tc>
        <w:tc>
          <w:tcPr>
            <w:tcW w:w="9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8"/>
              </w:rPr>
              <w:t>5,498,441</w:t>
            </w:r>
            <w:r>
              <w:rPr>
                <w:rFonts w:ascii="Arial" w:cs="Arial" w:eastAsia="Arial" w:hAnsi="Arial"/>
                <w:sz w:val="15"/>
                <w:szCs w:val="15"/>
                <w:color w:val="auto"/>
                <w:w w:val="88"/>
              </w:rPr>
              <w:t>5</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6</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CO</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3"/>
          <w:szCs w:val="13"/>
          <w:color w:val="auto"/>
        </w:rPr>
      </w:pPr>
      <w:r>
        <w:rPr>
          <w:rFonts w:ascii="Arial" w:cs="Arial" w:eastAsia="Arial" w:hAnsi="Arial"/>
          <w:sz w:val="16"/>
          <w:szCs w:val="16"/>
          <w:color w:val="auto"/>
        </w:rPr>
        <w:t>Consists of (i) 498,441 shares of Common Stock, and (ii) 5,000,000 LLC Interests that may be redeemed at any time for shares of Common Stock</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on a one-to-one basis.</w:t>
      </w:r>
    </w:p>
    <w:p>
      <w:pPr>
        <w:spacing w:after="0" w:line="8" w:lineRule="exact"/>
        <w:rPr>
          <w:sz w:val="20"/>
          <w:szCs w:val="20"/>
          <w:color w:val="auto"/>
        </w:rPr>
      </w:pPr>
    </w:p>
    <w:p>
      <w:pPr>
        <w:ind w:left="424" w:right="160" w:hanging="424"/>
        <w:spacing w:after="0" w:line="325" w:lineRule="auto"/>
        <w:tabs>
          <w:tab w:leader="none" w:pos="424" w:val="left"/>
        </w:tabs>
        <w:numPr>
          <w:ilvl w:val="0"/>
          <w:numId w:val="8"/>
        </w:numPr>
        <w:rPr>
          <w:rFonts w:ascii="Arial" w:cs="Arial" w:eastAsia="Arial" w:hAnsi="Arial"/>
          <w:sz w:val="13"/>
          <w:szCs w:val="13"/>
          <w:color w:val="auto"/>
        </w:rPr>
      </w:pPr>
      <w:r>
        <w:rPr>
          <w:rFonts w:ascii="Arial" w:cs="Arial" w:eastAsia="Arial" w:hAnsi="Arial"/>
          <w:sz w:val="16"/>
          <w:szCs w:val="16"/>
          <w:color w:val="auto"/>
        </w:rPr>
        <w:t>Based on (i) 114,773,928 shares outstanding as of August 4, 2021, as such number was provided in the Issuer’s Quarterly Report on Form 10-Q filed with the SEC on August 12, 2021, plus (ii) 5,000,000 shares that would be outstanding upon redemption of the LLC Interests.</w:t>
      </w:r>
    </w:p>
    <w:p>
      <w:pPr>
        <w:spacing w:after="0" w:line="6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0944"/>
          </w:cols>
          <w:pgMar w:left="436" w:top="274" w:right="51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Arial" w:cs="Arial" w:eastAsia="Arial" w:hAnsi="Arial"/>
                <w:sz w:val="18"/>
                <w:szCs w:val="18"/>
                <w:color w:val="auto"/>
                <w:w w:val="93"/>
              </w:rPr>
              <w:t>CUSIP No. 38046W105</w:t>
            </w:r>
          </w:p>
        </w:tc>
        <w:tc>
          <w:tcPr>
            <w:tcW w:w="9120" w:type="dxa"/>
            <w:vAlign w:val="bottom"/>
          </w:tcPr>
          <w:p>
            <w:pPr>
              <w:ind w:left="3360"/>
              <w:spacing w:after="0"/>
              <w:rPr>
                <w:sz w:val="20"/>
                <w:szCs w:val="20"/>
                <w:color w:val="auto"/>
              </w:rPr>
            </w:pPr>
            <w:r>
              <w:rPr>
                <w:rFonts w:ascii="Arial" w:cs="Arial" w:eastAsia="Arial" w:hAnsi="Arial"/>
                <w:sz w:val="18"/>
                <w:szCs w:val="18"/>
                <w:color w:val="auto"/>
              </w:rPr>
              <w:t>SCHEDULE 13</w:t>
            </w:r>
          </w:p>
        </w:tc>
        <w:tc>
          <w:tcPr>
            <w:tcW w:w="0" w:type="dxa"/>
            <w:vAlign w:val="bottom"/>
          </w:tcPr>
          <w:p>
            <w:pPr>
              <w:spacing w:after="0"/>
              <w:rPr>
                <w:sz w:val="1"/>
                <w:szCs w:val="1"/>
                <w:color w:val="auto"/>
              </w:rPr>
            </w:pPr>
          </w:p>
        </w:tc>
      </w:tr>
      <w:tr>
        <w:trPr>
          <w:trHeight w:val="148"/>
        </w:trPr>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926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Timothy C. DeVries</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0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9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6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spacing w:after="0"/>
              <w:rPr>
                <w:sz w:val="15"/>
                <w:szCs w:val="15"/>
                <w:color w:val="auto"/>
              </w:rPr>
            </w:pPr>
          </w:p>
        </w:tc>
        <w:tc>
          <w:tcPr>
            <w:tcW w:w="80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180" w:type="dxa"/>
            <w:vAlign w:val="bottom"/>
          </w:tcPr>
          <w:p>
            <w:pPr>
              <w:spacing w:after="0"/>
              <w:rPr>
                <w:sz w:val="15"/>
                <w:szCs w:val="15"/>
                <w:color w:val="auto"/>
              </w:rPr>
            </w:pPr>
          </w:p>
        </w:tc>
        <w:tc>
          <w:tcPr>
            <w:tcW w:w="2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91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4"/>
              </w:rPr>
              <w:t>Person</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80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7"/>
              </w:rPr>
              <w:t>With:</w:t>
            </w: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2"/>
                <w:szCs w:val="12"/>
                <w:color w:val="auto"/>
              </w:rPr>
            </w:pPr>
          </w:p>
        </w:tc>
        <w:tc>
          <w:tcPr>
            <w:tcW w:w="9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8"/>
              </w:rPr>
              <w:t>5,498,441</w:t>
            </w:r>
            <w:r>
              <w:rPr>
                <w:rFonts w:ascii="Arial" w:cs="Arial" w:eastAsia="Arial" w:hAnsi="Arial"/>
                <w:sz w:val="15"/>
                <w:szCs w:val="15"/>
                <w:color w:val="auto"/>
                <w:w w:val="88"/>
              </w:rPr>
              <w:t>7</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8</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IN</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3"/>
          <w:szCs w:val="13"/>
          <w:color w:val="auto"/>
        </w:rPr>
      </w:pPr>
      <w:r>
        <w:rPr>
          <w:rFonts w:ascii="Arial" w:cs="Arial" w:eastAsia="Arial" w:hAnsi="Arial"/>
          <w:sz w:val="16"/>
          <w:szCs w:val="16"/>
          <w:color w:val="auto"/>
        </w:rPr>
        <w:t>Consists of (i) 498,441 shares of Common Stock, and (ii) 5,000,000 LLC Interests that may be redeemed at any time for shares of Common Stock</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on a one-to-one basis.</w:t>
      </w:r>
    </w:p>
    <w:p>
      <w:pPr>
        <w:spacing w:after="0" w:line="8" w:lineRule="exact"/>
        <w:rPr>
          <w:sz w:val="20"/>
          <w:szCs w:val="20"/>
          <w:color w:val="auto"/>
        </w:rPr>
      </w:pPr>
    </w:p>
    <w:p>
      <w:pPr>
        <w:ind w:left="424" w:right="160" w:hanging="424"/>
        <w:spacing w:after="0" w:line="325" w:lineRule="auto"/>
        <w:tabs>
          <w:tab w:leader="none" w:pos="424" w:val="left"/>
        </w:tabs>
        <w:numPr>
          <w:ilvl w:val="0"/>
          <w:numId w:val="10"/>
        </w:numPr>
        <w:rPr>
          <w:rFonts w:ascii="Arial" w:cs="Arial" w:eastAsia="Arial" w:hAnsi="Arial"/>
          <w:sz w:val="13"/>
          <w:szCs w:val="13"/>
          <w:color w:val="auto"/>
        </w:rPr>
      </w:pPr>
      <w:r>
        <w:rPr>
          <w:rFonts w:ascii="Arial" w:cs="Arial" w:eastAsia="Arial" w:hAnsi="Arial"/>
          <w:sz w:val="16"/>
          <w:szCs w:val="16"/>
          <w:color w:val="auto"/>
        </w:rPr>
        <w:t>Based on (i) 114,773,928 shares outstanding as of August 4, 2021, as such number was provided in the Issuer’s Quarterly Report on Form 10-Q filed with the SEC on August 12, 2021, plus (ii) 5,000,000 shares that would be outstanding upon redemption of the LLC Interests.</w:t>
      </w:r>
    </w:p>
    <w:p>
      <w:pPr>
        <w:spacing w:after="0" w:line="6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0944"/>
          </w:cols>
          <w:pgMar w:left="436" w:top="274" w:right="51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GoHealth, Inc.</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214 West Huron St., Chicago, Illinois, 60654</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b w:val="1"/>
          <w:bCs w:val="1"/>
          <w:color w:val="auto"/>
        </w:rPr>
      </w:pPr>
    </w:p>
    <w:p>
      <w:pPr>
        <w:ind w:left="444"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of the following is hereinafter individually referred to as a “Reporting Person” and collectively as the “Reporting Persons.” This statement is filed on behalf of:</w:t>
      </w:r>
    </w:p>
    <w:p>
      <w:pPr>
        <w:spacing w:after="0" w:line="75" w:lineRule="exact"/>
        <w:rPr>
          <w:rFonts w:ascii="Arial" w:cs="Arial" w:eastAsia="Arial" w:hAnsi="Arial"/>
          <w:sz w:val="18"/>
          <w:szCs w:val="18"/>
          <w:b w:val="1"/>
          <w:bCs w:val="1"/>
          <w:color w:val="auto"/>
        </w:rPr>
      </w:pPr>
    </w:p>
    <w:p>
      <w:pPr>
        <w:ind w:left="1424" w:hanging="439"/>
        <w:spacing w:after="0"/>
        <w:tabs>
          <w:tab w:leader="none" w:pos="14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Norwest Equity Partners IX, LP;</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Itasca Partners IX, LLC;</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Norwest Venture Capital Management, Inc.;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Timothy C. DeVries.</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principal business address of the Reporting Persons is 3600 IDS Center, 80 South 8th Street, Minneapolis, 55402</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134" w:lineRule="exact"/>
        <w:rPr>
          <w:rFonts w:ascii="Arial" w:cs="Arial" w:eastAsia="Arial" w:hAnsi="Arial"/>
          <w:sz w:val="18"/>
          <w:szCs w:val="18"/>
          <w:b w:val="1"/>
          <w:bCs w:val="1"/>
          <w:color w:val="auto"/>
        </w:rPr>
      </w:pPr>
    </w:p>
    <w:p>
      <w:pPr>
        <w:ind w:left="1424" w:hanging="439"/>
        <w:spacing w:after="0"/>
        <w:tabs>
          <w:tab w:leader="none" w:pos="14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Norwest Equity Partners IX, LP: Delaware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Itasca Partners IX, LLC: Delaware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Norwest Venture Capital Management, Inc.: Minnesota</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Timothy C. DeVries: United States of America</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Class A Common Stock, $0.0001 par value per share</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38046W105</w:t>
      </w:r>
    </w:p>
    <w:p>
      <w:pPr>
        <w:spacing w:after="0" w:line="37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If this statement is filed pursuant to §§ 240.13d-1(b) or 240.13d-2(b) or (c), check whether the person filing is a: </w:t>
      </w:r>
      <w:r>
        <w:rPr>
          <w:rFonts w:ascii="Arial" w:cs="Arial" w:eastAsia="Arial" w:hAnsi="Arial"/>
          <w:sz w:val="16"/>
          <w:szCs w:val="16"/>
          <w:color w:val="auto"/>
        </w:rPr>
        <w:t>Not applicable</w:t>
      </w:r>
    </w:p>
    <w:p>
      <w:pPr>
        <w:spacing w:after="0" w:line="37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44" w:right="80"/>
        <w:spacing w:after="0" w:line="257" w:lineRule="auto"/>
        <w:rPr>
          <w:sz w:val="20"/>
          <w:szCs w:val="20"/>
          <w:color w:val="auto"/>
        </w:rPr>
      </w:pPr>
      <w:r>
        <w:rPr>
          <w:rFonts w:ascii="Arial" w:cs="Arial" w:eastAsia="Arial" w:hAnsi="Arial"/>
          <w:sz w:val="18"/>
          <w:szCs w:val="18"/>
          <w:color w:val="auto"/>
        </w:rPr>
        <w:t>The ownership information represented below represents ownership of Class A Common Stock of the Issuer (the “Common Stock”) as of December 31, 2021 based on 114,773,928 shares of the Common Stock outstanding as of November 2, 2021 as reported in the Quarterly Report on Form 10-Q filed with the Securities and Exchange Commission on November 10, 2021, and assumes the redemption of 5,000,000 LLC Interests held of record by Norwest Equity Partners IX, LP. The LLC Interests may be redeemed at any time for shares of the Common Stock on a one-to-one basis.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Sole power to</w:t>
            </w: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Shared power</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Sole power to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Shared power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7"/>
              </w:rPr>
              <w:t>Percent of</w:t>
            </w:r>
          </w:p>
        </w:tc>
        <w:tc>
          <w:tcPr>
            <w:tcW w:w="126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dispose or to</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 dispose or to</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Reporting Person</w:t>
            </w:r>
          </w:p>
        </w:tc>
        <w:tc>
          <w:tcPr>
            <w:tcW w:w="2920" w:type="dxa"/>
            <w:vAlign w:val="bottom"/>
            <w:vMerge w:val="restart"/>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4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vote or to</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to vote or to</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direct the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0" w:type="dxa"/>
            <w:vAlign w:val="bottom"/>
          </w:tcPr>
          <w:p>
            <w:pPr>
              <w:spacing w:after="0"/>
              <w:rPr>
                <w:sz w:val="1"/>
                <w:szCs w:val="1"/>
                <w:color w:val="auto"/>
              </w:rPr>
            </w:pPr>
          </w:p>
        </w:tc>
      </w:tr>
      <w:tr>
        <w:trPr>
          <w:trHeight w:val="163"/>
        </w:trPr>
        <w:tc>
          <w:tcPr>
            <w:tcW w:w="1080" w:type="dxa"/>
            <w:vAlign w:val="bottom"/>
            <w:tcBorders>
              <w:bottom w:val="single" w:sz="8" w:color="auto"/>
            </w:tcBorders>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4"/>
              </w:rPr>
              <w:t>Owned</w:t>
            </w:r>
          </w:p>
        </w:tc>
        <w:tc>
          <w:tcPr>
            <w:tcW w:w="114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Class</w:t>
            </w:r>
          </w:p>
        </w:tc>
        <w:tc>
          <w:tcPr>
            <w:tcW w:w="12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89"/>
              </w:rPr>
              <w:t>direct the vote</w:t>
            </w:r>
          </w:p>
        </w:tc>
        <w:tc>
          <w:tcPr>
            <w:tcW w:w="12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89"/>
              </w:rPr>
              <w:t>direct the vote</w:t>
            </w: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8"/>
              </w:rPr>
              <w:t>disposition</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Norwest Equity Partners IX, LP</w:t>
            </w:r>
          </w:p>
        </w:tc>
        <w:tc>
          <w:tcPr>
            <w:tcW w:w="7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5,498,441</w:t>
            </w:r>
          </w:p>
        </w:tc>
        <w:tc>
          <w:tcPr>
            <w:tcW w:w="38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4.6%</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8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5,498,441</w:t>
            </w:r>
          </w:p>
        </w:tc>
        <w:tc>
          <w:tcPr>
            <w:tcW w:w="38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ind w:left="740"/>
              <w:spacing w:after="0"/>
              <w:rPr>
                <w:sz w:val="20"/>
                <w:szCs w:val="20"/>
                <w:color w:val="auto"/>
              </w:rPr>
            </w:pPr>
            <w:r>
              <w:rPr>
                <w:rFonts w:ascii="Arial" w:cs="Arial" w:eastAsia="Arial" w:hAnsi="Arial"/>
                <w:sz w:val="15"/>
                <w:szCs w:val="15"/>
                <w:color w:val="auto"/>
                <w:w w:val="71"/>
              </w:rPr>
              <w:t>0</w:t>
            </w:r>
          </w:p>
        </w:tc>
        <w:tc>
          <w:tcPr>
            <w:tcW w:w="380" w:type="dxa"/>
            <w:vAlign w:val="bottom"/>
            <w:vMerge w:val="continue"/>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Itasca Partners IX, LLC</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5,498,441</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5,498,441</w:t>
            </w: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0</w:t>
            </w:r>
          </w:p>
        </w:tc>
        <w:tc>
          <w:tcPr>
            <w:tcW w:w="1000" w:type="dxa"/>
            <w:vAlign w:val="bottom"/>
          </w:tcPr>
          <w:p>
            <w:pPr>
              <w:jc w:val="right"/>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Norwest Venture Capital Management, Inc.</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5,498,441</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5,498,441</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Timothy C. DeVries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5,498,441</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5,498,441</w:t>
            </w: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0</w:t>
            </w:r>
          </w:p>
        </w:tc>
        <w:tc>
          <w:tcPr>
            <w:tcW w:w="1000" w:type="dxa"/>
            <w:vAlign w:val="bottom"/>
          </w:tcPr>
          <w:p>
            <w:pPr>
              <w:jc w:val="right"/>
              <w:spacing w:after="0"/>
              <w:rPr>
                <w:sz w:val="20"/>
                <w:szCs w:val="20"/>
                <w:color w:val="auto"/>
              </w:rPr>
            </w:pPr>
            <w:r>
              <w:rPr>
                <w:rFonts w:ascii="Arial" w:cs="Arial" w:eastAsia="Arial" w:hAnsi="Arial"/>
                <w:sz w:val="18"/>
                <w:szCs w:val="18"/>
                <w:color w:val="auto"/>
              </w:rPr>
              <w:t>5,498,441</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024"/>
          </w:cols>
          <w:pgMar w:left="436" w:top="270" w:right="439" w:bottom="1440" w:gutter="0" w:footer="0" w:header="0"/>
        </w:sectPr>
      </w:pPr>
    </w:p>
    <w:bookmarkStart w:id="6" w:name="page7"/>
    <w:bookmarkEnd w:id="6"/>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X</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 xml:space="preserve">Ownership of more than Five Percent on Behalf of Another Person. </w:t>
      </w:r>
      <w:r>
        <w:rPr>
          <w:rFonts w:ascii="Arial" w:cs="Arial" w:eastAsia="Arial" w:hAnsi="Arial"/>
          <w:sz w:val="16"/>
          <w:szCs w:val="16"/>
          <w:color w:val="auto"/>
        </w:rPr>
        <w:t>Not applicable.</w:t>
      </w:r>
    </w:p>
    <w:p>
      <w:pPr>
        <w:spacing w:after="0" w:line="252" w:lineRule="exact"/>
        <w:rPr>
          <w:sz w:val="20"/>
          <w:szCs w:val="20"/>
          <w:color w:val="auto"/>
        </w:rPr>
      </w:pPr>
    </w:p>
    <w:p>
      <w:pPr>
        <w:ind w:left="10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 xml:space="preserve">Identification and classification of the subsidiary which acquired the security being reported on by the parent holding company or control person. </w:t>
      </w:r>
      <w:r>
        <w:rPr>
          <w:rFonts w:ascii="Arial" w:cs="Arial" w:eastAsia="Arial" w:hAnsi="Arial"/>
          <w:sz w:val="18"/>
          <w:szCs w:val="18"/>
          <w:color w:val="auto"/>
        </w:rPr>
        <w:t>Not applicable.</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 xml:space="preserve">Identification and classification of members of the group. </w:t>
      </w:r>
      <w:r>
        <w:rPr>
          <w:rFonts w:ascii="Arial" w:cs="Arial" w:eastAsia="Arial" w:hAnsi="Arial"/>
          <w:sz w:val="16"/>
          <w:szCs w:val="16"/>
          <w:color w:val="auto"/>
        </w:rPr>
        <w:t>Not applicable.</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 xml:space="preserve">Notice of Dissolution of Group. </w:t>
      </w:r>
      <w:r>
        <w:rPr>
          <w:rFonts w:ascii="Arial" w:cs="Arial" w:eastAsia="Arial" w:hAnsi="Arial"/>
          <w:sz w:val="16"/>
          <w:szCs w:val="16"/>
          <w:color w:val="auto"/>
        </w:rPr>
        <w:t>Not applicable.</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 xml:space="preserve">Certifications. </w:t>
      </w:r>
      <w:r>
        <w:rPr>
          <w:rFonts w:ascii="Arial" w:cs="Arial" w:eastAsia="Arial" w:hAnsi="Arial"/>
          <w:sz w:val="16"/>
          <w:szCs w:val="16"/>
          <w:color w:val="auto"/>
        </w:rPr>
        <w:t>Not applicable.</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0840"/>
          </w:cols>
          <w:pgMar w:left="440" w:top="270" w:right="6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12,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NORWEST EQUITY PARTNERS IX,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Itasca Partners IX, LLC, as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Norwest Venture Capital Management, Inc., as its</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Allingham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Allingham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0560"/>
          </w:cols>
          <w:pgMar w:left="440" w:top="274" w:right="8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40" w:type="dxa"/>
            <w:vAlign w:val="bottom"/>
            <w:gridSpan w:val="2"/>
          </w:tcPr>
          <w:p>
            <w:pPr>
              <w:jc w:val="center"/>
              <w:ind w:left="267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920" w:type="dxa"/>
            <w:vAlign w:val="bottom"/>
          </w:tcPr>
          <w:p>
            <w:pPr>
              <w:spacing w:after="0"/>
              <w:rPr>
                <w:sz w:val="20"/>
                <w:szCs w:val="20"/>
                <w:color w:val="auto"/>
              </w:rPr>
            </w:pPr>
            <w:r>
              <w:rPr>
                <w:rFonts w:ascii="Arial" w:cs="Arial" w:eastAsia="Arial" w:hAnsi="Arial"/>
                <w:sz w:val="14"/>
                <w:szCs w:val="14"/>
                <w:color w:val="auto"/>
                <w:w w:val="94"/>
              </w:rPr>
              <w:t>Exhibit Number</w:t>
            </w:r>
          </w:p>
        </w:tc>
        <w:tc>
          <w:tcPr>
            <w:tcW w:w="5020" w:type="dxa"/>
            <w:vAlign w:val="bottom"/>
            <w:gridSpan w:val="4"/>
          </w:tcPr>
          <w:p>
            <w:pPr>
              <w:ind w:left="1120"/>
              <w:spacing w:after="0"/>
              <w:rPr>
                <w:sz w:val="20"/>
                <w:szCs w:val="20"/>
                <w:color w:val="auto"/>
              </w:rPr>
            </w:pPr>
            <w:r>
              <w:rPr>
                <w:rFonts w:ascii="Arial" w:cs="Arial" w:eastAsia="Arial" w:hAnsi="Arial"/>
                <w:sz w:val="14"/>
                <w:szCs w:val="14"/>
                <w:color w:val="auto"/>
              </w:rPr>
              <w:t>Title</w:t>
            </w:r>
          </w:p>
        </w:tc>
      </w:tr>
      <w:tr>
        <w:trPr>
          <w:trHeight w:val="20"/>
        </w:trPr>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w:t>
            </w:r>
          </w:p>
        </w:tc>
        <w:tc>
          <w:tcPr>
            <w:tcW w:w="5020" w:type="dxa"/>
            <w:vAlign w:val="bottom"/>
            <w:gridSpan w:val="4"/>
          </w:tcPr>
          <w:p>
            <w:pPr>
              <w:ind w:left="1120"/>
              <w:spacing w:after="0"/>
              <w:rPr>
                <w:rFonts w:ascii="Arial" w:cs="Arial" w:eastAsia="Arial" w:hAnsi="Arial"/>
                <w:sz w:val="18"/>
                <w:szCs w:val="18"/>
                <w:color w:val="0000EE"/>
              </w:rPr>
            </w:pPr>
            <w:hyperlink w:anchor="page10">
              <w:r>
                <w:rPr>
                  <w:rFonts w:ascii="Arial" w:cs="Arial" w:eastAsia="Arial" w:hAnsi="Arial"/>
                  <w:sz w:val="18"/>
                  <w:szCs w:val="18"/>
                  <w:color w:val="0000EE"/>
                </w:rPr>
                <w:t>Joint Filing Agreement, dated January 12, 2022.</w:t>
              </w:r>
            </w:hyperlink>
          </w:p>
        </w:tc>
      </w:tr>
      <w:tr>
        <w:trPr>
          <w:trHeight w:val="20"/>
        </w:trPr>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85"/>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gridSpan w:val="2"/>
          </w:tcPr>
          <w:p>
            <w:pPr>
              <w:jc w:val="center"/>
              <w:ind w:left="2690"/>
              <w:spacing w:after="0"/>
              <w:rPr>
                <w:sz w:val="20"/>
                <w:szCs w:val="20"/>
                <w:color w:val="auto"/>
              </w:rPr>
            </w:pPr>
            <w:r>
              <w:rPr>
                <w:rFonts w:ascii="Arial" w:cs="Arial" w:eastAsia="Arial" w:hAnsi="Arial"/>
                <w:sz w:val="18"/>
                <w:szCs w:val="18"/>
                <w:color w:val="auto"/>
                <w:w w:val="89"/>
              </w:rPr>
              <w:t>Page 9 of 9</w:t>
            </w:r>
          </w:p>
        </w:tc>
      </w:tr>
    </w:tbl>
    <w:p>
      <w:pPr>
        <w:jc w:val="center"/>
        <w:ind w:left="269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undersigned hereby agree that this Schedule 13G/A to which this Joint Filing Agreement is attached shall be filed by Norwest Equity Partners IX, LP on its own behalf and on behalf of (a) Itasca Partners IX, LLC, a Delaware limited liability company, (b) Norwest Venture Capital Management, Inc., a Minnesota corporation, and (c) Timothy C. DeVries.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12,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NORWEST EQUITY PARTNERS IX,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Itasca Partners IX, LLC, as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Norwest Venture Capital Management, Inc., as its</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Allingham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Allingham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ITASCA PARTNERS IX,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Norwest Venture Capital Management, Inc., as its</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Allingham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Allingham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NORWEST VENTURE CAPITAL MANAGEMENT,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Allingham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Allingham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Timothy C.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Timothy C. DeVries</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5"/>
      <w:numFmt w:val="bullet"/>
      <w:start w:val="1"/>
    </w:lvl>
  </w:abstractNum>
  <w:abstractNum w:abstractNumId="7">
    <w:nsid w:val="4DB127F8"/>
    <w:multiLevelType w:val="hybridMultilevel"/>
    <w:lvl w:ilvl="0">
      <w:lvlJc w:val="left"/>
      <w:lvlText w:val="6"/>
      <w:numFmt w:val="bullet"/>
      <w:start w:val="1"/>
    </w:lvl>
  </w:abstractNum>
  <w:abstractNum w:abstractNumId="8">
    <w:nsid w:val="216231B"/>
    <w:multiLevelType w:val="hybridMultilevel"/>
    <w:lvl w:ilvl="0">
      <w:lvlJc w:val="left"/>
      <w:lvlText w:val="7"/>
      <w:numFmt w:val="bullet"/>
      <w:start w:val="1"/>
    </w:lvl>
  </w:abstractNum>
  <w:abstractNum w:abstractNumId="9">
    <w:nsid w:val="1F16E9E8"/>
    <w:multiLevelType w:val="hybridMultilevel"/>
    <w:lvl w:ilvl="0">
      <w:lvlJc w:val="left"/>
      <w:lvlText w:val="8"/>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2022-01-12T15:09:01Z</dcterms:created>
  <dcterms:modified xsi:type="dcterms:W3CDTF">2022-01-12T15:09:01Z</dcterms:modified>
</cp:coreProperties>
</file>