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CCP III Cayman GP Ltd.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375 PARK AVENUE, 11TH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GoHealth,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GOCO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11/15/2022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4"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p>
      <w:pPr>
        <w:spacing w:after="0" w:line="18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10152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ind w:right="280" w:hanging="3823"/>
        <w:spacing w:after="0" w:line="267"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96" w:lineRule="exact"/>
        <w:rPr>
          <w:sz w:val="24"/>
          <w:szCs w:val="24"/>
          <w:color w:val="auto"/>
        </w:rPr>
      </w:pPr>
    </w:p>
    <w:p>
      <w:pPr>
        <w:sectPr>
          <w:pgSz w:w="11900" w:h="16838" w:orient="portrait"/>
          <w:cols w:equalWidth="0" w:num="2">
            <w:col w:w="7020" w:space="720"/>
            <w:col w:w="33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7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6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2A. Deemed</w:t>
            </w: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3"/>
                <w:szCs w:val="13"/>
                <w:color w:val="auto"/>
              </w:rPr>
            </w:pPr>
          </w:p>
        </w:tc>
        <w:tc>
          <w:tcPr>
            <w:tcW w:w="20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3"/>
          </w:tcPr>
          <w:p>
            <w:pPr>
              <w:ind w:left="30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240" w:type="dxa"/>
            <w:vAlign w:val="bottom"/>
            <w:gridSpan w:val="6"/>
          </w:tcPr>
          <w:p>
            <w:pPr>
              <w:ind w:left="14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86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(D) or</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gridSpan w:val="6"/>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86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1180" w:type="dxa"/>
            <w:vAlign w:val="bottom"/>
            <w:tcBorders>
              <w:top w:val="single" w:sz="8" w:color="2C2C2C"/>
            </w:tcBorders>
            <w:gridSpan w:val="2"/>
            <w:vMerge w:val="restart"/>
          </w:tcPr>
          <w:p>
            <w:pPr>
              <w:ind w:left="80"/>
              <w:spacing w:after="0" w:line="246" w:lineRule="exact"/>
              <w:rPr>
                <w:sz w:val="20"/>
                <w:szCs w:val="20"/>
                <w:color w:val="auto"/>
              </w:rPr>
            </w:pPr>
            <w:r>
              <w:rPr>
                <w:rFonts w:ascii="Arial" w:cs="Arial" w:eastAsia="Arial" w:hAnsi="Arial"/>
                <w:sz w:val="23"/>
                <w:szCs w:val="23"/>
                <w:b w:val="1"/>
                <w:bCs w:val="1"/>
                <w:color w:val="auto"/>
                <w:vertAlign w:val="superscript"/>
              </w:rPr>
              <w:t>(A) or</w:t>
            </w:r>
            <w:r>
              <w:rPr>
                <w:rFonts w:ascii="Arial" w:cs="Arial" w:eastAsia="Arial" w:hAnsi="Arial"/>
                <w:sz w:val="12"/>
                <w:szCs w:val="12"/>
                <w:b w:val="1"/>
                <w:bCs w:val="1"/>
                <w:color w:val="auto"/>
              </w:rPr>
              <w:t xml:space="preserve">  Price</w:t>
            </w:r>
          </w:p>
        </w:tc>
        <w:tc>
          <w:tcPr>
            <w:tcW w:w="40" w:type="dxa"/>
            <w:vAlign w:val="bottom"/>
            <w:vMerge w:val="restart"/>
          </w:tcPr>
          <w:p>
            <w:pPr>
              <w:spacing w:after="0"/>
              <w:rPr>
                <w:sz w:val="7"/>
                <w:szCs w:val="7"/>
                <w:color w:val="auto"/>
              </w:rPr>
            </w:pPr>
          </w:p>
        </w:tc>
        <w:tc>
          <w:tcPr>
            <w:tcW w:w="840" w:type="dxa"/>
            <w:vAlign w:val="bottom"/>
            <w:gridSpan w:val="2"/>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w w:val="99"/>
              </w:rPr>
              <w:t>Code</w:t>
            </w:r>
          </w:p>
        </w:tc>
        <w:tc>
          <w:tcPr>
            <w:tcW w:w="400" w:type="dxa"/>
            <w:vAlign w:val="bottom"/>
          </w:tcPr>
          <w:p>
            <w:pPr>
              <w:jc w:val="center"/>
              <w:ind w:right="20"/>
              <w:spacing w:after="0"/>
              <w:rPr>
                <w:sz w:val="20"/>
                <w:szCs w:val="20"/>
                <w:color w:val="auto"/>
              </w:rPr>
            </w:pPr>
            <w:r>
              <w:rPr>
                <w:rFonts w:ascii="Arial" w:cs="Arial" w:eastAsia="Arial" w:hAnsi="Arial"/>
                <w:sz w:val="12"/>
                <w:szCs w:val="12"/>
                <w:b w:val="1"/>
                <w:bCs w:val="1"/>
                <w:color w:val="auto"/>
                <w:w w:val="99"/>
              </w:rPr>
              <w:t>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180" w:type="dxa"/>
            <w:vAlign w:val="bottom"/>
            <w:gridSpan w:val="2"/>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(D)</w:t>
            </w:r>
          </w:p>
        </w:tc>
        <w:tc>
          <w:tcPr>
            <w:tcW w:w="86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gridSpan w:val="2"/>
          </w:tcPr>
          <w:p>
            <w:pPr>
              <w:ind w:left="20"/>
              <w:spacing w:after="0"/>
              <w:rPr>
                <w:sz w:val="20"/>
                <w:szCs w:val="20"/>
                <w:color w:val="auto"/>
              </w:rPr>
            </w:pPr>
            <w:r>
              <w:rPr>
                <w:rFonts w:ascii="Arial" w:cs="Arial" w:eastAsia="Arial" w:hAnsi="Arial"/>
                <w:sz w:val="12"/>
                <w:szCs w:val="12"/>
                <w:b w:val="1"/>
                <w:bCs w:val="1"/>
                <w:color w:val="auto"/>
                <w:w w:val="97"/>
              </w:rPr>
              <w:t>(Instr. 3 and 4)</w:t>
            </w:r>
          </w:p>
        </w:tc>
        <w:tc>
          <w:tcPr>
            <w:tcW w:w="64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7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rPr>
              <w:t>11/15/2022</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400" w:type="dxa"/>
            <w:vAlign w:val="bottom"/>
          </w:tcPr>
          <w:p>
            <w:pPr>
              <w:spacing w:after="0"/>
              <w:rPr>
                <w:sz w:val="21"/>
                <w:szCs w:val="21"/>
                <w:color w:val="auto"/>
              </w:rPr>
            </w:pPr>
          </w:p>
        </w:tc>
        <w:tc>
          <w:tcPr>
            <w:tcW w:w="8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3,000,000</w:t>
            </w:r>
          </w:p>
        </w:tc>
        <w:tc>
          <w:tcPr>
            <w:tcW w:w="3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w w:val="97"/>
              </w:rPr>
              <w:t>A</w:t>
            </w:r>
          </w:p>
        </w:tc>
        <w:tc>
          <w:tcPr>
            <w:tcW w:w="860" w:type="dxa"/>
            <w:vAlign w:val="bottom"/>
            <w:vMerge w:val="restart"/>
          </w:tcPr>
          <w:p>
            <w:pPr>
              <w:ind w:left="2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0.3864</w:t>
            </w:r>
          </w:p>
        </w:tc>
        <w:tc>
          <w:tcPr>
            <w:tcW w:w="40" w:type="dxa"/>
            <w:vAlign w:val="bottom"/>
          </w:tcPr>
          <w:p>
            <w:pPr>
              <w:spacing w:after="0"/>
              <w:rPr>
                <w:sz w:val="21"/>
                <w:szCs w:val="21"/>
                <w:color w:val="auto"/>
              </w:rPr>
            </w:pPr>
          </w:p>
        </w:tc>
        <w:tc>
          <w:tcPr>
            <w:tcW w:w="1480" w:type="dxa"/>
            <w:vAlign w:val="bottom"/>
            <w:gridSpan w:val="3"/>
            <w:vMerge w:val="restart"/>
          </w:tcPr>
          <w:p>
            <w:pPr>
              <w:ind w:left="120"/>
              <w:spacing w:after="0"/>
              <w:rPr>
                <w:sz w:val="20"/>
                <w:szCs w:val="20"/>
                <w:color w:val="auto"/>
              </w:rPr>
            </w:pPr>
            <w:r>
              <w:rPr>
                <w:rFonts w:ascii="Times New Roman" w:cs="Times New Roman" w:eastAsia="Times New Roman" w:hAnsi="Times New Roman"/>
                <w:sz w:val="17"/>
                <w:szCs w:val="17"/>
                <w:color w:val="0000FF"/>
              </w:rPr>
              <w:t>43,682,961</w:t>
            </w:r>
          </w:p>
        </w:tc>
        <w:tc>
          <w:tcPr>
            <w:tcW w:w="2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21"/>
                <w:szCs w:val="21"/>
                <w:color w:val="auto"/>
              </w:rPr>
            </w:pPr>
          </w:p>
        </w:tc>
        <w:tc>
          <w:tcPr>
            <w:tcW w:w="4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700" w:type="dxa"/>
            <w:vAlign w:val="bottom"/>
            <w:gridSpan w:val="5"/>
            <w:vMerge w:val="continue"/>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(1)(2)(3)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700" w:type="dxa"/>
            <w:vAlign w:val="bottom"/>
            <w:tcBorders>
              <w:top w:val="single" w:sz="8" w:color="2C2C2C"/>
            </w:tcBorders>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60" w:type="dxa"/>
            <w:vAlign w:val="bottom"/>
            <w:tcBorders>
              <w:top w:val="single" w:sz="8" w:color="2C2C2C"/>
            </w:tcBorders>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rPr>
              <w:t>11/16/2022</w:t>
            </w: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vMerge w:val="restart"/>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40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vMerge w:val="restart"/>
          </w:tcPr>
          <w:p>
            <w:pPr>
              <w:ind w:left="80"/>
              <w:spacing w:after="0"/>
              <w:rPr>
                <w:sz w:val="20"/>
                <w:szCs w:val="20"/>
                <w:color w:val="auto"/>
              </w:rPr>
            </w:pPr>
            <w:r>
              <w:rPr>
                <w:rFonts w:ascii="Times New Roman" w:cs="Times New Roman" w:eastAsia="Times New Roman" w:hAnsi="Times New Roman"/>
                <w:sz w:val="17"/>
                <w:szCs w:val="17"/>
                <w:color w:val="0000FF"/>
              </w:rPr>
              <w:t>3,365,747</w:t>
            </w:r>
          </w:p>
        </w:tc>
        <w:tc>
          <w:tcPr>
            <w:tcW w:w="320" w:type="dxa"/>
            <w:vAlign w:val="bottom"/>
            <w:tcBorders>
              <w:top w:val="single" w:sz="8" w:color="2C2C2C"/>
            </w:tcBorders>
            <w:vMerge w:val="restart"/>
          </w:tcPr>
          <w:p>
            <w:pPr>
              <w:ind w:left="180"/>
              <w:spacing w:after="0"/>
              <w:rPr>
                <w:sz w:val="20"/>
                <w:szCs w:val="20"/>
                <w:color w:val="auto"/>
              </w:rPr>
            </w:pPr>
            <w:r>
              <w:rPr>
                <w:rFonts w:ascii="Times New Roman" w:cs="Times New Roman" w:eastAsia="Times New Roman" w:hAnsi="Times New Roman"/>
                <w:sz w:val="17"/>
                <w:szCs w:val="17"/>
                <w:color w:val="0000FF"/>
                <w:w w:val="97"/>
              </w:rPr>
              <w:t>A</w:t>
            </w:r>
          </w:p>
        </w:tc>
        <w:tc>
          <w:tcPr>
            <w:tcW w:w="860" w:type="dxa"/>
            <w:vAlign w:val="bottom"/>
            <w:tcBorders>
              <w:top w:val="single" w:sz="8" w:color="2C2C2C"/>
            </w:tcBorders>
            <w:vMerge w:val="restart"/>
          </w:tcPr>
          <w:p>
            <w:pPr>
              <w:ind w:left="2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0.4799</w:t>
            </w:r>
          </w:p>
        </w:tc>
        <w:tc>
          <w:tcPr>
            <w:tcW w:w="40" w:type="dxa"/>
            <w:vAlign w:val="bottom"/>
            <w:tcBorders>
              <w:top w:val="single" w:sz="8" w:color="2C2C2C"/>
            </w:tcBorders>
          </w:tcPr>
          <w:p>
            <w:pPr>
              <w:spacing w:after="0"/>
              <w:rPr>
                <w:sz w:val="21"/>
                <w:szCs w:val="21"/>
                <w:color w:val="auto"/>
              </w:rPr>
            </w:pPr>
          </w:p>
        </w:tc>
        <w:tc>
          <w:tcPr>
            <w:tcW w:w="1480" w:type="dxa"/>
            <w:vAlign w:val="bottom"/>
            <w:tcBorders>
              <w:top w:val="single" w:sz="8" w:color="2C2C2C"/>
            </w:tcBorders>
            <w:gridSpan w:val="3"/>
            <w:vMerge w:val="restart"/>
          </w:tcPr>
          <w:p>
            <w:pPr>
              <w:ind w:left="120"/>
              <w:spacing w:after="0"/>
              <w:rPr>
                <w:sz w:val="20"/>
                <w:szCs w:val="20"/>
                <w:color w:val="auto"/>
              </w:rPr>
            </w:pPr>
            <w:r>
              <w:rPr>
                <w:rFonts w:ascii="Times New Roman" w:cs="Times New Roman" w:eastAsia="Times New Roman" w:hAnsi="Times New Roman"/>
                <w:sz w:val="17"/>
                <w:szCs w:val="17"/>
                <w:color w:val="0000FF"/>
              </w:rPr>
              <w:t>47,048,708</w:t>
            </w:r>
          </w:p>
        </w:tc>
        <w:tc>
          <w:tcPr>
            <w:tcW w:w="2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700" w:type="dxa"/>
            <w:vAlign w:val="bottom"/>
            <w:gridSpan w:val="5"/>
            <w:vMerge w:val="continue"/>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(1)(2)(3)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700" w:type="dxa"/>
            <w:vAlign w:val="bottom"/>
            <w:tcBorders>
              <w:top w:val="single" w:sz="8" w:color="2C2C2C"/>
            </w:tcBorders>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60" w:type="dxa"/>
            <w:vAlign w:val="bottom"/>
            <w:tcBorders>
              <w:top w:val="single" w:sz="8" w:color="2C2C2C"/>
            </w:tcBorders>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rPr>
              <w:t>11/17/2022</w:t>
            </w: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vMerge w:val="restart"/>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40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vMerge w:val="restart"/>
          </w:tcPr>
          <w:p>
            <w:pPr>
              <w:ind w:left="80"/>
              <w:spacing w:after="0"/>
              <w:rPr>
                <w:sz w:val="20"/>
                <w:szCs w:val="20"/>
                <w:color w:val="auto"/>
              </w:rPr>
            </w:pPr>
            <w:r>
              <w:rPr>
                <w:rFonts w:ascii="Times New Roman" w:cs="Times New Roman" w:eastAsia="Times New Roman" w:hAnsi="Times New Roman"/>
                <w:sz w:val="17"/>
                <w:szCs w:val="17"/>
                <w:color w:val="0000FF"/>
              </w:rPr>
              <w:t>2,717,898</w:t>
            </w:r>
          </w:p>
        </w:tc>
        <w:tc>
          <w:tcPr>
            <w:tcW w:w="320" w:type="dxa"/>
            <w:vAlign w:val="bottom"/>
            <w:tcBorders>
              <w:top w:val="single" w:sz="8" w:color="2C2C2C"/>
            </w:tcBorders>
            <w:vMerge w:val="restart"/>
          </w:tcPr>
          <w:p>
            <w:pPr>
              <w:ind w:left="180"/>
              <w:spacing w:after="0"/>
              <w:rPr>
                <w:sz w:val="20"/>
                <w:szCs w:val="20"/>
                <w:color w:val="auto"/>
              </w:rPr>
            </w:pPr>
            <w:r>
              <w:rPr>
                <w:rFonts w:ascii="Times New Roman" w:cs="Times New Roman" w:eastAsia="Times New Roman" w:hAnsi="Times New Roman"/>
                <w:sz w:val="17"/>
                <w:szCs w:val="17"/>
                <w:color w:val="0000FF"/>
                <w:w w:val="97"/>
              </w:rPr>
              <w:t>A</w:t>
            </w:r>
          </w:p>
        </w:tc>
        <w:tc>
          <w:tcPr>
            <w:tcW w:w="860" w:type="dxa"/>
            <w:vAlign w:val="bottom"/>
            <w:tcBorders>
              <w:top w:val="single" w:sz="8" w:color="2C2C2C"/>
            </w:tcBorders>
            <w:vMerge w:val="restart"/>
          </w:tcPr>
          <w:p>
            <w:pPr>
              <w:ind w:left="2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0.5603</w:t>
            </w:r>
          </w:p>
        </w:tc>
        <w:tc>
          <w:tcPr>
            <w:tcW w:w="40" w:type="dxa"/>
            <w:vAlign w:val="bottom"/>
            <w:tcBorders>
              <w:top w:val="single" w:sz="8" w:color="2C2C2C"/>
            </w:tcBorders>
          </w:tcPr>
          <w:p>
            <w:pPr>
              <w:spacing w:after="0"/>
              <w:rPr>
                <w:sz w:val="21"/>
                <w:szCs w:val="21"/>
                <w:color w:val="auto"/>
              </w:rPr>
            </w:pPr>
          </w:p>
        </w:tc>
        <w:tc>
          <w:tcPr>
            <w:tcW w:w="1480" w:type="dxa"/>
            <w:vAlign w:val="bottom"/>
            <w:tcBorders>
              <w:top w:val="single" w:sz="8" w:color="2C2C2C"/>
            </w:tcBorders>
            <w:gridSpan w:val="3"/>
            <w:vMerge w:val="restart"/>
          </w:tcPr>
          <w:p>
            <w:pPr>
              <w:ind w:left="120"/>
              <w:spacing w:after="0"/>
              <w:rPr>
                <w:sz w:val="20"/>
                <w:szCs w:val="20"/>
                <w:color w:val="auto"/>
              </w:rPr>
            </w:pPr>
            <w:r>
              <w:rPr>
                <w:rFonts w:ascii="Times New Roman" w:cs="Times New Roman" w:eastAsia="Times New Roman" w:hAnsi="Times New Roman"/>
                <w:sz w:val="17"/>
                <w:szCs w:val="17"/>
                <w:color w:val="0000FF"/>
              </w:rPr>
              <w:t>49,766,606</w:t>
            </w:r>
          </w:p>
        </w:tc>
        <w:tc>
          <w:tcPr>
            <w:tcW w:w="2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700" w:type="dxa"/>
            <w:vAlign w:val="bottom"/>
            <w:gridSpan w:val="5"/>
            <w:vMerge w:val="continue"/>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4"/>
            <w:vMerge w:val="restart"/>
          </w:tcPr>
          <w:p>
            <w:pPr>
              <w:ind w:left="40"/>
              <w:spacing w:after="0" w:line="281" w:lineRule="exact"/>
              <w:rPr>
                <w:sz w:val="20"/>
                <w:szCs w:val="20"/>
                <w:color w:val="auto"/>
              </w:rPr>
            </w:pPr>
            <w:r>
              <w:rPr>
                <w:rFonts w:ascii="Times New Roman" w:cs="Times New Roman" w:eastAsia="Times New Roman" w:hAnsi="Times New Roman"/>
                <w:sz w:val="32"/>
                <w:szCs w:val="32"/>
                <w:color w:val="0000FF"/>
                <w:vertAlign w:val="subscript"/>
              </w:rPr>
              <w:t>footnotes</w:t>
            </w:r>
            <w:r>
              <w:rPr>
                <w:rFonts w:ascii="Times New Roman" w:cs="Times New Roman" w:eastAsia="Times New Roman" w:hAnsi="Times New Roman"/>
                <w:sz w:val="11"/>
                <w:szCs w:val="11"/>
                <w:color w:val="008000"/>
              </w:rPr>
              <w:t>(1)(2)(3)</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86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126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20" w:type="dxa"/>
            <w:vAlign w:val="bottom"/>
            <w:gridSpan w:val="18"/>
          </w:tcPr>
          <w:p>
            <w:pPr>
              <w:jc w:val="center"/>
              <w:ind w:right="4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760" w:type="dxa"/>
            <w:vAlign w:val="bottom"/>
            <w:gridSpan w:val="15"/>
          </w:tcPr>
          <w:p>
            <w:pPr>
              <w:jc w:val="center"/>
              <w:ind w:right="4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2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gridSpan w:val="2"/>
          </w:tcPr>
          <w:p>
            <w:pPr>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4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2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2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32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4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2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2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 or</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and 5)</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gridSpan w:val="2"/>
          </w:tcPr>
          <w:p>
            <w:pPr>
              <w:ind w:left="4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Expiration</w:t>
            </w:r>
          </w:p>
        </w:tc>
        <w:tc>
          <w:tcPr>
            <w:tcW w:w="9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12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32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  Shares</w:t>
            </w: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160" w:type="dxa"/>
            <w:vAlign w:val="bottom"/>
            <w:tcBorders>
              <w:bottom w:val="single" w:sz="8" w:color="2C2C2C"/>
            </w:tcBorders>
            <w:gridSpan w:val="3"/>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70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80" w:type="dxa"/>
            <w:vAlign w:val="bottom"/>
            <w:tcBorders>
              <w:top w:val="single" w:sz="8" w:color="2C2C2C"/>
            </w:tcBorders>
          </w:tcPr>
          <w:p>
            <w:pPr>
              <w:spacing w:after="0"/>
              <w:rPr>
                <w:sz w:val="20"/>
                <w:szCs w:val="20"/>
                <w:color w:val="auto"/>
              </w:rPr>
            </w:pPr>
          </w:p>
        </w:tc>
        <w:tc>
          <w:tcPr>
            <w:tcW w:w="88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gridSpan w:val="4"/>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CCP III Cayman GP Ltd.</w:t>
              </w:r>
            </w:hyperlink>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8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375 PARK AVENUE, 11TH FLOOR</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0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0000FF"/>
              </w:rPr>
              <w:t>10152</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8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160" w:type="dxa"/>
            <w:vAlign w:val="bottom"/>
            <w:tcBorders>
              <w:bottom w:val="single" w:sz="8" w:color="2C2C2C"/>
            </w:tcBorders>
            <w:gridSpan w:val="3"/>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840" w:type="dxa"/>
            <w:vAlign w:val="bottom"/>
          </w:tcPr>
          <w:p>
            <w:pPr>
              <w:spacing w:after="0"/>
              <w:rPr>
                <w:sz w:val="7"/>
                <w:szCs w:val="7"/>
                <w:color w:val="auto"/>
              </w:rPr>
            </w:pPr>
          </w:p>
        </w:tc>
        <w:tc>
          <w:tcPr>
            <w:tcW w:w="32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70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Centerbridge Associates III, L.P.</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8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375 PARK AVENUE, 11TH FLOOR</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0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0000FF"/>
              </w:rPr>
              <w:t>10152</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8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-5048250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19" w:right="359" w:bottom="0" w:gutter="0" w:footer="0" w:header="0"/>
          <w:type w:val="continuous"/>
        </w:sectPr>
      </w:pPr>
    </w:p>
    <w:p>
      <w:pPr>
        <w:ind w:left="120"/>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CCP III AIV VII Holdings, L.P.</w:t>
        </w:r>
      </w:hyperlink>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line="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tcPr>
          <w:p>
            <w:pPr>
              <w:ind w:left="220"/>
              <w:spacing w:after="0"/>
              <w:rPr>
                <w:sz w:val="20"/>
                <w:szCs w:val="20"/>
                <w:color w:val="auto"/>
              </w:rPr>
            </w:pPr>
            <w:r>
              <w:rPr>
                <w:rFonts w:ascii="Arial" w:cs="Arial" w:eastAsia="Arial" w:hAnsi="Arial"/>
                <w:sz w:val="13"/>
                <w:szCs w:val="13"/>
                <w:color w:val="auto"/>
              </w:rPr>
              <w:t>(First)</w:t>
            </w:r>
          </w:p>
        </w:tc>
        <w:tc>
          <w:tcPr>
            <w:tcW w:w="1460" w:type="dxa"/>
            <w:vAlign w:val="bottom"/>
          </w:tcPr>
          <w:p>
            <w:pPr>
              <w:ind w:left="1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375 PARK AVENUE, 11TH FLOOR</w:t>
            </w:r>
          </w:p>
        </w:tc>
        <w:tc>
          <w:tcPr>
            <w:tcW w:w="146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52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10152</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220"/>
              <w:spacing w:after="0"/>
              <w:rPr>
                <w:sz w:val="20"/>
                <w:szCs w:val="20"/>
                <w:color w:val="auto"/>
              </w:rPr>
            </w:pPr>
            <w:r>
              <w:rPr>
                <w:rFonts w:ascii="Arial" w:cs="Arial" w:eastAsia="Arial" w:hAnsi="Arial"/>
                <w:sz w:val="13"/>
                <w:szCs w:val="13"/>
                <w:color w:val="auto"/>
              </w:rPr>
              <w:t>(State)</w:t>
            </w:r>
          </w:p>
        </w:tc>
        <w:tc>
          <w:tcPr>
            <w:tcW w:w="1460" w:type="dxa"/>
            <w:vAlign w:val="bottom"/>
          </w:tcPr>
          <w:p>
            <w:pPr>
              <w:ind w:left="1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CB Blizzard Co-Invest Holdings,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tcPr>
          <w:p>
            <w:pPr>
              <w:ind w:left="220"/>
              <w:spacing w:after="0"/>
              <w:rPr>
                <w:sz w:val="20"/>
                <w:szCs w:val="20"/>
                <w:color w:val="auto"/>
              </w:rPr>
            </w:pPr>
            <w:r>
              <w:rPr>
                <w:rFonts w:ascii="Arial" w:cs="Arial" w:eastAsia="Arial" w:hAnsi="Arial"/>
                <w:sz w:val="13"/>
                <w:szCs w:val="13"/>
                <w:color w:val="auto"/>
              </w:rPr>
              <w:t>(First)</w:t>
            </w:r>
          </w:p>
        </w:tc>
        <w:tc>
          <w:tcPr>
            <w:tcW w:w="1460" w:type="dxa"/>
            <w:vAlign w:val="bottom"/>
          </w:tcPr>
          <w:p>
            <w:pPr>
              <w:ind w:left="1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375 PARK AVENUE, 11TH FLOOR</w:t>
            </w:r>
          </w:p>
        </w:tc>
        <w:tc>
          <w:tcPr>
            <w:tcW w:w="146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52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10152</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220"/>
              <w:spacing w:after="0"/>
              <w:rPr>
                <w:sz w:val="20"/>
                <w:szCs w:val="20"/>
                <w:color w:val="auto"/>
              </w:rPr>
            </w:pPr>
            <w:r>
              <w:rPr>
                <w:rFonts w:ascii="Arial" w:cs="Arial" w:eastAsia="Arial" w:hAnsi="Arial"/>
                <w:sz w:val="13"/>
                <w:szCs w:val="13"/>
                <w:color w:val="auto"/>
              </w:rPr>
              <w:t>(State)</w:t>
            </w:r>
          </w:p>
        </w:tc>
        <w:tc>
          <w:tcPr>
            <w:tcW w:w="1460" w:type="dxa"/>
            <w:vAlign w:val="bottom"/>
          </w:tcPr>
          <w:p>
            <w:pPr>
              <w:ind w:left="1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CB Blizzard Lower Holdings GP A, LLC</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tcPr>
          <w:p>
            <w:pPr>
              <w:ind w:left="220"/>
              <w:spacing w:after="0"/>
              <w:rPr>
                <w:sz w:val="20"/>
                <w:szCs w:val="20"/>
                <w:color w:val="auto"/>
              </w:rPr>
            </w:pPr>
            <w:r>
              <w:rPr>
                <w:rFonts w:ascii="Arial" w:cs="Arial" w:eastAsia="Arial" w:hAnsi="Arial"/>
                <w:sz w:val="13"/>
                <w:szCs w:val="13"/>
                <w:color w:val="auto"/>
              </w:rPr>
              <w:t>(First)</w:t>
            </w:r>
          </w:p>
        </w:tc>
        <w:tc>
          <w:tcPr>
            <w:tcW w:w="1460" w:type="dxa"/>
            <w:vAlign w:val="bottom"/>
          </w:tcPr>
          <w:p>
            <w:pPr>
              <w:ind w:left="1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375 PARK AVENUE, 11TH FLOOR</w:t>
            </w:r>
          </w:p>
        </w:tc>
        <w:tc>
          <w:tcPr>
            <w:tcW w:w="146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52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10152</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220"/>
              <w:spacing w:after="0"/>
              <w:rPr>
                <w:sz w:val="20"/>
                <w:szCs w:val="20"/>
                <w:color w:val="auto"/>
              </w:rPr>
            </w:pPr>
            <w:r>
              <w:rPr>
                <w:rFonts w:ascii="Arial" w:cs="Arial" w:eastAsia="Arial" w:hAnsi="Arial"/>
                <w:sz w:val="13"/>
                <w:szCs w:val="13"/>
                <w:color w:val="auto"/>
              </w:rPr>
              <w:t>(State)</w:t>
            </w:r>
          </w:p>
        </w:tc>
        <w:tc>
          <w:tcPr>
            <w:tcW w:w="1460" w:type="dxa"/>
            <w:vAlign w:val="bottom"/>
          </w:tcPr>
          <w:p>
            <w:pPr>
              <w:ind w:left="1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CB Blizzard Lower Holdings A, L.P.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375 PARK AVENUE, 11TH FLOOR</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10152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260" w:type="dxa"/>
            <w:vAlign w:val="bottom"/>
            <w:tcBorders>
              <w:bottom w:val="single" w:sz="8" w:color="2C2C2C"/>
            </w:tcBorders>
            <w:gridSpan w:val="2"/>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00" w:type="dxa"/>
            <w:vAlign w:val="bottom"/>
            <w:gridSpan w:val="3"/>
          </w:tcPr>
          <w:p>
            <w:pPr>
              <w:spacing w:after="0" w:line="227"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Blizzard Aggregator, LLC</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375 PARK AVENUE, 11TH FLOOR</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10152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2">
        <w:r>
          <w:rPr>
            <w:rFonts w:ascii="Times New Roman" w:cs="Times New Roman" w:eastAsia="Times New Roman" w:hAnsi="Times New Roman"/>
            <w:sz w:val="21"/>
            <w:szCs w:val="21"/>
            <w:u w:val="single" w:color="auto"/>
            <w:color w:val="0000EE"/>
          </w:rPr>
          <w:t>CB Blizzard Lower Holdings GP B, LLC</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tcPr>
          <w:p>
            <w:pPr>
              <w:ind w:left="220"/>
              <w:spacing w:after="0"/>
              <w:rPr>
                <w:sz w:val="20"/>
                <w:szCs w:val="20"/>
                <w:color w:val="auto"/>
              </w:rPr>
            </w:pPr>
            <w:r>
              <w:rPr>
                <w:rFonts w:ascii="Arial" w:cs="Arial" w:eastAsia="Arial" w:hAnsi="Arial"/>
                <w:sz w:val="13"/>
                <w:szCs w:val="13"/>
                <w:color w:val="auto"/>
              </w:rPr>
              <w:t>(First)</w:t>
            </w:r>
          </w:p>
        </w:tc>
        <w:tc>
          <w:tcPr>
            <w:tcW w:w="1460" w:type="dxa"/>
            <w:vAlign w:val="bottom"/>
          </w:tcPr>
          <w:p>
            <w:pPr>
              <w:ind w:left="1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375 PARK AVENUE, 11TH FLOOR</w:t>
            </w:r>
          </w:p>
        </w:tc>
        <w:tc>
          <w:tcPr>
            <w:tcW w:w="146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52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10152</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220"/>
              <w:spacing w:after="0"/>
              <w:rPr>
                <w:sz w:val="20"/>
                <w:szCs w:val="20"/>
                <w:color w:val="auto"/>
              </w:rPr>
            </w:pPr>
            <w:r>
              <w:rPr>
                <w:rFonts w:ascii="Arial" w:cs="Arial" w:eastAsia="Arial" w:hAnsi="Arial"/>
                <w:sz w:val="13"/>
                <w:szCs w:val="13"/>
                <w:color w:val="auto"/>
              </w:rPr>
              <w:t>(State)</w:t>
            </w:r>
          </w:p>
        </w:tc>
        <w:tc>
          <w:tcPr>
            <w:tcW w:w="1460" w:type="dxa"/>
            <w:vAlign w:val="bottom"/>
          </w:tcPr>
          <w:p>
            <w:pPr>
              <w:ind w:left="1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3">
        <w:r>
          <w:rPr>
            <w:rFonts w:ascii="Times New Roman" w:cs="Times New Roman" w:eastAsia="Times New Roman" w:hAnsi="Times New Roman"/>
            <w:sz w:val="21"/>
            <w:szCs w:val="21"/>
            <w:u w:val="single" w:color="auto"/>
            <w:color w:val="0000EE"/>
          </w:rPr>
          <w:t>CB Blizzard Lower Holdings B, L.P.</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375 PARK AVENUE, 11TH FLOOR</w:t>
      </w:r>
    </w:p>
    <w:p>
      <w:pPr>
        <w:sectPr>
          <w:pgSz w:w="11900" w:h="16867" w:orient="portrait"/>
          <w:cols w:equalWidth="0" w:num="1">
            <w:col w:w="9979"/>
          </w:cols>
          <w:pgMar w:left="480" w:top="153" w:right="1440" w:bottom="0" w:gutter="0" w:footer="0" w:header="0"/>
        </w:sectPr>
      </w:pPr>
    </w:p>
    <w:p>
      <w:pPr>
        <w:spacing w:after="0" w:line="353" w:lineRule="exact"/>
        <w:rPr>
          <w:sz w:val="20"/>
          <w:szCs w:val="20"/>
          <w:color w:val="auto"/>
        </w:rPr>
      </w:pPr>
    </w:p>
    <w:p>
      <w:pPr>
        <w:ind w:left="60"/>
        <w:spacing w:after="0"/>
        <w:rPr>
          <w:sz w:val="20"/>
          <w:szCs w:val="20"/>
          <w:color w:val="auto"/>
        </w:rPr>
      </w:pPr>
      <w:r>
        <w:rPr>
          <w:rFonts w:ascii="Arial" w:cs="Arial" w:eastAsia="Arial" w:hAnsi="Arial"/>
          <w:sz w:val="13"/>
          <w:szCs w:val="13"/>
          <w:color w:val="auto"/>
        </w:rPr>
        <w:t>(Street)</w:t>
      </w:r>
    </w:p>
    <w:p>
      <w:pPr>
        <w:sectPr>
          <w:pgSz w:w="11900" w:h="16867" w:orient="portrait"/>
          <w:cols w:equalWidth="0" w:num="1">
            <w:col w:w="9979"/>
          </w:cols>
          <w:pgMar w:left="480" w:top="153" w:right="1440"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26"/>
        </w:trPr>
        <w:tc>
          <w:tcPr>
            <w:tcW w:w="100" w:type="dxa"/>
            <w:vAlign w:val="bottom"/>
          </w:tcPr>
          <w:p>
            <w:pPr>
              <w:spacing w:after="0"/>
              <w:rPr>
                <w:sz w:val="19"/>
                <w:szCs w:val="19"/>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NY</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10152</w:t>
            </w:r>
          </w:p>
        </w:tc>
        <w:tc>
          <w:tcPr>
            <w:tcW w:w="100" w:type="dxa"/>
            <w:vAlign w:val="bottom"/>
          </w:tcPr>
          <w:p>
            <w:pPr>
              <w:spacing w:after="0"/>
              <w:rPr>
                <w:sz w:val="19"/>
                <w:szCs w:val="19"/>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(City)</w:t>
            </w:r>
          </w:p>
        </w:tc>
        <w:tc>
          <w:tcPr>
            <w:tcW w:w="1300" w:type="dxa"/>
            <w:vAlign w:val="bottom"/>
          </w:tcPr>
          <w:p>
            <w:pPr>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320" w:type="dxa"/>
            <w:vAlign w:val="bottom"/>
            <w:tcBorders>
              <w:bottom w:val="single" w:sz="8" w:color="2C2C2C"/>
            </w:tcBorders>
            <w:gridSpan w:val="2"/>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1400" w:type="dxa"/>
            <w:vAlign w:val="bottom"/>
            <w:gridSpan w:val="2"/>
          </w:tcPr>
          <w:p>
            <w:pPr>
              <w:spacing w:after="0" w:line="227" w:lineRule="exact"/>
              <w:rPr>
                <w:rFonts w:ascii="Times New Roman" w:cs="Times New Roman" w:eastAsia="Times New Roman" w:hAnsi="Times New Roman"/>
                <w:sz w:val="21"/>
                <w:szCs w:val="21"/>
                <w:color w:val="0000EE"/>
              </w:rPr>
            </w:pPr>
            <w:hyperlink r:id="rId24">
              <w:r>
                <w:rPr>
                  <w:rFonts w:ascii="Times New Roman" w:cs="Times New Roman" w:eastAsia="Times New Roman" w:hAnsi="Times New Roman"/>
                  <w:sz w:val="21"/>
                  <w:szCs w:val="21"/>
                  <w:color w:val="0000EE"/>
                </w:rPr>
                <w:t>Aronson Jeffrey</w:t>
              </w:r>
            </w:hyperlink>
          </w:p>
        </w:tc>
        <w:tc>
          <w:tcPr>
            <w:tcW w:w="13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(Last)</w:t>
            </w:r>
          </w:p>
        </w:tc>
        <w:tc>
          <w:tcPr>
            <w:tcW w:w="1300" w:type="dxa"/>
            <w:vAlign w:val="bottom"/>
          </w:tcPr>
          <w:p>
            <w:pPr>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375 PARK AVENUE, 11TH FLOOR</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5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NY</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10152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(City)</w:t>
            </w:r>
          </w:p>
        </w:tc>
        <w:tc>
          <w:tcPr>
            <w:tcW w:w="1300" w:type="dxa"/>
            <w:vAlign w:val="bottom"/>
          </w:tcPr>
          <w:p>
            <w:pPr>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-2090420</wp:posOffset>
            </wp:positionV>
            <wp:extent cx="2809240" cy="21704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extLst>
                    </a:blip>
                    <a:srcRect/>
                    <a:stretch>
                      <a:fillRect/>
                    </a:stretch>
                  </pic:blipFill>
                  <pic:spPr bwMode="auto">
                    <a:xfrm>
                      <a:off x="0" y="0"/>
                      <a:ext cx="2809240" cy="2170430"/>
                    </a:xfrm>
                    <a:prstGeom prst="rect">
                      <a:avLst/>
                    </a:prstGeom>
                    <a:noFill/>
                  </pic:spPr>
                </pic:pic>
              </a:graphicData>
            </a:graphic>
          </wp:anchor>
        </w:drawing>
      </w:r>
    </w:p>
    <w:p>
      <w:pPr>
        <w:spacing w:after="0" w:line="11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4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Following the transactions reported herein, includes (i) 40,682,961 shares of Class A Common Stock held of record by CB Blizzard Lower Holdings A, L.P. ("CB Blizzard A") and (ii) 9,083,645 shares of Class A Common Stock held of record by CB Blizzard Holdings C, L.P. ("CB Blizzard C").</w:t>
      </w:r>
    </w:p>
    <w:p>
      <w:pPr>
        <w:spacing w:after="0" w:line="7" w:lineRule="exact"/>
        <w:rPr>
          <w:rFonts w:ascii="Times New Roman" w:cs="Times New Roman" w:eastAsia="Times New Roman" w:hAnsi="Times New Roman"/>
          <w:sz w:val="13"/>
          <w:szCs w:val="13"/>
          <w:color w:val="008000"/>
        </w:rPr>
      </w:pPr>
    </w:p>
    <w:p>
      <w:pPr>
        <w:ind w:left="20" w:firstLine="7"/>
        <w:spacing w:after="0" w:line="244"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CCP III Cayman GP Ltd. ("CCP GP") is the general partner of CB Blizzard C and may be deemed to share beneficial ownership of the securities held of record by CB Blizzard C. CCP GP is also the general partner of Centerbridge Associates III, L.P., which is the general partner of each of CCP III AIV VII Holdings, L.P. and CB Blizzard Co-Invest Holdings, L.P., which are the owners of CB Blizzard Lower Holdings GP A, LLC, which is the general partner of CB Blizzard A. As a result, each of the foregoing entities may be deemed to share beneficial ownership of the securities held of record by CB Blizzard A. CCP GP is also the sole manager of Blizzard Aggregator, LLC, which is the owner of CB Blizzard Lower Holdings GP B, LLC, which is the general partner of CB Blizzard Lower Holdings B, L.P. ("CB Blizzard B"). As a result, each of the foregoing entities may be deemed to share beneficial ownership of the securities held of record by CB Blizzard B.</w:t>
      </w:r>
    </w:p>
    <w:p>
      <w:pPr>
        <w:spacing w:after="0" w:line="26" w:lineRule="exact"/>
        <w:rPr>
          <w:rFonts w:ascii="Times New Roman" w:cs="Times New Roman" w:eastAsia="Times New Roman" w:hAnsi="Times New Roman"/>
          <w:sz w:val="13"/>
          <w:szCs w:val="13"/>
          <w:color w:val="008000"/>
        </w:rPr>
      </w:pPr>
    </w:p>
    <w:p>
      <w:pPr>
        <w:ind w:left="20" w:right="140" w:firstLine="7"/>
        <w:spacing w:after="0" w:line="247"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Jeffrey H. Aronson is the sole director of CCP GP and, as a result, may be deemed to share beneficial ownership of the securities held of record by each of CB Blizzard A, CB Blizzard C and CB Blizzard B. However, none of the foregoing should be construed in and of itself as an admission by Mr. Aronson or by any Reporting Person as to beneficial ownership of securities owned by another Reporting Person. In addition, Mr. Aronson expressly disclaims beneficial ownership of the securities held of record by each of CB Blizzard A, CB Blizzard C and CB Blizzard B, except to the extent of any proportionate pecuniary interest therein.</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0920"/>
          </w:cols>
          <w:pgMar w:left="480" w:top="125" w:right="499" w:bottom="0" w:gutter="0" w:footer="0" w:header="0"/>
        </w:sectPr>
      </w:pPr>
    </w:p>
    <w:p>
      <w:pPr>
        <w:spacing w:after="0" w:line="1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CCP III CAYMAN GP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782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extLst>
                    </a:blip>
                    <a:srcRect/>
                    <a:stretch>
                      <a:fillRect/>
                    </a:stretch>
                  </pic:blipFill>
                  <pic:spPr bwMode="auto">
                    <a:xfrm>
                      <a:off x="0" y="0"/>
                      <a:ext cx="127825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By: /s/ Susanne V.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042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110426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9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CENTERBRIDGE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369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83693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ASSOCIATES III,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312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CCP III CAYMAN GP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55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13055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its 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347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11347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Susanne V. Clark,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87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279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CCP III AIV 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7486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74866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HOLDINGS,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020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10020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CENTERBRIDGE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83693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8369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ASSOCIATES III,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766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117665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general partner, By: CCP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46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124460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CAYMAN GP LTD.,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648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10648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033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Susanne V. Clark,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87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279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CB BLIZZARD CO-INVEST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258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HOLDINGS,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0203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10020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CENTERBRIDGE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83693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8369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ASSOCIATES III,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766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117665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general partner, By: CCP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46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124460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CAYMAN GP LTD.,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6489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10648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033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Susanne V. Clark,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87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279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CB BLIZZARD LOWER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3665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113665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HOLDINGS GP A,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8651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12865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 Susanne V.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1757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91757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9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CB BLIZZARD LOWER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3665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113665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HOLDINGS A, L.P., By: CB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833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BLIZZARD LOWER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20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9620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HOLDINGS GP A,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592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12592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8044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9804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Susanne V. Clark,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87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279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BLIZZARD AGGREGATOR,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423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LLC, By: CCP III CAYMAN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04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13004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GP LTD., its sole manager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557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13557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 Susanne V.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1757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91757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9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CB BLIZZARD LOWER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3665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113665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HOLDINGS GP B,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801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12801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 Susanne V.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1757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91757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9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11/17/2022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11/17/2022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11/17/2022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11/17/2022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11/17/2022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11/17/2022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11/17/2022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11/17/2022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382" w:lineRule="exact"/>
        <w:rPr>
          <w:sz w:val="20"/>
          <w:szCs w:val="20"/>
          <w:color w:val="auto"/>
        </w:rPr>
      </w:pPr>
    </w:p>
    <w:p>
      <w:pPr>
        <w:sectPr>
          <w:pgSz w:w="11900" w:h="16838" w:orient="portrait"/>
          <w:cols w:equalWidth="0" w:num="2">
            <w:col w:w="8700" w:space="60"/>
            <w:col w:w="2160"/>
          </w:cols>
          <w:pgMar w:left="480" w:top="125" w:right="499" w:bottom="0" w:gutter="0" w:footer="0" w:header="0"/>
          <w:type w:val="continuous"/>
        </w:sectPr>
      </w:pPr>
    </w:p>
    <w:tbl>
      <w:tblPr>
        <w:tblLayout w:type="fixed"/>
        <w:tblInd w:w="6560" w:type="dxa"/>
        <w:tblCellMar>
          <w:top w:w="0" w:type="dxa"/>
          <w:left w:w="0" w:type="dxa"/>
          <w:bottom w:w="0" w:type="dxa"/>
          <w:right w:w="0" w:type="dxa"/>
        </w:tblCellMar>
      </w:tblPr>
      <w:tr>
        <w:trPr>
          <w:trHeight w:val="195"/>
        </w:trPr>
        <w:tc>
          <w:tcPr>
            <w:tcW w:w="1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CB BLIZZARD LOWER</w:t>
            </w:r>
          </w:p>
        </w:tc>
        <w:tc>
          <w:tcPr>
            <w:tcW w:w="40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0000FF"/>
              </w:rPr>
              <w:t>11/17/2022</w:t>
            </w:r>
          </w:p>
        </w:tc>
      </w:tr>
    </w:tbl>
    <w:p>
      <w:pPr>
        <w:sectPr>
          <w:pgSz w:w="11900" w:h="16838" w:orient="portrait"/>
          <w:cols w:equalWidth="0" w:num="1">
            <w:col w:w="10920"/>
          </w:cols>
          <w:pgMar w:left="480" w:top="125" w:right="499" w:bottom="0" w:gutter="0" w:footer="0" w:header="0"/>
          <w:type w:val="continuous"/>
        </w:sectPr>
      </w:pPr>
    </w:p>
    <w:bookmarkStart w:id="3" w:name="page4"/>
    <w:bookmarkEnd w:id="3"/>
    <w:p>
      <w:pPr>
        <w:ind w:left="6540"/>
        <w:spacing w:after="0"/>
        <w:rPr>
          <w:sz w:val="20"/>
          <w:szCs w:val="20"/>
          <w:color w:val="auto"/>
        </w:rPr>
      </w:pPr>
      <w:r>
        <w:rPr>
          <w:rFonts w:ascii="Times New Roman" w:cs="Times New Roman" w:eastAsia="Times New Roman" w:hAnsi="Times New Roman"/>
          <w:sz w:val="17"/>
          <w:szCs w:val="17"/>
          <w:color w:val="0000FF"/>
        </w:rPr>
        <w:t>HOLDINGS B, L.P., By: CB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7698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BLIZZARD LOWER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620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9620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HOLDINGS GP B,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285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12528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8044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9804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Susanne V. Clark,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87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JEFFREY H. ARONSON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3223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Jeffrey H. Aronson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53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975360"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11/17/2022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40" w:space="100"/>
            <w:col w:w="1440"/>
          </w:cols>
          <w:pgMar w:left="500" w:top="125" w:right="1219"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5"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12" Type="http://schemas.openxmlformats.org/officeDocument/2006/relationships/hyperlink" Target="http://www.sec.gov/cgi-bin/browse-edgar?action=getcompany&amp;CIK=0001667801" TargetMode="External"/><Relationship Id="rId13" Type="http://schemas.openxmlformats.org/officeDocument/2006/relationships/hyperlink" Target="http://www.sec.gov/cgi-bin/browse-edgar?action=getcompany&amp;CIK=0001808220" TargetMode="External"/><Relationship Id="rId14" Type="http://schemas.openxmlformats.org/officeDocument/2006/relationships/hyperlink" Target="http://www.sec.gov/cgi-bin/browse-edgar?action=getcompany&amp;CIK=0001818016" TargetMode="External"/><Relationship Id="rId16" Type="http://schemas.openxmlformats.org/officeDocument/2006/relationships/hyperlink" Target="http://www.sec.gov/cgi-bin/browse-edgar?action=getcompany&amp;CIK=0001818077" TargetMode="External"/><Relationship Id="rId18" Type="http://schemas.openxmlformats.org/officeDocument/2006/relationships/hyperlink" Target="http://www.sec.gov/cgi-bin/browse-edgar?action=getcompany&amp;CIK=0001785522" TargetMode="External"/><Relationship Id="rId19" Type="http://schemas.openxmlformats.org/officeDocument/2006/relationships/hyperlink" Target="http://www.sec.gov/cgi-bin/browse-edgar?action=getcompany&amp;CIK=0001852144" TargetMode="External"/><Relationship Id="rId20" Type="http://schemas.openxmlformats.org/officeDocument/2006/relationships/hyperlink" Target="http://www.sec.gov/cgi-bin/browse-edgar?action=getcompany&amp;CIK=0001852252" TargetMode="External"/><Relationship Id="rId21" Type="http://schemas.openxmlformats.org/officeDocument/2006/relationships/hyperlink" Target="http://www.sec.gov/cgi-bin/browse-edgar?action=getcompany&amp;CIK=0001818020" TargetMode="External"/><Relationship Id="rId22" Type="http://schemas.openxmlformats.org/officeDocument/2006/relationships/hyperlink" Target="http://www.sec.gov/cgi-bin/browse-edgar?action=getcompany&amp;CIK=0001852159" TargetMode="External"/><Relationship Id="rId23" Type="http://schemas.openxmlformats.org/officeDocument/2006/relationships/hyperlink" Target="http://www.sec.gov/cgi-bin/browse-edgar?action=getcompany&amp;CIK=0001852127" TargetMode="External"/><Relationship Id="rId24" Type="http://schemas.openxmlformats.org/officeDocument/2006/relationships/hyperlink" Target="http://www.sec.gov/cgi-bin/browse-edgar?action=getcompany&amp;CIK=000142580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2022-11-17T20:07:24Z</dcterms:created>
  <dcterms:modified xsi:type="dcterms:W3CDTF">2022-11-17T20:07:24Z</dcterms:modified>
</cp:coreProperties>
</file>