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GoHealth,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Class A Common Stock, par value $0.0001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38046W204</w:t>
            </w:r>
          </w:p>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Martine Vanasse</w:t>
              <w:br/>
              <w:t>1250 Rene-Levesque West, Suite 1400</w:t>
              <w:br/>
              <w:t>Montreal, A8, H3B 5E9</w:t>
              <w:br/>
              <w:t>514-937-2772</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08/06/2025</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21" w:type="dxa"/>
        <w:jc w:val="left"/>
        <w:tblInd w:w="0" w:type="dxa"/>
        <w:tblLayout w:type="fixed"/>
        <w:tblCellMar>
          <w:top w:w="28" w:type="dxa"/>
          <w:left w:w="28" w:type="dxa"/>
          <w:bottom w:w="28" w:type="dxa"/>
          <w:right w:w="28" w:type="dxa"/>
        </w:tblCellMar>
      </w:tblPr>
      <w:tblGrid>
        <w:gridCol w:w="1280"/>
        <w:gridCol w:w="3841"/>
      </w:tblGrid>
      <w:tr>
        <w:trPr/>
        <w:tc>
          <w:tcPr>
            <w:tcW w:w="1280" w:type="dxa"/>
            <w:tcBorders/>
            <w:vAlign w:val="center"/>
          </w:tcPr>
          <w:p>
            <w:pPr>
              <w:pStyle w:val="TableContents"/>
              <w:bidi w:val="0"/>
              <w:spacing w:before="0" w:after="283"/>
              <w:jc w:val="left"/>
              <w:rPr>
                <w:b/>
              </w:rPr>
            </w:pPr>
            <w:r>
              <w:rPr>
                <w:b/>
              </w:rPr>
              <w:t>CUSIP No.</w:t>
            </w:r>
          </w:p>
        </w:tc>
        <w:tc>
          <w:tcPr>
            <w:tcW w:w="3841" w:type="dxa"/>
            <w:tcBorders/>
            <w:vAlign w:val="center"/>
          </w:tcPr>
          <w:p>
            <w:pPr>
              <w:pStyle w:val="TableContents"/>
              <w:bidi w:val="0"/>
              <w:spacing w:before="0" w:after="0"/>
              <w:jc w:val="left"/>
              <w:rPr/>
            </w:pPr>
            <w:r>
              <w:rPr/>
              <w:t>38046W204</w:t>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80"/>
        <w:gridCol w:w="7925"/>
      </w:tblGrid>
      <w:tr>
        <w:trPr/>
        <w:tc>
          <w:tcPr>
            <w:tcW w:w="2280" w:type="dxa"/>
            <w:tcBorders/>
            <w:vAlign w:val="center"/>
          </w:tcPr>
          <w:p>
            <w:pPr>
              <w:pStyle w:val="TableContents"/>
              <w:bidi w:val="0"/>
              <w:spacing w:before="0" w:after="283"/>
              <w:jc w:val="left"/>
              <w:rPr/>
            </w:pPr>
            <w:r>
              <w:rPr/>
              <w:t>1</w:t>
            </w:r>
          </w:p>
        </w:tc>
        <w:tc>
          <w:tcPr>
            <w:tcW w:w="792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PUBLIC SECTOR PENSION INVESTMENT BOARD</w:t>
            </w:r>
          </w:p>
        </w:tc>
      </w:tr>
      <w:tr>
        <w:trPr/>
        <w:tc>
          <w:tcPr>
            <w:tcW w:w="2280" w:type="dxa"/>
            <w:tcBorders/>
            <w:vAlign w:val="center"/>
          </w:tcPr>
          <w:p>
            <w:pPr>
              <w:pStyle w:val="TableContents"/>
              <w:bidi w:val="0"/>
              <w:spacing w:before="0" w:after="283"/>
              <w:jc w:val="left"/>
              <w:rPr/>
            </w:pPr>
            <w:r>
              <w:rPr/>
              <w:t>2</w:t>
            </w:r>
          </w:p>
        </w:tc>
        <w:tc>
          <w:tcPr>
            <w:tcW w:w="792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280" w:type="dxa"/>
            <w:tcBorders/>
            <w:vAlign w:val="center"/>
          </w:tcPr>
          <w:p>
            <w:pPr>
              <w:pStyle w:val="TableContents"/>
              <w:bidi w:val="0"/>
              <w:spacing w:before="0" w:after="283"/>
              <w:jc w:val="left"/>
              <w:rPr/>
            </w:pPr>
            <w:r>
              <w:rPr/>
              <w:t>3</w:t>
            </w:r>
          </w:p>
        </w:tc>
        <w:tc>
          <w:tcPr>
            <w:tcW w:w="7925" w:type="dxa"/>
            <w:tcBorders/>
            <w:vAlign w:val="center"/>
          </w:tcPr>
          <w:p>
            <w:pPr>
              <w:pStyle w:val="TableContents"/>
              <w:bidi w:val="0"/>
              <w:spacing w:before="0" w:after="283"/>
              <w:jc w:val="left"/>
              <w:rPr/>
            </w:pPr>
            <w:r>
              <w:rPr/>
              <w:t>SEC use only</w:t>
            </w:r>
          </w:p>
        </w:tc>
      </w:tr>
      <w:tr>
        <w:trPr/>
        <w:tc>
          <w:tcPr>
            <w:tcW w:w="2280" w:type="dxa"/>
            <w:tcBorders/>
            <w:vAlign w:val="center"/>
          </w:tcPr>
          <w:p>
            <w:pPr>
              <w:pStyle w:val="TableContents"/>
              <w:bidi w:val="0"/>
              <w:spacing w:before="0" w:after="283"/>
              <w:jc w:val="left"/>
              <w:rPr/>
            </w:pPr>
            <w:r>
              <w:rPr/>
              <w:t>4</w:t>
            </w:r>
          </w:p>
        </w:tc>
        <w:tc>
          <w:tcPr>
            <w:tcW w:w="792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280" w:type="dxa"/>
            <w:tcBorders/>
            <w:vAlign w:val="center"/>
          </w:tcPr>
          <w:p>
            <w:pPr>
              <w:pStyle w:val="TableContents"/>
              <w:bidi w:val="0"/>
              <w:spacing w:before="0" w:after="283"/>
              <w:jc w:val="left"/>
              <w:rPr/>
            </w:pPr>
            <w:r>
              <w:rPr/>
              <w:t>5</w:t>
            </w:r>
          </w:p>
        </w:tc>
        <w:tc>
          <w:tcPr>
            <w:tcW w:w="792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280" w:type="dxa"/>
            <w:tcBorders/>
            <w:vAlign w:val="center"/>
          </w:tcPr>
          <w:p>
            <w:pPr>
              <w:pStyle w:val="TableContents"/>
              <w:bidi w:val="0"/>
              <w:spacing w:before="0" w:after="283"/>
              <w:jc w:val="left"/>
              <w:rPr/>
            </w:pPr>
            <w:r>
              <w:rPr/>
              <w:t>6</w:t>
            </w:r>
          </w:p>
        </w:tc>
        <w:tc>
          <w:tcPr>
            <w:tcW w:w="792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CANADA (FEDERAL LEVEL) </w:t>
            </w:r>
          </w:p>
        </w:tc>
      </w:tr>
      <w:tr>
        <w:trPr/>
        <w:tc>
          <w:tcPr>
            <w:tcW w:w="228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1,680,526.00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1,680,526.00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25" w:type="dxa"/>
            <w:tcBorders/>
            <w:vAlign w:val="center"/>
          </w:tcPr>
          <w:p>
            <w:pPr>
              <w:pStyle w:val="TableContents"/>
              <w:bidi w:val="0"/>
              <w:spacing w:before="0" w:after="283"/>
              <w:jc w:val="left"/>
              <w:rPr>
                <w:sz w:val="4"/>
                <w:szCs w:val="4"/>
              </w:rPr>
            </w:pPr>
            <w:r>
              <w:rPr>
                <w:sz w:val="4"/>
                <w:szCs w:val="4"/>
              </w:rPr>
            </w:r>
          </w:p>
        </w:tc>
      </w:tr>
      <w:tr>
        <w:trPr/>
        <w:tc>
          <w:tcPr>
            <w:tcW w:w="2280" w:type="dxa"/>
            <w:tcBorders/>
            <w:vAlign w:val="center"/>
          </w:tcPr>
          <w:p>
            <w:pPr>
              <w:pStyle w:val="TableContents"/>
              <w:bidi w:val="0"/>
              <w:spacing w:before="0" w:after="283"/>
              <w:jc w:val="left"/>
              <w:rPr/>
            </w:pPr>
            <w:r>
              <w:rPr/>
              <w:t>11</w:t>
            </w:r>
          </w:p>
        </w:tc>
        <w:tc>
          <w:tcPr>
            <w:tcW w:w="792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1,680,526.00</w:t>
            </w:r>
          </w:p>
        </w:tc>
      </w:tr>
      <w:tr>
        <w:trPr/>
        <w:tc>
          <w:tcPr>
            <w:tcW w:w="2280" w:type="dxa"/>
            <w:tcBorders/>
            <w:vAlign w:val="center"/>
          </w:tcPr>
          <w:p>
            <w:pPr>
              <w:pStyle w:val="TableContents"/>
              <w:bidi w:val="0"/>
              <w:spacing w:before="0" w:after="283"/>
              <w:jc w:val="left"/>
              <w:rPr/>
            </w:pPr>
            <w:r>
              <w:rPr/>
              <w:t>12</w:t>
            </w:r>
          </w:p>
        </w:tc>
        <w:tc>
          <w:tcPr>
            <w:tcW w:w="792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280" w:type="dxa"/>
            <w:tcBorders/>
            <w:vAlign w:val="center"/>
          </w:tcPr>
          <w:p>
            <w:pPr>
              <w:pStyle w:val="TableContents"/>
              <w:bidi w:val="0"/>
              <w:spacing w:before="0" w:after="283"/>
              <w:jc w:val="left"/>
              <w:rPr/>
            </w:pPr>
            <w:r>
              <w:rPr/>
              <w:t>13</w:t>
            </w:r>
          </w:p>
        </w:tc>
        <w:tc>
          <w:tcPr>
            <w:tcW w:w="792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10.5 % </w:t>
            </w:r>
          </w:p>
        </w:tc>
      </w:tr>
      <w:tr>
        <w:trPr/>
        <w:tc>
          <w:tcPr>
            <w:tcW w:w="2280" w:type="dxa"/>
            <w:tcBorders/>
            <w:vAlign w:val="center"/>
          </w:tcPr>
          <w:p>
            <w:pPr>
              <w:pStyle w:val="TableContents"/>
              <w:bidi w:val="0"/>
              <w:spacing w:before="0" w:after="283"/>
              <w:jc w:val="left"/>
              <w:rPr/>
            </w:pPr>
            <w:r>
              <w:rPr/>
              <w:t>14</w:t>
            </w:r>
          </w:p>
        </w:tc>
        <w:tc>
          <w:tcPr>
            <w:tcW w:w="792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 HC</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21" w:type="dxa"/>
        <w:jc w:val="left"/>
        <w:tblInd w:w="0" w:type="dxa"/>
        <w:tblLayout w:type="fixed"/>
        <w:tblCellMar>
          <w:top w:w="28" w:type="dxa"/>
          <w:left w:w="28" w:type="dxa"/>
          <w:bottom w:w="28" w:type="dxa"/>
          <w:right w:w="28" w:type="dxa"/>
        </w:tblCellMar>
      </w:tblPr>
      <w:tblGrid>
        <w:gridCol w:w="1280"/>
        <w:gridCol w:w="3841"/>
      </w:tblGrid>
      <w:tr>
        <w:trPr/>
        <w:tc>
          <w:tcPr>
            <w:tcW w:w="1280" w:type="dxa"/>
            <w:tcBorders/>
            <w:vAlign w:val="center"/>
          </w:tcPr>
          <w:p>
            <w:pPr>
              <w:pStyle w:val="TableContents"/>
              <w:bidi w:val="0"/>
              <w:spacing w:before="0" w:after="283"/>
              <w:jc w:val="left"/>
              <w:rPr>
                <w:b/>
              </w:rPr>
            </w:pPr>
            <w:r>
              <w:rPr>
                <w:b/>
              </w:rPr>
              <w:t>CUSIP No.</w:t>
            </w:r>
          </w:p>
        </w:tc>
        <w:tc>
          <w:tcPr>
            <w:tcW w:w="3841" w:type="dxa"/>
            <w:tcBorders/>
            <w:vAlign w:val="center"/>
          </w:tcPr>
          <w:p>
            <w:pPr>
              <w:pStyle w:val="TableContents"/>
              <w:bidi w:val="0"/>
              <w:spacing w:before="0" w:after="0"/>
              <w:jc w:val="left"/>
              <w:rPr/>
            </w:pPr>
            <w:r>
              <w:rPr/>
              <w:t>38046W204</w:t>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290"/>
        <w:gridCol w:w="7915"/>
      </w:tblGrid>
      <w:tr>
        <w:trPr/>
        <w:tc>
          <w:tcPr>
            <w:tcW w:w="2290" w:type="dxa"/>
            <w:tcBorders/>
            <w:vAlign w:val="center"/>
          </w:tcPr>
          <w:p>
            <w:pPr>
              <w:pStyle w:val="TableContents"/>
              <w:bidi w:val="0"/>
              <w:spacing w:before="0" w:after="283"/>
              <w:jc w:val="left"/>
              <w:rPr/>
            </w:pPr>
            <w:r>
              <w:rPr/>
              <w:t>1</w:t>
            </w:r>
          </w:p>
        </w:tc>
        <w:tc>
          <w:tcPr>
            <w:tcW w:w="791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PSP Investments Credit USA LLC</w:t>
            </w:r>
          </w:p>
        </w:tc>
      </w:tr>
      <w:tr>
        <w:trPr/>
        <w:tc>
          <w:tcPr>
            <w:tcW w:w="2290" w:type="dxa"/>
            <w:tcBorders/>
            <w:vAlign w:val="center"/>
          </w:tcPr>
          <w:p>
            <w:pPr>
              <w:pStyle w:val="TableContents"/>
              <w:bidi w:val="0"/>
              <w:spacing w:before="0" w:after="283"/>
              <w:jc w:val="left"/>
              <w:rPr/>
            </w:pPr>
            <w:r>
              <w:rPr/>
              <w:t>2</w:t>
            </w:r>
          </w:p>
        </w:tc>
        <w:tc>
          <w:tcPr>
            <w:tcW w:w="79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(b) </w:t>
            </w:r>
          </w:p>
        </w:tc>
      </w:tr>
      <w:tr>
        <w:trPr/>
        <w:tc>
          <w:tcPr>
            <w:tcW w:w="2290" w:type="dxa"/>
            <w:tcBorders/>
            <w:vAlign w:val="center"/>
          </w:tcPr>
          <w:p>
            <w:pPr>
              <w:pStyle w:val="TableContents"/>
              <w:bidi w:val="0"/>
              <w:spacing w:before="0" w:after="283"/>
              <w:jc w:val="left"/>
              <w:rPr/>
            </w:pPr>
            <w:r>
              <w:rPr/>
              <w:t>3</w:t>
            </w:r>
          </w:p>
        </w:tc>
        <w:tc>
          <w:tcPr>
            <w:tcW w:w="7915" w:type="dxa"/>
            <w:tcBorders/>
            <w:vAlign w:val="center"/>
          </w:tcPr>
          <w:p>
            <w:pPr>
              <w:pStyle w:val="TableContents"/>
              <w:bidi w:val="0"/>
              <w:spacing w:before="0" w:after="283"/>
              <w:jc w:val="left"/>
              <w:rPr/>
            </w:pPr>
            <w:r>
              <w:rPr/>
              <w:t>SEC use only</w:t>
            </w:r>
          </w:p>
        </w:tc>
      </w:tr>
      <w:tr>
        <w:trPr/>
        <w:tc>
          <w:tcPr>
            <w:tcW w:w="2290" w:type="dxa"/>
            <w:tcBorders/>
            <w:vAlign w:val="center"/>
          </w:tcPr>
          <w:p>
            <w:pPr>
              <w:pStyle w:val="TableContents"/>
              <w:bidi w:val="0"/>
              <w:spacing w:before="0" w:after="283"/>
              <w:jc w:val="left"/>
              <w:rPr/>
            </w:pPr>
            <w:r>
              <w:rPr/>
              <w:t>4</w:t>
            </w:r>
          </w:p>
        </w:tc>
        <w:tc>
          <w:tcPr>
            <w:tcW w:w="791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290" w:type="dxa"/>
            <w:tcBorders/>
            <w:vAlign w:val="center"/>
          </w:tcPr>
          <w:p>
            <w:pPr>
              <w:pStyle w:val="TableContents"/>
              <w:bidi w:val="0"/>
              <w:spacing w:before="0" w:after="283"/>
              <w:jc w:val="left"/>
              <w:rPr/>
            </w:pPr>
            <w:r>
              <w:rPr/>
              <w:t>5</w:t>
            </w:r>
          </w:p>
        </w:tc>
        <w:tc>
          <w:tcPr>
            <w:tcW w:w="791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6</w:t>
            </w:r>
          </w:p>
        </w:tc>
        <w:tc>
          <w:tcPr>
            <w:tcW w:w="79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1,680,444.00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1,680,444.00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283"/>
              <w:jc w:val="left"/>
              <w:rPr/>
            </w:pPr>
            <w:r>
              <w:rPr/>
              <w:t>11</w:t>
            </w:r>
          </w:p>
        </w:tc>
        <w:tc>
          <w:tcPr>
            <w:tcW w:w="79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1,680,444.00</w:t>
            </w:r>
          </w:p>
        </w:tc>
      </w:tr>
      <w:tr>
        <w:trPr/>
        <w:tc>
          <w:tcPr>
            <w:tcW w:w="2290" w:type="dxa"/>
            <w:tcBorders/>
            <w:vAlign w:val="center"/>
          </w:tcPr>
          <w:p>
            <w:pPr>
              <w:pStyle w:val="TableContents"/>
              <w:bidi w:val="0"/>
              <w:spacing w:before="0" w:after="283"/>
              <w:jc w:val="left"/>
              <w:rPr/>
            </w:pPr>
            <w:r>
              <w:rPr/>
              <w:t>12</w:t>
            </w:r>
          </w:p>
        </w:tc>
        <w:tc>
          <w:tcPr>
            <w:tcW w:w="791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13</w:t>
            </w:r>
          </w:p>
        </w:tc>
        <w:tc>
          <w:tcPr>
            <w:tcW w:w="791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10.5 % </w:t>
            </w:r>
          </w:p>
        </w:tc>
      </w:tr>
      <w:tr>
        <w:trPr/>
        <w:tc>
          <w:tcPr>
            <w:tcW w:w="2290" w:type="dxa"/>
            <w:tcBorders/>
            <w:vAlign w:val="center"/>
          </w:tcPr>
          <w:p>
            <w:pPr>
              <w:pStyle w:val="TableContents"/>
              <w:bidi w:val="0"/>
              <w:spacing w:before="0" w:after="283"/>
              <w:jc w:val="left"/>
              <w:rPr/>
            </w:pPr>
            <w:r>
              <w:rPr/>
              <w:t>14</w:t>
            </w:r>
          </w:p>
        </w:tc>
        <w:tc>
          <w:tcPr>
            <w:tcW w:w="79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4" w:name="item1to7"/>
      <w:bookmarkStart w:id="15" w:name="item1to7"/>
      <w:bookmarkEnd w:id="15"/>
    </w:p>
    <w:tbl>
      <w:tblPr>
        <w:tblW w:w="10205" w:type="dxa"/>
        <w:jc w:val="left"/>
        <w:tblInd w:w="0" w:type="dxa"/>
        <w:tblLayout w:type="fixed"/>
        <w:tblCellMar>
          <w:top w:w="28" w:type="dxa"/>
          <w:left w:w="28" w:type="dxa"/>
          <w:bottom w:w="28" w:type="dxa"/>
          <w:right w:w="28" w:type="dxa"/>
        </w:tblCellMar>
      </w:tblPr>
      <w:tblGrid>
        <w:gridCol w:w="1122"/>
        <w:gridCol w:w="9083"/>
      </w:tblGrid>
      <w:tr>
        <w:trPr/>
        <w:tc>
          <w:tcPr>
            <w:tcW w:w="1122" w:type="dxa"/>
            <w:tcBorders/>
            <w:vAlign w:val="center"/>
          </w:tcPr>
          <w:p>
            <w:pPr>
              <w:pStyle w:val="TableContents"/>
              <w:bidi w:val="0"/>
              <w:spacing w:before="0" w:after="283"/>
              <w:jc w:val="left"/>
              <w:rPr/>
            </w:pPr>
            <w:r>
              <w:rPr/>
              <w:t>Item 1.</w:t>
            </w:r>
          </w:p>
        </w:tc>
        <w:tc>
          <w:tcPr>
            <w:tcW w:w="9083" w:type="dxa"/>
            <w:tcBorders/>
            <w:vAlign w:val="center"/>
          </w:tcPr>
          <w:p>
            <w:pPr>
              <w:pStyle w:val="TableContents"/>
              <w:bidi w:val="0"/>
              <w:spacing w:before="0" w:after="283"/>
              <w:jc w:val="left"/>
              <w:rPr/>
            </w:pPr>
            <w:r>
              <w:rPr/>
              <w:t>Security and Issuer</w:t>
            </w:r>
          </w:p>
        </w:tc>
      </w:tr>
      <w:tr>
        <w:trPr/>
        <w:tc>
          <w:tcPr>
            <w:tcW w:w="1122" w:type="dxa"/>
            <w:tcBorders/>
            <w:vAlign w:val="center"/>
          </w:tcPr>
          <w:p>
            <w:pPr>
              <w:pStyle w:val="TableContents"/>
              <w:bidi w:val="0"/>
              <w:spacing w:before="0" w:after="283"/>
              <w:jc w:val="left"/>
              <w:rPr/>
            </w:pPr>
            <w:r>
              <w:rPr/>
              <w:t>(a)</w:t>
            </w:r>
          </w:p>
        </w:tc>
        <w:tc>
          <w:tcPr>
            <w:tcW w:w="9083"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Common Stock, par value $0.0001 per share</w:t>
            </w:r>
          </w:p>
        </w:tc>
      </w:tr>
      <w:tr>
        <w:trPr/>
        <w:tc>
          <w:tcPr>
            <w:tcW w:w="1122" w:type="dxa"/>
            <w:tcBorders/>
            <w:vAlign w:val="center"/>
          </w:tcPr>
          <w:p>
            <w:pPr>
              <w:pStyle w:val="TableContents"/>
              <w:bidi w:val="0"/>
              <w:spacing w:before="0" w:after="283"/>
              <w:jc w:val="left"/>
              <w:rPr/>
            </w:pPr>
            <w:r>
              <w:rPr/>
              <w:t>(b)</w:t>
            </w:r>
          </w:p>
        </w:tc>
        <w:tc>
          <w:tcPr>
            <w:tcW w:w="9083" w:type="dxa"/>
            <w:tcBorders/>
            <w:vAlign w:val="center"/>
          </w:tcPr>
          <w:p>
            <w:pPr>
              <w:pStyle w:val="TableContents"/>
              <w:bidi w:val="0"/>
              <w:jc w:val="left"/>
              <w:rPr/>
            </w:pPr>
            <w:r>
              <w:rPr/>
              <w:t xml:space="preserve">Name of Issuer: </w:t>
            </w:r>
          </w:p>
          <w:p>
            <w:pPr>
              <w:pStyle w:val="TableContents"/>
              <w:bidi w:val="0"/>
              <w:spacing w:before="0" w:after="0"/>
              <w:jc w:val="left"/>
              <w:rPr/>
            </w:pPr>
            <w:r>
              <w:rPr/>
              <w:t>GoHealth, Inc.</w:t>
            </w:r>
          </w:p>
        </w:tc>
      </w:tr>
      <w:tr>
        <w:trPr/>
        <w:tc>
          <w:tcPr>
            <w:tcW w:w="1122" w:type="dxa"/>
            <w:tcBorders/>
            <w:vAlign w:val="center"/>
          </w:tcPr>
          <w:p>
            <w:pPr>
              <w:pStyle w:val="TableContents"/>
              <w:bidi w:val="0"/>
              <w:spacing w:before="0" w:after="283"/>
              <w:jc w:val="left"/>
              <w:rPr/>
            </w:pPr>
            <w:r>
              <w:rPr/>
              <w:t>(c)</w:t>
            </w:r>
          </w:p>
        </w:tc>
        <w:tc>
          <w:tcPr>
            <w:tcW w:w="9083"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222 W MERCHANDISE MART PLAZA, 222 W MERCHANDISE MART PLAZA, CHICAGO, ILLINOIS , 60654.</w:t>
            </w:r>
          </w:p>
        </w:tc>
      </w:tr>
      <w:tr>
        <w:trPr/>
        <w:tc>
          <w:tcPr>
            <w:tcW w:w="1122" w:type="dxa"/>
            <w:tcBorders/>
            <w:vAlign w:val="center"/>
          </w:tcPr>
          <w:p>
            <w:pPr>
              <w:pStyle w:val="TableContents"/>
              <w:bidi w:val="0"/>
              <w:spacing w:before="0" w:after="283"/>
              <w:jc w:val="left"/>
              <w:rPr/>
            </w:pPr>
            <w:r>
              <w:rPr/>
              <w:t>Item 2.</w:t>
            </w:r>
          </w:p>
        </w:tc>
        <w:tc>
          <w:tcPr>
            <w:tcW w:w="9083" w:type="dxa"/>
            <w:tcBorders/>
            <w:vAlign w:val="center"/>
          </w:tcPr>
          <w:p>
            <w:pPr>
              <w:pStyle w:val="TableContents"/>
              <w:bidi w:val="0"/>
              <w:spacing w:before="0" w:after="283"/>
              <w:jc w:val="left"/>
              <w:rPr/>
            </w:pPr>
            <w:r>
              <w:rPr/>
              <w:t>Identity and Background</w:t>
            </w:r>
          </w:p>
        </w:tc>
      </w:tr>
      <w:tr>
        <w:trPr/>
        <w:tc>
          <w:tcPr>
            <w:tcW w:w="1122" w:type="dxa"/>
            <w:tcBorders/>
            <w:vAlign w:val="center"/>
          </w:tcPr>
          <w:p>
            <w:pPr>
              <w:pStyle w:val="TableContents"/>
              <w:bidi w:val="0"/>
              <w:spacing w:before="0" w:after="283"/>
              <w:jc w:val="left"/>
              <w:rPr/>
            </w:pPr>
            <w:r>
              <w:rPr/>
              <w:t>(a)</w:t>
            </w:r>
          </w:p>
        </w:tc>
        <w:tc>
          <w:tcPr>
            <w:tcW w:w="9083" w:type="dxa"/>
            <w:tcBorders/>
            <w:vAlign w:val="center"/>
          </w:tcPr>
          <w:p>
            <w:pPr>
              <w:pStyle w:val="TableContents"/>
              <w:bidi w:val="0"/>
              <w:spacing w:before="0" w:after="0"/>
              <w:jc w:val="left"/>
              <w:rPr/>
            </w:pPr>
            <w:r>
              <w:rPr/>
              <w:t>This Schedule 13D is filed jointly by Public Sector Pension Investment Board ("PSP") and PSP Investments Credit USA LLC ("PSP USA"). PSP USA is a wholly owned subsidiary of PSP. Each of PSP and PSP USA may be referred to herein as a "Reporting Person" and collectively as the "Reporting Persons." An agreement among the Reporting Persons with respect to the filing of this statement is attached hereto as Exhibit 99.1.</w:t>
            </w:r>
          </w:p>
        </w:tc>
      </w:tr>
      <w:tr>
        <w:trPr/>
        <w:tc>
          <w:tcPr>
            <w:tcW w:w="1122" w:type="dxa"/>
            <w:tcBorders/>
            <w:vAlign w:val="center"/>
          </w:tcPr>
          <w:p>
            <w:pPr>
              <w:pStyle w:val="TableContents"/>
              <w:bidi w:val="0"/>
              <w:spacing w:before="0" w:after="283"/>
              <w:jc w:val="left"/>
              <w:rPr/>
            </w:pPr>
            <w:r>
              <w:rPr/>
              <w:t>(b)</w:t>
            </w:r>
          </w:p>
        </w:tc>
        <w:tc>
          <w:tcPr>
            <w:tcW w:w="9083" w:type="dxa"/>
            <w:tcBorders/>
            <w:vAlign w:val="center"/>
          </w:tcPr>
          <w:p>
            <w:pPr>
              <w:pStyle w:val="TableContents"/>
              <w:bidi w:val="0"/>
              <w:spacing w:before="0" w:after="0"/>
              <w:jc w:val="left"/>
              <w:rPr/>
            </w:pPr>
            <w:r>
              <w:rPr/>
              <w:t xml:space="preserve">The address of the principal business and office of the Reporting Persons is 1250 Rene-Levesque Boulevard West, Suite 1400, Montreal, Quebec, Canada H3B 5E9. </w:t>
            </w:r>
          </w:p>
        </w:tc>
      </w:tr>
      <w:tr>
        <w:trPr/>
        <w:tc>
          <w:tcPr>
            <w:tcW w:w="1122" w:type="dxa"/>
            <w:tcBorders/>
            <w:vAlign w:val="center"/>
          </w:tcPr>
          <w:p>
            <w:pPr>
              <w:pStyle w:val="TableContents"/>
              <w:bidi w:val="0"/>
              <w:spacing w:before="0" w:after="283"/>
              <w:jc w:val="left"/>
              <w:rPr/>
            </w:pPr>
            <w:r>
              <w:rPr/>
              <w:t>(c)</w:t>
            </w:r>
          </w:p>
        </w:tc>
        <w:tc>
          <w:tcPr>
            <w:tcW w:w="9083" w:type="dxa"/>
            <w:tcBorders/>
            <w:vAlign w:val="center"/>
          </w:tcPr>
          <w:p>
            <w:pPr>
              <w:pStyle w:val="TableContents"/>
              <w:bidi w:val="0"/>
              <w:spacing w:before="0" w:after="0"/>
              <w:jc w:val="left"/>
              <w:rPr/>
            </w:pPr>
            <w:r>
              <w:rPr/>
              <w:t xml:space="preserve">PSP is one of Canada's largest pension investment managers. Its principal business is to invest funds for the pension plans of the Public Service, the Canadian Armed Forces, the Royal Canadian Mounted Police and the Reserve Force of Canada. The principal business of PSP USA is to make investments, as a wholly-owned subsidiary of PSP. As of August 13, 2025, the name, business address, present principal occupation or employment, and citizenship of each director and executive officer of PSP (collectively, the "Scheduled Persons," and each a "Scheduled Person"), are set forth on Exhibit 99.2 attached hereto and incorporated herein by reference. </w:t>
            </w:r>
          </w:p>
        </w:tc>
      </w:tr>
      <w:tr>
        <w:trPr/>
        <w:tc>
          <w:tcPr>
            <w:tcW w:w="1122" w:type="dxa"/>
            <w:tcBorders/>
            <w:vAlign w:val="center"/>
          </w:tcPr>
          <w:p>
            <w:pPr>
              <w:pStyle w:val="TableContents"/>
              <w:bidi w:val="0"/>
              <w:spacing w:before="0" w:after="283"/>
              <w:jc w:val="left"/>
              <w:rPr/>
            </w:pPr>
            <w:r>
              <w:rPr/>
              <w:t>(d)</w:t>
            </w:r>
          </w:p>
        </w:tc>
        <w:tc>
          <w:tcPr>
            <w:tcW w:w="9083" w:type="dxa"/>
            <w:tcBorders/>
            <w:vAlign w:val="center"/>
          </w:tcPr>
          <w:p>
            <w:pPr>
              <w:pStyle w:val="TableContents"/>
              <w:bidi w:val="0"/>
              <w:spacing w:before="0" w:after="0"/>
              <w:jc w:val="left"/>
              <w:rPr/>
            </w:pPr>
            <w:r>
              <w:rPr/>
              <w:t>During the last five years, none of the Reporting Persons, nor, to the Reporting Persons' knowledge, any of the Scheduled Persons, has been convicted of any criminal proceeding (excluding traffic violations or similar misdemeanors).</w:t>
            </w:r>
          </w:p>
        </w:tc>
      </w:tr>
      <w:tr>
        <w:trPr/>
        <w:tc>
          <w:tcPr>
            <w:tcW w:w="1122" w:type="dxa"/>
            <w:tcBorders/>
            <w:vAlign w:val="center"/>
          </w:tcPr>
          <w:p>
            <w:pPr>
              <w:pStyle w:val="TableContents"/>
              <w:bidi w:val="0"/>
              <w:spacing w:before="0" w:after="283"/>
              <w:jc w:val="left"/>
              <w:rPr/>
            </w:pPr>
            <w:r>
              <w:rPr/>
              <w:t>(e)</w:t>
            </w:r>
          </w:p>
        </w:tc>
        <w:tc>
          <w:tcPr>
            <w:tcW w:w="9083" w:type="dxa"/>
            <w:tcBorders/>
            <w:vAlign w:val="center"/>
          </w:tcPr>
          <w:p>
            <w:pPr>
              <w:pStyle w:val="TableContents"/>
              <w:bidi w:val="0"/>
              <w:spacing w:before="0" w:after="0"/>
              <w:jc w:val="left"/>
              <w:rPr/>
            </w:pPr>
            <w:r>
              <w:rPr/>
              <w:t>During the last five years, none of the Reporting Persons, nor, to the Reporting Persons' knowledge, any of the Scheduled Persons, has been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tc>
      </w:tr>
      <w:tr>
        <w:trPr/>
        <w:tc>
          <w:tcPr>
            <w:tcW w:w="1122" w:type="dxa"/>
            <w:tcBorders/>
            <w:vAlign w:val="center"/>
          </w:tcPr>
          <w:p>
            <w:pPr>
              <w:pStyle w:val="TableContents"/>
              <w:bidi w:val="0"/>
              <w:spacing w:before="0" w:after="283"/>
              <w:jc w:val="left"/>
              <w:rPr/>
            </w:pPr>
            <w:r>
              <w:rPr/>
              <w:t>(f)</w:t>
            </w:r>
          </w:p>
        </w:tc>
        <w:tc>
          <w:tcPr>
            <w:tcW w:w="9083" w:type="dxa"/>
            <w:tcBorders/>
            <w:vAlign w:val="center"/>
          </w:tcPr>
          <w:p>
            <w:pPr>
              <w:pStyle w:val="TableContents"/>
              <w:bidi w:val="0"/>
              <w:spacing w:before="0" w:after="0"/>
              <w:jc w:val="left"/>
              <w:rPr/>
            </w:pPr>
            <w:r>
              <w:rPr/>
              <w:t>PSP is a Canadian Crown corporation established under the Public Sector Pension Investment Board Act. PSP USA is a Delaware limited liability company.</w:t>
            </w:r>
          </w:p>
        </w:tc>
      </w:tr>
      <w:tr>
        <w:trPr/>
        <w:tc>
          <w:tcPr>
            <w:tcW w:w="1122" w:type="dxa"/>
            <w:tcBorders/>
            <w:vAlign w:val="center"/>
          </w:tcPr>
          <w:p>
            <w:pPr>
              <w:pStyle w:val="TableContents"/>
              <w:bidi w:val="0"/>
              <w:spacing w:before="0" w:after="283"/>
              <w:jc w:val="left"/>
              <w:rPr/>
            </w:pPr>
            <w:r>
              <w:rPr/>
              <w:t>Item 3.</w:t>
            </w:r>
          </w:p>
        </w:tc>
        <w:tc>
          <w:tcPr>
            <w:tcW w:w="9083" w:type="dxa"/>
            <w:tcBorders/>
            <w:vAlign w:val="center"/>
          </w:tcPr>
          <w:p>
            <w:pPr>
              <w:pStyle w:val="TableContents"/>
              <w:bidi w:val="0"/>
              <w:spacing w:before="0" w:after="283"/>
              <w:jc w:val="left"/>
              <w:rPr/>
            </w:pPr>
            <w:r>
              <w:rPr/>
              <w:t>Source and Amount of Funds or Other Consideration</w:t>
            </w:r>
          </w:p>
        </w:tc>
      </w:tr>
      <w:tr>
        <w:trPr/>
        <w:tc>
          <w:tcPr>
            <w:tcW w:w="1122" w:type="dxa"/>
            <w:tcBorders/>
            <w:vAlign w:val="center"/>
          </w:tcPr>
          <w:p>
            <w:pPr>
              <w:pStyle w:val="TableContents"/>
              <w:bidi w:val="0"/>
              <w:spacing w:before="0" w:after="283"/>
              <w:jc w:val="left"/>
              <w:rPr/>
            </w:pPr>
            <w:r>
              <w:rPr/>
              <w:t> </w:t>
            </w:r>
          </w:p>
        </w:tc>
        <w:tc>
          <w:tcPr>
            <w:tcW w:w="9083" w:type="dxa"/>
            <w:tcBorders/>
            <w:vAlign w:val="center"/>
          </w:tcPr>
          <w:p>
            <w:pPr>
              <w:pStyle w:val="TableContents"/>
              <w:bidi w:val="0"/>
              <w:spacing w:before="0" w:after="0"/>
              <w:jc w:val="left"/>
              <w:rPr/>
            </w:pPr>
            <w:r>
              <w:rPr/>
              <w:t>Item 4 of this Schedule 13D is incorporated herein by reference.</w:t>
            </w:r>
          </w:p>
        </w:tc>
      </w:tr>
      <w:tr>
        <w:trPr/>
        <w:tc>
          <w:tcPr>
            <w:tcW w:w="1122" w:type="dxa"/>
            <w:tcBorders/>
            <w:vAlign w:val="center"/>
          </w:tcPr>
          <w:p>
            <w:pPr>
              <w:pStyle w:val="TableContents"/>
              <w:bidi w:val="0"/>
              <w:spacing w:before="0" w:after="283"/>
              <w:jc w:val="left"/>
              <w:rPr/>
            </w:pPr>
            <w:r>
              <w:rPr/>
              <w:t>Item 4.</w:t>
            </w:r>
          </w:p>
        </w:tc>
        <w:tc>
          <w:tcPr>
            <w:tcW w:w="9083" w:type="dxa"/>
            <w:tcBorders/>
            <w:vAlign w:val="center"/>
          </w:tcPr>
          <w:p>
            <w:pPr>
              <w:pStyle w:val="TableContents"/>
              <w:bidi w:val="0"/>
              <w:spacing w:before="0" w:after="283"/>
              <w:jc w:val="left"/>
              <w:rPr/>
            </w:pPr>
            <w:r>
              <w:rPr/>
              <w:t>Purpose of Transaction</w:t>
            </w:r>
          </w:p>
        </w:tc>
      </w:tr>
      <w:tr>
        <w:trPr/>
        <w:tc>
          <w:tcPr>
            <w:tcW w:w="1122" w:type="dxa"/>
            <w:tcBorders/>
            <w:vAlign w:val="center"/>
          </w:tcPr>
          <w:p>
            <w:pPr>
              <w:pStyle w:val="TableContents"/>
              <w:bidi w:val="0"/>
              <w:spacing w:before="0" w:after="283"/>
              <w:jc w:val="left"/>
              <w:rPr/>
            </w:pPr>
            <w:r>
              <w:rPr/>
              <w:t> </w:t>
            </w:r>
          </w:p>
        </w:tc>
        <w:tc>
          <w:tcPr>
            <w:tcW w:w="9083" w:type="dxa"/>
            <w:tcBorders/>
            <w:vAlign w:val="center"/>
          </w:tcPr>
          <w:p>
            <w:pPr>
              <w:pStyle w:val="TableContents"/>
              <w:bidi w:val="0"/>
              <w:spacing w:before="0" w:after="0"/>
              <w:jc w:val="left"/>
              <w:rPr/>
            </w:pPr>
            <w:r>
              <w:rPr/>
              <w:t>On August 6, 2025, in connection with its refinancing transactions, the Issuer and certain of its subsidiaries entered into Amendment No. 14 to that certain Credit Agreement, dated as of September 13, 2019 (as amended, restated, amended and restated, supplemented or otherwise modified from time to time, the "Existing Credit Agreement"). As consideration for, and condition to, the lender' entry into the amendment of the Existing Credit Agreement, the Issuer issued shares of its Class A Common Stock to lenders thereunder and their affiliates, including PSP USA.</w:t>
            </w:r>
          </w:p>
        </w:tc>
      </w:tr>
      <w:tr>
        <w:trPr/>
        <w:tc>
          <w:tcPr>
            <w:tcW w:w="1122" w:type="dxa"/>
            <w:tcBorders/>
            <w:vAlign w:val="center"/>
          </w:tcPr>
          <w:p>
            <w:pPr>
              <w:pStyle w:val="TableContents"/>
              <w:bidi w:val="0"/>
              <w:spacing w:before="0" w:after="283"/>
              <w:jc w:val="left"/>
              <w:rPr/>
            </w:pPr>
            <w:r>
              <w:rPr/>
              <w:t>Item 5.</w:t>
            </w:r>
          </w:p>
        </w:tc>
        <w:tc>
          <w:tcPr>
            <w:tcW w:w="9083" w:type="dxa"/>
            <w:tcBorders/>
            <w:vAlign w:val="center"/>
          </w:tcPr>
          <w:p>
            <w:pPr>
              <w:pStyle w:val="TableContents"/>
              <w:bidi w:val="0"/>
              <w:spacing w:before="0" w:after="283"/>
              <w:jc w:val="left"/>
              <w:rPr/>
            </w:pPr>
            <w:r>
              <w:rPr/>
              <w:t>Interest in Securities of the Issuer</w:t>
            </w:r>
          </w:p>
        </w:tc>
      </w:tr>
      <w:tr>
        <w:trPr/>
        <w:tc>
          <w:tcPr>
            <w:tcW w:w="1122" w:type="dxa"/>
            <w:tcBorders/>
            <w:vAlign w:val="center"/>
          </w:tcPr>
          <w:p>
            <w:pPr>
              <w:pStyle w:val="TableContents"/>
              <w:bidi w:val="0"/>
              <w:spacing w:before="0" w:after="283"/>
              <w:jc w:val="left"/>
              <w:rPr/>
            </w:pPr>
            <w:r>
              <w:rPr/>
              <w:t>(a)</w:t>
            </w:r>
          </w:p>
        </w:tc>
        <w:tc>
          <w:tcPr>
            <w:tcW w:w="9083" w:type="dxa"/>
            <w:tcBorders/>
            <w:vAlign w:val="center"/>
          </w:tcPr>
          <w:p>
            <w:pPr>
              <w:pStyle w:val="TableContents"/>
              <w:bidi w:val="0"/>
              <w:spacing w:before="0" w:after="0"/>
              <w:jc w:val="left"/>
              <w:rPr/>
            </w:pPr>
            <w:r>
              <w:rPr/>
              <w:t xml:space="preserve">The responses of the Reporting Person to Rows (11) and (13) of the cover pages of this Schedule 13D, are incorporated herein by reference. The aggregate percentage of Class A Common Stock reported beneficially owned by each Reporting Person is based on 11,222,135 shares of Class A Common Stock outstanding as of August 5, 2025, based on information provided by the Issuer, plus 4,766,219 shares of Class A Common Stock issued on August 6, 2025, as reported in the Issuer's Form 8-K filed with the Securities and Exchange Commission on August 7, 2025. To the Reporting Person's knowledge, none of the Scheduled Persons beneficially owned any shares of Class A Common Stock. </w:t>
            </w:r>
          </w:p>
        </w:tc>
      </w:tr>
      <w:tr>
        <w:trPr/>
        <w:tc>
          <w:tcPr>
            <w:tcW w:w="1122" w:type="dxa"/>
            <w:tcBorders/>
            <w:vAlign w:val="center"/>
          </w:tcPr>
          <w:p>
            <w:pPr>
              <w:pStyle w:val="TableContents"/>
              <w:bidi w:val="0"/>
              <w:spacing w:before="0" w:after="283"/>
              <w:jc w:val="left"/>
              <w:rPr/>
            </w:pPr>
            <w:r>
              <w:rPr/>
              <w:t>(b)</w:t>
            </w:r>
          </w:p>
        </w:tc>
        <w:tc>
          <w:tcPr>
            <w:tcW w:w="9083" w:type="dxa"/>
            <w:tcBorders/>
            <w:vAlign w:val="center"/>
          </w:tcPr>
          <w:p>
            <w:pPr>
              <w:pStyle w:val="TableContents"/>
              <w:bidi w:val="0"/>
              <w:spacing w:before="0" w:after="0"/>
              <w:jc w:val="left"/>
              <w:rPr/>
            </w:pPr>
            <w:r>
              <w:rPr/>
              <w:t>The responses of the Reporting Person to Rows (7) through (10) of the cover pages of this Schedule 13D are incorporated herein by reference.</w:t>
            </w:r>
          </w:p>
        </w:tc>
      </w:tr>
      <w:tr>
        <w:trPr/>
        <w:tc>
          <w:tcPr>
            <w:tcW w:w="1122" w:type="dxa"/>
            <w:tcBorders/>
            <w:vAlign w:val="center"/>
          </w:tcPr>
          <w:p>
            <w:pPr>
              <w:pStyle w:val="TableContents"/>
              <w:bidi w:val="0"/>
              <w:spacing w:before="0" w:after="283"/>
              <w:jc w:val="left"/>
              <w:rPr/>
            </w:pPr>
            <w:r>
              <w:rPr/>
              <w:t>(c)</w:t>
            </w:r>
          </w:p>
        </w:tc>
        <w:tc>
          <w:tcPr>
            <w:tcW w:w="9083" w:type="dxa"/>
            <w:tcBorders/>
            <w:vAlign w:val="center"/>
          </w:tcPr>
          <w:p>
            <w:pPr>
              <w:pStyle w:val="TableContents"/>
              <w:bidi w:val="0"/>
              <w:spacing w:before="0" w:after="0"/>
              <w:jc w:val="left"/>
              <w:rPr/>
            </w:pPr>
            <w:r>
              <w:rPr/>
              <w:t>Except as disclosed in Item 4 of this Schedule 13D, none of the Reporting Persons, nor, to their knowledge any of the Scheduled Persons, has effected any transaction in Class A Common Stock during the past 60 days.</w:t>
            </w:r>
          </w:p>
        </w:tc>
      </w:tr>
      <w:tr>
        <w:trPr/>
        <w:tc>
          <w:tcPr>
            <w:tcW w:w="1122" w:type="dxa"/>
            <w:tcBorders/>
            <w:vAlign w:val="center"/>
          </w:tcPr>
          <w:p>
            <w:pPr>
              <w:pStyle w:val="TableContents"/>
              <w:bidi w:val="0"/>
              <w:spacing w:before="0" w:after="283"/>
              <w:jc w:val="left"/>
              <w:rPr/>
            </w:pPr>
            <w:r>
              <w:rPr/>
              <w:t>(d)</w:t>
            </w:r>
          </w:p>
        </w:tc>
        <w:tc>
          <w:tcPr>
            <w:tcW w:w="9083" w:type="dxa"/>
            <w:tcBorders/>
            <w:vAlign w:val="center"/>
          </w:tcPr>
          <w:p>
            <w:pPr>
              <w:pStyle w:val="TableContents"/>
              <w:bidi w:val="0"/>
              <w:spacing w:before="0" w:after="0"/>
              <w:jc w:val="left"/>
              <w:rPr/>
            </w:pPr>
            <w:r>
              <w:rPr/>
              <w:t>Not applicable.</w:t>
            </w:r>
          </w:p>
        </w:tc>
      </w:tr>
      <w:tr>
        <w:trPr/>
        <w:tc>
          <w:tcPr>
            <w:tcW w:w="1122" w:type="dxa"/>
            <w:tcBorders/>
            <w:vAlign w:val="center"/>
          </w:tcPr>
          <w:p>
            <w:pPr>
              <w:pStyle w:val="TableContents"/>
              <w:bidi w:val="0"/>
              <w:spacing w:before="0" w:after="283"/>
              <w:jc w:val="left"/>
              <w:rPr/>
            </w:pPr>
            <w:r>
              <w:rPr/>
              <w:t>(e)</w:t>
            </w:r>
          </w:p>
        </w:tc>
        <w:tc>
          <w:tcPr>
            <w:tcW w:w="9083" w:type="dxa"/>
            <w:tcBorders/>
            <w:vAlign w:val="center"/>
          </w:tcPr>
          <w:p>
            <w:pPr>
              <w:pStyle w:val="TableContents"/>
              <w:bidi w:val="0"/>
              <w:spacing w:before="0" w:after="0"/>
              <w:jc w:val="left"/>
              <w:rPr/>
            </w:pPr>
            <w:r>
              <w:rPr/>
              <w:t>Not applicable.</w:t>
            </w:r>
          </w:p>
        </w:tc>
      </w:tr>
      <w:tr>
        <w:trPr/>
        <w:tc>
          <w:tcPr>
            <w:tcW w:w="1122" w:type="dxa"/>
            <w:tcBorders/>
            <w:vAlign w:val="center"/>
          </w:tcPr>
          <w:p>
            <w:pPr>
              <w:pStyle w:val="TableContents"/>
              <w:bidi w:val="0"/>
              <w:spacing w:before="0" w:after="283"/>
              <w:jc w:val="left"/>
              <w:rPr/>
            </w:pPr>
            <w:r>
              <w:rPr/>
              <w:t>Item 6.</w:t>
            </w:r>
          </w:p>
        </w:tc>
        <w:tc>
          <w:tcPr>
            <w:tcW w:w="9083" w:type="dxa"/>
            <w:tcBorders/>
            <w:vAlign w:val="center"/>
          </w:tcPr>
          <w:p>
            <w:pPr>
              <w:pStyle w:val="TableContents"/>
              <w:bidi w:val="0"/>
              <w:spacing w:before="0" w:after="283"/>
              <w:jc w:val="left"/>
              <w:rPr/>
            </w:pPr>
            <w:r>
              <w:rPr/>
              <w:t>Contracts, Arrangements, Understandings or Relationships With Respect to Securities of the Issuer</w:t>
            </w:r>
          </w:p>
        </w:tc>
      </w:tr>
      <w:tr>
        <w:trPr/>
        <w:tc>
          <w:tcPr>
            <w:tcW w:w="1122" w:type="dxa"/>
            <w:tcBorders/>
            <w:vAlign w:val="center"/>
          </w:tcPr>
          <w:p>
            <w:pPr>
              <w:pStyle w:val="TableContents"/>
              <w:bidi w:val="0"/>
              <w:spacing w:before="0" w:after="283"/>
              <w:jc w:val="left"/>
              <w:rPr/>
            </w:pPr>
            <w:r>
              <w:rPr/>
              <w:t> </w:t>
            </w:r>
          </w:p>
        </w:tc>
        <w:tc>
          <w:tcPr>
            <w:tcW w:w="9083" w:type="dxa"/>
            <w:tcBorders/>
            <w:vAlign w:val="center"/>
          </w:tcPr>
          <w:p>
            <w:pPr>
              <w:pStyle w:val="TableContents"/>
              <w:bidi w:val="0"/>
              <w:spacing w:before="0" w:after="0"/>
              <w:jc w:val="left"/>
              <w:rPr/>
            </w:pPr>
            <w:r>
              <w:rPr/>
              <w:t>Item 4 of this Schedule 13D is incorporated herein by reference.</w:t>
            </w:r>
          </w:p>
        </w:tc>
      </w:tr>
      <w:tr>
        <w:trPr/>
        <w:tc>
          <w:tcPr>
            <w:tcW w:w="1122" w:type="dxa"/>
            <w:tcBorders/>
            <w:vAlign w:val="center"/>
          </w:tcPr>
          <w:p>
            <w:pPr>
              <w:pStyle w:val="TableContents"/>
              <w:bidi w:val="0"/>
              <w:spacing w:before="0" w:after="283"/>
              <w:jc w:val="left"/>
              <w:rPr/>
            </w:pPr>
            <w:r>
              <w:rPr/>
              <w:t>Item 7.</w:t>
            </w:r>
          </w:p>
        </w:tc>
        <w:tc>
          <w:tcPr>
            <w:tcW w:w="9083" w:type="dxa"/>
            <w:tcBorders/>
            <w:vAlign w:val="center"/>
          </w:tcPr>
          <w:p>
            <w:pPr>
              <w:pStyle w:val="TableContents"/>
              <w:bidi w:val="0"/>
              <w:spacing w:before="0" w:after="283"/>
              <w:jc w:val="left"/>
              <w:rPr/>
            </w:pPr>
            <w:r>
              <w:rPr/>
              <w:t>Material to be Filed as Exhibits.</w:t>
            </w:r>
          </w:p>
        </w:tc>
      </w:tr>
      <w:tr>
        <w:trPr/>
        <w:tc>
          <w:tcPr>
            <w:tcW w:w="1122" w:type="dxa"/>
            <w:tcBorders/>
            <w:vAlign w:val="center"/>
          </w:tcPr>
          <w:p>
            <w:pPr>
              <w:pStyle w:val="TableContents"/>
              <w:bidi w:val="0"/>
              <w:spacing w:before="0" w:after="283"/>
              <w:jc w:val="left"/>
              <w:rPr/>
            </w:pPr>
            <w:r>
              <w:rPr/>
              <w:t> </w:t>
            </w:r>
          </w:p>
        </w:tc>
        <w:tc>
          <w:tcPr>
            <w:tcW w:w="9083" w:type="dxa"/>
            <w:tcBorders/>
            <w:vAlign w:val="center"/>
          </w:tcPr>
          <w:p>
            <w:pPr>
              <w:pStyle w:val="TableContents"/>
              <w:bidi w:val="0"/>
              <w:spacing w:before="0" w:after="0"/>
              <w:jc w:val="left"/>
              <w:rPr/>
            </w:pPr>
            <w:r>
              <w:rPr/>
              <w:t xml:space="preserve">Exhibit 99.1: Joint Filing Agreement Exhibit 99.2: Executive Officers and Directors of Public Sector Pension Investment Board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signatureInfo"/>
      <w:bookmarkStart w:id="17" w:name="signatureInfo"/>
      <w:bookmarkEnd w:id="17"/>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10205" w:type="dxa"/>
        <w:jc w:val="left"/>
        <w:tblInd w:w="0" w:type="dxa"/>
        <w:tblLayout w:type="fixed"/>
        <w:tblCellMar>
          <w:top w:w="28" w:type="dxa"/>
          <w:left w:w="28" w:type="dxa"/>
          <w:bottom w:w="28" w:type="dxa"/>
          <w:right w:w="28" w:type="dxa"/>
        </w:tblCellMar>
      </w:tblPr>
      <w:tblGrid>
        <w:gridCol w:w="5227"/>
        <w:gridCol w:w="4978"/>
      </w:tblGrid>
      <w:tr>
        <w:trPr/>
        <w:tc>
          <w:tcPr>
            <w:tcW w:w="5227" w:type="dxa"/>
            <w:tcBorders/>
            <w:vAlign w:val="center"/>
          </w:tcPr>
          <w:p>
            <w:pPr>
              <w:pStyle w:val="TableContents"/>
              <w:bidi w:val="0"/>
              <w:spacing w:before="0" w:after="0"/>
              <w:jc w:val="left"/>
              <w:rPr/>
            </w:pPr>
            <w:r>
              <w:rPr/>
              <w:t> </w:t>
            </w:r>
          </w:p>
          <w:tbl>
            <w:tblPr>
              <w:tblW w:w="5686" w:type="dxa"/>
              <w:jc w:val="left"/>
              <w:tblInd w:w="0" w:type="dxa"/>
              <w:tblLayout w:type="fixed"/>
              <w:tblCellMar>
                <w:top w:w="28" w:type="dxa"/>
                <w:left w:w="28" w:type="dxa"/>
                <w:bottom w:w="28" w:type="dxa"/>
                <w:right w:w="28" w:type="dxa"/>
              </w:tblCellMar>
            </w:tblPr>
            <w:tblGrid>
              <w:gridCol w:w="5686"/>
            </w:tblGrid>
            <w:tr>
              <w:trPr/>
              <w:tc>
                <w:tcPr>
                  <w:tcW w:w="5686" w:type="dxa"/>
                  <w:tcBorders/>
                  <w:vAlign w:val="center"/>
                </w:tcPr>
                <w:p>
                  <w:pPr>
                    <w:pStyle w:val="TableContents"/>
                    <w:bidi w:val="0"/>
                    <w:spacing w:before="0" w:after="0"/>
                    <w:jc w:val="left"/>
                    <w:rPr/>
                  </w:pPr>
                  <w:r>
                    <w:rPr/>
                    <w:t>PUBLIC SECTOR PENSION INVESTMENT BOARD</w:t>
                  </w:r>
                </w:p>
              </w:tc>
            </w:tr>
          </w:tbl>
          <w:p>
            <w:pPr>
              <w:pStyle w:val="TableContents"/>
              <w:bidi w:val="0"/>
              <w:spacing w:before="0" w:after="283"/>
              <w:jc w:val="left"/>
              <w:rPr/>
            </w:pPr>
            <w:r>
              <w:rPr/>
            </w:r>
          </w:p>
        </w:tc>
        <w:tc>
          <w:tcPr>
            <w:tcW w:w="497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7"/>
        <w:gridCol w:w="4268"/>
      </w:tblGrid>
      <w:tr>
        <w:trPr/>
        <w:tc>
          <w:tcPr>
            <w:tcW w:w="593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Martine Vanasse</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Managing Director and Chief Compliance Officer</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08/13/2025</w:t>
                  </w:r>
                </w:p>
              </w:tc>
            </w:tr>
          </w:tbl>
          <w:p>
            <w:pPr>
              <w:pStyle w:val="TableContents"/>
              <w:bidi w:val="0"/>
              <w:spacing w:before="0" w:after="283"/>
              <w:jc w:val="left"/>
              <w:rPr/>
            </w:pPr>
            <w:r>
              <w:rPr/>
            </w:r>
          </w:p>
        </w:tc>
        <w:tc>
          <w:tcPr>
            <w:tcW w:w="4268" w:type="dxa"/>
            <w:tcBorders/>
            <w:vAlign w:val="center"/>
          </w:tcPr>
          <w:p>
            <w:pPr>
              <w:pStyle w:val="TableContents"/>
              <w:bidi w:val="0"/>
              <w:spacing w:before="0" w:after="283"/>
              <w:jc w:val="left"/>
              <w:rPr>
                <w:sz w:val="4"/>
                <w:szCs w:val="4"/>
              </w:rPr>
            </w:pPr>
            <w:r>
              <w:rPr>
                <w:sz w:val="4"/>
                <w:szCs w:val="4"/>
              </w:rPr>
            </w:r>
          </w:p>
        </w:tc>
      </w:tr>
    </w:tbl>
    <w:tbl>
      <w:tblPr>
        <w:tblW w:w="7184" w:type="dxa"/>
        <w:jc w:val="left"/>
        <w:tblInd w:w="0" w:type="dxa"/>
        <w:tblLayout w:type="fixed"/>
        <w:tblCellMar>
          <w:top w:w="28" w:type="dxa"/>
          <w:left w:w="28" w:type="dxa"/>
          <w:bottom w:w="28" w:type="dxa"/>
          <w:right w:w="28" w:type="dxa"/>
        </w:tblCellMar>
      </w:tblPr>
      <w:tblGrid>
        <w:gridCol w:w="3592"/>
        <w:gridCol w:w="3592"/>
      </w:tblGrid>
      <w:tr>
        <w:trPr/>
        <w:tc>
          <w:tcPr>
            <w:tcW w:w="3592" w:type="dxa"/>
            <w:tcBorders/>
            <w:vAlign w:val="center"/>
          </w:tcPr>
          <w:p>
            <w:pPr>
              <w:pStyle w:val="TableContents"/>
              <w:bidi w:val="0"/>
              <w:spacing w:before="0" w:after="0"/>
              <w:jc w:val="left"/>
              <w:rPr/>
            </w:pPr>
            <w:r>
              <w:rPr/>
              <w:t> </w:t>
            </w:r>
          </w:p>
          <w:tbl>
            <w:tblPr>
              <w:tblW w:w="3481" w:type="dxa"/>
              <w:jc w:val="left"/>
              <w:tblInd w:w="0" w:type="dxa"/>
              <w:tblLayout w:type="fixed"/>
              <w:tblCellMar>
                <w:top w:w="28" w:type="dxa"/>
                <w:left w:w="28" w:type="dxa"/>
                <w:bottom w:w="28" w:type="dxa"/>
                <w:right w:w="28" w:type="dxa"/>
              </w:tblCellMar>
            </w:tblPr>
            <w:tblGrid>
              <w:gridCol w:w="3481"/>
            </w:tblGrid>
            <w:tr>
              <w:trPr/>
              <w:tc>
                <w:tcPr>
                  <w:tcW w:w="3481" w:type="dxa"/>
                  <w:tcBorders/>
                  <w:vAlign w:val="center"/>
                </w:tcPr>
                <w:p>
                  <w:pPr>
                    <w:pStyle w:val="TableContents"/>
                    <w:bidi w:val="0"/>
                    <w:spacing w:before="0" w:after="0"/>
                    <w:jc w:val="left"/>
                    <w:rPr/>
                  </w:pPr>
                  <w:r>
                    <w:rPr/>
                    <w:t>PSP Investments Credit USA LLC</w:t>
                  </w:r>
                </w:p>
              </w:tc>
            </w:tr>
          </w:tbl>
          <w:p>
            <w:pPr>
              <w:pStyle w:val="TableContents"/>
              <w:bidi w:val="0"/>
              <w:spacing w:before="0" w:after="283"/>
              <w:jc w:val="left"/>
              <w:rPr/>
            </w:pPr>
            <w:r>
              <w:rPr/>
            </w:r>
          </w:p>
        </w:tc>
        <w:tc>
          <w:tcPr>
            <w:tcW w:w="359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0"/>
        <w:gridCol w:w="4275"/>
      </w:tblGrid>
      <w:tr>
        <w:trPr/>
        <w:tc>
          <w:tcPr>
            <w:tcW w:w="593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Charlotte E. Muellers</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Managing Director, Co-Head of North America, Credit Investments</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08/13/2025</w:t>
                  </w:r>
                </w:p>
              </w:tc>
            </w:tr>
          </w:tbl>
          <w:p>
            <w:pPr>
              <w:pStyle w:val="TableContents"/>
              <w:bidi w:val="0"/>
              <w:spacing w:before="0" w:after="283"/>
              <w:jc w:val="left"/>
              <w:rPr/>
            </w:pPr>
            <w:r>
              <w:rPr/>
            </w:r>
          </w:p>
        </w:tc>
        <w:tc>
          <w:tcPr>
            <w:tcW w:w="427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1264</Words>
  <Characters>6626</Characters>
  <CharactersWithSpaces>7804</CharactersWithSpaces>
  <Paragraphs>178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