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-220980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-574040</wp:posOffset>
            </wp:positionV>
            <wp:extent cx="7620"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4675"/>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-581660</wp:posOffset>
            </wp:positionV>
            <wp:extent cx="7620" cy="582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229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-558800</wp:posOffset>
            </wp:positionV>
            <wp:extent cx="1273810" cy="535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810" cy="53594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29210</wp:posOffset>
            </wp:positionV>
            <wp:extent cx="6974840" cy="1530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840" cy="153035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140" w:space="560"/>
            <w:col w:w="838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CCP III Cayman GP Ltd.</w:t>
        </w:r>
      </w:hyperlink>
    </w:p>
    <w:p>
      <w:pPr>
        <w:spacing w:after="0" w:line="286"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07/17/2020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8" w:right="780" w:firstLine="8"/>
        <w:spacing w:after="0" w:line="249" w:lineRule="auto"/>
        <w:tabs>
          <w:tab w:leader="none" w:pos="12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1" w:lineRule="exact"/>
        <w:rPr>
          <w:sz w:val="24"/>
          <w:szCs w:val="24"/>
          <w:color w:val="auto"/>
        </w:rPr>
      </w:pPr>
    </w:p>
    <w:p>
      <w:pPr>
        <w:ind w:left="532"/>
        <w:spacing w:after="0"/>
        <w:tabs>
          <w:tab w:leader="none" w:pos="1771" w:val="left"/>
          <w:tab w:leader="none" w:pos="2091"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2"/>
        <w:spacing w:after="0"/>
        <w:tabs>
          <w:tab w:leader="none" w:pos="2091"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2" w:lineRule="exact"/>
        <w:rPr>
          <w:sz w:val="24"/>
          <w:szCs w:val="24"/>
          <w:color w:val="auto"/>
        </w:rPr>
      </w:pPr>
    </w:p>
    <w:p>
      <w:pPr>
        <w:sectPr>
          <w:pgSz w:w="11900" w:h="16838" w:orient="portrait"/>
          <w:cols w:equalWidth="0" w:num="3">
            <w:col w:w="3180" w:space="720"/>
            <w:col w:w="3108" w:space="720"/>
            <w:col w:w="3352"/>
          </w:cols>
          <w:pgMar w:left="460" w:top="218" w:right="359" w:bottom="0" w:gutter="0" w:footer="0" w:header="0"/>
          <w:type w:val="continuous"/>
        </w:sectPr>
      </w:pP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8"/>
          </w:tcPr>
          <w:p>
            <w:pPr>
              <w:jc w:val="right"/>
              <w:ind w:right="198"/>
              <w:spacing w:after="0"/>
              <w:rPr>
                <w:sz w:val="20"/>
                <w:szCs w:val="20"/>
                <w:color w:val="auto"/>
              </w:rPr>
            </w:pPr>
            <w:r>
              <w:rPr>
                <w:rFonts w:ascii="Arial" w:cs="Arial" w:eastAsia="Arial" w:hAnsi="Arial"/>
                <w:sz w:val="12"/>
                <w:szCs w:val="12"/>
                <w:color w:val="auto"/>
              </w:rPr>
              <w:t>4. If Amendment, Date of Original Filed (Month/Day/Year)</w:t>
            </w:r>
          </w:p>
        </w:tc>
        <w:tc>
          <w:tcPr>
            <w:tcW w:w="3820" w:type="dxa"/>
            <w:vAlign w:val="bottom"/>
            <w:gridSpan w:val="10"/>
          </w:tcPr>
          <w:p>
            <w:pPr>
              <w:ind w:left="4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spacing w:after="0" w:line="175" w:lineRule="exact"/>
              <w:rPr>
                <w:sz w:val="20"/>
                <w:szCs w:val="20"/>
                <w:color w:val="auto"/>
              </w:rPr>
            </w:pPr>
            <w:r>
              <w:rPr>
                <w:rFonts w:ascii="Arial" w:cs="Arial" w:eastAsia="Arial" w:hAnsi="Arial"/>
                <w:sz w:val="16"/>
                <w:szCs w:val="16"/>
                <w:color w:val="0000FF"/>
              </w:rPr>
              <w:t>NEW YORK</w:t>
            </w:r>
          </w:p>
        </w:tc>
        <w:tc>
          <w:tcPr>
            <w:tcW w:w="1160" w:type="dxa"/>
            <w:vAlign w:val="bottom"/>
          </w:tcPr>
          <w:p>
            <w:pPr>
              <w:ind w:left="20"/>
              <w:spacing w:after="0" w:line="175" w:lineRule="exact"/>
              <w:rPr>
                <w:sz w:val="20"/>
                <w:szCs w:val="20"/>
                <w:color w:val="auto"/>
              </w:rPr>
            </w:pPr>
            <w:r>
              <w:rPr>
                <w:rFonts w:ascii="Arial" w:cs="Arial" w:eastAsia="Arial" w:hAnsi="Arial"/>
                <w:sz w:val="16"/>
                <w:szCs w:val="16"/>
                <w:color w:val="0000FF"/>
              </w:rPr>
              <w:t>NY</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0000FF"/>
              </w:rPr>
              <w:t>10152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20" w:type="dxa"/>
            <w:vAlign w:val="bottom"/>
            <w:gridSpan w:val="10"/>
          </w:tcPr>
          <w:p>
            <w:pPr>
              <w:ind w:left="680"/>
              <w:spacing w:after="0" w:line="180"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4"/>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gridSpan w:val="2"/>
          </w:tcPr>
          <w:p>
            <w:pPr>
              <w:ind w:left="780"/>
              <w:spacing w:after="0" w:line="119"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19"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5"/>
          </w:tcPr>
          <w:p>
            <w:pPr>
              <w:ind w:left="8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740" w:type="dxa"/>
            <w:vAlign w:val="bottom"/>
            <w:gridSpan w:val="4"/>
          </w:tcPr>
          <w:p>
            <w:pPr>
              <w:ind w:left="78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Beneficially Owned  (D) or Indirect</w:t>
            </w:r>
          </w:p>
        </w:tc>
        <w:tc>
          <w:tcPr>
            <w:tcW w:w="10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1280" w:type="dxa"/>
            <w:vAlign w:val="bottom"/>
            <w:gridSpan w:val="2"/>
          </w:tcPr>
          <w:p>
            <w:pPr>
              <w:ind w:left="440"/>
              <w:spacing w:after="0" w:line="123" w:lineRule="exact"/>
              <w:rPr>
                <w:sz w:val="20"/>
                <w:szCs w:val="20"/>
                <w:color w:val="auto"/>
              </w:rPr>
            </w:pPr>
            <w:r>
              <w:rPr>
                <w:rFonts w:ascii="Arial" w:cs="Arial" w:eastAsia="Arial" w:hAnsi="Arial"/>
                <w:sz w:val="11"/>
                <w:szCs w:val="11"/>
                <w:b w:val="1"/>
                <w:bCs w:val="1"/>
                <w:color w:val="auto"/>
              </w:rPr>
              <w:t>(I) (Instr. 4)</w:t>
            </w:r>
          </w:p>
        </w:tc>
        <w:tc>
          <w:tcPr>
            <w:tcW w:w="10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5"/>
            <w:vMerge w:val="restart"/>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740" w:type="dxa"/>
            <w:vAlign w:val="bottom"/>
            <w:gridSpan w:val="4"/>
            <w:vMerge w:val="restart"/>
          </w:tcPr>
          <w:p>
            <w:pPr>
              <w:ind w:left="880"/>
              <w:spacing w:after="0"/>
              <w:rPr>
                <w:sz w:val="20"/>
                <w:szCs w:val="20"/>
                <w:color w:val="auto"/>
              </w:rPr>
            </w:pPr>
            <w:r>
              <w:rPr>
                <w:rFonts w:ascii="Arial" w:cs="Arial" w:eastAsia="Arial" w:hAnsi="Arial"/>
                <w:sz w:val="16"/>
                <w:szCs w:val="16"/>
                <w:color w:val="0000FF"/>
              </w:rPr>
              <w:t>07/17/2020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76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9,572,710</w:t>
            </w:r>
          </w:p>
        </w:tc>
        <w:tc>
          <w:tcPr>
            <w:tcW w:w="500" w:type="dxa"/>
            <w:vAlign w:val="bottom"/>
            <w:vMerge w:val="restart"/>
          </w:tcPr>
          <w:p>
            <w:pPr>
              <w:jc w:val="right"/>
              <w:ind w:right="58"/>
              <w:spacing w:after="0"/>
              <w:rPr>
                <w:sz w:val="20"/>
                <w:szCs w:val="20"/>
                <w:color w:val="auto"/>
              </w:rPr>
            </w:pPr>
            <w:r>
              <w:rPr>
                <w:rFonts w:ascii="Arial" w:cs="Arial" w:eastAsia="Arial" w:hAnsi="Arial"/>
                <w:sz w:val="16"/>
                <w:szCs w:val="16"/>
                <w:color w:val="0000FF"/>
              </w:rPr>
              <w:t>D</w:t>
            </w:r>
          </w:p>
        </w:tc>
        <w:tc>
          <w:tcPr>
            <w:tcW w:w="700" w:type="dxa"/>
            <w:vAlign w:val="bottom"/>
            <w:vMerge w:val="restart"/>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540" w:type="dxa"/>
            <w:vAlign w:val="bottom"/>
            <w:gridSpan w:val="3"/>
            <w:vMerge w:val="restart"/>
          </w:tcPr>
          <w:p>
            <w:pPr>
              <w:jc w:val="right"/>
              <w:ind w:right="564"/>
              <w:spacing w:after="0"/>
              <w:rPr>
                <w:sz w:val="20"/>
                <w:szCs w:val="20"/>
                <w:color w:val="auto"/>
              </w:rPr>
            </w:pPr>
            <w:r>
              <w:rPr>
                <w:rFonts w:ascii="Arial" w:cs="Arial" w:eastAsia="Arial" w:hAnsi="Arial"/>
                <w:sz w:val="16"/>
                <w:szCs w:val="16"/>
                <w:color w:val="0000FF"/>
              </w:rPr>
              <w:t>80,792,677</w:t>
            </w: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00" w:type="dxa"/>
            <w:vAlign w:val="bottom"/>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60" w:type="dxa"/>
            <w:vAlign w:val="bottom"/>
            <w:gridSpan w:val="4"/>
            <w:vMerge w:val="continue"/>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20"/>
                <w:szCs w:val="20"/>
                <w:color w:val="008000"/>
                <w:w w:val="99"/>
                <w:vertAlign w:val="superscript"/>
              </w:rPr>
              <w:t>(2)(3)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116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4"/>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80" w:type="dxa"/>
            <w:vAlign w:val="bottom"/>
            <w:gridSpan w:val="12"/>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104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8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60" w:type="dxa"/>
            <w:vAlign w:val="bottom"/>
          </w:tcPr>
          <w:p>
            <w:pPr>
              <w:spacing w:after="0"/>
              <w:rPr>
                <w:sz w:val="10"/>
                <w:szCs w:val="10"/>
                <w:color w:val="auto"/>
              </w:rPr>
            </w:pPr>
          </w:p>
        </w:tc>
        <w:tc>
          <w:tcPr>
            <w:tcW w:w="10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spacing w:after="0" w:line="123"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1040" w:type="dxa"/>
            <w:vAlign w:val="bottom"/>
            <w:gridSpan w:val="3"/>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gridSpan w:val="3"/>
            <w:vMerge w:val="restart"/>
          </w:tcPr>
          <w:p>
            <w:pPr>
              <w:ind w:left="360"/>
              <w:spacing w:after="0"/>
              <w:rPr>
                <w:sz w:val="20"/>
                <w:szCs w:val="20"/>
                <w:color w:val="auto"/>
              </w:rPr>
            </w:pPr>
            <w:r>
              <w:rPr>
                <w:rFonts w:ascii="Arial" w:cs="Arial" w:eastAsia="Arial" w:hAnsi="Arial"/>
                <w:sz w:val="12"/>
                <w:szCs w:val="12"/>
                <w:color w:val="0000FF"/>
                <w:w w:val="94"/>
              </w:rPr>
              <w:t>9,572,710</w:t>
            </w:r>
            <w:r>
              <w:rPr>
                <w:rFonts w:ascii="Arial" w:cs="Arial" w:eastAsia="Arial" w:hAnsi="Arial"/>
                <w:sz w:val="20"/>
                <w:szCs w:val="20"/>
                <w:color w:val="008000"/>
                <w:w w:val="94"/>
                <w:vertAlign w:val="superscript"/>
              </w:rPr>
              <w:t>(5)</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(4)</w:t>
            </w:r>
          </w:p>
        </w:tc>
        <w:tc>
          <w:tcPr>
            <w:tcW w:w="66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10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2"/>
                <w:szCs w:val="12"/>
                <w:color w:val="0000FF"/>
                <w:w w:val="86"/>
              </w:rPr>
              <w:t>Class A</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w w:val="87"/>
              </w:rPr>
              <w:t>9,572,710</w:t>
            </w:r>
          </w:p>
        </w:tc>
        <w:tc>
          <w:tcPr>
            <w:tcW w:w="760" w:type="dxa"/>
            <w:vAlign w:val="bottom"/>
            <w:gridSpan w:val="2"/>
            <w:vMerge w:val="restart"/>
          </w:tcPr>
          <w:p>
            <w:pPr>
              <w:jc w:val="right"/>
              <w:ind w:right="10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0"/>
                <w:szCs w:val="20"/>
                <w:color w:val="008000"/>
                <w:vertAlign w:val="superscript"/>
              </w:rPr>
              <w:t>(5)</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160" w:type="dxa"/>
            <w:vAlign w:val="bottom"/>
            <w:vMerge w:val="restart"/>
          </w:tcPr>
          <w:p>
            <w:pPr>
              <w:ind w:left="320"/>
              <w:spacing w:after="0"/>
              <w:rPr>
                <w:sz w:val="20"/>
                <w:szCs w:val="20"/>
                <w:color w:val="auto"/>
              </w:rPr>
            </w:pPr>
            <w:r>
              <w:rPr>
                <w:rFonts w:ascii="Arial" w:cs="Arial" w:eastAsia="Arial" w:hAnsi="Arial"/>
                <w:sz w:val="12"/>
                <w:szCs w:val="12"/>
                <w:color w:val="0000FF"/>
              </w:rPr>
              <w:t>07/17/2020</w:t>
            </w: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color w:val="0000FF"/>
              </w:rPr>
              <w:t>D</w:t>
            </w:r>
          </w:p>
        </w:tc>
        <w:tc>
          <w:tcPr>
            <w:tcW w:w="1040" w:type="dxa"/>
            <w:vAlign w:val="bottom"/>
            <w:gridSpan w:val="3"/>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7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color w:val="0000FF"/>
              </w:rPr>
              <w:t>80,792,677</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3"/>
          </w:tcPr>
          <w:p>
            <w:pPr>
              <w:ind w:left="460"/>
              <w:spacing w:after="0" w:line="98" w:lineRule="exact"/>
              <w:rPr>
                <w:sz w:val="20"/>
                <w:szCs w:val="20"/>
                <w:color w:val="auto"/>
              </w:rPr>
            </w:pPr>
            <w:r>
              <w:rPr>
                <w:rFonts w:ascii="Arial" w:cs="Arial" w:eastAsia="Arial" w:hAnsi="Arial"/>
                <w:sz w:val="10"/>
                <w:szCs w:val="10"/>
                <w:color w:val="008000"/>
              </w:rPr>
              <w:t>(2)(3)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98"/>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4"/>
          </w:tcPr>
          <w:p>
            <w:pPr>
              <w:spacing w:after="0" w:line="110" w:lineRule="exact"/>
              <w:rPr>
                <w:sz w:val="20"/>
                <w:szCs w:val="20"/>
                <w:color w:val="auto"/>
              </w:rPr>
            </w:pPr>
            <w:r>
              <w:rPr>
                <w:rFonts w:ascii="Arial" w:cs="Arial" w:eastAsia="Arial" w:hAnsi="Arial"/>
                <w:sz w:val="12"/>
                <w:szCs w:val="12"/>
                <w:color w:val="0000FF"/>
              </w:rPr>
              <w:t>footnotes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4"/>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4"/>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3"/>
          </w:tcPr>
          <w:p>
            <w:pPr>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CCP III Cayman GP Ltd.</w:t>
              </w:r>
            </w:hyperlink>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gridSpan w:val="2"/>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Arial" w:cs="Arial" w:eastAsia="Arial" w:hAnsi="Arial"/>
                <w:sz w:val="16"/>
                <w:szCs w:val="16"/>
                <w:color w:val="0000FF"/>
                <w:w w:val="93"/>
              </w:rPr>
              <w:t>375 PARK AVENUE, 11TH FLOOR</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60" w:type="dxa"/>
            <w:vAlign w:val="bottom"/>
          </w:tcPr>
          <w:p>
            <w:pPr>
              <w:ind w:left="200"/>
              <w:spacing w:after="0"/>
              <w:rPr>
                <w:sz w:val="20"/>
                <w:szCs w:val="20"/>
                <w:color w:val="auto"/>
              </w:rPr>
            </w:pPr>
            <w:r>
              <w:rPr>
                <w:rFonts w:ascii="Arial" w:cs="Arial" w:eastAsia="Arial" w:hAnsi="Arial"/>
                <w:sz w:val="16"/>
                <w:szCs w:val="16"/>
                <w:color w:val="0000FF"/>
              </w:rPr>
              <w:t>NY</w:t>
            </w:r>
          </w:p>
        </w:tc>
        <w:tc>
          <w:tcPr>
            <w:tcW w:w="980" w:type="dxa"/>
            <w:vAlign w:val="bottom"/>
          </w:tcPr>
          <w:p>
            <w:pPr>
              <w:ind w:left="440"/>
              <w:spacing w:after="0"/>
              <w:rPr>
                <w:sz w:val="20"/>
                <w:szCs w:val="20"/>
                <w:color w:val="auto"/>
              </w:rPr>
            </w:pPr>
            <w:r>
              <w:rPr>
                <w:rFonts w:ascii="Arial" w:cs="Arial" w:eastAsia="Arial" w:hAnsi="Arial"/>
                <w:sz w:val="16"/>
                <w:szCs w:val="16"/>
                <w:color w:val="0000FF"/>
              </w:rPr>
              <w:t>10152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460" w:type="dxa"/>
            <w:vAlign w:val="bottom"/>
            <w:tcBorders>
              <w:bottom w:val="single" w:sz="8" w:color="2C2C2C"/>
            </w:tcBorders>
            <w:gridSpan w:val="4"/>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5"/>
          </w:tcPr>
          <w:p>
            <w:pPr>
              <w:spacing w:after="0"/>
              <w:rPr>
                <w:rFonts w:ascii="Arial" w:cs="Arial" w:eastAsia="Arial" w:hAnsi="Arial"/>
                <w:sz w:val="20"/>
                <w:szCs w:val="20"/>
                <w:color w:val="0000EE"/>
              </w:rPr>
            </w:pPr>
            <w:hyperlink r:id="rId15">
              <w:r>
                <w:rPr>
                  <w:rFonts w:ascii="Arial" w:cs="Arial" w:eastAsia="Arial" w:hAnsi="Arial"/>
                  <w:sz w:val="20"/>
                  <w:szCs w:val="20"/>
                  <w:u w:val="single" w:color="auto"/>
                  <w:color w:val="0000EE"/>
                </w:rPr>
                <w:t>CCP III AIV VII Holdings, L.P</w:t>
              </w:r>
              <w:r>
                <w:rPr>
                  <w:rFonts w:ascii="Arial" w:cs="Arial" w:eastAsia="Arial" w:hAnsi="Arial"/>
                  <w:sz w:val="20"/>
                  <w:szCs w:val="20"/>
                  <w:color w:val="0000EE"/>
                </w:rPr>
                <w:t>.</w:t>
              </w:r>
            </w:hyperlink>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gridSpan w:val="2"/>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Arial" w:cs="Arial" w:eastAsia="Arial" w:hAnsi="Arial"/>
                <w:sz w:val="16"/>
                <w:szCs w:val="16"/>
                <w:color w:val="0000FF"/>
                <w:w w:val="93"/>
              </w:rPr>
              <w:t>375 PARK AVENUE, 11TH FLOOR</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60" w:type="dxa"/>
            <w:vAlign w:val="bottom"/>
          </w:tcPr>
          <w:p>
            <w:pPr>
              <w:ind w:left="200"/>
              <w:spacing w:after="0"/>
              <w:rPr>
                <w:sz w:val="20"/>
                <w:szCs w:val="20"/>
                <w:color w:val="auto"/>
              </w:rPr>
            </w:pPr>
            <w:r>
              <w:rPr>
                <w:rFonts w:ascii="Arial" w:cs="Arial" w:eastAsia="Arial" w:hAnsi="Arial"/>
                <w:sz w:val="16"/>
                <w:szCs w:val="16"/>
                <w:color w:val="0000FF"/>
              </w:rPr>
              <w:t>NY</w:t>
            </w:r>
          </w:p>
        </w:tc>
        <w:tc>
          <w:tcPr>
            <w:tcW w:w="980" w:type="dxa"/>
            <w:vAlign w:val="bottom"/>
          </w:tcPr>
          <w:p>
            <w:pPr>
              <w:ind w:left="440"/>
              <w:spacing w:after="0"/>
              <w:rPr>
                <w:sz w:val="20"/>
                <w:szCs w:val="20"/>
                <w:color w:val="auto"/>
              </w:rPr>
            </w:pPr>
            <w:r>
              <w:rPr>
                <w:rFonts w:ascii="Arial" w:cs="Arial" w:eastAsia="Arial" w:hAnsi="Arial"/>
                <w:sz w:val="16"/>
                <w:szCs w:val="16"/>
                <w:color w:val="0000FF"/>
              </w:rPr>
              <w:t>10152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460" w:type="dxa"/>
            <w:vAlign w:val="bottom"/>
            <w:tcBorders>
              <w:bottom w:val="single" w:sz="8" w:color="2C2C2C"/>
            </w:tcBorders>
            <w:gridSpan w:val="4"/>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5"/>
          </w:tcPr>
          <w:p>
            <w:pPr>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CB Blizzard Co-Invest Holdings, L.P.</w:t>
              </w:r>
            </w:hyperlink>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gridSpan w:val="2"/>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Arial" w:cs="Arial" w:eastAsia="Arial" w:hAnsi="Arial"/>
                <w:sz w:val="16"/>
                <w:szCs w:val="16"/>
                <w:color w:val="0000FF"/>
                <w:w w:val="93"/>
              </w:rPr>
              <w:t>375 PARK AVENUE, 11TH FLOOR</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60" w:type="dxa"/>
            <w:vAlign w:val="bottom"/>
          </w:tcPr>
          <w:p>
            <w:pPr>
              <w:ind w:left="200"/>
              <w:spacing w:after="0"/>
              <w:rPr>
                <w:sz w:val="20"/>
                <w:szCs w:val="20"/>
                <w:color w:val="auto"/>
              </w:rPr>
            </w:pPr>
            <w:r>
              <w:rPr>
                <w:rFonts w:ascii="Arial" w:cs="Arial" w:eastAsia="Arial" w:hAnsi="Arial"/>
                <w:sz w:val="16"/>
                <w:szCs w:val="16"/>
                <w:color w:val="0000FF"/>
              </w:rPr>
              <w:t>NY</w:t>
            </w:r>
          </w:p>
        </w:tc>
        <w:tc>
          <w:tcPr>
            <w:tcW w:w="980" w:type="dxa"/>
            <w:vAlign w:val="bottom"/>
          </w:tcPr>
          <w:p>
            <w:pPr>
              <w:ind w:left="440"/>
              <w:spacing w:after="0"/>
              <w:rPr>
                <w:sz w:val="20"/>
                <w:szCs w:val="20"/>
                <w:color w:val="auto"/>
              </w:rPr>
            </w:pPr>
            <w:r>
              <w:rPr>
                <w:rFonts w:ascii="Arial" w:cs="Arial" w:eastAsia="Arial" w:hAnsi="Arial"/>
                <w:sz w:val="16"/>
                <w:szCs w:val="16"/>
                <w:color w:val="0000FF"/>
              </w:rPr>
              <w:t>10152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-7167880</wp:posOffset>
            </wp:positionV>
            <wp:extent cx="7037070" cy="7914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7070" cy="7914640"/>
                    </a:xfrm>
                    <a:prstGeom prst="rect">
                      <a:avLst/>
                    </a:prstGeom>
                    <a:noFill/>
                  </pic:spPr>
                </pic:pic>
              </a:graphicData>
            </a:graphic>
          </wp:anchor>
        </w:drawing>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Centerbridge Associates III, L.P.</w:t>
        </w:r>
      </w:hyperlink>
    </w:p>
    <w:p>
      <w:pPr>
        <w:sectPr>
          <w:pgSz w:w="11900" w:h="16838" w:orient="portrait"/>
          <w:cols w:equalWidth="0" w:num="1">
            <w:col w:w="11080"/>
          </w:cols>
          <w:pgMar w:left="460" w:top="218" w:right="359" w:bottom="0" w:gutter="0" w:footer="0" w:header="0"/>
          <w:type w:val="continuous"/>
        </w:sectPr>
      </w:pPr>
    </w:p>
    <w:p>
      <w:pPr>
        <w:spacing w:after="0" w:line="286"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6"/>
          <w:szCs w:val="16"/>
          <w:color w:val="0000FF"/>
        </w:rPr>
        <w:t>375 PARK AVENUE,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2788285" cy="543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788285" cy="543687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0"/>
        </w:trPr>
        <w:tc>
          <w:tcPr>
            <w:tcW w:w="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NEW YORK</w:t>
            </w:r>
          </w:p>
        </w:tc>
        <w:tc>
          <w:tcPr>
            <w:tcW w:w="1220" w:type="dxa"/>
            <w:vAlign w:val="bottom"/>
          </w:tcPr>
          <w:p>
            <w:pPr>
              <w:ind w:left="40"/>
              <w:spacing w:after="0"/>
              <w:rPr>
                <w:sz w:val="20"/>
                <w:szCs w:val="20"/>
                <w:color w:val="auto"/>
              </w:rPr>
            </w:pPr>
            <w:r>
              <w:rPr>
                <w:rFonts w:ascii="Arial" w:cs="Arial" w:eastAsia="Arial" w:hAnsi="Arial"/>
                <w:sz w:val="16"/>
                <w:szCs w:val="16"/>
                <w:color w:val="0000FF"/>
              </w:rPr>
              <w:t>NY</w:t>
            </w:r>
          </w:p>
        </w:tc>
        <w:tc>
          <w:tcPr>
            <w:tcW w:w="1600" w:type="dxa"/>
            <w:vAlign w:val="bottom"/>
          </w:tcPr>
          <w:p>
            <w:pPr>
              <w:ind w:left="220"/>
              <w:spacing w:after="0"/>
              <w:rPr>
                <w:sz w:val="20"/>
                <w:szCs w:val="20"/>
                <w:color w:val="auto"/>
              </w:rPr>
            </w:pPr>
            <w:r>
              <w:rPr>
                <w:rFonts w:ascii="Arial" w:cs="Arial" w:eastAsia="Arial" w:hAnsi="Arial"/>
                <w:sz w:val="16"/>
                <w:szCs w:val="16"/>
                <w:color w:val="0000FF"/>
              </w:rPr>
              <w:t>10152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1220" w:type="dxa"/>
            <w:vAlign w:val="bottom"/>
          </w:tcPr>
          <w:p>
            <w:pPr>
              <w:ind w:left="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80" w:type="dxa"/>
            <w:vAlign w:val="bottom"/>
          </w:tcPr>
          <w:p>
            <w:pPr>
              <w:spacing w:after="0"/>
              <w:rPr>
                <w:sz w:val="21"/>
                <w:szCs w:val="21"/>
                <w:color w:val="auto"/>
              </w:rPr>
            </w:pPr>
          </w:p>
        </w:tc>
        <w:tc>
          <w:tcPr>
            <w:tcW w:w="2600" w:type="dxa"/>
            <w:vAlign w:val="bottom"/>
            <w:gridSpan w:val="2"/>
          </w:tcPr>
          <w:p>
            <w:pPr>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Blizzard Aggregator, LLC</w:t>
              </w:r>
            </w:hyperlink>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0"/>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1"/>
        </w:trPr>
        <w:tc>
          <w:tcPr>
            <w:tcW w:w="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(Last)</w:t>
            </w:r>
          </w:p>
        </w:tc>
        <w:tc>
          <w:tcPr>
            <w:tcW w:w="1220" w:type="dxa"/>
            <w:vAlign w:val="bottom"/>
          </w:tcPr>
          <w:p>
            <w:pPr>
              <w:ind w:left="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00" w:type="dxa"/>
            <w:vAlign w:val="bottom"/>
            <w:gridSpan w:val="2"/>
          </w:tcPr>
          <w:p>
            <w:pPr>
              <w:spacing w:after="0"/>
              <w:rPr>
                <w:sz w:val="20"/>
                <w:szCs w:val="20"/>
                <w:color w:val="auto"/>
              </w:rPr>
            </w:pPr>
            <w:r>
              <w:rPr>
                <w:rFonts w:ascii="Arial" w:cs="Arial" w:eastAsia="Arial" w:hAnsi="Arial"/>
                <w:sz w:val="16"/>
                <w:szCs w:val="16"/>
                <w:color w:val="0000FF"/>
              </w:rPr>
              <w:t>375 PARK AVENUE, 11TH FLOOR</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9"/>
        </w:trPr>
        <w:tc>
          <w:tcPr>
            <w:tcW w:w="8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NEW YORK</w:t>
            </w:r>
          </w:p>
        </w:tc>
        <w:tc>
          <w:tcPr>
            <w:tcW w:w="1220" w:type="dxa"/>
            <w:vAlign w:val="bottom"/>
          </w:tcPr>
          <w:p>
            <w:pPr>
              <w:ind w:left="40"/>
              <w:spacing w:after="0"/>
              <w:rPr>
                <w:sz w:val="20"/>
                <w:szCs w:val="20"/>
                <w:color w:val="auto"/>
              </w:rPr>
            </w:pPr>
            <w:r>
              <w:rPr>
                <w:rFonts w:ascii="Arial" w:cs="Arial" w:eastAsia="Arial" w:hAnsi="Arial"/>
                <w:sz w:val="16"/>
                <w:szCs w:val="16"/>
                <w:color w:val="0000FF"/>
              </w:rPr>
              <w:t>NY</w:t>
            </w:r>
          </w:p>
        </w:tc>
        <w:tc>
          <w:tcPr>
            <w:tcW w:w="1600" w:type="dxa"/>
            <w:vAlign w:val="bottom"/>
          </w:tcPr>
          <w:p>
            <w:pPr>
              <w:ind w:left="220"/>
              <w:spacing w:after="0"/>
              <w:rPr>
                <w:sz w:val="20"/>
                <w:szCs w:val="20"/>
                <w:color w:val="auto"/>
              </w:rPr>
            </w:pPr>
            <w:r>
              <w:rPr>
                <w:rFonts w:ascii="Arial" w:cs="Arial" w:eastAsia="Arial" w:hAnsi="Arial"/>
                <w:sz w:val="16"/>
                <w:szCs w:val="16"/>
                <w:color w:val="0000FF"/>
              </w:rPr>
              <w:t>10152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1220" w:type="dxa"/>
            <w:vAlign w:val="bottom"/>
          </w:tcPr>
          <w:p>
            <w:pPr>
              <w:ind w:left="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9"/>
        </w:trPr>
        <w:tc>
          <w:tcPr>
            <w:tcW w:w="268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80" w:type="dxa"/>
            <w:vAlign w:val="bottom"/>
          </w:tcPr>
          <w:p>
            <w:pPr>
              <w:spacing w:after="0"/>
              <w:rPr>
                <w:sz w:val="21"/>
                <w:szCs w:val="21"/>
                <w:color w:val="auto"/>
              </w:rPr>
            </w:pPr>
          </w:p>
        </w:tc>
        <w:tc>
          <w:tcPr>
            <w:tcW w:w="1380" w:type="dxa"/>
            <w:vAlign w:val="bottom"/>
          </w:tcPr>
          <w:p>
            <w:pPr>
              <w:spacing w:after="0"/>
              <w:rPr>
                <w:rFonts w:ascii="Arial" w:cs="Arial" w:eastAsia="Arial" w:hAnsi="Arial"/>
                <w:sz w:val="20"/>
                <w:szCs w:val="20"/>
                <w:u w:val="single" w:color="auto"/>
                <w:color w:val="0000EE"/>
                <w:w w:val="97"/>
              </w:rPr>
            </w:pPr>
            <w:hyperlink r:id="rId21">
              <w:r>
                <w:rPr>
                  <w:rFonts w:ascii="Arial" w:cs="Arial" w:eastAsia="Arial" w:hAnsi="Arial"/>
                  <w:sz w:val="20"/>
                  <w:szCs w:val="20"/>
                  <w:u w:val="single" w:color="auto"/>
                  <w:color w:val="0000EE"/>
                  <w:w w:val="97"/>
                </w:rPr>
                <w:t>Aronson Jeffrey</w:t>
              </w:r>
            </w:hyperlink>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0"/>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1"/>
        </w:trPr>
        <w:tc>
          <w:tcPr>
            <w:tcW w:w="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(Last)</w:t>
            </w:r>
          </w:p>
        </w:tc>
        <w:tc>
          <w:tcPr>
            <w:tcW w:w="1220" w:type="dxa"/>
            <w:vAlign w:val="bottom"/>
          </w:tcPr>
          <w:p>
            <w:pPr>
              <w:ind w:left="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00" w:type="dxa"/>
            <w:vAlign w:val="bottom"/>
            <w:gridSpan w:val="2"/>
          </w:tcPr>
          <w:p>
            <w:pPr>
              <w:spacing w:after="0"/>
              <w:rPr>
                <w:sz w:val="20"/>
                <w:szCs w:val="20"/>
                <w:color w:val="auto"/>
              </w:rPr>
            </w:pPr>
            <w:r>
              <w:rPr>
                <w:rFonts w:ascii="Arial" w:cs="Arial" w:eastAsia="Arial" w:hAnsi="Arial"/>
                <w:sz w:val="16"/>
                <w:szCs w:val="16"/>
                <w:color w:val="0000FF"/>
              </w:rPr>
              <w:t>375 PARK AVENUE, 11TH FLOOR</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9"/>
        </w:trPr>
        <w:tc>
          <w:tcPr>
            <w:tcW w:w="8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NEW YORK</w:t>
            </w:r>
          </w:p>
        </w:tc>
        <w:tc>
          <w:tcPr>
            <w:tcW w:w="1220" w:type="dxa"/>
            <w:vAlign w:val="bottom"/>
          </w:tcPr>
          <w:p>
            <w:pPr>
              <w:ind w:left="40"/>
              <w:spacing w:after="0"/>
              <w:rPr>
                <w:sz w:val="20"/>
                <w:szCs w:val="20"/>
                <w:color w:val="auto"/>
              </w:rPr>
            </w:pPr>
            <w:r>
              <w:rPr>
                <w:rFonts w:ascii="Arial" w:cs="Arial" w:eastAsia="Arial" w:hAnsi="Arial"/>
                <w:sz w:val="16"/>
                <w:szCs w:val="16"/>
                <w:color w:val="0000FF"/>
              </w:rPr>
              <w:t>NY</w:t>
            </w:r>
          </w:p>
        </w:tc>
        <w:tc>
          <w:tcPr>
            <w:tcW w:w="1600" w:type="dxa"/>
            <w:vAlign w:val="bottom"/>
          </w:tcPr>
          <w:p>
            <w:pPr>
              <w:ind w:left="220"/>
              <w:spacing w:after="0"/>
              <w:rPr>
                <w:sz w:val="20"/>
                <w:szCs w:val="20"/>
                <w:color w:val="auto"/>
              </w:rPr>
            </w:pPr>
            <w:r>
              <w:rPr>
                <w:rFonts w:ascii="Arial" w:cs="Arial" w:eastAsia="Arial" w:hAnsi="Arial"/>
                <w:sz w:val="16"/>
                <w:szCs w:val="16"/>
                <w:color w:val="0000FF"/>
              </w:rPr>
              <w:t>10152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1220" w:type="dxa"/>
            <w:vAlign w:val="bottom"/>
          </w:tcPr>
          <w:p>
            <w:pPr>
              <w:ind w:left="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9"/>
        </w:trPr>
        <w:tc>
          <w:tcPr>
            <w:tcW w:w="268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80" w:type="dxa"/>
            <w:vAlign w:val="bottom"/>
          </w:tcPr>
          <w:p>
            <w:pPr>
              <w:spacing w:after="0"/>
              <w:rPr>
                <w:sz w:val="21"/>
                <w:szCs w:val="21"/>
                <w:color w:val="auto"/>
              </w:rPr>
            </w:pPr>
          </w:p>
        </w:tc>
        <w:tc>
          <w:tcPr>
            <w:tcW w:w="1380" w:type="dxa"/>
            <w:vAlign w:val="bottom"/>
          </w:tcPr>
          <w:p>
            <w:pPr>
              <w:spacing w:after="0"/>
              <w:rPr>
                <w:rFonts w:ascii="Arial" w:cs="Arial" w:eastAsia="Arial" w:hAnsi="Arial"/>
                <w:sz w:val="20"/>
                <w:szCs w:val="20"/>
                <w:u w:val="single" w:color="auto"/>
                <w:color w:val="0000EE"/>
                <w:w w:val="97"/>
              </w:rPr>
            </w:pPr>
            <w:hyperlink r:id="rId22">
              <w:r>
                <w:rPr>
                  <w:rFonts w:ascii="Arial" w:cs="Arial" w:eastAsia="Arial" w:hAnsi="Arial"/>
                  <w:sz w:val="20"/>
                  <w:szCs w:val="20"/>
                  <w:u w:val="single" w:color="auto"/>
                  <w:color w:val="0000EE"/>
                  <w:w w:val="97"/>
                </w:rPr>
                <w:t>Gallogly Mark T</w:t>
              </w:r>
            </w:hyperlink>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0"/>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1"/>
        </w:trPr>
        <w:tc>
          <w:tcPr>
            <w:tcW w:w="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(Last)</w:t>
            </w:r>
          </w:p>
        </w:tc>
        <w:tc>
          <w:tcPr>
            <w:tcW w:w="1220" w:type="dxa"/>
            <w:vAlign w:val="bottom"/>
          </w:tcPr>
          <w:p>
            <w:pPr>
              <w:ind w:left="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600" w:type="dxa"/>
            <w:vAlign w:val="bottom"/>
            <w:gridSpan w:val="2"/>
          </w:tcPr>
          <w:p>
            <w:pPr>
              <w:spacing w:after="0"/>
              <w:rPr>
                <w:sz w:val="20"/>
                <w:szCs w:val="20"/>
                <w:color w:val="auto"/>
              </w:rPr>
            </w:pPr>
            <w:r>
              <w:rPr>
                <w:rFonts w:ascii="Arial" w:cs="Arial" w:eastAsia="Arial" w:hAnsi="Arial"/>
                <w:sz w:val="16"/>
                <w:szCs w:val="16"/>
                <w:color w:val="0000FF"/>
              </w:rPr>
              <w:t>375 PARK AVENUE, 11TH FLOOR</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9"/>
        </w:trPr>
        <w:tc>
          <w:tcPr>
            <w:tcW w:w="8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NEW YORK</w:t>
            </w:r>
          </w:p>
        </w:tc>
        <w:tc>
          <w:tcPr>
            <w:tcW w:w="1220" w:type="dxa"/>
            <w:vAlign w:val="bottom"/>
          </w:tcPr>
          <w:p>
            <w:pPr>
              <w:ind w:left="40"/>
              <w:spacing w:after="0"/>
              <w:rPr>
                <w:sz w:val="20"/>
                <w:szCs w:val="20"/>
                <w:color w:val="auto"/>
              </w:rPr>
            </w:pPr>
            <w:r>
              <w:rPr>
                <w:rFonts w:ascii="Arial" w:cs="Arial" w:eastAsia="Arial" w:hAnsi="Arial"/>
                <w:sz w:val="16"/>
                <w:szCs w:val="16"/>
                <w:color w:val="0000FF"/>
              </w:rPr>
              <w:t>NY</w:t>
            </w:r>
          </w:p>
        </w:tc>
        <w:tc>
          <w:tcPr>
            <w:tcW w:w="1600" w:type="dxa"/>
            <w:vAlign w:val="bottom"/>
          </w:tcPr>
          <w:p>
            <w:pPr>
              <w:ind w:left="220"/>
              <w:spacing w:after="0"/>
              <w:rPr>
                <w:sz w:val="20"/>
                <w:szCs w:val="20"/>
                <w:color w:val="auto"/>
              </w:rPr>
            </w:pPr>
            <w:r>
              <w:rPr>
                <w:rFonts w:ascii="Arial" w:cs="Arial" w:eastAsia="Arial" w:hAnsi="Arial"/>
                <w:sz w:val="16"/>
                <w:szCs w:val="16"/>
                <w:color w:val="0000FF"/>
              </w:rPr>
              <w:t>10152</w:t>
            </w:r>
          </w:p>
        </w:tc>
        <w:tc>
          <w:tcPr>
            <w:tcW w:w="80" w:type="dxa"/>
            <w:vAlign w:val="bottom"/>
          </w:tcPr>
          <w:p>
            <w:pPr>
              <w:spacing w:after="0"/>
              <w:rPr>
                <w:sz w:val="19"/>
                <w:szCs w:val="19"/>
                <w:color w:val="auto"/>
              </w:rPr>
            </w:pPr>
          </w:p>
        </w:tc>
      </w:tr>
      <w:tr>
        <w:trPr>
          <w:trHeight w:val="140"/>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1220" w:type="dxa"/>
            <w:vAlign w:val="bottom"/>
          </w:tcPr>
          <w:p>
            <w:pPr>
              <w:ind w:left="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140" w:hanging="125"/>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cancellation for no consideration of Class B Common Stock in connection with the redemption and conversion of the LLC Interests into shares of Class A Common Stock.</w:t>
      </w:r>
    </w:p>
    <w:p>
      <w:pPr>
        <w:spacing w:after="0" w:line="45" w:lineRule="exact"/>
        <w:rPr>
          <w:rFonts w:ascii="Arial" w:cs="Arial" w:eastAsia="Arial" w:hAnsi="Arial"/>
          <w:sz w:val="12"/>
          <w:szCs w:val="12"/>
          <w:color w:val="008000"/>
        </w:rPr>
      </w:pPr>
    </w:p>
    <w:p>
      <w:pPr>
        <w:ind w:left="140" w:hanging="125"/>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entirely of LLC Interests or Class B Common Stock held of record by Blizzard Aggregator, LLC ("Blizzard Aggregator").</w:t>
      </w:r>
    </w:p>
    <w:p>
      <w:pPr>
        <w:spacing w:after="0" w:line="45" w:lineRule="exact"/>
        <w:rPr>
          <w:rFonts w:ascii="Arial" w:cs="Arial" w:eastAsia="Arial" w:hAnsi="Arial"/>
          <w:sz w:val="12"/>
          <w:szCs w:val="12"/>
          <w:color w:val="008000"/>
        </w:rPr>
      </w:pPr>
    </w:p>
    <w:p>
      <w:pPr>
        <w:ind w:left="20" w:hanging="5"/>
        <w:spacing w:after="0" w:line="241" w:lineRule="auto"/>
        <w:tabs>
          <w:tab w:leader="none" w:pos="14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CCP III Cayman GP Ltd. ("CCP GP") is the general partner of Centerbridge Associates III, L.P. ("Centerbridge Associates"), which is the general partner of each of CCP III AIV VII Holdings, L.P. ("CCP III") and CB Blizzard Co-Invest Holdings, L.P. ("CB Blizzard") and may be deemed to share beneficial ownership over the shares held of record by CCP III and CB Blizzard. CCP GP is the sole manager of Blizzard Aggregator and may be deemed to share beneficial ownership over the shares held of record by Blizzard Aggregator. As the directors of CCP GP, Jeffrey H. Aronson and Mark T. Gallogly may be deemed to share beneficial ownership with respect to the shares held by each of CCP III, CB Blizzard and Blizzard Aggregator. Such persons and entities disclaim beneficial ownership of the shares held by each of CCP III, CB Blizzard and Blizzard Aggregator, except to the extent of any proportionate pecuniary interest therein.</w:t>
      </w:r>
    </w:p>
    <w:p>
      <w:pPr>
        <w:spacing w:after="0" w:line="28" w:lineRule="exact"/>
        <w:rPr>
          <w:rFonts w:ascii="Arial" w:cs="Arial" w:eastAsia="Arial" w:hAnsi="Arial"/>
          <w:sz w:val="12"/>
          <w:szCs w:val="12"/>
          <w:color w:val="008000"/>
        </w:rPr>
      </w:pPr>
    </w:p>
    <w:p>
      <w:pPr>
        <w:ind w:left="140" w:hanging="125"/>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LLC Interests may be redeemed by the Reporting Person at any time on or following the closing of the Initial Public Offering ("IPO") for shares of Class A Common Stock on a 1-to-1 basis.</w:t>
      </w:r>
    </w:p>
    <w:p>
      <w:pPr>
        <w:spacing w:after="0" w:line="45" w:lineRule="exact"/>
        <w:rPr>
          <w:rFonts w:ascii="Arial" w:cs="Arial" w:eastAsia="Arial" w:hAnsi="Arial"/>
          <w:sz w:val="12"/>
          <w:szCs w:val="12"/>
          <w:color w:val="008000"/>
        </w:rPr>
      </w:pPr>
    </w:p>
    <w:p>
      <w:pPr>
        <w:ind w:left="20" w:right="80" w:hanging="5"/>
        <w:spacing w:after="0" w:line="263" w:lineRule="auto"/>
        <w:tabs>
          <w:tab w:leader="none" w:pos="14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described in the prospectus filed by the Issuer with the Securities and Exchange Commission, upon the closing of the IPO, the Reporting Person redeemed its LLC Interests in exchange for an aggregate consideration of $19.95 per LLC Interest.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920"/>
          </w:cols>
          <w:pgMar w:left="480" w:top="131" w:right="499" w:bottom="0" w:gutter="0" w:footer="0" w:header="0"/>
        </w:sectPr>
      </w:pPr>
    </w:p>
    <w:p>
      <w:pPr>
        <w:spacing w:after="0" w:line="130"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CCP III AIV VII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-9525</wp:posOffset>
            </wp:positionV>
            <wp:extent cx="12534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5349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L.P., By: 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11474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4744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10801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801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11430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CAYMAN GP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-7620</wp:posOffset>
            </wp:positionV>
            <wp:extent cx="129984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partner, 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0</wp:posOffset>
            </wp:positionV>
            <wp:extent cx="13455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8718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87185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-9525</wp:posOffset>
            </wp:positionV>
            <wp:extent cx="12172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1729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9201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92011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7683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683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10801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801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11430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430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CAYMAN GP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-7620</wp:posOffset>
            </wp:positionV>
            <wp:extent cx="12998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partner, 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0</wp:posOffset>
            </wp:positionV>
            <wp:extent cx="13455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8718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87185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-9525</wp:posOffset>
            </wp:positionV>
            <wp:extent cx="7683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6835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ASSOCIATES III, L.P., By: 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0</wp:posOffset>
            </wp:positionV>
            <wp:extent cx="13468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15" w:lineRule="exact"/>
        <w:rPr>
          <w:sz w:val="20"/>
          <w:szCs w:val="20"/>
          <w:color w:val="auto"/>
        </w:rPr>
      </w:pPr>
    </w:p>
    <w:p>
      <w:pPr>
        <w:ind w:left="6580" w:right="100" w:hanging="9"/>
        <w:spacing w:after="0" w:line="312" w:lineRule="auto"/>
        <w:tabs>
          <w:tab w:leader="none" w:pos="6779" w:val="left"/>
        </w:tabs>
        <w:numPr>
          <w:ilvl w:val="0"/>
          <w:numId w:val="3"/>
        </w:numPr>
        <w:rPr>
          <w:rFonts w:ascii="Arial" w:cs="Arial" w:eastAsia="Arial" w:hAnsi="Arial"/>
          <w:sz w:val="14"/>
          <w:szCs w:val="14"/>
          <w:color w:val="0000FF"/>
        </w:rPr>
      </w:pPr>
      <w:r>
        <w:rPr>
          <w:rFonts w:ascii="Arial" w:cs="Arial" w:eastAsia="Arial" w:hAnsi="Arial"/>
          <w:sz w:val="14"/>
          <w:szCs w:val="14"/>
          <w:color w:val="0000FF"/>
        </w:rPr>
        <w:t>CAYMAN GP LTD., its general partner, By: /s/ Susanne V. Clark,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-296545</wp:posOffset>
            </wp:positionV>
            <wp:extent cx="11036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03630" cy="762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-172085</wp:posOffset>
            </wp:positionV>
            <wp:extent cx="128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82700" cy="762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-48260</wp:posOffset>
            </wp:positionV>
            <wp:extent cx="12573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-9525</wp:posOffset>
            </wp:positionV>
            <wp:extent cx="11988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10134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134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8718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87185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BLIZZARD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-9525</wp:posOffset>
            </wp:positionV>
            <wp:extent cx="12319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LLC, By: CCP III CAYMAN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-7620</wp:posOffset>
            </wp:positionV>
            <wp:extent cx="13481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4810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LTD., its sole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-7620</wp:posOffset>
            </wp:positionV>
            <wp:extent cx="12319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12014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014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-14605</wp:posOffset>
            </wp:positionV>
            <wp:extent cx="3924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924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ectPr>
          <w:pgSz w:w="11900" w:h="16838" w:orient="portrait"/>
          <w:cols w:equalWidth="0" w:num="2">
            <w:col w:w="8700" w:space="80"/>
            <w:col w:w="2140"/>
          </w:cols>
          <w:pgMar w:left="480" w:top="131" w:right="499" w:bottom="0" w:gutter="0" w:footer="0" w:header="0"/>
          <w:type w:val="continuous"/>
        </w:sectPr>
      </w:pPr>
    </w:p>
    <w:bookmarkStart w:id="2" w:name="page3"/>
    <w:bookmarkEnd w:id="2"/>
    <w:p>
      <w:pPr>
        <w:ind w:left="6565"/>
        <w:spacing w:after="0"/>
        <w:rPr>
          <w:sz w:val="20"/>
          <w:szCs w:val="20"/>
          <w:color w:val="auto"/>
        </w:rPr>
      </w:pPr>
      <w:r>
        <w:rPr>
          <w:rFonts w:ascii="Arial" w:cs="Arial" w:eastAsia="Arial" w:hAnsi="Arial"/>
          <w:sz w:val="15"/>
          <w:szCs w:val="15"/>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-2540</wp:posOffset>
            </wp:positionV>
            <wp:extent cx="12484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spacing w:after="0" w:line="1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8953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895350" cy="7620"/>
                    </a:xfrm>
                    <a:prstGeom prst="rect">
                      <a:avLst/>
                    </a:prstGeom>
                    <a:noFill/>
                  </pic:spPr>
                </pic:pic>
              </a:graphicData>
            </a:graphic>
          </wp:anchor>
        </w:drawing>
      </w:r>
    </w:p>
    <w:p>
      <w:pPr>
        <w:spacing w:after="0" w:line="33" w:lineRule="exact"/>
        <w:rPr>
          <w:sz w:val="20"/>
          <w:szCs w:val="20"/>
          <w:color w:val="auto"/>
        </w:rPr>
      </w:pPr>
    </w:p>
    <w:p>
      <w:pPr>
        <w:ind w:left="6565"/>
        <w:spacing w:after="0"/>
        <w:rPr>
          <w:sz w:val="20"/>
          <w:szCs w:val="20"/>
          <w:color w:val="auto"/>
        </w:rPr>
      </w:pPr>
      <w:r>
        <w:rPr>
          <w:rFonts w:ascii="Arial" w:cs="Arial" w:eastAsia="Arial" w:hAnsi="Arial"/>
          <w:sz w:val="15"/>
          <w:szCs w:val="15"/>
          <w:color w:val="0000FF"/>
        </w:rPr>
        <w:t>MARK T. GALLOGLY,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-2540</wp:posOffset>
            </wp:positionV>
            <wp:extent cx="12763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11" w:lineRule="exact"/>
        <w:rPr>
          <w:sz w:val="20"/>
          <w:szCs w:val="20"/>
          <w:color w:val="auto"/>
        </w:rPr>
      </w:pPr>
    </w:p>
    <w:p>
      <w:pPr>
        <w:ind w:left="6565"/>
        <w:spacing w:after="0"/>
        <w:rPr>
          <w:sz w:val="20"/>
          <w:szCs w:val="20"/>
          <w:color w:val="auto"/>
        </w:rPr>
      </w:pPr>
      <w:r>
        <w:rPr>
          <w:rFonts w:ascii="Arial" w:cs="Arial" w:eastAsia="Arial" w:hAnsi="Arial"/>
          <w:sz w:val="16"/>
          <w:szCs w:val="16"/>
          <w:color w:val="0000FF"/>
        </w:rPr>
        <w:t>Mark T. Gallogly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70167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01675" cy="7620"/>
                    </a:xfrm>
                    <a:prstGeom prst="rect">
                      <a:avLst/>
                    </a:prstGeom>
                    <a:noFill/>
                  </pic:spPr>
                </pic:pic>
              </a:graphicData>
            </a:graphic>
          </wp:anchor>
        </w:drawing>
      </w:r>
    </w:p>
    <w:p>
      <w:pPr>
        <w:spacing w:after="0" w:line="41" w:lineRule="exact"/>
        <w:rPr>
          <w:sz w:val="20"/>
          <w:szCs w:val="20"/>
          <w:color w:val="auto"/>
        </w:rPr>
      </w:pPr>
    </w:p>
    <w:p>
      <w:pPr>
        <w:ind w:left="6565"/>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0000FF"/>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5974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5" w:lineRule="exact"/>
        <w:rPr>
          <w:sz w:val="20"/>
          <w:szCs w:val="20"/>
          <w:color w:val="auto"/>
        </w:rPr>
      </w:pPr>
    </w:p>
    <w:p>
      <w:pPr>
        <w:sectPr>
          <w:pgSz w:w="11900" w:h="16838" w:orient="portrait"/>
          <w:cols w:equalWidth="0" w:num="2">
            <w:col w:w="8565" w:space="200"/>
            <w:col w:w="1199"/>
          </w:cols>
          <w:pgMar w:left="495" w:top="131" w:right="1440" w:bottom="1440" w:gutter="0" w:footer="0" w:header="0"/>
        </w:sect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5" w:right="2899" w:hanging="5"/>
        <w:spacing w:after="0" w:line="317"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5"/>
      </w:cols>
      <w:pgMar w:left="495"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upperLetter"/>
      <w:start w:val="6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13" Type="http://schemas.openxmlformats.org/officeDocument/2006/relationships/hyperlink" Target="http://www.sec.gov/cgi-bin/browse-edgar?action=getcompany&amp;CIK=0001667801" TargetMode="External"/><Relationship Id="rId14" Type="http://schemas.openxmlformats.org/officeDocument/2006/relationships/hyperlink" Target="http://www.sec.gov/cgi-bin/browse-edgar?action=getcompany&amp;CIK=0001808220" TargetMode="External"/><Relationship Id="rId15" Type="http://schemas.openxmlformats.org/officeDocument/2006/relationships/hyperlink" Target="http://www.sec.gov/cgi-bin/browse-edgar?action=getcompany&amp;CIK=0001818077" TargetMode="External"/><Relationship Id="rId16" Type="http://schemas.openxmlformats.org/officeDocument/2006/relationships/hyperlink" Target="http://www.sec.gov/cgi-bin/browse-edgar?action=getcompany&amp;CIK=0001785522" TargetMode="External"/><Relationship Id="rId18" Type="http://schemas.openxmlformats.org/officeDocument/2006/relationships/hyperlink" Target="http://www.sec.gov/cgi-bin/browse-edgar?action=getcompany&amp;CIK=0001818016" TargetMode="External"/><Relationship Id="rId20" Type="http://schemas.openxmlformats.org/officeDocument/2006/relationships/hyperlink" Target="http://www.sec.gov/cgi-bin/browse-edgar?action=getcompany&amp;CIK=0001818020" TargetMode="External"/><Relationship Id="rId21" Type="http://schemas.openxmlformats.org/officeDocument/2006/relationships/hyperlink" Target="http://www.sec.gov/cgi-bin/browse-edgar?action=getcompany&amp;CIK=0001425800" TargetMode="External"/><Relationship Id="rId22" Type="http://schemas.openxmlformats.org/officeDocument/2006/relationships/hyperlink" Target="http://www.sec.gov/cgi-bin/browse-edgar?action=getcompany&amp;CIK=0001426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2020-07-21T19:38:42Z</dcterms:created>
  <dcterms:modified xsi:type="dcterms:W3CDTF">2020-07-21T19:38:42Z</dcterms:modified>
</cp:coreProperties>
</file>