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748665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774700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March 18, 2026</w:t>
      </w:r>
    </w:p>
    <w:p>
      <w:pPr>
        <w:spacing w:after="0" w:line="123"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GoHealth, Inc.</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28"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ectPr>
          <w:pgSz w:w="11900" w:h="16838" w:orient="portrait"/>
          <w:cols w:equalWidth="0" w:num="1">
            <w:col w:w="11240"/>
          </w:cols>
          <w:pgMar w:left="320" w:top="1405" w:right="339" w:bottom="1440" w:gutter="0" w:footer="0" w:header="0"/>
        </w:sectPr>
      </w:pPr>
    </w:p>
    <w:p>
      <w:pPr>
        <w:spacing w:after="0" w:line="164" w:lineRule="exact"/>
        <w:rPr>
          <w:sz w:val="24"/>
          <w:szCs w:val="24"/>
          <w:color w:val="auto"/>
        </w:rPr>
      </w:pPr>
    </w:p>
    <w:p>
      <w:pPr>
        <w:ind w:left="1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001-39390</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85-0563805</w:t>
      </w:r>
    </w:p>
    <w:p>
      <w:pPr>
        <w:spacing w:after="0" w:line="59" w:lineRule="exact"/>
        <w:rPr>
          <w:sz w:val="24"/>
          <w:szCs w:val="24"/>
          <w:color w:val="auto"/>
        </w:rPr>
      </w:pPr>
    </w:p>
    <w:p>
      <w:pPr>
        <w:sectPr>
          <w:pgSz w:w="11900" w:h="16838" w:orient="portrait"/>
          <w:cols w:equalWidth="0" w:num="3">
            <w:col w:w="4500" w:space="720"/>
            <w:col w:w="3000" w:space="720"/>
            <w:col w:w="2300"/>
          </w:cols>
          <w:pgMar w:left="320" w:top="1405" w:right="3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60" w:space="720"/>
            <w:col w:w="3120"/>
          </w:cols>
          <w:pgMar w:left="320" w:top="1405" w:right="339" w:bottom="1440" w:gutter="0" w:footer="0" w:header="0"/>
          <w:type w:val="continuous"/>
        </w:sectPr>
      </w:pPr>
    </w:p>
    <w:p>
      <w:pPr>
        <w:spacing w:after="0" w:line="102" w:lineRule="exact"/>
        <w:rPr>
          <w:sz w:val="24"/>
          <w:szCs w:val="24"/>
          <w:color w:val="auto"/>
        </w:rPr>
      </w:pPr>
    </w:p>
    <w:p>
      <w:pPr>
        <w:ind w:left="420"/>
        <w:spacing w:after="0"/>
        <w:rPr>
          <w:sz w:val="20"/>
          <w:szCs w:val="20"/>
          <w:color w:val="auto"/>
        </w:rPr>
      </w:pPr>
      <w:r>
        <w:rPr>
          <w:rFonts w:ascii="Arial" w:cs="Arial" w:eastAsia="Arial" w:hAnsi="Arial"/>
          <w:sz w:val="16"/>
          <w:szCs w:val="16"/>
          <w:b w:val="1"/>
          <w:bCs w:val="1"/>
          <w:color w:val="auto"/>
        </w:rPr>
        <w:t>222 W Merchandise Mart Plaza Suite 1750</w:t>
      </w:r>
    </w:p>
    <w:p>
      <w:pPr>
        <w:sectPr>
          <w:pgSz w:w="11900" w:h="16838" w:orient="portrait"/>
          <w:cols w:equalWidth="0" w:num="1">
            <w:col w:w="11240"/>
          </w:cols>
          <w:pgMar w:left="320" w:top="1405" w:right="339" w:bottom="1440" w:gutter="0" w:footer="0" w:header="0"/>
          <w:type w:val="continuous"/>
        </w:sectPr>
      </w:pPr>
    </w:p>
    <w:p>
      <w:pPr>
        <w:spacing w:after="0" w:line="73" w:lineRule="exact"/>
        <w:rPr>
          <w:sz w:val="24"/>
          <w:szCs w:val="24"/>
          <w:color w:val="auto"/>
        </w:rPr>
      </w:pPr>
    </w:p>
    <w:p>
      <w:pPr>
        <w:ind w:left="1320"/>
        <w:spacing w:after="0"/>
        <w:rPr>
          <w:sz w:val="20"/>
          <w:szCs w:val="20"/>
          <w:color w:val="auto"/>
        </w:rPr>
      </w:pPr>
      <w:r>
        <w:rPr>
          <w:rFonts w:ascii="Arial" w:cs="Arial" w:eastAsia="Arial" w:hAnsi="Arial"/>
          <w:sz w:val="16"/>
          <w:szCs w:val="16"/>
          <w:b w:val="1"/>
          <w:bCs w:val="1"/>
          <w:color w:val="auto"/>
        </w:rPr>
        <w:t>Chicago, Illinois</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60654</w:t>
      </w:r>
    </w:p>
    <w:p>
      <w:pPr>
        <w:spacing w:after="0" w:line="70" w:lineRule="exact"/>
        <w:rPr>
          <w:sz w:val="24"/>
          <w:szCs w:val="24"/>
          <w:color w:val="auto"/>
        </w:rPr>
      </w:pPr>
    </w:p>
    <w:p>
      <w:pPr>
        <w:sectPr>
          <w:pgSz w:w="11900" w:h="16838" w:orient="portrait"/>
          <w:cols w:equalWidth="0" w:num="2">
            <w:col w:w="8440" w:space="720"/>
            <w:col w:w="2080"/>
          </w:cols>
          <w:pgMar w:left="320" w:top="1405" w:right="339" w:bottom="1440" w:gutter="0" w:footer="0" w:header="0"/>
          <w:type w:val="continuous"/>
        </w:sectPr>
      </w:pPr>
    </w:p>
    <w:p>
      <w:pPr>
        <w:ind w:left="6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8280" w:space="720"/>
            <w:col w:w="2240"/>
          </w:cols>
          <w:pgMar w:left="320" w:top="1405" w:right="339" w:bottom="1440" w:gutter="0" w:footer="0" w:header="0"/>
          <w:type w:val="continuous"/>
        </w:sectPr>
      </w:pP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(312) 386-8200</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N/A</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28"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10" w:lineRule="exact"/>
        <w:rPr>
          <w:sz w:val="24"/>
          <w:szCs w:val="24"/>
          <w:color w:val="auto"/>
        </w:rPr>
      </w:pPr>
    </w:p>
    <w:p>
      <w:pPr>
        <w:ind w:right="30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02" w:lineRule="exact"/>
        <w:rPr>
          <w:sz w:val="24"/>
          <w:szCs w:val="24"/>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8"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5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18"/>
                <w:szCs w:val="18"/>
                <w:color w:val="auto"/>
              </w:rPr>
            </w:pPr>
          </w:p>
        </w:tc>
      </w:tr>
      <w:tr>
        <w:trPr>
          <w:trHeight w:val="339"/>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26"/>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jc w:val="center"/>
              <w:ind w:right="659"/>
              <w:spacing w:after="0"/>
              <w:rPr>
                <w:sz w:val="20"/>
                <w:szCs w:val="20"/>
                <w:color w:val="auto"/>
              </w:rPr>
            </w:pPr>
            <w:r>
              <w:rPr>
                <w:rFonts w:ascii="Arial" w:cs="Arial" w:eastAsia="Arial" w:hAnsi="Arial"/>
                <w:sz w:val="16"/>
                <w:szCs w:val="16"/>
                <w:b w:val="1"/>
                <w:bCs w:val="1"/>
                <w:color w:val="auto"/>
              </w:rPr>
              <w:t>Trading Symbol(s)</w:t>
            </w:r>
          </w:p>
        </w:tc>
        <w:tc>
          <w:tcPr>
            <w:tcW w:w="100" w:type="dxa"/>
            <w:vAlign w:val="bottom"/>
          </w:tcPr>
          <w:p>
            <w:pPr>
              <w:spacing w:after="0"/>
              <w:rPr>
                <w:sz w:val="19"/>
                <w:szCs w:val="19"/>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213"/>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Class A Common Stock,</w:t>
            </w:r>
          </w:p>
        </w:tc>
        <w:tc>
          <w:tcPr>
            <w:tcW w:w="3020" w:type="dxa"/>
            <w:vAlign w:val="bottom"/>
            <w:gridSpan w:val="2"/>
          </w:tcPr>
          <w:p>
            <w:pPr>
              <w:jc w:val="center"/>
              <w:ind w:right="840"/>
              <w:spacing w:after="0"/>
              <w:rPr>
                <w:sz w:val="20"/>
                <w:szCs w:val="20"/>
                <w:color w:val="auto"/>
              </w:rPr>
            </w:pPr>
            <w:r>
              <w:rPr>
                <w:rFonts w:ascii="Arial" w:cs="Arial" w:eastAsia="Arial" w:hAnsi="Arial"/>
                <w:sz w:val="16"/>
                <w:szCs w:val="16"/>
                <w:color w:val="auto"/>
              </w:rPr>
              <w:t>GOCO</w:t>
            </w:r>
          </w:p>
        </w:tc>
        <w:tc>
          <w:tcPr>
            <w:tcW w:w="3680" w:type="dxa"/>
            <w:vAlign w:val="bottom"/>
          </w:tcPr>
          <w:p>
            <w:pPr>
              <w:jc w:val="center"/>
              <w:spacing w:after="0"/>
              <w:rPr>
                <w:sz w:val="20"/>
                <w:szCs w:val="20"/>
                <w:color w:val="auto"/>
              </w:rPr>
            </w:pPr>
            <w:r>
              <w:rPr>
                <w:rFonts w:ascii="Arial" w:cs="Arial" w:eastAsia="Arial" w:hAnsi="Arial"/>
                <w:sz w:val="16"/>
                <w:szCs w:val="16"/>
                <w:color w:val="auto"/>
              </w:rPr>
              <w:t>The Nasdaq Global Market</w:t>
            </w:r>
          </w:p>
        </w:tc>
      </w:tr>
      <w:tr>
        <w:trPr>
          <w:trHeight w:val="215"/>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$0.0001 par value per share</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18"/>
                <w:szCs w:val="18"/>
                <w:color w:val="auto"/>
              </w:rPr>
            </w:pPr>
          </w:p>
        </w:tc>
      </w:tr>
    </w:tbl>
    <w:p>
      <w:pPr>
        <w:spacing w:after="0" w:line="204"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49" w:lineRule="exact"/>
        <w:rPr>
          <w:sz w:val="24"/>
          <w:szCs w:val="24"/>
          <w:color w:val="auto"/>
        </w:rPr>
      </w:pPr>
    </w:p>
    <w:p>
      <w:pPr>
        <w:ind w:right="140"/>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720725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3.01. Notice of Delisting or Failure to Satisfy a Continued Listing Rule or Standard; Transfer of Listing.</w:t>
      </w:r>
    </w:p>
    <w:p>
      <w:pPr>
        <w:spacing w:after="0" w:line="248"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On March 18, 2026, GoHealth, Inc. (the “Company”) received a written notice (the “Notice”) from the Listing Qualifications Department of The Nasdaq Stock Market LLC (“Nasdaq”) notifying the Company that it is not in compliance with Nasdaq Listing Rule 5550(b)(2), which requires listed companies on The Nasdaq Global Market to maintain a minimum market value of listed securities of $35 million (the “MVLS Requirement”). The Notice also indicates that the Company does not meet the alternative continued listing standards set forth in Nasdaq Listing Rules 5550(b)(1) and 5550(b)(3), which require listed companies to maintain stockholders’ equity of at least $2.5 million or net income from continuing operations of $500,000 in the most recently completed fiscal year or in two of the three most recently completed fiscal years.</w:t>
      </w:r>
    </w:p>
    <w:p>
      <w:pPr>
        <w:spacing w:after="0" w:line="217"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The Notice has no immediate effect on the listing or trading of the Company’s common stock, which will continue to trade on The Nasdaq Global Market under the symbol “GOCO”.</w:t>
      </w:r>
    </w:p>
    <w:p>
      <w:pPr>
        <w:spacing w:after="0" w:line="196"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In accordance with Nasdaq Listing Rule 5810(c)(3)(C), the Company has been provided a compliance period of 180 calendar days, or until September 14, 2026 (the “Compliance Period”), to regain compliance with the MVLS Requirement. If at any time during the Compliance Period the Company’s market value of listed securities closes at $35 million or more for a minimum of 10 consecutive business days (unless Nasdaq exercises its discretion to require a longer period, but generally no more than 20 consecutive business days), Nasdaq will provide written confirmation that the Company has regained compliance.</w:t>
      </w:r>
    </w:p>
    <w:p>
      <w:pPr>
        <w:spacing w:after="0" w:line="200"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If the Company does not regain compliance during the Compliance Period, the Company expects that Nasdaq will provide written notice that the Company’s securities are subject to delisting. At that time, the Company may appeal Nasdaq’s determination to a Nasdaq Hearings Panel, which would stay any suspension or delisting action pending the conclusion of the hearing process.</w:t>
      </w:r>
    </w:p>
    <w:p>
      <w:pPr>
        <w:spacing w:after="0" w:line="191"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The Company is evaluating options to regain compliance with the MVLS Requirement; however, there can be no assurance that the Company will be able to regain compliance with the applicable continued listing requirements.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Forward-Looking Statements</w:t>
      </w:r>
    </w:p>
    <w:p>
      <w:pPr>
        <w:spacing w:after="0" w:line="248"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This Current Report on Form 8-K contains “forward-looking statements” within the meaning of the Section 27A of the Securities Act of 1933, as amended, and Section 21E of the Securities Exchange Act of 1934, as amended. Forward-looking statements are statements that are not historical facts and can be identified by words such as “may,” “will,” “should,” “aims,” “expects,” “plans,” “anticipates,” “could,” “intends,” “targets,” “projects,” “contemplates,” “believes,” “estimates,” “predicts,” “potential,” “likely,” “future” or “continue” or the negative of these terms or other similar expressions. These statements are based on our current expectations, estimates, and projections about our business and industry, management’s beliefs, and certain assumptions made by us, all of which are subject to change. Forward-looking statements in this Current Report on Form 8- K include, but are not limited to, the Company’s plans and ability to regain compliance with the MVLS Requirement and to maintain its listing on The Nasdaq Global Market. Forward-looking statements involve known and unknown risks, uncertainties, and other factors that may cause our actual results, performance, or achievements to differ materially from those expressed or implied by the forward-looking statements. For a further description of the risks and uncertainties that could cause our actual results to differ materially from those expressed in these forward-looking statements, as well as risks relating to our business in general, we refer you to the risks described under the heading “Risk Factors” in our Annual Report on Form 10-K for the year ended December 31, 2024, our Quarterly Reports on Form 10-Q, Current Reports on Form 8-K, and other filings with the Securities and Exchange Commission. The forward-looking statements contained in this Current Report on Form 8-K speak only as of the date the statements were made and the Company does not undertake any obligation to update such forward-looking statements to reflect subsequent events or circumstances.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exhibits are included herewith:</w:t>
      </w:r>
    </w:p>
    <w:p>
      <w:pPr>
        <w:sectPr>
          <w:pgSz w:w="11900" w:h="16838" w:orient="portrait"/>
          <w:cols w:equalWidth="0" w:num="1">
            <w:col w:w="11200"/>
          </w:cols>
          <w:pgMar w:left="320" w:top="1138" w:right="379" w:bottom="1440" w:gutter="0" w:footer="0" w:header="0"/>
        </w:sectPr>
      </w:pP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Exhibit Number</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w:t>
      </w:r>
    </w:p>
    <w:p>
      <w:pPr>
        <w:spacing w:after="0" w:line="57" w:lineRule="exact"/>
        <w:rPr>
          <w:sz w:val="20"/>
          <w:szCs w:val="20"/>
          <w:color w:val="auto"/>
        </w:rPr>
      </w:pPr>
    </w:p>
    <w:p>
      <w:pPr>
        <w:sectPr>
          <w:pgSz w:w="11900" w:h="16838" w:orient="portrait"/>
          <w:cols w:equalWidth="0" w:num="2">
            <w:col w:w="1380" w:space="620"/>
            <w:col w:w="9200"/>
          </w:cols>
          <w:pgMar w:left="320" w:top="1138" w:right="379" w:bottom="1440" w:gutter="0" w:footer="0" w:header="0"/>
          <w:type w:val="continuous"/>
        </w:sectPr>
      </w:pPr>
    </w:p>
    <w:p>
      <w:pPr>
        <w:ind w:left="640"/>
        <w:spacing w:after="0"/>
        <w:rPr>
          <w:sz w:val="20"/>
          <w:szCs w:val="20"/>
          <w:color w:val="auto"/>
        </w:rPr>
      </w:pPr>
      <w:r>
        <w:rPr>
          <w:rFonts w:ascii="Arial" w:cs="Arial" w:eastAsia="Arial" w:hAnsi="Arial"/>
          <w:sz w:val="15"/>
          <w:szCs w:val="15"/>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-1276985</wp:posOffset>
            </wp:positionH>
            <wp:positionV relativeFrom="paragraph">
              <wp:posOffset>2117090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280" w:space="720"/>
            <w:col w:w="9200"/>
          </w:cols>
          <w:pgMar w:left="320" w:top="1138" w:right="37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200" w:lineRule="exact"/>
        <w:rPr>
          <w:sz w:val="20"/>
          <w:szCs w:val="20"/>
          <w:color w:val="auto"/>
        </w:rPr>
      </w:pPr>
    </w:p>
    <w:p>
      <w:pPr>
        <w:spacing w:after="0" w:line="264"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GOHEALTH, INC.</w:t>
      </w:r>
    </w:p>
    <w:p>
      <w:pPr>
        <w:spacing w:after="0" w:line="208" w:lineRule="exact"/>
        <w:rPr>
          <w:sz w:val="20"/>
          <w:szCs w:val="20"/>
          <w:color w:val="auto"/>
        </w:rPr>
      </w:pPr>
    </w:p>
    <w:p>
      <w:pPr>
        <w:ind w:left="240"/>
        <w:spacing w:after="0"/>
        <w:tabs>
          <w:tab w:leader="none" w:pos="5740" w:val="left"/>
        </w:tabs>
        <w:rPr>
          <w:sz w:val="20"/>
          <w:szCs w:val="20"/>
          <w:color w:val="auto"/>
        </w:rPr>
      </w:pPr>
      <w:r>
        <w:rPr>
          <w:rFonts w:ascii="Arial" w:cs="Arial" w:eastAsia="Arial" w:hAnsi="Arial"/>
          <w:sz w:val="16"/>
          <w:szCs w:val="16"/>
          <w:color w:val="auto"/>
        </w:rPr>
        <w:t>Date: March 20, 2026</w:t>
      </w:r>
      <w:r>
        <w:rPr>
          <w:sz w:val="20"/>
          <w:szCs w:val="20"/>
          <w:color w:val="auto"/>
        </w:rPr>
        <w:tab/>
      </w:r>
      <w:r>
        <w:rPr>
          <w:rFonts w:ascii="Arial" w:cs="Arial" w:eastAsia="Arial" w:hAnsi="Arial"/>
          <w:sz w:val="16"/>
          <w:szCs w:val="16"/>
          <w:color w:val="auto"/>
        </w:rPr>
        <w:t>By: /s/ Bradley M. Burd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29210</wp:posOffset>
            </wp:positionV>
            <wp:extent cx="33261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9"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Brad Burd</w:t>
      </w:r>
    </w:p>
    <w:p>
      <w:pPr>
        <w:spacing w:after="0" w:line="8"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Chief Legal Officer</w:t>
      </w:r>
    </w:p>
    <w:sectPr>
      <w:pgSz w:w="11900" w:h="16838" w:orient="portrait"/>
      <w:cols w:equalWidth="0" w:num="1">
        <w:col w:w="11220"/>
      </w:cols>
      <w:pgMar w:left="320" w:top="135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2026-03-20T15:32:02Z</dcterms:created>
  <dcterms:modified xsi:type="dcterms:W3CDTF">2026-03-20T15:32:02Z</dcterms:modified>
</cp:coreProperties>
</file>