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-220980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4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-572770</wp:posOffset>
            </wp:positionV>
            <wp:extent cx="7620" cy="573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340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-580390</wp:posOffset>
            </wp:positionV>
            <wp:extent cx="7620" cy="581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102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-557530</wp:posOffset>
            </wp:positionV>
            <wp:extent cx="1271270" cy="534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3467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29210</wp:posOffset>
            </wp:positionV>
            <wp:extent cx="6975475" cy="1526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5475" cy="15265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140" w:space="580"/>
            <w:col w:w="836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2340" w:type="dxa"/>
            <w:vAlign w:val="bottom"/>
            <w:gridSpan w:val="3"/>
            <w:vMerge w:val="restart"/>
          </w:tcPr>
          <w:p>
            <w:pPr>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Jones Clinton P.</w:t>
              </w:r>
            </w:hyperlink>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gridSpan w:val="4"/>
          </w:tcPr>
          <w:p>
            <w:pPr>
              <w:ind w:left="60"/>
              <w:spacing w:after="0" w:line="98"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GoHealth,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GOCO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00" w:type="dxa"/>
            <w:vAlign w:val="bottom"/>
            <w:gridSpan w:val="6"/>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00" w:type="dxa"/>
            <w:vAlign w:val="bottom"/>
            <w:gridSpan w:val="6"/>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Arial" w:cs="Arial" w:eastAsia="Arial" w:hAnsi="Arial"/>
                <w:sz w:val="12"/>
                <w:szCs w:val="12"/>
                <w:color w:val="auto"/>
              </w:rPr>
              <w:t>(First)</w:t>
            </w:r>
          </w:p>
        </w:tc>
        <w:tc>
          <w:tcPr>
            <w:tcW w:w="9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120"/>
              <w:spacing w:after="0" w:line="122" w:lineRule="exact"/>
              <w:rPr>
                <w:sz w:val="20"/>
                <w:szCs w:val="20"/>
                <w:color w:val="auto"/>
              </w:rPr>
            </w:pPr>
            <w:r>
              <w:rPr>
                <w:rFonts w:ascii="Arial" w:cs="Arial" w:eastAsia="Arial" w:hAnsi="Arial"/>
                <w:sz w:val="12"/>
                <w:szCs w:val="12"/>
                <w:color w:val="auto"/>
              </w:rPr>
              <w:t>below)</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restart"/>
          </w:tcPr>
          <w:p>
            <w:pPr>
              <w:ind w:left="160"/>
              <w:spacing w:after="0" w:line="122" w:lineRule="exact"/>
              <w:rPr>
                <w:sz w:val="20"/>
                <w:szCs w:val="20"/>
                <w:color w:val="auto"/>
              </w:rPr>
            </w:pPr>
            <w:r>
              <w:rPr>
                <w:rFonts w:ascii="Arial" w:cs="Arial" w:eastAsia="Arial" w:hAnsi="Arial"/>
                <w:sz w:val="12"/>
                <w:szCs w:val="12"/>
                <w:color w:val="auto"/>
              </w:rPr>
              <w:t>below)</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5"/>
            <w:vMerge w:val="continue"/>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5"/>
            <w:vMerge w:val="continue"/>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gridSpan w:val="4"/>
            <w:vMerge w:val="restart"/>
          </w:tcPr>
          <w:p>
            <w:pPr>
              <w:ind w:left="420"/>
              <w:spacing w:after="0"/>
              <w:rPr>
                <w:sz w:val="20"/>
                <w:szCs w:val="20"/>
                <w:color w:val="auto"/>
              </w:rPr>
            </w:pPr>
            <w:r>
              <w:rPr>
                <w:rFonts w:ascii="Arial" w:cs="Arial" w:eastAsia="Arial" w:hAnsi="Arial"/>
                <w:sz w:val="16"/>
                <w:szCs w:val="16"/>
                <w:color w:val="0000FF"/>
              </w:rPr>
              <w:t>Chief Executive Officer</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0000FF"/>
              </w:rPr>
              <w:t>214 WEST HURON ST.</w:t>
            </w:r>
          </w:p>
        </w:tc>
        <w:tc>
          <w:tcPr>
            <w:tcW w:w="960" w:type="dxa"/>
            <w:vAlign w:val="bottom"/>
          </w:tcPr>
          <w:p>
            <w:pPr>
              <w:spacing w:after="0"/>
              <w:rPr>
                <w:sz w:val="20"/>
                <w:szCs w:val="20"/>
                <w:color w:val="auto"/>
              </w:rPr>
            </w:pPr>
          </w:p>
        </w:tc>
        <w:tc>
          <w:tcPr>
            <w:tcW w:w="1940" w:type="dxa"/>
            <w:vAlign w:val="bottom"/>
            <w:gridSpan w:val="5"/>
          </w:tcPr>
          <w:p>
            <w:pPr>
              <w:ind w:left="500"/>
              <w:spacing w:after="0"/>
              <w:rPr>
                <w:sz w:val="20"/>
                <w:szCs w:val="20"/>
                <w:color w:val="auto"/>
              </w:rPr>
            </w:pPr>
            <w:r>
              <w:rPr>
                <w:rFonts w:ascii="Arial" w:cs="Arial" w:eastAsia="Arial" w:hAnsi="Arial"/>
                <w:sz w:val="16"/>
                <w:szCs w:val="16"/>
                <w:color w:val="0000FF"/>
              </w:rPr>
              <w:t>07/17/2020</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CHICAGO</w:t>
            </w:r>
          </w:p>
        </w:tc>
        <w:tc>
          <w:tcPr>
            <w:tcW w:w="1120" w:type="dxa"/>
            <w:vAlign w:val="bottom"/>
            <w:vMerge w:val="restart"/>
          </w:tcPr>
          <w:p>
            <w:pPr>
              <w:spacing w:after="0"/>
              <w:rPr>
                <w:sz w:val="20"/>
                <w:szCs w:val="20"/>
                <w:color w:val="auto"/>
              </w:rPr>
            </w:pPr>
            <w:r>
              <w:rPr>
                <w:rFonts w:ascii="Arial" w:cs="Arial" w:eastAsia="Arial" w:hAnsi="Arial"/>
                <w:sz w:val="16"/>
                <w:szCs w:val="16"/>
                <w:color w:val="0000FF"/>
              </w:rPr>
              <w:t>IL</w:t>
            </w:r>
          </w:p>
        </w:tc>
        <w:tc>
          <w:tcPr>
            <w:tcW w:w="960" w:type="dxa"/>
            <w:vAlign w:val="bottom"/>
            <w:vMerge w:val="restart"/>
          </w:tcPr>
          <w:p>
            <w:pPr>
              <w:ind w:left="120"/>
              <w:spacing w:after="0"/>
              <w:rPr>
                <w:sz w:val="20"/>
                <w:szCs w:val="20"/>
                <w:color w:val="auto"/>
              </w:rPr>
            </w:pPr>
            <w:r>
              <w:rPr>
                <w:rFonts w:ascii="Arial" w:cs="Arial" w:eastAsia="Arial" w:hAnsi="Arial"/>
                <w:sz w:val="16"/>
                <w:szCs w:val="16"/>
                <w:color w:val="0000FF"/>
              </w:rPr>
              <w:t>60654</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56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940" w:type="dxa"/>
            <w:vAlign w:val="bottom"/>
            <w:gridSpan w:val="9"/>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9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5"/>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44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tcPr>
          <w:p>
            <w:pPr>
              <w:ind w:left="1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5"/>
          </w:tcPr>
          <w:p>
            <w:pPr>
              <w:ind w:left="1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gridSpan w:val="5"/>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By NVX</w:t>
            </w:r>
          </w:p>
        </w:tc>
        <w:tc>
          <w:tcPr>
            <w:tcW w:w="0" w:type="dxa"/>
            <w:vAlign w:val="bottom"/>
          </w:tcPr>
          <w:p>
            <w:pPr>
              <w:spacing w:after="0"/>
              <w:rPr>
                <w:sz w:val="1"/>
                <w:szCs w:val="1"/>
                <w:color w:val="auto"/>
              </w:rPr>
            </w:pPr>
          </w:p>
        </w:tc>
      </w:tr>
      <w:tr>
        <w:trPr>
          <w:trHeight w:val="195"/>
        </w:trPr>
        <w:tc>
          <w:tcPr>
            <w:tcW w:w="2440" w:type="dxa"/>
            <w:vAlign w:val="bottom"/>
            <w:gridSpan w:val="4"/>
          </w:tcPr>
          <w:p>
            <w:pPr>
              <w:ind w:left="80"/>
              <w:spacing w:after="0"/>
              <w:rPr>
                <w:sz w:val="20"/>
                <w:szCs w:val="20"/>
                <w:color w:val="auto"/>
              </w:rPr>
            </w:pPr>
            <w:r>
              <w:rPr>
                <w:rFonts w:ascii="Arial" w:cs="Arial" w:eastAsia="Arial" w:hAnsi="Arial"/>
                <w:sz w:val="16"/>
                <w:szCs w:val="16"/>
                <w:color w:val="0000FF"/>
              </w:rPr>
              <w:t>Class B Common Stock</w:t>
            </w:r>
          </w:p>
        </w:tc>
        <w:tc>
          <w:tcPr>
            <w:tcW w:w="960" w:type="dxa"/>
            <w:vAlign w:val="bottom"/>
          </w:tcPr>
          <w:p>
            <w:pPr>
              <w:spacing w:after="0"/>
              <w:rPr>
                <w:sz w:val="16"/>
                <w:szCs w:val="16"/>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0000FF"/>
                <w:w w:val="99"/>
              </w:rPr>
              <w:t>07/17/2020</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ind w:left="100"/>
              <w:spacing w:after="0" w:line="195"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(1)</w:t>
            </w:r>
          </w:p>
        </w:tc>
        <w:tc>
          <w:tcPr>
            <w:tcW w:w="1120" w:type="dxa"/>
            <w:vAlign w:val="bottom"/>
            <w:gridSpan w:val="2"/>
          </w:tcPr>
          <w:p>
            <w:pPr>
              <w:jc w:val="right"/>
              <w:ind w:right="222"/>
              <w:spacing w:after="0"/>
              <w:rPr>
                <w:sz w:val="20"/>
                <w:szCs w:val="20"/>
                <w:color w:val="auto"/>
              </w:rPr>
            </w:pPr>
            <w:r>
              <w:rPr>
                <w:rFonts w:ascii="Arial" w:cs="Arial" w:eastAsia="Arial" w:hAnsi="Arial"/>
                <w:sz w:val="16"/>
                <w:szCs w:val="16"/>
                <w:color w:val="0000FF"/>
              </w:rPr>
              <w:t>10,980,939</w:t>
            </w:r>
          </w:p>
        </w:tc>
        <w:tc>
          <w:tcPr>
            <w:tcW w:w="160" w:type="dxa"/>
            <w:vAlign w:val="bottom"/>
          </w:tcPr>
          <w:p>
            <w:pPr>
              <w:spacing w:after="0"/>
              <w:rPr>
                <w:sz w:val="20"/>
                <w:szCs w:val="20"/>
                <w:color w:val="auto"/>
              </w:rPr>
            </w:pPr>
            <w:r>
              <w:rPr>
                <w:rFonts w:ascii="Arial" w:cs="Arial" w:eastAsia="Arial" w:hAnsi="Arial"/>
                <w:sz w:val="16"/>
                <w:szCs w:val="16"/>
                <w:color w:val="0000FF"/>
              </w:rPr>
              <w:t>D</w:t>
            </w:r>
          </w:p>
        </w:tc>
        <w:tc>
          <w:tcPr>
            <w:tcW w:w="76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3"/>
          </w:tcPr>
          <w:p>
            <w:pPr>
              <w:jc w:val="right"/>
              <w:ind w:right="204"/>
              <w:spacing w:after="0"/>
              <w:rPr>
                <w:sz w:val="20"/>
                <w:szCs w:val="20"/>
                <w:color w:val="auto"/>
              </w:rPr>
            </w:pPr>
            <w:r>
              <w:rPr>
                <w:rFonts w:ascii="Arial" w:cs="Arial" w:eastAsia="Arial" w:hAnsi="Arial"/>
                <w:sz w:val="16"/>
                <w:szCs w:val="16"/>
                <w:color w:val="0000FF"/>
              </w:rPr>
              <w:t>92,677,981</w:t>
            </w:r>
          </w:p>
        </w:tc>
        <w:tc>
          <w:tcPr>
            <w:tcW w:w="3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Inc.</w:t>
            </w:r>
          </w:p>
        </w:tc>
        <w:tc>
          <w:tcPr>
            <w:tcW w:w="0" w:type="dxa"/>
            <w:vAlign w:val="bottom"/>
          </w:tcPr>
          <w:p>
            <w:pPr>
              <w:spacing w:after="0"/>
              <w:rPr>
                <w:sz w:val="1"/>
                <w:szCs w:val="1"/>
                <w:color w:val="auto"/>
              </w:rPr>
            </w:pPr>
          </w:p>
        </w:tc>
      </w:tr>
      <w:tr>
        <w:trPr>
          <w:trHeight w:val="56"/>
        </w:trPr>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440" w:type="dxa"/>
            <w:vAlign w:val="bottom"/>
            <w:gridSpan w:val="4"/>
            <w:vMerge w:val="restart"/>
          </w:tcPr>
          <w:p>
            <w:pPr>
              <w:ind w:left="80"/>
              <w:spacing w:after="0"/>
              <w:rPr>
                <w:sz w:val="20"/>
                <w:szCs w:val="20"/>
                <w:color w:val="auto"/>
              </w:rPr>
            </w:pPr>
            <w:r>
              <w:rPr>
                <w:rFonts w:ascii="Arial" w:cs="Arial" w:eastAsia="Arial" w:hAnsi="Arial"/>
                <w:sz w:val="16"/>
                <w:szCs w:val="16"/>
                <w:color w:val="0000FF"/>
              </w:rPr>
              <w:t>Class B Common Stock</w:t>
            </w:r>
          </w:p>
        </w:tc>
        <w:tc>
          <w:tcPr>
            <w:tcW w:w="960" w:type="dxa"/>
            <w:vAlign w:val="bottom"/>
          </w:tcPr>
          <w:p>
            <w:pPr>
              <w:spacing w:after="0"/>
              <w:rPr>
                <w:sz w:val="20"/>
                <w:szCs w:val="20"/>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6"/>
                <w:szCs w:val="16"/>
                <w:color w:val="0000FF"/>
                <w:w w:val="99"/>
              </w:rPr>
              <w:t>07/17/2020</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rPr>
              <w:t>5,192</w:t>
            </w:r>
          </w:p>
        </w:tc>
        <w:tc>
          <w:tcPr>
            <w:tcW w:w="440" w:type="dxa"/>
            <w:vAlign w:val="bottom"/>
          </w:tcPr>
          <w:p>
            <w:pPr>
              <w:spacing w:after="0"/>
              <w:rPr>
                <w:sz w:val="20"/>
                <w:szCs w:val="20"/>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76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3"/>
            <w:vMerge w:val="restart"/>
          </w:tcPr>
          <w:p>
            <w:pPr>
              <w:jc w:val="right"/>
              <w:ind w:right="344"/>
              <w:spacing w:after="0"/>
              <w:rPr>
                <w:sz w:val="20"/>
                <w:szCs w:val="20"/>
                <w:color w:val="auto"/>
              </w:rPr>
            </w:pPr>
            <w:r>
              <w:rPr>
                <w:rFonts w:ascii="Arial" w:cs="Arial" w:eastAsia="Arial" w:hAnsi="Arial"/>
                <w:sz w:val="16"/>
                <w:szCs w:val="16"/>
                <w:color w:val="0000FF"/>
              </w:rPr>
              <w:t>43,817</w:t>
            </w:r>
          </w:p>
        </w:tc>
        <w:tc>
          <w:tcPr>
            <w:tcW w:w="360" w:type="dxa"/>
            <w:vAlign w:val="bottom"/>
          </w:tcPr>
          <w:p>
            <w:pPr>
              <w:spacing w:after="0"/>
              <w:rPr>
                <w:sz w:val="20"/>
                <w:szCs w:val="20"/>
                <w:color w:val="auto"/>
              </w:rPr>
            </w:pPr>
          </w:p>
        </w:tc>
        <w:tc>
          <w:tcPr>
            <w:tcW w:w="56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By BCCJ,</w:t>
            </w:r>
          </w:p>
        </w:tc>
        <w:tc>
          <w:tcPr>
            <w:tcW w:w="0" w:type="dxa"/>
            <w:vAlign w:val="bottom"/>
          </w:tcPr>
          <w:p>
            <w:pPr>
              <w:spacing w:after="0"/>
              <w:rPr>
                <w:sz w:val="1"/>
                <w:szCs w:val="1"/>
                <w:color w:val="auto"/>
              </w:rPr>
            </w:pPr>
          </w:p>
        </w:tc>
      </w:tr>
      <w:tr>
        <w:trPr>
          <w:trHeight w:val="104"/>
        </w:trPr>
        <w:tc>
          <w:tcPr>
            <w:tcW w:w="2440" w:type="dxa"/>
            <w:vAlign w:val="bottom"/>
            <w:gridSpan w:val="4"/>
            <w:vMerge w:val="continue"/>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0" w:type="dxa"/>
            <w:vAlign w:val="bottom"/>
            <w:gridSpan w:val="5"/>
            <w:vMerge w:val="restart"/>
          </w:tcPr>
          <w:p>
            <w:pPr>
              <w:ind w:left="20"/>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20" w:type="dxa"/>
            <w:vAlign w:val="bottom"/>
            <w:gridSpan w:val="15"/>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80" w:type="dxa"/>
            <w:vAlign w:val="bottom"/>
            <w:gridSpan w:val="13"/>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96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41"/>
              <w:spacing w:after="0" w:line="122" w:lineRule="exact"/>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1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LLC</w:t>
            </w:r>
          </w:p>
        </w:tc>
        <w:tc>
          <w:tcPr>
            <w:tcW w:w="6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vMerge w:val="restart"/>
          </w:tcPr>
          <w:p>
            <w:pPr>
              <w:jc w:val="center"/>
              <w:ind w:right="24"/>
              <w:spacing w:after="0"/>
              <w:rPr>
                <w:sz w:val="20"/>
                <w:szCs w:val="20"/>
                <w:color w:val="auto"/>
              </w:rPr>
            </w:pPr>
            <w:r>
              <w:rPr>
                <w:rFonts w:ascii="Arial" w:cs="Arial" w:eastAsia="Arial" w:hAnsi="Arial"/>
                <w:sz w:val="12"/>
                <w:szCs w:val="12"/>
                <w:color w:val="0000FF"/>
              </w:rPr>
              <w:t>10,980,939</w:t>
            </w:r>
            <w:r>
              <w:rPr>
                <w:rFonts w:ascii="Arial" w:cs="Arial" w:eastAsia="Arial" w:hAnsi="Arial"/>
                <w:sz w:val="20"/>
                <w:szCs w:val="20"/>
                <w:color w:val="008000"/>
                <w:vertAlign w:val="superscript"/>
              </w:rPr>
              <w:t>(3)</w:t>
            </w: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21"/>
              <w:spacing w:after="0"/>
              <w:rPr>
                <w:sz w:val="20"/>
                <w:szCs w:val="20"/>
                <w:color w:val="auto"/>
              </w:rPr>
            </w:pPr>
            <w:r>
              <w:rPr>
                <w:rFonts w:ascii="Arial" w:cs="Arial" w:eastAsia="Arial" w:hAnsi="Arial"/>
                <w:sz w:val="10"/>
                <w:szCs w:val="10"/>
                <w:color w:val="008000"/>
                <w:w w:val="97"/>
              </w:rPr>
              <w:t>(2)</w:t>
            </w:r>
          </w:p>
        </w:tc>
        <w:tc>
          <w:tcPr>
            <w:tcW w:w="440" w:type="dxa"/>
            <w:vAlign w:val="bottom"/>
          </w:tcPr>
          <w:p>
            <w:pPr>
              <w:jc w:val="center"/>
              <w:ind w:left="2"/>
              <w:spacing w:after="0"/>
              <w:rPr>
                <w:sz w:val="20"/>
                <w:szCs w:val="20"/>
                <w:color w:val="auto"/>
              </w:rPr>
            </w:pPr>
            <w:r>
              <w:rPr>
                <w:rFonts w:ascii="Arial" w:cs="Arial" w:eastAsia="Arial" w:hAnsi="Arial"/>
                <w:sz w:val="12"/>
                <w:szCs w:val="12"/>
                <w:color w:val="0000FF"/>
                <w:w w:val="91"/>
              </w:rPr>
              <w:t>Class A</w:t>
            </w:r>
          </w:p>
        </w:tc>
        <w:tc>
          <w:tcPr>
            <w:tcW w:w="160" w:type="dxa"/>
            <w:vAlign w:val="bottom"/>
          </w:tcPr>
          <w:p>
            <w:pPr>
              <w:spacing w:after="0"/>
              <w:rPr>
                <w:sz w:val="15"/>
                <w:szCs w:val="15"/>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7"/>
              </w:rPr>
              <w:t>10,980,939</w:t>
            </w:r>
          </w:p>
        </w:tc>
        <w:tc>
          <w:tcPr>
            <w:tcW w:w="740" w:type="dxa"/>
            <w:vAlign w:val="bottom"/>
            <w:gridSpan w:val="2"/>
            <w:vMerge w:val="restart"/>
          </w:tcPr>
          <w:p>
            <w:pPr>
              <w:jc w:val="right"/>
              <w:ind w:right="10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0"/>
                <w:szCs w:val="20"/>
                <w:color w:val="008000"/>
                <w:vertAlign w:val="superscript"/>
              </w:rPr>
              <w:t>(3)</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ind w:left="80"/>
              <w:spacing w:after="0"/>
              <w:rPr>
                <w:sz w:val="20"/>
                <w:szCs w:val="20"/>
                <w:color w:val="auto"/>
              </w:rPr>
            </w:pPr>
            <w:r>
              <w:rPr>
                <w:rFonts w:ascii="Arial" w:cs="Arial" w:eastAsia="Arial" w:hAnsi="Arial"/>
                <w:sz w:val="12"/>
                <w:szCs w:val="12"/>
                <w:color w:val="0000FF"/>
              </w:rPr>
              <w:t>By NVX</w:t>
            </w: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20" w:type="dxa"/>
            <w:vAlign w:val="bottom"/>
            <w:vMerge w:val="restart"/>
          </w:tcPr>
          <w:p>
            <w:pPr>
              <w:jc w:val="center"/>
              <w:ind w:left="18"/>
              <w:spacing w:after="0" w:line="134" w:lineRule="exact"/>
              <w:rPr>
                <w:sz w:val="20"/>
                <w:szCs w:val="20"/>
                <w:color w:val="auto"/>
              </w:rPr>
            </w:pPr>
            <w:r>
              <w:rPr>
                <w:rFonts w:ascii="Arial" w:cs="Arial" w:eastAsia="Arial" w:hAnsi="Arial"/>
                <w:sz w:val="12"/>
                <w:szCs w:val="12"/>
                <w:color w:val="0000FF"/>
                <w:w w:val="93"/>
              </w:rPr>
              <w:t>07/17/2020</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ind w:left="140"/>
              <w:spacing w:after="0" w:line="134" w:lineRule="exact"/>
              <w:rPr>
                <w:sz w:val="20"/>
                <w:szCs w:val="20"/>
                <w:color w:val="auto"/>
              </w:rPr>
            </w:pPr>
            <w:r>
              <w:rPr>
                <w:rFonts w:ascii="Arial" w:cs="Arial" w:eastAsia="Arial" w:hAnsi="Arial"/>
                <w:sz w:val="12"/>
                <w:szCs w:val="12"/>
                <w:color w:val="0000FF"/>
              </w:rPr>
              <w:t>D</w:t>
            </w:r>
          </w:p>
        </w:tc>
        <w:tc>
          <w:tcPr>
            <w:tcW w:w="11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gridSpan w:val="2"/>
            <w:vMerge w:val="restart"/>
          </w:tcPr>
          <w:p>
            <w:pPr>
              <w:ind w:left="20"/>
              <w:spacing w:after="0" w:line="134" w:lineRule="exact"/>
              <w:rPr>
                <w:sz w:val="20"/>
                <w:szCs w:val="20"/>
                <w:color w:val="auto"/>
              </w:rPr>
            </w:pPr>
            <w:r>
              <w:rPr>
                <w:rFonts w:ascii="Arial" w:cs="Arial" w:eastAsia="Arial" w:hAnsi="Arial"/>
                <w:sz w:val="12"/>
                <w:szCs w:val="12"/>
                <w:color w:val="0000FF"/>
              </w:rPr>
              <w:t>Common</w:t>
            </w: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gridSpan w:val="2"/>
            <w:vMerge w:val="restart"/>
          </w:tcPr>
          <w:p>
            <w:pPr>
              <w:jc w:val="right"/>
              <w:ind w:right="100"/>
              <w:spacing w:after="0" w:line="134" w:lineRule="exact"/>
              <w:rPr>
                <w:sz w:val="20"/>
                <w:szCs w:val="20"/>
                <w:color w:val="auto"/>
              </w:rPr>
            </w:pPr>
            <w:r>
              <w:rPr>
                <w:rFonts w:ascii="Arial" w:cs="Arial" w:eastAsia="Arial" w:hAnsi="Arial"/>
                <w:sz w:val="12"/>
                <w:szCs w:val="12"/>
                <w:color w:val="0000FF"/>
              </w:rPr>
              <w:t>92,677,981</w:t>
            </w:r>
          </w:p>
        </w:tc>
        <w:tc>
          <w:tcPr>
            <w:tcW w:w="560" w:type="dxa"/>
            <w:vAlign w:val="bottom"/>
            <w:vMerge w:val="restart"/>
          </w:tcPr>
          <w:p>
            <w:pPr>
              <w:ind w:left="32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4"/>
            <w:vMerge w:val="restart"/>
          </w:tcPr>
          <w:p>
            <w:pPr>
              <w:ind w:left="80"/>
              <w:spacing w:after="0" w:line="134"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Interests</w:t>
            </w:r>
          </w:p>
        </w:tc>
        <w:tc>
          <w:tcPr>
            <w:tcW w:w="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12"/>
                <w:szCs w:val="12"/>
                <w:color w:val="0000FF"/>
              </w:rPr>
              <w:t>Inc.</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LLC</w:t>
            </w:r>
          </w:p>
        </w:tc>
        <w:tc>
          <w:tcPr>
            <w:tcW w:w="6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vMerge w:val="restart"/>
          </w:tcPr>
          <w:p>
            <w:pPr>
              <w:jc w:val="center"/>
              <w:ind w:right="164"/>
              <w:spacing w:after="0"/>
              <w:rPr>
                <w:sz w:val="20"/>
                <w:szCs w:val="20"/>
                <w:color w:val="auto"/>
              </w:rPr>
            </w:pPr>
            <w:r>
              <w:rPr>
                <w:rFonts w:ascii="Arial" w:cs="Arial" w:eastAsia="Arial" w:hAnsi="Arial"/>
                <w:sz w:val="12"/>
                <w:szCs w:val="12"/>
                <w:color w:val="0000FF"/>
              </w:rPr>
              <w:t>5,192</w:t>
            </w:r>
            <w:r>
              <w:rPr>
                <w:rFonts w:ascii="Arial" w:cs="Arial" w:eastAsia="Arial" w:hAnsi="Arial"/>
                <w:sz w:val="20"/>
                <w:szCs w:val="20"/>
                <w:color w:val="008000"/>
                <w:vertAlign w:val="superscript"/>
              </w:rPr>
              <w:t>(3)</w:t>
            </w: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21"/>
              <w:spacing w:after="0"/>
              <w:rPr>
                <w:sz w:val="20"/>
                <w:szCs w:val="20"/>
                <w:color w:val="auto"/>
              </w:rPr>
            </w:pPr>
            <w:r>
              <w:rPr>
                <w:rFonts w:ascii="Arial" w:cs="Arial" w:eastAsia="Arial" w:hAnsi="Arial"/>
                <w:sz w:val="10"/>
                <w:szCs w:val="10"/>
                <w:color w:val="008000"/>
                <w:w w:val="97"/>
              </w:rPr>
              <w:t>(2)</w:t>
            </w:r>
          </w:p>
        </w:tc>
        <w:tc>
          <w:tcPr>
            <w:tcW w:w="440" w:type="dxa"/>
            <w:vAlign w:val="bottom"/>
          </w:tcPr>
          <w:p>
            <w:pPr>
              <w:jc w:val="center"/>
              <w:ind w:left="2"/>
              <w:spacing w:after="0"/>
              <w:rPr>
                <w:sz w:val="20"/>
                <w:szCs w:val="20"/>
                <w:color w:val="auto"/>
              </w:rPr>
            </w:pPr>
            <w:r>
              <w:rPr>
                <w:rFonts w:ascii="Arial" w:cs="Arial" w:eastAsia="Arial" w:hAnsi="Arial"/>
                <w:sz w:val="12"/>
                <w:szCs w:val="12"/>
                <w:color w:val="0000FF"/>
                <w:w w:val="91"/>
              </w:rPr>
              <w:t>Class A</w:t>
            </w:r>
          </w:p>
        </w:tc>
        <w:tc>
          <w:tcPr>
            <w:tcW w:w="160" w:type="dxa"/>
            <w:vAlign w:val="bottom"/>
          </w:tcPr>
          <w:p>
            <w:pPr>
              <w:spacing w:after="0"/>
              <w:rPr>
                <w:sz w:val="15"/>
                <w:szCs w:val="15"/>
                <w:color w:val="auto"/>
              </w:rPr>
            </w:pPr>
          </w:p>
        </w:tc>
        <w:tc>
          <w:tcPr>
            <w:tcW w:w="760" w:type="dxa"/>
            <w:vAlign w:val="bottom"/>
            <w:gridSpan w:val="2"/>
            <w:vMerge w:val="restart"/>
          </w:tcPr>
          <w:p>
            <w:pPr>
              <w:jc w:val="right"/>
              <w:ind w:right="150"/>
              <w:spacing w:after="0"/>
              <w:rPr>
                <w:sz w:val="20"/>
                <w:szCs w:val="20"/>
                <w:color w:val="auto"/>
              </w:rPr>
            </w:pPr>
            <w:r>
              <w:rPr>
                <w:rFonts w:ascii="Arial" w:cs="Arial" w:eastAsia="Arial" w:hAnsi="Arial"/>
                <w:sz w:val="16"/>
                <w:szCs w:val="16"/>
                <w:color w:val="0000FF"/>
              </w:rPr>
              <w:t>5,192</w:t>
            </w:r>
          </w:p>
        </w:tc>
        <w:tc>
          <w:tcPr>
            <w:tcW w:w="740" w:type="dxa"/>
            <w:vAlign w:val="bottom"/>
            <w:gridSpan w:val="2"/>
            <w:vMerge w:val="restart"/>
          </w:tcPr>
          <w:p>
            <w:pPr>
              <w:jc w:val="right"/>
              <w:ind w:right="10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0"/>
                <w:szCs w:val="20"/>
                <w:color w:val="008000"/>
                <w:vertAlign w:val="superscript"/>
              </w:rPr>
              <w:t>(3)</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12"/>
                <w:szCs w:val="12"/>
                <w:color w:val="0000FF"/>
              </w:rPr>
              <w:t>By BCCJ,</w:t>
            </w: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20" w:type="dxa"/>
            <w:vAlign w:val="bottom"/>
            <w:vMerge w:val="restart"/>
          </w:tcPr>
          <w:p>
            <w:pPr>
              <w:jc w:val="center"/>
              <w:ind w:left="18"/>
              <w:spacing w:after="0" w:line="134" w:lineRule="exact"/>
              <w:rPr>
                <w:sz w:val="20"/>
                <w:szCs w:val="20"/>
                <w:color w:val="auto"/>
              </w:rPr>
            </w:pPr>
            <w:r>
              <w:rPr>
                <w:rFonts w:ascii="Arial" w:cs="Arial" w:eastAsia="Arial" w:hAnsi="Arial"/>
                <w:sz w:val="12"/>
                <w:szCs w:val="12"/>
                <w:color w:val="0000FF"/>
                <w:w w:val="93"/>
              </w:rPr>
              <w:t>07/17/2020</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ind w:left="140"/>
              <w:spacing w:after="0" w:line="134" w:lineRule="exact"/>
              <w:rPr>
                <w:sz w:val="20"/>
                <w:szCs w:val="20"/>
                <w:color w:val="auto"/>
              </w:rPr>
            </w:pPr>
            <w:r>
              <w:rPr>
                <w:rFonts w:ascii="Arial" w:cs="Arial" w:eastAsia="Arial" w:hAnsi="Arial"/>
                <w:sz w:val="12"/>
                <w:szCs w:val="12"/>
                <w:color w:val="0000FF"/>
              </w:rPr>
              <w:t>D</w:t>
            </w:r>
          </w:p>
        </w:tc>
        <w:tc>
          <w:tcPr>
            <w:tcW w:w="11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gridSpan w:val="2"/>
            <w:vMerge w:val="restart"/>
          </w:tcPr>
          <w:p>
            <w:pPr>
              <w:ind w:left="20"/>
              <w:spacing w:after="0" w:line="134" w:lineRule="exact"/>
              <w:rPr>
                <w:sz w:val="20"/>
                <w:szCs w:val="20"/>
                <w:color w:val="auto"/>
              </w:rPr>
            </w:pPr>
            <w:r>
              <w:rPr>
                <w:rFonts w:ascii="Arial" w:cs="Arial" w:eastAsia="Arial" w:hAnsi="Arial"/>
                <w:sz w:val="12"/>
                <w:szCs w:val="12"/>
                <w:color w:val="0000FF"/>
              </w:rPr>
              <w:t>Common</w:t>
            </w: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gridSpan w:val="2"/>
            <w:vMerge w:val="restart"/>
          </w:tcPr>
          <w:p>
            <w:pPr>
              <w:jc w:val="right"/>
              <w:ind w:right="220"/>
              <w:spacing w:after="0" w:line="134" w:lineRule="exact"/>
              <w:rPr>
                <w:sz w:val="20"/>
                <w:szCs w:val="20"/>
                <w:color w:val="auto"/>
              </w:rPr>
            </w:pPr>
            <w:r>
              <w:rPr>
                <w:rFonts w:ascii="Arial" w:cs="Arial" w:eastAsia="Arial" w:hAnsi="Arial"/>
                <w:sz w:val="12"/>
                <w:szCs w:val="12"/>
                <w:color w:val="0000FF"/>
              </w:rPr>
              <w:t>43,817</w:t>
            </w:r>
          </w:p>
        </w:tc>
        <w:tc>
          <w:tcPr>
            <w:tcW w:w="560" w:type="dxa"/>
            <w:vAlign w:val="bottom"/>
            <w:vMerge w:val="restart"/>
          </w:tcPr>
          <w:p>
            <w:pPr>
              <w:ind w:left="32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Interests</w:t>
            </w:r>
          </w:p>
        </w:tc>
        <w:tc>
          <w:tcPr>
            <w:tcW w:w="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82"/>
        </w:trPr>
        <w:tc>
          <w:tcPr>
            <w:tcW w:w="6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-3409315</wp:posOffset>
            </wp:positionV>
            <wp:extent cx="7037070" cy="3448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7070" cy="344868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cancellation for no consideration of Class B Common Stock in connection with the redemption and conversion of the LLC Interests into shares of Class A Common Stock.</w:t>
      </w:r>
    </w:p>
    <w:p>
      <w:pPr>
        <w:spacing w:after="0" w:line="45"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LLC Interests may be redeemed by the Reporting Person at any time on or following the closing of the Initial Public Offering for shares of Class A Common Stock on a 1-to-1 basis.</w:t>
      </w:r>
    </w:p>
    <w:p>
      <w:pPr>
        <w:spacing w:after="0" w:line="45" w:lineRule="exact"/>
        <w:rPr>
          <w:rFonts w:ascii="Arial" w:cs="Arial" w:eastAsia="Arial" w:hAnsi="Arial"/>
          <w:sz w:val="12"/>
          <w:szCs w:val="12"/>
          <w:color w:val="008000"/>
        </w:rPr>
      </w:pPr>
    </w:p>
    <w:p>
      <w:pPr>
        <w:ind w:left="40" w:right="480" w:hanging="6"/>
        <w:spacing w:after="0" w:line="262"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described in the prospectus filed by the Issuer with the Securities and Exchange Commission, upon the closing of the offering, the Issuer redeemed the LLC Interests from the reporting person in exchange for an aggregate consideration of $19.95 per LLC Interest.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Arial" w:cs="Arial" w:eastAsia="Arial" w:hAnsi="Arial"/>
                <w:sz w:val="16"/>
                <w:szCs w:val="16"/>
                <w:color w:val="0000FF"/>
              </w:rPr>
              <w:t>/s/ Clinton P. Jones</w:t>
            </w: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07/21/2020</w:t>
            </w:r>
          </w:p>
        </w:tc>
      </w:tr>
      <w:tr>
        <w:trPr>
          <w:trHeight w:val="20"/>
        </w:trPr>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000" w:hanging="6"/>
        <w:spacing w:after="0" w:line="316"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028"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2020-07-21T18:44:03Z</dcterms:created>
  <dcterms:modified xsi:type="dcterms:W3CDTF">2020-07-21T18:44:03Z</dcterms:modified>
</cp:coreProperties>
</file>