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Emanuel Rahm</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5"/>
        </w:trPr>
        <w:tc>
          <w:tcPr>
            <w:tcW w:w="28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07/15/2020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GoHealth,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GOCO</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80" w:type="dxa"/>
            <w:vAlign w:val="bottom"/>
          </w:tcPr>
          <w:p>
            <w:pPr>
              <w:ind w:left="40"/>
              <w:spacing w:after="0"/>
              <w:rPr>
                <w:sz w:val="20"/>
                <w:szCs w:val="20"/>
                <w:color w:val="auto"/>
              </w:rPr>
            </w:pPr>
            <w:r>
              <w:rPr>
                <w:rFonts w:ascii="Arial" w:cs="Arial" w:eastAsia="Arial" w:hAnsi="Arial"/>
                <w:sz w:val="15"/>
                <w:szCs w:val="15"/>
                <w:color w:val="auto"/>
              </w:rPr>
              <w:t>(Last)</w:t>
            </w:r>
          </w:p>
        </w:tc>
        <w:tc>
          <w:tcPr>
            <w:tcW w:w="1040" w:type="dxa"/>
            <w:vAlign w:val="bottom"/>
          </w:tcPr>
          <w:p>
            <w:pPr>
              <w:ind w:left="80"/>
              <w:spacing w:after="0"/>
              <w:rPr>
                <w:sz w:val="20"/>
                <w:szCs w:val="20"/>
                <w:color w:val="auto"/>
              </w:rPr>
            </w:pPr>
            <w:r>
              <w:rPr>
                <w:rFonts w:ascii="Arial" w:cs="Arial" w:eastAsia="Arial" w:hAnsi="Arial"/>
                <w:sz w:val="15"/>
                <w:szCs w:val="15"/>
                <w:color w:val="auto"/>
              </w:rPr>
              <w:t>(First)</w:t>
            </w:r>
          </w:p>
        </w:tc>
        <w:tc>
          <w:tcPr>
            <w:tcW w:w="1080" w:type="dxa"/>
            <w:vAlign w:val="bottom"/>
          </w:tcPr>
          <w:p>
            <w:pPr>
              <w:ind w:left="80"/>
              <w:spacing w:after="0"/>
              <w:rPr>
                <w:sz w:val="20"/>
                <w:szCs w:val="20"/>
                <w:color w:val="auto"/>
              </w:rPr>
            </w:pPr>
            <w:r>
              <w:rPr>
                <w:rFonts w:ascii="Arial" w:cs="Arial" w:eastAsia="Arial" w:hAnsi="Arial"/>
                <w:sz w:val="15"/>
                <w:szCs w:val="15"/>
                <w:color w:val="auto"/>
              </w:rPr>
              <w:t>(Middle)</w:t>
            </w:r>
          </w:p>
        </w:tc>
      </w:tr>
      <w:tr>
        <w:trPr>
          <w:trHeight w:val="314"/>
        </w:trPr>
        <w:tc>
          <w:tcPr>
            <w:tcW w:w="2020" w:type="dxa"/>
            <w:vAlign w:val="bottom"/>
            <w:gridSpan w:val="2"/>
          </w:tcPr>
          <w:p>
            <w:pPr>
              <w:ind w:left="40"/>
              <w:spacing w:after="0"/>
              <w:rPr>
                <w:sz w:val="20"/>
                <w:szCs w:val="20"/>
                <w:color w:val="auto"/>
              </w:rPr>
            </w:pPr>
            <w:r>
              <w:rPr>
                <w:rFonts w:ascii="Arial" w:cs="Arial" w:eastAsia="Arial" w:hAnsi="Arial"/>
                <w:sz w:val="20"/>
                <w:szCs w:val="20"/>
                <w:color w:val="0000FF"/>
                <w:w w:val="92"/>
              </w:rPr>
              <w:t>214 WEST HURON ST.</w:t>
            </w:r>
          </w:p>
        </w:tc>
        <w:tc>
          <w:tcPr>
            <w:tcW w:w="1080" w:type="dxa"/>
            <w:vAlign w:val="bottom"/>
          </w:tcPr>
          <w:p>
            <w:pPr>
              <w:spacing w:after="0"/>
              <w:rPr>
                <w:sz w:val="24"/>
                <w:szCs w:val="24"/>
                <w:color w:val="auto"/>
              </w:rPr>
            </w:pPr>
          </w:p>
        </w:tc>
      </w:tr>
      <w:tr>
        <w:trPr>
          <w:trHeight w:val="237"/>
        </w:trPr>
        <w:tc>
          <w:tcPr>
            <w:tcW w:w="98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r>
      <w:tr>
        <w:trPr>
          <w:trHeight w:val="299"/>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69"/>
        </w:trPr>
        <w:tc>
          <w:tcPr>
            <w:tcW w:w="980" w:type="dxa"/>
            <w:vAlign w:val="bottom"/>
          </w:tcPr>
          <w:p>
            <w:pPr>
              <w:ind w:left="40"/>
              <w:spacing w:after="0"/>
              <w:rPr>
                <w:sz w:val="20"/>
                <w:szCs w:val="20"/>
                <w:color w:val="auto"/>
              </w:rPr>
            </w:pPr>
            <w:r>
              <w:rPr>
                <w:rFonts w:ascii="Arial" w:cs="Arial" w:eastAsia="Arial" w:hAnsi="Arial"/>
                <w:sz w:val="20"/>
                <w:szCs w:val="20"/>
                <w:color w:val="0000FF"/>
                <w:w w:val="98"/>
              </w:rPr>
              <w:t>CHICAGO</w:t>
            </w:r>
          </w:p>
        </w:tc>
        <w:tc>
          <w:tcPr>
            <w:tcW w:w="1040" w:type="dxa"/>
            <w:vAlign w:val="bottom"/>
          </w:tcPr>
          <w:p>
            <w:pPr>
              <w:ind w:left="80"/>
              <w:spacing w:after="0"/>
              <w:rPr>
                <w:sz w:val="20"/>
                <w:szCs w:val="20"/>
                <w:color w:val="auto"/>
              </w:rPr>
            </w:pPr>
            <w:r>
              <w:rPr>
                <w:rFonts w:ascii="Arial" w:cs="Arial" w:eastAsia="Arial" w:hAnsi="Arial"/>
                <w:sz w:val="20"/>
                <w:szCs w:val="20"/>
                <w:color w:val="0000FF"/>
              </w:rPr>
              <w:t>IL</w:t>
            </w:r>
          </w:p>
        </w:tc>
        <w:tc>
          <w:tcPr>
            <w:tcW w:w="1080" w:type="dxa"/>
            <w:vAlign w:val="bottom"/>
          </w:tcPr>
          <w:p>
            <w:pPr>
              <w:ind w:left="80"/>
              <w:spacing w:after="0"/>
              <w:rPr>
                <w:sz w:val="20"/>
                <w:szCs w:val="20"/>
                <w:color w:val="auto"/>
              </w:rPr>
            </w:pPr>
            <w:r>
              <w:rPr>
                <w:rFonts w:ascii="Arial" w:cs="Arial" w:eastAsia="Arial" w:hAnsi="Arial"/>
                <w:sz w:val="20"/>
                <w:szCs w:val="20"/>
                <w:color w:val="0000FF"/>
              </w:rPr>
              <w:t>60654</w:t>
            </w:r>
          </w:p>
        </w:tc>
      </w:tr>
      <w:tr>
        <w:trPr>
          <w:trHeight w:val="177"/>
        </w:trPr>
        <w:tc>
          <w:tcPr>
            <w:tcW w:w="9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r>
      <w:tr>
        <w:trPr>
          <w:trHeight w:val="344"/>
        </w:trPr>
        <w:tc>
          <w:tcPr>
            <w:tcW w:w="980" w:type="dxa"/>
            <w:vAlign w:val="bottom"/>
          </w:tcPr>
          <w:p>
            <w:pPr>
              <w:ind w:left="40"/>
              <w:spacing w:after="0"/>
              <w:rPr>
                <w:sz w:val="20"/>
                <w:szCs w:val="20"/>
                <w:color w:val="auto"/>
              </w:rPr>
            </w:pPr>
            <w:r>
              <w:rPr>
                <w:rFonts w:ascii="Arial" w:cs="Arial" w:eastAsia="Arial" w:hAnsi="Arial"/>
                <w:sz w:val="15"/>
                <w:szCs w:val="15"/>
                <w:color w:val="auto"/>
              </w:rPr>
              <w:t>(City)</w:t>
            </w:r>
          </w:p>
        </w:tc>
        <w:tc>
          <w:tcPr>
            <w:tcW w:w="1040" w:type="dxa"/>
            <w:vAlign w:val="bottom"/>
          </w:tcPr>
          <w:p>
            <w:pPr>
              <w:ind w:left="80"/>
              <w:spacing w:after="0"/>
              <w:rPr>
                <w:sz w:val="20"/>
                <w:szCs w:val="20"/>
                <w:color w:val="auto"/>
              </w:rPr>
            </w:pPr>
            <w:r>
              <w:rPr>
                <w:rFonts w:ascii="Arial" w:cs="Arial" w:eastAsia="Arial" w:hAnsi="Arial"/>
                <w:sz w:val="15"/>
                <w:szCs w:val="15"/>
                <w:color w:val="auto"/>
              </w:rPr>
              <w:t>(State)</w:t>
            </w:r>
          </w:p>
        </w:tc>
        <w:tc>
          <w:tcPr>
            <w:tcW w:w="1080" w:type="dxa"/>
            <w:vAlign w:val="bottom"/>
          </w:tcPr>
          <w:p>
            <w:pPr>
              <w:ind w:left="8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615315</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B 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ind w:left="580"/>
              <w:spacing w:after="0"/>
              <w:rPr>
                <w:sz w:val="20"/>
                <w:szCs w:val="20"/>
                <w:color w:val="auto"/>
              </w:rPr>
            </w:pPr>
            <w:r>
              <w:rPr>
                <w:rFonts w:ascii="Arial" w:cs="Arial" w:eastAsia="Arial" w:hAnsi="Arial"/>
                <w:sz w:val="20"/>
                <w:szCs w:val="20"/>
                <w:color w:val="0000FF"/>
              </w:rPr>
              <w:t>186,101</w:t>
            </w:r>
            <w:r>
              <w:rPr>
                <w:rFonts w:ascii="Arial" w:cs="Arial" w:eastAsia="Arial" w:hAnsi="Arial"/>
                <w:sz w:val="25"/>
                <w:szCs w:val="25"/>
                <w:color w:val="008000"/>
                <w:vertAlign w:val="superscript"/>
              </w:rPr>
              <w:t>(1)</w:t>
            </w:r>
          </w:p>
        </w:tc>
        <w:tc>
          <w:tcPr>
            <w:tcW w:w="920" w:type="dxa"/>
            <w:vAlign w:val="bottom"/>
            <w:tcBorders>
              <w:bottom w:val="single" w:sz="8" w:color="2C2C2C"/>
            </w:tcBorders>
            <w:gridSpan w:val="2"/>
          </w:tcPr>
          <w:p>
            <w:pPr>
              <w:ind w:left="740"/>
              <w:spacing w:after="0"/>
              <w:rPr>
                <w:sz w:val="20"/>
                <w:szCs w:val="20"/>
                <w:color w:val="auto"/>
              </w:rPr>
            </w:pPr>
            <w:r>
              <w:rPr>
                <w:rFonts w:ascii="Arial" w:cs="Arial" w:eastAsia="Arial" w:hAnsi="Arial"/>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26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2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20" w:type="dxa"/>
            <w:vAlign w:val="bottom"/>
            <w:gridSpan w:val="2"/>
          </w:tcPr>
          <w:p>
            <w:pPr>
              <w:ind w:left="14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80" w:type="dxa"/>
            <w:vAlign w:val="bottom"/>
          </w:tcPr>
          <w:p>
            <w:pPr>
              <w:spacing w:after="0"/>
              <w:rPr>
                <w:sz w:val="14"/>
                <w:szCs w:val="14"/>
                <w:color w:val="auto"/>
              </w:rPr>
            </w:pPr>
          </w:p>
        </w:tc>
        <w:tc>
          <w:tcPr>
            <w:tcW w:w="92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8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20" w:type="dxa"/>
            <w:vAlign w:val="bottom"/>
            <w:gridSpan w:val="2"/>
          </w:tcPr>
          <w:p>
            <w:pPr>
              <w:ind w:left="14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LLC Interests</w:t>
            </w:r>
          </w:p>
        </w:tc>
        <w:tc>
          <w:tcPr>
            <w:tcW w:w="124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right"/>
              <w:ind w:right="289"/>
              <w:spacing w:after="0"/>
              <w:rPr>
                <w:sz w:val="20"/>
                <w:szCs w:val="20"/>
                <w:color w:val="auto"/>
              </w:rPr>
            </w:pPr>
            <w:r>
              <w:rPr>
                <w:rFonts w:ascii="Arial" w:cs="Arial" w:eastAsia="Arial" w:hAnsi="Arial"/>
                <w:sz w:val="13"/>
                <w:szCs w:val="13"/>
                <w:color w:val="008000"/>
              </w:rPr>
              <w:t>(1)</w:t>
            </w:r>
          </w:p>
        </w:tc>
        <w:tc>
          <w:tcPr>
            <w:tcW w:w="1780" w:type="dxa"/>
            <w:vAlign w:val="bottom"/>
          </w:tcPr>
          <w:p>
            <w:pPr>
              <w:ind w:left="240"/>
              <w:spacing w:after="0"/>
              <w:rPr>
                <w:sz w:val="20"/>
                <w:szCs w:val="20"/>
                <w:color w:val="auto"/>
              </w:rPr>
            </w:pPr>
            <w:r>
              <w:rPr>
                <w:rFonts w:ascii="Arial" w:cs="Arial" w:eastAsia="Arial" w:hAnsi="Arial"/>
                <w:sz w:val="20"/>
                <w:szCs w:val="20"/>
                <w:color w:val="0000FF"/>
                <w:w w:val="97"/>
              </w:rPr>
              <w:t>Class A Common</w:t>
            </w:r>
          </w:p>
        </w:tc>
        <w:tc>
          <w:tcPr>
            <w:tcW w:w="860" w:type="dxa"/>
            <w:vAlign w:val="bottom"/>
            <w:vMerge w:val="restart"/>
          </w:tcPr>
          <w:p>
            <w:pPr>
              <w:ind w:left="160"/>
              <w:spacing w:after="0"/>
              <w:rPr>
                <w:sz w:val="20"/>
                <w:szCs w:val="20"/>
                <w:color w:val="auto"/>
              </w:rPr>
            </w:pPr>
            <w:r>
              <w:rPr>
                <w:rFonts w:ascii="Arial" w:cs="Arial" w:eastAsia="Arial" w:hAnsi="Arial"/>
                <w:sz w:val="20"/>
                <w:szCs w:val="20"/>
                <w:color w:val="0000FF"/>
                <w:w w:val="94"/>
              </w:rPr>
              <w:t>186,101</w:t>
            </w:r>
          </w:p>
        </w:tc>
        <w:tc>
          <w:tcPr>
            <w:tcW w:w="60" w:type="dxa"/>
            <w:vAlign w:val="bottom"/>
          </w:tcPr>
          <w:p>
            <w:pPr>
              <w:spacing w:after="0"/>
              <w:rPr>
                <w:sz w:val="24"/>
                <w:szCs w:val="24"/>
                <w:color w:val="auto"/>
              </w:rPr>
            </w:pPr>
          </w:p>
        </w:tc>
        <w:tc>
          <w:tcPr>
            <w:tcW w:w="940" w:type="dxa"/>
            <w:vAlign w:val="bottom"/>
            <w:vMerge w:val="restart"/>
          </w:tcPr>
          <w:p>
            <w:pPr>
              <w:ind w:left="380"/>
              <w:spacing w:after="0"/>
              <w:rPr>
                <w:sz w:val="20"/>
                <w:szCs w:val="20"/>
                <w:color w:val="auto"/>
              </w:rPr>
            </w:pPr>
            <w:r>
              <w:rPr>
                <w:rFonts w:ascii="Arial" w:cs="Arial" w:eastAsia="Arial" w:hAnsi="Arial"/>
                <w:sz w:val="13"/>
                <w:szCs w:val="13"/>
                <w:color w:val="008000"/>
              </w:rPr>
              <w:t>(2)</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ind w:left="700"/>
              <w:spacing w:after="0"/>
              <w:rPr>
                <w:sz w:val="20"/>
                <w:szCs w:val="20"/>
                <w:color w:val="auto"/>
              </w:rPr>
            </w:pPr>
            <w:r>
              <w:rPr>
                <w:rFonts w:ascii="Arial" w:cs="Arial" w:eastAsia="Arial" w:hAnsi="Arial"/>
                <w:sz w:val="20"/>
                <w:szCs w:val="20"/>
                <w:color w:val="0000FF"/>
              </w:rPr>
              <w:t>Stock</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-1770380</wp:posOffset>
            </wp:positionV>
            <wp:extent cx="6946900" cy="1829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829435"/>
                    </a:xfrm>
                    <a:prstGeom prst="rect">
                      <a:avLst/>
                    </a:prstGeom>
                    <a:noFill/>
                  </pic:spPr>
                </pic:pic>
              </a:graphicData>
            </a:graphic>
          </wp:anchor>
        </w:drawing>
      </w:r>
    </w:p>
    <w:p>
      <w:pPr>
        <w:spacing w:after="0" w:line="9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200" w:hanging="155"/>
        <w:spacing w:after="0"/>
        <w:tabs>
          <w:tab w:leader="none" w:pos="20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LLC Interests and associated shares of Class B Common Stock will vest in five equal annual installments beginning on February 17, 2021 and have no expiration date.</w:t>
      </w:r>
    </w:p>
    <w:p>
      <w:pPr>
        <w:spacing w:after="0" w:line="64" w:lineRule="exact"/>
        <w:rPr>
          <w:rFonts w:ascii="Arial" w:cs="Arial" w:eastAsia="Arial" w:hAnsi="Arial"/>
          <w:sz w:val="14"/>
          <w:szCs w:val="14"/>
          <w:color w:val="008000"/>
        </w:rPr>
      </w:pPr>
    </w:p>
    <w:p>
      <w:pPr>
        <w:ind w:left="200" w:hanging="155"/>
        <w:spacing w:after="0"/>
        <w:tabs>
          <w:tab w:leader="none" w:pos="20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The LLC Interests may be redeemed by the Reporting Person at any time on or following the closing of the Initial Public Offering for shares of Class A Common Stock on a 1-to-</w:t>
      </w:r>
    </w:p>
    <w:p>
      <w:pPr>
        <w:spacing w:after="0" w:line="27" w:lineRule="exact"/>
        <w:rPr>
          <w:rFonts w:ascii="Arial" w:cs="Arial" w:eastAsia="Arial" w:hAnsi="Arial"/>
          <w:sz w:val="13"/>
          <w:szCs w:val="13"/>
          <w:color w:val="008000"/>
        </w:rPr>
      </w:pPr>
    </w:p>
    <w:p>
      <w:pPr>
        <w:ind w:left="40"/>
        <w:spacing w:after="0"/>
        <w:rPr>
          <w:rFonts w:ascii="Arial" w:cs="Arial" w:eastAsia="Arial" w:hAnsi="Arial"/>
          <w:sz w:val="13"/>
          <w:szCs w:val="13"/>
          <w:color w:val="008000"/>
        </w:rPr>
      </w:pPr>
      <w:r>
        <w:rPr>
          <w:rFonts w:ascii="Arial" w:cs="Arial" w:eastAsia="Arial" w:hAnsi="Arial"/>
          <w:sz w:val="15"/>
          <w:szCs w:val="15"/>
          <w:color w:val="008000"/>
        </w:rPr>
        <w:t>1 basis.</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84"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/s/ Clinton P. Jones,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97409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409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Attorney-in-fact for Rahm  07/15/2020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Emanuel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44005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40055"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firstLine="936"/>
        <w:spacing w:after="0" w:line="269" w:lineRule="auto"/>
        <w:rPr>
          <w:sz w:val="20"/>
          <w:szCs w:val="20"/>
          <w:color w:val="auto"/>
        </w:rPr>
      </w:pPr>
      <w:r>
        <w:rPr>
          <w:rFonts w:ascii="Courier New" w:cs="Courier New" w:eastAsia="Courier New" w:hAnsi="Courier New"/>
          <w:sz w:val="18"/>
          <w:szCs w:val="18"/>
          <w:color w:val="auto"/>
        </w:rPr>
        <w:t>With respect to holdings of and transactions in securities issued by GoHealth,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208" w:lineRule="exact"/>
        <w:rPr>
          <w:sz w:val="20"/>
          <w:szCs w:val="20"/>
          <w:color w:val="auto"/>
        </w:rPr>
      </w:pPr>
    </w:p>
    <w:p>
      <w:pPr>
        <w:ind w:left="1400" w:right="619" w:hanging="698"/>
        <w:spacing w:after="0" w:line="237" w:lineRule="auto"/>
        <w:tabs>
          <w:tab w:leader="none" w:pos="140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236" w:lineRule="exact"/>
        <w:rPr>
          <w:rFonts w:ascii="Courier New" w:cs="Courier New" w:eastAsia="Courier New" w:hAnsi="Courier New"/>
          <w:sz w:val="20"/>
          <w:szCs w:val="20"/>
          <w:color w:val="auto"/>
        </w:rPr>
      </w:pPr>
    </w:p>
    <w:p>
      <w:pPr>
        <w:jc w:val="both"/>
        <w:ind w:left="1400" w:right="839" w:hanging="698"/>
        <w:spacing w:after="0" w:line="236" w:lineRule="auto"/>
        <w:tabs>
          <w:tab w:leader="none" w:pos="140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Forms 3, 4, and 5 in accordance with Section 16 of the Securities Exchange Act of 1934, as amended, and the rules thereunder;</w:t>
      </w:r>
    </w:p>
    <w:p>
      <w:pPr>
        <w:spacing w:after="0" w:line="232" w:lineRule="exact"/>
        <w:rPr>
          <w:rFonts w:ascii="Courier New" w:cs="Courier New" w:eastAsia="Courier New" w:hAnsi="Courier New"/>
          <w:sz w:val="20"/>
          <w:szCs w:val="20"/>
          <w:color w:val="auto"/>
        </w:rPr>
      </w:pPr>
    </w:p>
    <w:p>
      <w:pPr>
        <w:ind w:left="1400" w:right="619" w:hanging="698"/>
        <w:spacing w:after="0" w:line="237" w:lineRule="auto"/>
        <w:tabs>
          <w:tab w:leader="none" w:pos="140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31" w:lineRule="exact"/>
        <w:rPr>
          <w:rFonts w:ascii="Courier New" w:cs="Courier New" w:eastAsia="Courier New" w:hAnsi="Courier New"/>
          <w:sz w:val="20"/>
          <w:szCs w:val="20"/>
          <w:color w:val="auto"/>
        </w:rPr>
      </w:pPr>
    </w:p>
    <w:p>
      <w:pPr>
        <w:ind w:left="1400" w:right="619" w:hanging="698"/>
        <w:spacing w:after="0" w:line="237" w:lineRule="auto"/>
        <w:tabs>
          <w:tab w:leader="none" w:pos="140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739" w:firstLine="936"/>
        <w:spacing w:after="0" w:line="237"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37"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1"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GoHealth, Inc., unless earlier revoked by the undersigned in a signed writing delivered to the foregoing attorneys-in-fact.</w:t>
      </w:r>
    </w:p>
    <w:p>
      <w:pPr>
        <w:spacing w:after="0" w:line="200" w:lineRule="exact"/>
        <w:rPr>
          <w:sz w:val="20"/>
          <w:szCs w:val="20"/>
          <w:color w:val="auto"/>
        </w:rPr>
      </w:pPr>
    </w:p>
    <w:p>
      <w:pPr>
        <w:spacing w:after="0" w:line="257" w:lineRule="exact"/>
        <w:rPr>
          <w:sz w:val="20"/>
          <w:szCs w:val="20"/>
          <w:color w:val="auto"/>
        </w:rPr>
      </w:pPr>
    </w:p>
    <w:p>
      <w:pPr>
        <w:ind w:right="73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executed this Power of Attorney on this 18th day of June, 2020.</w:t>
      </w:r>
    </w:p>
    <w:p>
      <w:pPr>
        <w:spacing w:after="0" w:line="200" w:lineRule="exact"/>
        <w:rPr>
          <w:sz w:val="20"/>
          <w:szCs w:val="20"/>
          <w:color w:val="auto"/>
        </w:rPr>
      </w:pPr>
    </w:p>
    <w:p>
      <w:pPr>
        <w:spacing w:after="0" w:line="249"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Signature:</w:t>
        <w:tab/>
        <w:t>/s/ Rahm Emanuel</w:t>
      </w:r>
    </w:p>
    <w:p>
      <w:pPr>
        <w:ind w:left="1520"/>
        <w:spacing w:after="0" w:line="238" w:lineRule="auto"/>
        <w:rPr>
          <w:sz w:val="20"/>
          <w:szCs w:val="20"/>
          <w:color w:val="auto"/>
        </w:rPr>
      </w:pPr>
      <w:r>
        <w:rPr>
          <w:rFonts w:ascii="Courier New" w:cs="Courier New" w:eastAsia="Courier New" w:hAnsi="Courier New"/>
          <w:sz w:val="20"/>
          <w:szCs w:val="20"/>
          <w:color w:val="auto"/>
        </w:rPr>
        <w:t>----------------</w:t>
      </w:r>
    </w:p>
    <w:p>
      <w:pPr>
        <w:spacing w:after="0" w:line="224"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Print Name:</w:t>
      </w:r>
      <w:r>
        <w:rPr>
          <w:sz w:val="20"/>
          <w:szCs w:val="20"/>
          <w:color w:val="auto"/>
        </w:rPr>
        <w:tab/>
      </w:r>
      <w:r>
        <w:rPr>
          <w:rFonts w:ascii="Courier New" w:cs="Courier New" w:eastAsia="Courier New" w:hAnsi="Courier New"/>
          <w:sz w:val="18"/>
          <w:szCs w:val="18"/>
          <w:color w:val="auto"/>
        </w:rPr>
        <w:t>RAHM EMANUEL</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Schedule A</w:t>
      </w:r>
    </w:p>
    <w:p>
      <w:pPr>
        <w:spacing w:after="0" w:line="230" w:lineRule="exact"/>
        <w:rPr>
          <w:sz w:val="20"/>
          <w:szCs w:val="20"/>
          <w:color w:val="auto"/>
        </w:rPr>
      </w:pPr>
    </w:p>
    <w:p>
      <w:pPr>
        <w:ind w:right="2019" w:firstLine="936"/>
        <w:spacing w:after="0" w:line="236" w:lineRule="auto"/>
        <w:rPr>
          <w:sz w:val="20"/>
          <w:szCs w:val="20"/>
          <w:color w:val="auto"/>
        </w:rPr>
      </w:pPr>
      <w:r>
        <w:rPr>
          <w:rFonts w:ascii="Courier New" w:cs="Courier New" w:eastAsia="Courier New" w:hAnsi="Courier New"/>
          <w:sz w:val="20"/>
          <w:szCs w:val="20"/>
          <w:color w:val="auto"/>
        </w:rPr>
        <w:t>Individuals Appointed as Attorney-in-Fact with Full Power of Substitution and Resubstitution</w:t>
      </w:r>
    </w:p>
    <w:p>
      <w:pPr>
        <w:sectPr>
          <w:pgSz w:w="11900" w:h="16838" w:orient="portrait"/>
          <w:cols w:equalWidth="0" w:num="1">
            <w:col w:w="9979"/>
          </w:cols>
          <w:pgMar w:left="48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Clinton P. Jones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Travis J. Matthiesen</w:t>
      </w:r>
    </w:p>
    <w:sectPr>
      <w:pgSz w:w="11900" w:h="16838" w:orient="portrait"/>
      <w:cols w:equalWidth="0" w:num="1">
        <w:col w:w="9979"/>
      </w:cols>
      <w:pgMar w:left="480" w:top="3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815986" TargetMode="External"/><Relationship Id="rId11"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2020-07-15T20:47:52Z</dcterms:created>
  <dcterms:modified xsi:type="dcterms:W3CDTF">2020-07-15T20:47:52Z</dcterms:modified>
</cp:coreProperties>
</file>