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60"/>
        <w:spacing w:after="0"/>
        <w:rPr>
          <w:sz w:val="20"/>
          <w:szCs w:val="20"/>
          <w:color w:val="auto"/>
        </w:rPr>
      </w:pPr>
      <w:r>
        <w:rPr>
          <w:rFonts w:ascii="Arial" w:cs="Arial" w:eastAsia="Arial" w:hAnsi="Arial"/>
          <w:sz w:val="18"/>
          <w:szCs w:val="18"/>
          <w:color w:val="auto"/>
        </w:rPr>
        <w:t>53rd at Third</w:t>
      </w:r>
    </w:p>
    <w:p>
      <w:pPr>
        <w:spacing w:after="0" w:line="23"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885 Third Avenue</w:t>
      </w:r>
    </w:p>
    <w:p>
      <w:pPr>
        <w:spacing w:after="0" w:line="9"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New York, New York 10022-4834</w:t>
      </w:r>
    </w:p>
    <w:p>
      <w:pPr>
        <w:spacing w:after="0" w:line="9"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Tel: +1.212.906.1200 Fax: +1.212.751.4864</w:t>
      </w:r>
    </w:p>
    <w:p>
      <w:pPr>
        <w:spacing w:after="0" w:line="9"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www.lw.com</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5120" w:type="dxa"/>
            <w:vAlign w:val="bottom"/>
            <w:gridSpan w:val="2"/>
          </w:tcPr>
          <w:p>
            <w:pPr>
              <w:ind w:left="2080"/>
              <w:spacing w:after="0"/>
              <w:rPr>
                <w:sz w:val="20"/>
                <w:szCs w:val="20"/>
                <w:color w:val="auto"/>
              </w:rPr>
            </w:pPr>
            <w:r>
              <w:rPr>
                <w:rFonts w:ascii="Arial" w:cs="Arial" w:eastAsia="Arial" w:hAnsi="Arial"/>
                <w:sz w:val="18"/>
                <w:szCs w:val="18"/>
                <w:color w:val="auto"/>
              </w:rPr>
              <w:t>FIRM / AFFILIATE OFFICES</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Beijing</w:t>
            </w:r>
          </w:p>
        </w:tc>
        <w:tc>
          <w:tcPr>
            <w:tcW w:w="1700" w:type="dxa"/>
            <w:vAlign w:val="bottom"/>
          </w:tcPr>
          <w:p>
            <w:pPr>
              <w:ind w:left="420"/>
              <w:spacing w:after="0"/>
              <w:rPr>
                <w:sz w:val="20"/>
                <w:szCs w:val="20"/>
                <w:color w:val="auto"/>
              </w:rPr>
            </w:pPr>
            <w:r>
              <w:rPr>
                <w:rFonts w:ascii="Arial" w:cs="Arial" w:eastAsia="Arial" w:hAnsi="Arial"/>
                <w:sz w:val="18"/>
                <w:szCs w:val="18"/>
                <w:color w:val="auto"/>
              </w:rPr>
              <w:t>Moscow</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Boston</w:t>
            </w:r>
          </w:p>
        </w:tc>
        <w:tc>
          <w:tcPr>
            <w:tcW w:w="1700" w:type="dxa"/>
            <w:vAlign w:val="bottom"/>
          </w:tcPr>
          <w:p>
            <w:pPr>
              <w:ind w:left="420"/>
              <w:spacing w:after="0"/>
              <w:rPr>
                <w:sz w:val="20"/>
                <w:szCs w:val="20"/>
                <w:color w:val="auto"/>
              </w:rPr>
            </w:pPr>
            <w:r>
              <w:rPr>
                <w:rFonts w:ascii="Arial" w:cs="Arial" w:eastAsia="Arial" w:hAnsi="Arial"/>
                <w:sz w:val="18"/>
                <w:szCs w:val="18"/>
                <w:color w:val="auto"/>
              </w:rPr>
              <w:t>Munich</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Brussels</w:t>
            </w:r>
          </w:p>
        </w:tc>
        <w:tc>
          <w:tcPr>
            <w:tcW w:w="1700" w:type="dxa"/>
            <w:vAlign w:val="bottom"/>
          </w:tcPr>
          <w:p>
            <w:pPr>
              <w:ind w:left="420"/>
              <w:spacing w:after="0"/>
              <w:rPr>
                <w:sz w:val="20"/>
                <w:szCs w:val="20"/>
                <w:color w:val="auto"/>
              </w:rPr>
            </w:pPr>
            <w:r>
              <w:rPr>
                <w:rFonts w:ascii="Arial" w:cs="Arial" w:eastAsia="Arial" w:hAnsi="Arial"/>
                <w:sz w:val="18"/>
                <w:szCs w:val="18"/>
                <w:color w:val="auto"/>
              </w:rPr>
              <w:t>New York</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Century City</w:t>
            </w:r>
          </w:p>
        </w:tc>
        <w:tc>
          <w:tcPr>
            <w:tcW w:w="1700" w:type="dxa"/>
            <w:vAlign w:val="bottom"/>
          </w:tcPr>
          <w:p>
            <w:pPr>
              <w:ind w:left="420"/>
              <w:spacing w:after="0"/>
              <w:rPr>
                <w:sz w:val="20"/>
                <w:szCs w:val="20"/>
                <w:color w:val="auto"/>
              </w:rPr>
            </w:pPr>
            <w:r>
              <w:rPr>
                <w:rFonts w:ascii="Arial" w:cs="Arial" w:eastAsia="Arial" w:hAnsi="Arial"/>
                <w:sz w:val="18"/>
                <w:szCs w:val="18"/>
                <w:color w:val="auto"/>
              </w:rPr>
              <w:t>Orange County</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June 26, 2020</w:t>
            </w:r>
          </w:p>
        </w:tc>
        <w:tc>
          <w:tcPr>
            <w:tcW w:w="3420" w:type="dxa"/>
            <w:vAlign w:val="bottom"/>
          </w:tcPr>
          <w:p>
            <w:pPr>
              <w:ind w:left="2080"/>
              <w:spacing w:after="0"/>
              <w:rPr>
                <w:sz w:val="20"/>
                <w:szCs w:val="20"/>
                <w:color w:val="auto"/>
              </w:rPr>
            </w:pPr>
            <w:r>
              <w:rPr>
                <w:rFonts w:ascii="Arial" w:cs="Arial" w:eastAsia="Arial" w:hAnsi="Arial"/>
                <w:sz w:val="18"/>
                <w:szCs w:val="18"/>
                <w:color w:val="auto"/>
              </w:rPr>
              <w:t>Chicago</w:t>
            </w:r>
          </w:p>
        </w:tc>
        <w:tc>
          <w:tcPr>
            <w:tcW w:w="1700" w:type="dxa"/>
            <w:vAlign w:val="bottom"/>
          </w:tcPr>
          <w:p>
            <w:pPr>
              <w:ind w:left="420"/>
              <w:spacing w:after="0"/>
              <w:rPr>
                <w:sz w:val="20"/>
                <w:szCs w:val="20"/>
                <w:color w:val="auto"/>
              </w:rPr>
            </w:pPr>
            <w:r>
              <w:rPr>
                <w:rFonts w:ascii="Arial" w:cs="Arial" w:eastAsia="Arial" w:hAnsi="Arial"/>
                <w:sz w:val="18"/>
                <w:szCs w:val="18"/>
                <w:color w:val="auto"/>
              </w:rPr>
              <w:t>Paris</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Dubai</w:t>
            </w:r>
          </w:p>
        </w:tc>
        <w:tc>
          <w:tcPr>
            <w:tcW w:w="1700" w:type="dxa"/>
            <w:vAlign w:val="bottom"/>
          </w:tcPr>
          <w:p>
            <w:pPr>
              <w:ind w:left="420"/>
              <w:spacing w:after="0"/>
              <w:rPr>
                <w:sz w:val="20"/>
                <w:szCs w:val="20"/>
                <w:color w:val="auto"/>
              </w:rPr>
            </w:pPr>
            <w:r>
              <w:rPr>
                <w:rFonts w:ascii="Arial" w:cs="Arial" w:eastAsia="Arial" w:hAnsi="Arial"/>
                <w:sz w:val="18"/>
                <w:szCs w:val="18"/>
                <w:color w:val="auto"/>
              </w:rPr>
              <w:t>Riyadh</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Düsseldorf</w:t>
            </w:r>
          </w:p>
        </w:tc>
        <w:tc>
          <w:tcPr>
            <w:tcW w:w="1700" w:type="dxa"/>
            <w:vAlign w:val="bottom"/>
          </w:tcPr>
          <w:p>
            <w:pPr>
              <w:ind w:left="420"/>
              <w:spacing w:after="0"/>
              <w:rPr>
                <w:sz w:val="20"/>
                <w:szCs w:val="20"/>
                <w:color w:val="auto"/>
              </w:rPr>
            </w:pPr>
            <w:r>
              <w:rPr>
                <w:rFonts w:ascii="Arial" w:cs="Arial" w:eastAsia="Arial" w:hAnsi="Arial"/>
                <w:sz w:val="18"/>
                <w:szCs w:val="18"/>
                <w:color w:val="auto"/>
              </w:rPr>
              <w:t>San Diego</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Frankfurt</w:t>
            </w:r>
          </w:p>
        </w:tc>
        <w:tc>
          <w:tcPr>
            <w:tcW w:w="1700" w:type="dxa"/>
            <w:vAlign w:val="bottom"/>
          </w:tcPr>
          <w:p>
            <w:pPr>
              <w:ind w:left="420"/>
              <w:spacing w:after="0"/>
              <w:rPr>
                <w:sz w:val="20"/>
                <w:szCs w:val="20"/>
                <w:color w:val="auto"/>
              </w:rPr>
            </w:pPr>
            <w:r>
              <w:rPr>
                <w:rFonts w:ascii="Arial" w:cs="Arial" w:eastAsia="Arial" w:hAnsi="Arial"/>
                <w:sz w:val="18"/>
                <w:szCs w:val="18"/>
                <w:color w:val="auto"/>
              </w:rPr>
              <w:t>San Francisco</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Hamburg</w:t>
            </w:r>
          </w:p>
        </w:tc>
        <w:tc>
          <w:tcPr>
            <w:tcW w:w="1700" w:type="dxa"/>
            <w:vAlign w:val="bottom"/>
          </w:tcPr>
          <w:p>
            <w:pPr>
              <w:ind w:left="420"/>
              <w:spacing w:after="0"/>
              <w:rPr>
                <w:sz w:val="20"/>
                <w:szCs w:val="20"/>
                <w:color w:val="auto"/>
              </w:rPr>
            </w:pPr>
            <w:r>
              <w:rPr>
                <w:rFonts w:ascii="Arial" w:cs="Arial" w:eastAsia="Arial" w:hAnsi="Arial"/>
                <w:sz w:val="18"/>
                <w:szCs w:val="18"/>
                <w:color w:val="auto"/>
              </w:rPr>
              <w:t>Seoul</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Hong Kong</w:t>
            </w:r>
          </w:p>
        </w:tc>
        <w:tc>
          <w:tcPr>
            <w:tcW w:w="1700" w:type="dxa"/>
            <w:vAlign w:val="bottom"/>
          </w:tcPr>
          <w:p>
            <w:pPr>
              <w:ind w:left="420"/>
              <w:spacing w:after="0"/>
              <w:rPr>
                <w:sz w:val="20"/>
                <w:szCs w:val="20"/>
                <w:color w:val="auto"/>
              </w:rPr>
            </w:pPr>
            <w:r>
              <w:rPr>
                <w:rFonts w:ascii="Arial" w:cs="Arial" w:eastAsia="Arial" w:hAnsi="Arial"/>
                <w:sz w:val="18"/>
                <w:szCs w:val="18"/>
                <w:color w:val="auto"/>
              </w:rPr>
              <w:t>Shanghai</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Houston</w:t>
            </w:r>
          </w:p>
        </w:tc>
        <w:tc>
          <w:tcPr>
            <w:tcW w:w="1700" w:type="dxa"/>
            <w:vAlign w:val="bottom"/>
          </w:tcPr>
          <w:p>
            <w:pPr>
              <w:ind w:left="420"/>
              <w:spacing w:after="0"/>
              <w:rPr>
                <w:sz w:val="20"/>
                <w:szCs w:val="20"/>
                <w:color w:val="auto"/>
              </w:rPr>
            </w:pPr>
            <w:r>
              <w:rPr>
                <w:rFonts w:ascii="Arial" w:cs="Arial" w:eastAsia="Arial" w:hAnsi="Arial"/>
                <w:sz w:val="18"/>
                <w:szCs w:val="18"/>
                <w:color w:val="auto"/>
              </w:rPr>
              <w:t>Silicon Valley</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London</w:t>
            </w:r>
          </w:p>
        </w:tc>
        <w:tc>
          <w:tcPr>
            <w:tcW w:w="1700" w:type="dxa"/>
            <w:vAlign w:val="bottom"/>
          </w:tcPr>
          <w:p>
            <w:pPr>
              <w:ind w:left="420"/>
              <w:spacing w:after="0"/>
              <w:rPr>
                <w:sz w:val="20"/>
                <w:szCs w:val="20"/>
                <w:color w:val="auto"/>
              </w:rPr>
            </w:pPr>
            <w:r>
              <w:rPr>
                <w:rFonts w:ascii="Arial" w:cs="Arial" w:eastAsia="Arial" w:hAnsi="Arial"/>
                <w:sz w:val="18"/>
                <w:szCs w:val="18"/>
                <w:color w:val="auto"/>
              </w:rPr>
              <w:t>Singapore</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Los Angeles</w:t>
            </w:r>
          </w:p>
        </w:tc>
        <w:tc>
          <w:tcPr>
            <w:tcW w:w="1700" w:type="dxa"/>
            <w:vAlign w:val="bottom"/>
          </w:tcPr>
          <w:p>
            <w:pPr>
              <w:ind w:left="420"/>
              <w:spacing w:after="0"/>
              <w:rPr>
                <w:sz w:val="20"/>
                <w:szCs w:val="20"/>
                <w:color w:val="auto"/>
              </w:rPr>
            </w:pPr>
            <w:r>
              <w:rPr>
                <w:rFonts w:ascii="Arial" w:cs="Arial" w:eastAsia="Arial" w:hAnsi="Arial"/>
                <w:sz w:val="18"/>
                <w:szCs w:val="18"/>
                <w:color w:val="auto"/>
              </w:rPr>
              <w:t>Tokyo</w:t>
            </w:r>
          </w:p>
        </w:tc>
      </w:tr>
      <w:tr>
        <w:trPr>
          <w:trHeight w:val="216"/>
        </w:trPr>
        <w:tc>
          <w:tcPr>
            <w:tcW w:w="4980" w:type="dxa"/>
            <w:vAlign w:val="bottom"/>
          </w:tcPr>
          <w:p>
            <w:pPr>
              <w:spacing w:after="0"/>
              <w:rPr>
                <w:sz w:val="18"/>
                <w:szCs w:val="18"/>
                <w:color w:val="auto"/>
              </w:rPr>
            </w:pPr>
          </w:p>
        </w:tc>
        <w:tc>
          <w:tcPr>
            <w:tcW w:w="3420" w:type="dxa"/>
            <w:vAlign w:val="bottom"/>
          </w:tcPr>
          <w:p>
            <w:pPr>
              <w:ind w:left="2080"/>
              <w:spacing w:after="0"/>
              <w:rPr>
                <w:sz w:val="20"/>
                <w:szCs w:val="20"/>
                <w:color w:val="auto"/>
              </w:rPr>
            </w:pPr>
            <w:r>
              <w:rPr>
                <w:rFonts w:ascii="Arial" w:cs="Arial" w:eastAsia="Arial" w:hAnsi="Arial"/>
                <w:sz w:val="18"/>
                <w:szCs w:val="18"/>
                <w:color w:val="auto"/>
              </w:rPr>
              <w:t>Madrid</w:t>
            </w:r>
          </w:p>
        </w:tc>
        <w:tc>
          <w:tcPr>
            <w:tcW w:w="1700" w:type="dxa"/>
            <w:vAlign w:val="bottom"/>
          </w:tcPr>
          <w:p>
            <w:pPr>
              <w:ind w:left="420"/>
              <w:spacing w:after="0"/>
              <w:rPr>
                <w:sz w:val="20"/>
                <w:szCs w:val="20"/>
                <w:color w:val="auto"/>
              </w:rPr>
            </w:pPr>
            <w:r>
              <w:rPr>
                <w:rFonts w:ascii="Arial" w:cs="Arial" w:eastAsia="Arial" w:hAnsi="Arial"/>
                <w:sz w:val="18"/>
                <w:szCs w:val="18"/>
                <w:color w:val="auto"/>
                <w:w w:val="89"/>
              </w:rPr>
              <w:t>Washington, D.C.</w:t>
            </w:r>
          </w:p>
        </w:tc>
      </w:t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VIA EDGAR AND HAND DELIVERY</w:t>
            </w:r>
          </w:p>
        </w:tc>
        <w:tc>
          <w:tcPr>
            <w:tcW w:w="3420" w:type="dxa"/>
            <w:vAlign w:val="bottom"/>
          </w:tcPr>
          <w:p>
            <w:pPr>
              <w:ind w:left="2080"/>
              <w:spacing w:after="0"/>
              <w:rPr>
                <w:sz w:val="20"/>
                <w:szCs w:val="20"/>
                <w:color w:val="auto"/>
              </w:rPr>
            </w:pPr>
            <w:r>
              <w:rPr>
                <w:rFonts w:ascii="Arial" w:cs="Arial" w:eastAsia="Arial" w:hAnsi="Arial"/>
                <w:sz w:val="18"/>
                <w:szCs w:val="18"/>
                <w:color w:val="auto"/>
              </w:rPr>
              <w:t>Milan</w:t>
            </w: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-2193925</wp:posOffset>
            </wp:positionV>
            <wp:extent cx="241744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23114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38"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J. Nolan McWilliams</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Dietrich King</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GoHealth, Inc.</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June 19, 2020</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CIK No. 0001808220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firstLine="440"/>
        <w:spacing w:after="0" w:line="301" w:lineRule="auto"/>
        <w:rPr>
          <w:sz w:val="20"/>
          <w:szCs w:val="20"/>
          <w:color w:val="auto"/>
        </w:rPr>
      </w:pPr>
      <w:r>
        <w:rPr>
          <w:rFonts w:ascii="Arial" w:cs="Arial" w:eastAsia="Arial" w:hAnsi="Arial"/>
          <w:sz w:val="16"/>
          <w:szCs w:val="16"/>
          <w:color w:val="auto"/>
        </w:rPr>
        <w:t>This letter relates to the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of GoHealth,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Unless otherwise indicated, capitalized terms used herein will have the meanings assigned to them in the Registration Statement. The Company hereby advises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that it intends to file a pre-effective amendment to the Registration Statement with a preliminary prospectus that will include the following preliminary estimated financial results for the three months ended June 30, 2020:</w:t>
      </w:r>
    </w:p>
    <w:p>
      <w:pPr>
        <w:spacing w:after="0" w:line="157" w:lineRule="exact"/>
        <w:rPr>
          <w:sz w:val="24"/>
          <w:szCs w:val="24"/>
          <w:color w:val="auto"/>
        </w:rPr>
      </w:pPr>
    </w:p>
    <w:p>
      <w:pPr>
        <w:ind w:firstLine="440"/>
        <w:spacing w:after="0" w:line="287" w:lineRule="auto"/>
        <w:rPr>
          <w:sz w:val="20"/>
          <w:szCs w:val="20"/>
          <w:color w:val="auto"/>
        </w:rPr>
      </w:pPr>
      <w:r>
        <w:rPr>
          <w:rFonts w:ascii="Arial" w:cs="Arial" w:eastAsia="Arial" w:hAnsi="Arial"/>
          <w:sz w:val="16"/>
          <w:szCs w:val="16"/>
          <w:color w:val="auto"/>
        </w:rPr>
        <w:t>“Our results for the three months ended June 30, 2020 are not yet available. Below we have presented preliminary estimated ranges of certain of our financial results for the three months ended June 30, 2020, based solely on preliminary information currently available to management. We have not yet completed our closing procedures for the three months ended June 30, 2020. The preliminary estimated ranges of certain of our financial results set forth below have been prepared by, and are the responsibility of, management and are based on a number of assumptions. Our independent registered public accounting firm has not audited, reviewed, compiled, or performed any procedures with respect to our results for the three months ended June 30, 2020 and 2019. Our actual results may differ materially from these estimates due to the completion of our financial closing procedures, final adjustments and other developments that may arise between now and the time the financial results for our interim period are finalized. You should not place undue reliance on these preliminary estimates. In addition, the preliminary estimated financial results set forth below are not necessarily indicative of results we may achieve in any future period. See “Risk Factors,” “Management’s Discussion and Analysis of Financial Condition and Results of Operations,” and “Cautionary Note Regarding Forward-Looking Statements” for additional information regarding factors that could result in differences between the preliminary estimated ranges of certain of our financial results that are presented below and the actual financial results we will report.</w:t>
      </w:r>
    </w:p>
    <w:p>
      <w:pPr>
        <w:sectPr>
          <w:pgSz w:w="11900" w:h="16838" w:orient="portrait"/>
          <w:cols w:equalWidth="0" w:num="1">
            <w:col w:w="11000"/>
          </w:cols>
          <w:pgMar w:left="440" w:top="23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26,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preliminary estimates for the three months ended June 30, 2020:</w:t>
      </w:r>
    </w:p>
    <w:p>
      <w:pPr>
        <w:spacing w:after="0" w:line="131"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780" w:type="dxa"/>
            <w:vAlign w:val="bottom"/>
            <w:gridSpan w:val="4"/>
          </w:tcPr>
          <w:p>
            <w:pPr>
              <w:ind w:left="140"/>
              <w:spacing w:after="0"/>
              <w:rPr>
                <w:sz w:val="20"/>
                <w:szCs w:val="20"/>
                <w:color w:val="auto"/>
              </w:rPr>
            </w:pPr>
            <w:r>
              <w:rPr>
                <w:rFonts w:ascii="Arial" w:cs="Arial" w:eastAsia="Arial" w:hAnsi="Arial"/>
                <w:sz w:val="18"/>
                <w:szCs w:val="18"/>
                <w:color w:val="auto"/>
              </w:rPr>
              <w:t>Net revenues are expected to be between $</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million and $</w:t>
            </w:r>
          </w:p>
        </w:tc>
        <w:tc>
          <w:tcPr>
            <w:tcW w:w="400" w:type="dxa"/>
            <w:vAlign w:val="bottom"/>
          </w:tcPr>
          <w:p>
            <w:pPr>
              <w:spacing w:after="0"/>
              <w:rPr>
                <w:sz w:val="18"/>
                <w:szCs w:val="18"/>
                <w:color w:val="auto"/>
              </w:rPr>
            </w:pPr>
          </w:p>
        </w:tc>
        <w:tc>
          <w:tcPr>
            <w:tcW w:w="2260" w:type="dxa"/>
            <w:vAlign w:val="bottom"/>
            <w:gridSpan w:val="2"/>
          </w:tcPr>
          <w:p>
            <w:pPr>
              <w:jc w:val="right"/>
              <w:ind w:right="370"/>
              <w:spacing w:after="0"/>
              <w:rPr>
                <w:sz w:val="20"/>
                <w:szCs w:val="20"/>
                <w:color w:val="auto"/>
              </w:rPr>
            </w:pPr>
            <w:r>
              <w:rPr>
                <w:rFonts w:ascii="Arial" w:cs="Arial" w:eastAsia="Arial" w:hAnsi="Arial"/>
                <w:sz w:val="18"/>
                <w:szCs w:val="18"/>
                <w:color w:val="auto"/>
              </w:rPr>
              <w:t>million, an increase of</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 at the midpoint of the</w:t>
            </w:r>
          </w:p>
        </w:tc>
      </w:tr>
      <w:tr>
        <w:trPr>
          <w:trHeight w:val="216"/>
        </w:trPr>
        <w:tc>
          <w:tcPr>
            <w:tcW w:w="200" w:type="dxa"/>
            <w:vAlign w:val="bottom"/>
          </w:tcPr>
          <w:p>
            <w:pPr>
              <w:spacing w:after="0"/>
              <w:rPr>
                <w:sz w:val="18"/>
                <w:szCs w:val="18"/>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range, as compared to $</w:t>
            </w:r>
          </w:p>
        </w:tc>
        <w:tc>
          <w:tcPr>
            <w:tcW w:w="7240" w:type="dxa"/>
            <w:vAlign w:val="bottom"/>
            <w:gridSpan w:val="9"/>
          </w:tcPr>
          <w:p>
            <w:pPr>
              <w:jc w:val="right"/>
              <w:ind w:right="650"/>
              <w:spacing w:after="0"/>
              <w:rPr>
                <w:sz w:val="20"/>
                <w:szCs w:val="20"/>
                <w:color w:val="auto"/>
              </w:rPr>
            </w:pPr>
            <w:r>
              <w:rPr>
                <w:rFonts w:ascii="Arial" w:cs="Arial" w:eastAsia="Arial" w:hAnsi="Arial"/>
                <w:sz w:val="18"/>
                <w:szCs w:val="18"/>
                <w:color w:val="auto"/>
                <w:w w:val="90"/>
              </w:rPr>
              <w:t>million for the three months ended June 30, 2019. The estimated increase in net revenues</w:t>
            </w:r>
          </w:p>
        </w:tc>
      </w:tr>
      <w:tr>
        <w:trPr>
          <w:trHeight w:val="230"/>
        </w:trPr>
        <w:tc>
          <w:tcPr>
            <w:tcW w:w="200" w:type="dxa"/>
            <w:vAlign w:val="bottom"/>
          </w:tcPr>
          <w:p>
            <w:pPr>
              <w:spacing w:after="0"/>
              <w:rPr>
                <w:sz w:val="20"/>
                <w:szCs w:val="20"/>
                <w:color w:val="auto"/>
              </w:rPr>
            </w:pPr>
          </w:p>
        </w:tc>
        <w:tc>
          <w:tcPr>
            <w:tcW w:w="5020" w:type="dxa"/>
            <w:vAlign w:val="bottom"/>
            <w:gridSpan w:val="6"/>
          </w:tcPr>
          <w:p>
            <w:pPr>
              <w:ind w:left="140"/>
              <w:spacing w:after="0"/>
              <w:rPr>
                <w:sz w:val="20"/>
                <w:szCs w:val="20"/>
                <w:color w:val="auto"/>
              </w:rPr>
            </w:pPr>
            <w:r>
              <w:rPr>
                <w:rFonts w:ascii="Arial" w:cs="Arial" w:eastAsia="Arial" w:hAnsi="Arial"/>
                <w:sz w:val="18"/>
                <w:szCs w:val="18"/>
                <w:color w:val="auto"/>
                <w:w w:val="94"/>
              </w:rPr>
              <w:t>compared to the corresponding period in 2019 is primarily due to</w:t>
            </w:r>
          </w:p>
        </w:tc>
        <w:tc>
          <w:tcPr>
            <w:tcW w:w="400" w:type="dxa"/>
            <w:vAlign w:val="bottom"/>
          </w:tcPr>
          <w:p>
            <w:pPr>
              <w:spacing w:after="0"/>
              <w:rPr>
                <w:sz w:val="20"/>
                <w:szCs w:val="20"/>
                <w:color w:val="auto"/>
              </w:rPr>
            </w:pPr>
          </w:p>
        </w:tc>
        <w:tc>
          <w:tcPr>
            <w:tcW w:w="14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780" w:type="dxa"/>
            <w:vAlign w:val="bottom"/>
            <w:gridSpan w:val="4"/>
          </w:tcPr>
          <w:p>
            <w:pPr>
              <w:ind w:left="140"/>
              <w:spacing w:after="0"/>
              <w:rPr>
                <w:sz w:val="20"/>
                <w:szCs w:val="20"/>
                <w:color w:val="auto"/>
              </w:rPr>
            </w:pPr>
            <w:r>
              <w:rPr>
                <w:rFonts w:ascii="Arial" w:cs="Arial" w:eastAsia="Arial" w:hAnsi="Arial"/>
                <w:sz w:val="18"/>
                <w:szCs w:val="18"/>
                <w:color w:val="auto"/>
                <w:w w:val="93"/>
              </w:rPr>
              <w:t>Total segment profit is expected to be between $</w:t>
            </w:r>
          </w:p>
        </w:tc>
        <w:tc>
          <w:tcPr>
            <w:tcW w:w="3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million and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million, an increase of</w:t>
            </w: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at the midpoint</w:t>
            </w:r>
          </w:p>
        </w:tc>
      </w:tr>
      <w:tr>
        <w:trPr>
          <w:trHeight w:val="216"/>
        </w:trPr>
        <w:tc>
          <w:tcPr>
            <w:tcW w:w="200" w:type="dxa"/>
            <w:vAlign w:val="bottom"/>
          </w:tcPr>
          <w:p>
            <w:pPr>
              <w:spacing w:after="0"/>
              <w:rPr>
                <w:sz w:val="18"/>
                <w:szCs w:val="18"/>
                <w:color w:val="auto"/>
              </w:rPr>
            </w:pPr>
          </w:p>
        </w:tc>
        <w:tc>
          <w:tcPr>
            <w:tcW w:w="4100" w:type="dxa"/>
            <w:vAlign w:val="bottom"/>
            <w:gridSpan w:val="5"/>
          </w:tcPr>
          <w:p>
            <w:pPr>
              <w:ind w:left="140"/>
              <w:spacing w:after="0"/>
              <w:rPr>
                <w:sz w:val="20"/>
                <w:szCs w:val="20"/>
                <w:color w:val="auto"/>
              </w:rPr>
            </w:pPr>
            <w:r>
              <w:rPr>
                <w:rFonts w:ascii="Arial" w:cs="Arial" w:eastAsia="Arial" w:hAnsi="Arial"/>
                <w:sz w:val="18"/>
                <w:szCs w:val="18"/>
                <w:color w:val="auto"/>
                <w:w w:val="93"/>
              </w:rPr>
              <w:t>of the range, as compared to total segment profit of $</w:t>
            </w:r>
          </w:p>
        </w:tc>
        <w:tc>
          <w:tcPr>
            <w:tcW w:w="5620" w:type="dxa"/>
            <w:vAlign w:val="bottom"/>
            <w:gridSpan w:val="6"/>
          </w:tcPr>
          <w:p>
            <w:pPr>
              <w:jc w:val="right"/>
              <w:ind w:right="270"/>
              <w:spacing w:after="0"/>
              <w:rPr>
                <w:sz w:val="20"/>
                <w:szCs w:val="20"/>
                <w:color w:val="auto"/>
              </w:rPr>
            </w:pPr>
            <w:r>
              <w:rPr>
                <w:rFonts w:ascii="Arial" w:cs="Arial" w:eastAsia="Arial" w:hAnsi="Arial"/>
                <w:sz w:val="18"/>
                <w:szCs w:val="18"/>
                <w:color w:val="auto"/>
              </w:rPr>
              <w:t>million for the three months ended June 30, 2019. The estimated</w:t>
            </w:r>
          </w:p>
        </w:tc>
      </w:tr>
      <w:tr>
        <w:trPr>
          <w:trHeight w:val="230"/>
        </w:trPr>
        <w:tc>
          <w:tcPr>
            <w:tcW w:w="200" w:type="dxa"/>
            <w:vAlign w:val="bottom"/>
          </w:tcPr>
          <w:p>
            <w:pPr>
              <w:spacing w:after="0"/>
              <w:rPr>
                <w:sz w:val="20"/>
                <w:szCs w:val="20"/>
                <w:color w:val="auto"/>
              </w:rPr>
            </w:pPr>
          </w:p>
        </w:tc>
        <w:tc>
          <w:tcPr>
            <w:tcW w:w="7680" w:type="dxa"/>
            <w:vAlign w:val="bottom"/>
            <w:gridSpan w:val="9"/>
          </w:tcPr>
          <w:p>
            <w:pPr>
              <w:ind w:left="140"/>
              <w:spacing w:after="0"/>
              <w:rPr>
                <w:sz w:val="20"/>
                <w:szCs w:val="20"/>
                <w:color w:val="auto"/>
              </w:rPr>
            </w:pPr>
            <w:r>
              <w:rPr>
                <w:rFonts w:ascii="Arial" w:cs="Arial" w:eastAsia="Arial" w:hAnsi="Arial"/>
                <w:sz w:val="18"/>
                <w:szCs w:val="18"/>
                <w:color w:val="auto"/>
                <w:w w:val="98"/>
              </w:rPr>
              <w:t>increase in total segment profit compared to the corresponding period in 2019 is primarily due to</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0"/>
                <w:szCs w:val="20"/>
                <w:color w:val="auto"/>
              </w:rPr>
            </w:pPr>
          </w:p>
        </w:tc>
      </w:tr>
      <w:tr>
        <w:trPr>
          <w:trHeight w:val="32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gridSpan w:val="3"/>
          </w:tcPr>
          <w:p>
            <w:pPr>
              <w:ind w:left="140"/>
              <w:spacing w:after="0"/>
              <w:rPr>
                <w:sz w:val="20"/>
                <w:szCs w:val="20"/>
                <w:color w:val="auto"/>
              </w:rPr>
            </w:pPr>
            <w:r>
              <w:rPr>
                <w:rFonts w:ascii="Arial" w:cs="Arial" w:eastAsia="Arial" w:hAnsi="Arial"/>
                <w:sz w:val="18"/>
                <w:szCs w:val="18"/>
                <w:color w:val="auto"/>
                <w:w w:val="89"/>
              </w:rPr>
              <w:t>Net loss is expected to be between $</w:t>
            </w:r>
          </w:p>
        </w:tc>
        <w:tc>
          <w:tcPr>
            <w:tcW w:w="2240" w:type="dxa"/>
            <w:vAlign w:val="bottom"/>
            <w:gridSpan w:val="3"/>
          </w:tcPr>
          <w:p>
            <w:pPr>
              <w:ind w:left="680"/>
              <w:spacing w:after="0"/>
              <w:rPr>
                <w:sz w:val="20"/>
                <w:szCs w:val="20"/>
                <w:color w:val="auto"/>
              </w:rPr>
            </w:pPr>
            <w:r>
              <w:rPr>
                <w:rFonts w:ascii="Arial" w:cs="Arial" w:eastAsia="Arial" w:hAnsi="Arial"/>
                <w:sz w:val="18"/>
                <w:szCs w:val="18"/>
                <w:color w:val="auto"/>
              </w:rPr>
              <w:t>million and $</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million, an increase of</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 at the midpoint of the range,</w:t>
            </w:r>
          </w:p>
        </w:tc>
      </w:tr>
      <w:tr>
        <w:trPr>
          <w:trHeight w:val="216"/>
        </w:trPr>
        <w:tc>
          <w:tcPr>
            <w:tcW w:w="200" w:type="dxa"/>
            <w:vAlign w:val="bottom"/>
          </w:tcPr>
          <w:p>
            <w:pPr>
              <w:spacing w:after="0"/>
              <w:rPr>
                <w:sz w:val="18"/>
                <w:szCs w:val="18"/>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w w:val="91"/>
              </w:rPr>
              <w:t>as compared to net income of $</w:t>
            </w:r>
          </w:p>
        </w:tc>
        <w:tc>
          <w:tcPr>
            <w:tcW w:w="300" w:type="dxa"/>
            <w:vAlign w:val="bottom"/>
          </w:tcPr>
          <w:p>
            <w:pPr>
              <w:spacing w:after="0"/>
              <w:rPr>
                <w:sz w:val="18"/>
                <w:szCs w:val="18"/>
                <w:color w:val="auto"/>
              </w:rPr>
            </w:pPr>
          </w:p>
        </w:tc>
        <w:tc>
          <w:tcPr>
            <w:tcW w:w="6940" w:type="dxa"/>
            <w:vAlign w:val="bottom"/>
            <w:gridSpan w:val="8"/>
          </w:tcPr>
          <w:p>
            <w:pPr>
              <w:jc w:val="right"/>
              <w:spacing w:after="0"/>
              <w:rPr>
                <w:sz w:val="20"/>
                <w:szCs w:val="20"/>
                <w:color w:val="auto"/>
              </w:rPr>
            </w:pPr>
            <w:r>
              <w:rPr>
                <w:rFonts w:ascii="Arial" w:cs="Arial" w:eastAsia="Arial" w:hAnsi="Arial"/>
                <w:sz w:val="18"/>
                <w:szCs w:val="18"/>
                <w:color w:val="auto"/>
                <w:w w:val="93"/>
              </w:rPr>
              <w:t>million for the three months ended June 30, 2019. The estimated decrease in the net income</w:t>
            </w:r>
          </w:p>
        </w:tc>
      </w:tr>
      <w:tr>
        <w:trPr>
          <w:trHeight w:val="230"/>
        </w:trPr>
        <w:tc>
          <w:tcPr>
            <w:tcW w:w="200" w:type="dxa"/>
            <w:vAlign w:val="bottom"/>
          </w:tcPr>
          <w:p>
            <w:pPr>
              <w:spacing w:after="0"/>
              <w:rPr>
                <w:sz w:val="20"/>
                <w:szCs w:val="20"/>
                <w:color w:val="auto"/>
              </w:rPr>
            </w:pPr>
          </w:p>
        </w:tc>
        <w:tc>
          <w:tcPr>
            <w:tcW w:w="5020" w:type="dxa"/>
            <w:vAlign w:val="bottom"/>
            <w:gridSpan w:val="6"/>
          </w:tcPr>
          <w:p>
            <w:pPr>
              <w:ind w:left="140"/>
              <w:spacing w:after="0"/>
              <w:rPr>
                <w:sz w:val="20"/>
                <w:szCs w:val="20"/>
                <w:color w:val="auto"/>
              </w:rPr>
            </w:pPr>
            <w:r>
              <w:rPr>
                <w:rFonts w:ascii="Arial" w:cs="Arial" w:eastAsia="Arial" w:hAnsi="Arial"/>
                <w:sz w:val="18"/>
                <w:szCs w:val="18"/>
                <w:color w:val="auto"/>
                <w:w w:val="94"/>
              </w:rPr>
              <w:t>compared to the corresponding period in 2019 is primarily due to</w:t>
            </w:r>
          </w:p>
        </w:tc>
        <w:tc>
          <w:tcPr>
            <w:tcW w:w="400" w:type="dxa"/>
            <w:vAlign w:val="bottom"/>
          </w:tcPr>
          <w:p>
            <w:pPr>
              <w:spacing w:after="0"/>
              <w:rPr>
                <w:sz w:val="20"/>
                <w:szCs w:val="20"/>
                <w:color w:val="auto"/>
              </w:rPr>
            </w:pPr>
          </w:p>
        </w:tc>
        <w:tc>
          <w:tcPr>
            <w:tcW w:w="14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3"/>
        </w:trPr>
        <w:tc>
          <w:tcPr>
            <w:tcW w:w="7880" w:type="dxa"/>
            <w:vAlign w:val="bottom"/>
            <w:gridSpan w:val="10"/>
          </w:tcPr>
          <w:p>
            <w:pPr>
              <w:spacing w:after="0"/>
              <w:rPr>
                <w:sz w:val="20"/>
                <w:szCs w:val="20"/>
                <w:color w:val="auto"/>
              </w:rPr>
            </w:pPr>
            <w:r>
              <w:rPr>
                <w:rFonts w:ascii="Arial" w:cs="Arial" w:eastAsia="Arial" w:hAnsi="Arial"/>
                <w:sz w:val="18"/>
                <w:szCs w:val="18"/>
                <w:color w:val="auto"/>
                <w:w w:val="99"/>
              </w:rPr>
              <w:t>•   Commissionable Approved Submissions for the Medicare segments are expected to be between</w:t>
            </w:r>
          </w:p>
        </w:tc>
        <w:tc>
          <w:tcPr>
            <w:tcW w:w="44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 an increase</w:t>
            </w:r>
          </w:p>
        </w:tc>
      </w:tr>
      <w:tr>
        <w:trPr>
          <w:trHeight w:val="216"/>
        </w:trPr>
        <w:tc>
          <w:tcPr>
            <w:tcW w:w="2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of</w:t>
            </w:r>
          </w:p>
        </w:tc>
        <w:tc>
          <w:tcPr>
            <w:tcW w:w="9080" w:type="dxa"/>
            <w:vAlign w:val="bottom"/>
            <w:gridSpan w:val="10"/>
          </w:tcPr>
          <w:p>
            <w:pPr>
              <w:ind w:left="360"/>
              <w:spacing w:after="0"/>
              <w:rPr>
                <w:sz w:val="20"/>
                <w:szCs w:val="20"/>
                <w:color w:val="auto"/>
              </w:rPr>
            </w:pPr>
            <w:r>
              <w:rPr>
                <w:rFonts w:ascii="Arial" w:cs="Arial" w:eastAsia="Arial" w:hAnsi="Arial"/>
                <w:sz w:val="18"/>
                <w:szCs w:val="18"/>
                <w:color w:val="auto"/>
                <w:w w:val="94"/>
              </w:rPr>
              <w:t>% at the midpoint of the range, as compared to Commissionable Approved Submissions for the Medicare segments</w:t>
            </w:r>
          </w:p>
        </w:tc>
      </w:tr>
      <w:tr>
        <w:trPr>
          <w:trHeight w:val="216"/>
        </w:trPr>
        <w:tc>
          <w:tcPr>
            <w:tcW w:w="2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of</w:t>
            </w:r>
          </w:p>
        </w:tc>
        <w:tc>
          <w:tcPr>
            <w:tcW w:w="9080" w:type="dxa"/>
            <w:vAlign w:val="bottom"/>
            <w:gridSpan w:val="10"/>
          </w:tcPr>
          <w:p>
            <w:pPr>
              <w:ind w:left="360"/>
              <w:spacing w:after="0"/>
              <w:rPr>
                <w:sz w:val="20"/>
                <w:szCs w:val="20"/>
                <w:color w:val="auto"/>
              </w:rPr>
            </w:pPr>
            <w:r>
              <w:rPr>
                <w:rFonts w:ascii="Arial" w:cs="Arial" w:eastAsia="Arial" w:hAnsi="Arial"/>
                <w:sz w:val="18"/>
                <w:szCs w:val="18"/>
                <w:color w:val="auto"/>
                <w:w w:val="93"/>
              </w:rPr>
              <w:t>for the three months ended June 30, 2019. The estimated increase in Commissionable Approved Submissions for the</w:t>
            </w:r>
          </w:p>
        </w:tc>
      </w:tr>
      <w:tr>
        <w:trPr>
          <w:trHeight w:val="230"/>
        </w:trPr>
        <w:tc>
          <w:tcPr>
            <w:tcW w:w="200" w:type="dxa"/>
            <w:vAlign w:val="bottom"/>
          </w:tcPr>
          <w:p>
            <w:pPr>
              <w:spacing w:after="0"/>
              <w:rPr>
                <w:sz w:val="20"/>
                <w:szCs w:val="20"/>
                <w:color w:val="auto"/>
              </w:rPr>
            </w:pPr>
          </w:p>
        </w:tc>
        <w:tc>
          <w:tcPr>
            <w:tcW w:w="6880" w:type="dxa"/>
            <w:vAlign w:val="bottom"/>
            <w:gridSpan w:val="8"/>
          </w:tcPr>
          <w:p>
            <w:pPr>
              <w:ind w:left="140"/>
              <w:spacing w:after="0"/>
              <w:rPr>
                <w:sz w:val="20"/>
                <w:szCs w:val="20"/>
                <w:color w:val="auto"/>
              </w:rPr>
            </w:pPr>
            <w:r>
              <w:rPr>
                <w:rFonts w:ascii="Arial" w:cs="Arial" w:eastAsia="Arial" w:hAnsi="Arial"/>
                <w:sz w:val="18"/>
                <w:szCs w:val="18"/>
                <w:color w:val="auto"/>
                <w:w w:val="99"/>
              </w:rPr>
              <w:t>Medicare segments compared to the corresponding period in 2019 is primarily due to</w:t>
            </w:r>
          </w:p>
        </w:tc>
        <w:tc>
          <w:tcPr>
            <w:tcW w:w="8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780" w:type="dxa"/>
            <w:vAlign w:val="bottom"/>
            <w:gridSpan w:val="4"/>
          </w:tcPr>
          <w:p>
            <w:pPr>
              <w:ind w:left="140"/>
              <w:spacing w:after="0"/>
              <w:rPr>
                <w:sz w:val="20"/>
                <w:szCs w:val="20"/>
                <w:color w:val="auto"/>
              </w:rPr>
            </w:pPr>
            <w:r>
              <w:rPr>
                <w:rFonts w:ascii="Arial" w:cs="Arial" w:eastAsia="Arial" w:hAnsi="Arial"/>
                <w:sz w:val="18"/>
                <w:szCs w:val="18"/>
                <w:color w:val="auto"/>
                <w:w w:val="98"/>
              </w:rPr>
              <w:t>Adjusted EBITDA is expected to be between $</w:t>
            </w:r>
          </w:p>
        </w:tc>
        <w:tc>
          <w:tcPr>
            <w:tcW w:w="32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million and $</w:t>
            </w:r>
          </w:p>
        </w:tc>
        <w:tc>
          <w:tcPr>
            <w:tcW w:w="2260" w:type="dxa"/>
            <w:vAlign w:val="bottom"/>
            <w:gridSpan w:val="2"/>
          </w:tcPr>
          <w:p>
            <w:pPr>
              <w:jc w:val="right"/>
              <w:ind w:right="70"/>
              <w:spacing w:after="0"/>
              <w:rPr>
                <w:sz w:val="20"/>
                <w:szCs w:val="20"/>
                <w:color w:val="auto"/>
              </w:rPr>
            </w:pPr>
            <w:r>
              <w:rPr>
                <w:rFonts w:ascii="Arial" w:cs="Arial" w:eastAsia="Arial" w:hAnsi="Arial"/>
                <w:sz w:val="18"/>
                <w:szCs w:val="18"/>
                <w:color w:val="auto"/>
              </w:rPr>
              <w:t>million, an increase of</w:t>
            </w: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9"/>
              </w:rPr>
              <w:t>% at the midpoint of</w:t>
            </w:r>
          </w:p>
        </w:tc>
      </w:tr>
      <w:tr>
        <w:trPr>
          <w:trHeight w:val="216"/>
        </w:trPr>
        <w:tc>
          <w:tcPr>
            <w:tcW w:w="200" w:type="dxa"/>
            <w:vAlign w:val="bottom"/>
          </w:tcPr>
          <w:p>
            <w:pPr>
              <w:spacing w:after="0"/>
              <w:rPr>
                <w:sz w:val="18"/>
                <w:szCs w:val="18"/>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the range, as compared to $</w:t>
            </w:r>
          </w:p>
        </w:tc>
        <w:tc>
          <w:tcPr>
            <w:tcW w:w="300" w:type="dxa"/>
            <w:vAlign w:val="bottom"/>
          </w:tcPr>
          <w:p>
            <w:pPr>
              <w:spacing w:after="0"/>
              <w:rPr>
                <w:sz w:val="18"/>
                <w:szCs w:val="18"/>
                <w:color w:val="auto"/>
              </w:rPr>
            </w:pPr>
          </w:p>
        </w:tc>
        <w:tc>
          <w:tcPr>
            <w:tcW w:w="6940" w:type="dxa"/>
            <w:vAlign w:val="bottom"/>
            <w:gridSpan w:val="8"/>
          </w:tcPr>
          <w:p>
            <w:pPr>
              <w:jc w:val="right"/>
              <w:spacing w:after="0"/>
              <w:rPr>
                <w:sz w:val="20"/>
                <w:szCs w:val="20"/>
                <w:color w:val="auto"/>
              </w:rPr>
            </w:pPr>
            <w:r>
              <w:rPr>
                <w:rFonts w:ascii="Arial" w:cs="Arial" w:eastAsia="Arial" w:hAnsi="Arial"/>
                <w:sz w:val="18"/>
                <w:szCs w:val="18"/>
                <w:color w:val="auto"/>
                <w:w w:val="91"/>
              </w:rPr>
              <w:t>million for the three months ended June 30, 2019. The estimated increase in Adjusted EBITDA</w:t>
            </w:r>
          </w:p>
        </w:tc>
      </w:tr>
      <w:tr>
        <w:trPr>
          <w:trHeight w:val="230"/>
        </w:trPr>
        <w:tc>
          <w:tcPr>
            <w:tcW w:w="200" w:type="dxa"/>
            <w:vAlign w:val="bottom"/>
          </w:tcPr>
          <w:p>
            <w:pPr>
              <w:spacing w:after="0"/>
              <w:rPr>
                <w:sz w:val="20"/>
                <w:szCs w:val="20"/>
                <w:color w:val="auto"/>
              </w:rPr>
            </w:pPr>
          </w:p>
        </w:tc>
        <w:tc>
          <w:tcPr>
            <w:tcW w:w="5020" w:type="dxa"/>
            <w:vAlign w:val="bottom"/>
            <w:gridSpan w:val="6"/>
          </w:tcPr>
          <w:p>
            <w:pPr>
              <w:ind w:left="140"/>
              <w:spacing w:after="0"/>
              <w:rPr>
                <w:sz w:val="20"/>
                <w:szCs w:val="20"/>
                <w:color w:val="auto"/>
              </w:rPr>
            </w:pPr>
            <w:r>
              <w:rPr>
                <w:rFonts w:ascii="Arial" w:cs="Arial" w:eastAsia="Arial" w:hAnsi="Arial"/>
                <w:sz w:val="18"/>
                <w:szCs w:val="18"/>
                <w:color w:val="auto"/>
                <w:w w:val="94"/>
              </w:rPr>
              <w:t>compared to the corresponding period in 2019 is primarily due to</w:t>
            </w:r>
          </w:p>
        </w:tc>
        <w:tc>
          <w:tcPr>
            <w:tcW w:w="400" w:type="dxa"/>
            <w:vAlign w:val="bottom"/>
          </w:tcPr>
          <w:p>
            <w:pPr>
              <w:spacing w:after="0"/>
              <w:rPr>
                <w:sz w:val="20"/>
                <w:szCs w:val="20"/>
                <w:color w:val="auto"/>
              </w:rPr>
            </w:pPr>
          </w:p>
        </w:tc>
        <w:tc>
          <w:tcPr>
            <w:tcW w:w="14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See below for a reconciliation of Adjusted EBITDA to the most directly comparable measure calculated in accordance with GAAP, net income (loss).</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June 26, 2020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89"/>
              </w:rPr>
              <w:t>Three Months Ended June 30,</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right="53"/>
              <w:spacing w:after="0" w:line="123" w:lineRule="exact"/>
              <w:rPr>
                <w:sz w:val="20"/>
                <w:szCs w:val="20"/>
                <w:color w:val="auto"/>
              </w:rPr>
            </w:pPr>
            <w:r>
              <w:rPr>
                <w:rFonts w:ascii="Arial" w:cs="Arial" w:eastAsia="Arial" w:hAnsi="Arial"/>
                <w:sz w:val="14"/>
                <w:szCs w:val="14"/>
                <w:color w:val="auto"/>
                <w:w w:val="89"/>
              </w:rPr>
              <w:t>2019</w:t>
            </w:r>
          </w:p>
        </w:tc>
        <w:tc>
          <w:tcPr>
            <w:tcW w:w="460" w:type="dxa"/>
            <w:vAlign w:val="bottom"/>
          </w:tcPr>
          <w:p>
            <w:pPr>
              <w:spacing w:after="0"/>
              <w:rPr>
                <w:sz w:val="10"/>
                <w:szCs w:val="10"/>
                <w:color w:val="auto"/>
              </w:rPr>
            </w:pPr>
          </w:p>
        </w:tc>
        <w:tc>
          <w:tcPr>
            <w:tcW w:w="2060" w:type="dxa"/>
            <w:vAlign w:val="bottom"/>
            <w:gridSpan w:val="5"/>
            <w:vMerge w:val="restart"/>
          </w:tcPr>
          <w:p>
            <w:pPr>
              <w:jc w:val="center"/>
              <w:ind w:right="80"/>
              <w:spacing w:after="0"/>
              <w:rPr>
                <w:sz w:val="20"/>
                <w:szCs w:val="20"/>
                <w:color w:val="auto"/>
              </w:rPr>
            </w:pPr>
            <w:r>
              <w:rPr>
                <w:rFonts w:ascii="Arial" w:cs="Arial" w:eastAsia="Arial" w:hAnsi="Arial"/>
                <w:sz w:val="14"/>
                <w:szCs w:val="14"/>
                <w:color w:val="auto"/>
                <w:w w:val="92"/>
              </w:rPr>
              <w:t>2020 Estimated</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tcPr>
          <w:p>
            <w:pPr>
              <w:jc w:val="center"/>
              <w:ind w:right="33"/>
              <w:spacing w:after="0" w:line="149" w:lineRule="exact"/>
              <w:rPr>
                <w:sz w:val="20"/>
                <w:szCs w:val="20"/>
                <w:color w:val="auto"/>
              </w:rPr>
            </w:pPr>
            <w:r>
              <w:rPr>
                <w:rFonts w:ascii="Arial" w:cs="Arial" w:eastAsia="Arial" w:hAnsi="Arial"/>
                <w:sz w:val="14"/>
                <w:szCs w:val="14"/>
                <w:color w:val="auto"/>
                <w:w w:val="97"/>
              </w:rPr>
              <w:t>Actual</w:t>
            </w:r>
          </w:p>
        </w:tc>
        <w:tc>
          <w:tcPr>
            <w:tcW w:w="460" w:type="dxa"/>
            <w:vAlign w:val="bottom"/>
          </w:tcPr>
          <w:p>
            <w:pPr>
              <w:spacing w:after="0"/>
              <w:rPr>
                <w:sz w:val="7"/>
                <w:szCs w:val="7"/>
                <w:color w:val="auto"/>
              </w:rPr>
            </w:pPr>
          </w:p>
        </w:tc>
        <w:tc>
          <w:tcPr>
            <w:tcW w:w="20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60" w:type="dxa"/>
            <w:vAlign w:val="bottom"/>
            <w:gridSpan w:val="5"/>
            <w:vMerge w:val="restart"/>
          </w:tcPr>
          <w:p>
            <w:pPr>
              <w:jc w:val="center"/>
              <w:ind w:right="60"/>
              <w:spacing w:after="0"/>
              <w:rPr>
                <w:sz w:val="20"/>
                <w:szCs w:val="20"/>
                <w:color w:val="auto"/>
              </w:rPr>
            </w:pPr>
            <w:r>
              <w:rPr>
                <w:rFonts w:ascii="Arial" w:cs="Arial" w:eastAsia="Arial" w:hAnsi="Arial"/>
                <w:sz w:val="14"/>
                <w:szCs w:val="14"/>
                <w:color w:val="auto"/>
                <w:w w:val="90"/>
              </w:rPr>
              <w:t>(Successor Period)</w:t>
            </w:r>
          </w:p>
        </w:tc>
        <w:tc>
          <w:tcPr>
            <w:tcW w:w="0" w:type="dxa"/>
            <w:vAlign w:val="bottom"/>
          </w:tcPr>
          <w:p>
            <w:pPr>
              <w:spacing w:after="0"/>
              <w:rPr>
                <w:sz w:val="1"/>
                <w:szCs w:val="1"/>
                <w:color w:val="auto"/>
              </w:rPr>
            </w:pPr>
          </w:p>
        </w:tc>
      </w:tr>
      <w:tr>
        <w:trPr>
          <w:trHeight w:val="100"/>
        </w:trPr>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20" w:type="dxa"/>
            <w:vAlign w:val="bottom"/>
            <w:gridSpan w:val="2"/>
            <w:vMerge w:val="restart"/>
          </w:tcPr>
          <w:p>
            <w:pPr>
              <w:jc w:val="center"/>
              <w:ind w:right="13"/>
              <w:spacing w:after="0" w:line="149" w:lineRule="exact"/>
              <w:rPr>
                <w:sz w:val="20"/>
                <w:szCs w:val="20"/>
                <w:color w:val="auto"/>
              </w:rPr>
            </w:pPr>
            <w:r>
              <w:rPr>
                <w:rFonts w:ascii="Arial" w:cs="Arial" w:eastAsia="Arial" w:hAnsi="Arial"/>
                <w:sz w:val="14"/>
                <w:szCs w:val="14"/>
                <w:color w:val="auto"/>
                <w:w w:val="88"/>
              </w:rPr>
              <w:t>(Predecessor</w:t>
            </w:r>
          </w:p>
        </w:tc>
        <w:tc>
          <w:tcPr>
            <w:tcW w:w="460" w:type="dxa"/>
            <w:vAlign w:val="bottom"/>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color w:val="auto"/>
                <w:w w:val="92"/>
              </w:rPr>
              <w:t>Period)</w:t>
            </w:r>
          </w:p>
        </w:tc>
        <w:tc>
          <w:tcPr>
            <w:tcW w:w="46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color w:val="auto"/>
              </w:rPr>
              <w:t>Low</w:t>
            </w:r>
          </w:p>
        </w:tc>
        <w:tc>
          <w:tcPr>
            <w:tcW w:w="4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color w:val="auto"/>
              </w:rPr>
              <w:t>(in millions)</w:t>
            </w: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20" w:type="dxa"/>
            <w:vAlign w:val="bottom"/>
            <w:tcBorders>
              <w:right w:val="single" w:sz="8" w:color="auto"/>
            </w:tcBorders>
            <w:gridSpan w:val="2"/>
            <w:shd w:val="clear" w:color="auto" w:fill="CCEEFF"/>
          </w:tcPr>
          <w:p>
            <w:pPr>
              <w:jc w:val="right"/>
              <w:ind w:right="67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Share-based compensation(a)</w:t>
            </w: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liability(b)</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Centerbridge Acquisition costs(c)</w:t>
            </w:r>
          </w:p>
        </w:tc>
        <w:tc>
          <w:tcPr>
            <w:tcW w:w="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costs(d)</w:t>
            </w: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3"/>
          </w:tcPr>
          <w:p>
            <w:pPr>
              <w:ind w:left="880"/>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673"/>
              <w:spacing w:after="0"/>
              <w:rPr>
                <w:sz w:val="20"/>
                <w:szCs w:val="20"/>
                <w:color w:val="auto"/>
              </w:rPr>
            </w:pPr>
            <w:r>
              <w:rPr>
                <w:rFonts w:ascii="Arial" w:cs="Arial" w:eastAsia="Arial" w:hAnsi="Arial"/>
                <w:sz w:val="10"/>
                <w:szCs w:val="10"/>
                <w:color w:val="auto"/>
                <w:w w:val="71"/>
              </w:rPr>
              <w:t>$</w:t>
            </w:r>
          </w:p>
        </w:tc>
        <w:tc>
          <w:tcPr>
            <w:tcW w:w="46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profits interests and incentive share units.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fair value of the earnout liability due to the predecessor owners of the Company arising from the Centerbridge Acquisition.</w:t>
      </w:r>
    </w:p>
    <w:p>
      <w:pPr>
        <w:spacing w:after="0" w:line="20" w:lineRule="exact"/>
        <w:rPr>
          <w:rFonts w:ascii="Arial" w:cs="Arial" w:eastAsia="Arial" w:hAnsi="Arial"/>
          <w:sz w:val="17"/>
          <w:szCs w:val="17"/>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21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We include Adjusted EBITDA in this prospectus for the reasons as described in “Summary Historical and Pro Forma Condensed Consolidated Financial and Other Data.” Adjusted EBITDA has certain limitations in that it does not reflect all expense items that affect our results. These and other limitations are described in “Summary Historical and Pro Forma Condensed Consolidated Financial and Other Data.” We encourage you to review our financial information in its entirety and not rely on a single financial measure.</w:t>
      </w:r>
    </w:p>
    <w:p>
      <w:pPr>
        <w:spacing w:after="0" w:line="187"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We have provided a range for the preliminary results described above primarily because our financial closing procedures for the three months ended June 30, 2020 are not yet complete. As a result, there is a possibility that our final results will vary materially from these preliminary estimates. We currently expect that our final results will be within the ranges described above. It is possible, however, that our final results will not be within the ranges we currently estimate. We undertake no obligation to update or supplement the information provided above until we release our results of operation for the three months ended June 30, 2020 and 2019. Ernst &amp; Young LLP has not audited, reviewed, compiled or performed any procedures with respect to this financial data. Accordingly, Ernst &amp; Young LLP does not express an opinion or any other form of assurance with respect thereto.”</w:t>
      </w:r>
    </w:p>
    <w:p>
      <w:pPr>
        <w:spacing w:after="0" w:line="164"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0864"/>
          </w:cols>
          <w:pgMar w:left="436" w:top="270" w:right="5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26, 2020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We are respectfully requesting confidential treatment for this letter pursuant to Rule 83 promulgated by the Securities and Exchange Commission, 17 C.F.R. §200.83.</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Please do not hesitate to contact me by telephone at (212) 906-1894 with any questions or comments regarding this correspondence.</w:t>
      </w:r>
    </w:p>
    <w:p>
      <w:pPr>
        <w:spacing w:after="0" w:line="26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Ian D.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Ian D. Schuman</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of LATHAM &amp; WATKINS LLP</w:t>
      </w:r>
    </w:p>
    <w:p>
      <w:pPr>
        <w:spacing w:after="0" w:line="224" w:lineRule="exact"/>
        <w:rPr>
          <w:sz w:val="20"/>
          <w:szCs w:val="20"/>
          <w:color w:val="auto"/>
        </w:rPr>
      </w:pPr>
    </w:p>
    <w:p>
      <w:pPr>
        <w:ind w:left="444" w:hanging="444"/>
        <w:spacing w:after="0"/>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(via email)</w:t>
      </w:r>
    </w:p>
    <w:p>
      <w:pPr>
        <w:spacing w:after="0" w:line="23" w:lineRule="exact"/>
        <w:rPr>
          <w:rFonts w:ascii="Arial" w:cs="Arial" w:eastAsia="Arial" w:hAnsi="Arial"/>
          <w:sz w:val="18"/>
          <w:szCs w:val="18"/>
          <w:color w:val="auto"/>
        </w:rPr>
      </w:pPr>
    </w:p>
    <w:p>
      <w:pPr>
        <w:ind w:left="444" w:right="4200"/>
        <w:spacing w:after="0" w:line="265" w:lineRule="auto"/>
        <w:rPr>
          <w:rFonts w:ascii="Arial" w:cs="Arial" w:eastAsia="Arial" w:hAnsi="Arial"/>
          <w:sz w:val="18"/>
          <w:szCs w:val="18"/>
          <w:color w:val="auto"/>
        </w:rPr>
      </w:pPr>
      <w:r>
        <w:rPr>
          <w:rFonts w:ascii="Arial" w:cs="Arial" w:eastAsia="Arial" w:hAnsi="Arial"/>
          <w:sz w:val="17"/>
          <w:szCs w:val="17"/>
          <w:color w:val="auto"/>
        </w:rPr>
        <w:t>Clinton P. Jones, Chief Executive Officer, GoHealth Holdings, LLC and GoHealth, Inc. James A. Sharman, President, GoHealth Holdings, LLC and GoHealth, Inc.</w:t>
      </w:r>
    </w:p>
    <w:p>
      <w:pPr>
        <w:ind w:left="444" w:right="4100"/>
        <w:spacing w:after="0" w:line="250" w:lineRule="auto"/>
        <w:rPr>
          <w:rFonts w:ascii="Arial" w:cs="Arial" w:eastAsia="Arial" w:hAnsi="Arial"/>
          <w:sz w:val="18"/>
          <w:szCs w:val="18"/>
          <w:color w:val="auto"/>
        </w:rPr>
      </w:pPr>
      <w:r>
        <w:rPr>
          <w:rFonts w:ascii="Arial" w:cs="Arial" w:eastAsia="Arial" w:hAnsi="Arial"/>
          <w:sz w:val="18"/>
          <w:szCs w:val="18"/>
          <w:color w:val="auto"/>
        </w:rPr>
        <w:t>Travis Matthiesen, Chief Financial Officer, GoHealth Holdings, LLC and GoHealth, Inc. Bradley Burd, Esq., General Counsel, GoHealth Holdings, LLC</w:t>
      </w:r>
    </w:p>
    <w:p>
      <w:pPr>
        <w:ind w:left="444" w:right="7060"/>
        <w:spacing w:after="0" w:line="273" w:lineRule="auto"/>
        <w:rPr>
          <w:rFonts w:ascii="Arial" w:cs="Arial" w:eastAsia="Arial" w:hAnsi="Arial"/>
          <w:sz w:val="18"/>
          <w:szCs w:val="18"/>
          <w:color w:val="auto"/>
        </w:rPr>
      </w:pPr>
      <w:r>
        <w:rPr>
          <w:rFonts w:ascii="Arial" w:cs="Arial" w:eastAsia="Arial" w:hAnsi="Arial"/>
          <w:sz w:val="17"/>
          <w:szCs w:val="17"/>
          <w:color w:val="auto"/>
        </w:rPr>
        <w:t>Stelios G. Saffos, Esq., Latham &amp; Watkins LLP Ryan K. deFord, Esq., Latham &amp; Watkins LLP Samir A. Gandhi, Esq., Sidley Austin LLP David Ni, Esq., Sidley Austin LLP</w:t>
      </w:r>
    </w:p>
    <w:sectPr>
      <w:pgSz w:w="11900" w:h="16838" w:orient="portrait"/>
      <w:cols w:equalWidth="0" w:num="1">
        <w:col w:w="10944"/>
      </w:cols>
      <w:pgMar w:left="436"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2021-08-15T20:37:24Z</dcterms:created>
  <dcterms:modified xsi:type="dcterms:W3CDTF">2021-08-15T20:37:24Z</dcterms:modified>
</cp:coreProperties>
</file>