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GoHealth,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38046W105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Susanne V. Clark</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Centerbridge Partners, L.P., 375 Park Avenue, 11th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10152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212-672-5000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Benjamin R. Pedersen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Debevoise &amp; Plimpton LLP, 66 Hudson Boulevard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212-909-6000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08/06/2025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38046W105</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CCP III Cayman GP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9,566,028.00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9,566,028.00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9,566,028.00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38046W105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CB Blizzard Holdings C,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ectPr>
          <w:pgSz w:w="11900" w:h="16857" w:orient="portrait"/>
          <w:cols w:equalWidth="0" w:num="1">
            <w:col w:w="10099"/>
          </w:cols>
          <w:pgMar w:left="360" w:top="639" w:right="1440" w:bottom="0" w:gutter="0" w:footer="0" w:header="0"/>
          <w:type w:val="continuous"/>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1,467,653.00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1,467,653.00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1,467,653.00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38046W105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Centerbridge Associates 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2,712,197.00</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2,712,197.00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2,712,197.00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17.1 %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38046W105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CCP III AIV VII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2,712,197.00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2,712,197.00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2,712,197.00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17.1 %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38046W105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CB Blizzard Co-Invest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144"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2,712,197.00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2,712,197.00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2,712,197.00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2" w:right="1440" w:bottom="1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112" w:right="1440" w:bottom="144"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38046W105</w:t>
      </w:r>
    </w:p>
    <w:p>
      <w:pPr>
        <w:sectPr>
          <w:pgSz w:w="11900" w:h="16838" w:orient="portrait"/>
          <w:cols w:equalWidth="0" w:num="1">
            <w:col w:w="10099"/>
          </w:cols>
          <w:pgMar w:left="360" w:top="112" w:right="1440" w:bottom="144" w:gutter="0" w:footer="0" w:header="0"/>
          <w:type w:val="continuous"/>
        </w:sectPr>
      </w:pPr>
    </w:p>
    <w:bookmarkStart w:id="5" w:name="page6"/>
    <w:bookmarkEnd w:id="5"/>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CB Blizzard Lower Holdings GP A, LLC</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2,712,197.00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2,712,197.00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2,712,197.00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38046W105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CB Blizzard Lower Holdings A,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6" w:name="page7"/>
    <w:bookmarkEnd w:id="6"/>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2,712,197.00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2,712,197.00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2,712,197.00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38046W105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Blizzard Aggregator,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5,386,178.00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369" w:right="1440"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369" w:right="1440" w:bottom="0" w:gutter="0" w:footer="0" w:header="0"/>
          <w:type w:val="continuous"/>
        </w:sectPr>
      </w:pPr>
    </w:p>
    <w:bookmarkStart w:id="7" w:name="page8"/>
    <w:bookmarkEnd w:id="7"/>
    <w:p>
      <w:pPr>
        <w:ind w:left="116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5,386,178.00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5,386,178.00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38046W105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CB Blizzard Lower Holdings GP B,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5,386,178.00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5,386,178.00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5,386,178.00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060" w:space="60"/>
            <w:col w:w="8979"/>
          </w:cols>
          <w:pgMar w:left="360" w:top="111" w:right="1440" w:bottom="0" w:gutter="0" w:footer="0" w:header="0"/>
          <w:type w:val="continuous"/>
        </w:sectPr>
      </w:pPr>
    </w:p>
    <w:bookmarkStart w:id="8" w:name="page9"/>
    <w:bookmarkEnd w:id="8"/>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38046W105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CB Blizzard Lower Holdings B,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5,386,178.00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5,386,178.00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5,386,178.00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38046W105</w:t>
      </w:r>
    </w:p>
    <w:p>
      <w:pPr>
        <w:sectPr>
          <w:pgSz w:w="11900" w:h="16838" w:orient="portrait"/>
          <w:cols w:equalWidth="0" w:num="1">
            <w:col w:w="10099"/>
          </w:cols>
          <w:pgMar w:left="360" w:top="355"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0099"/>
          </w:cols>
          <w:pgMar w:left="360" w:top="355" w:right="1440" w:bottom="0" w:gutter="0" w:footer="0" w:header="0"/>
          <w:type w:val="continuous"/>
        </w:sectPr>
      </w:pPr>
    </w:p>
    <w:bookmarkStart w:id="9" w:name="page10"/>
    <w:bookmarkEnd w:id="9"/>
    <w:p>
      <w:pPr>
        <w:spacing w:after="0" w:line="8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Jeffrey H. Aronson</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18" w:orient="portrait"/>
          <w:cols w:equalWidth="0" w:num="1">
            <w:col w:w="11160"/>
          </w:cols>
          <w:pgMar w:left="360" w:top="111" w:right="37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9,566,028.00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9,566,028.00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9,566,028.00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18" w:orient="portrait"/>
          <w:cols w:equalWidth="0" w:num="2">
            <w:col w:w="1060" w:space="60"/>
            <w:col w:w="10040"/>
          </w:cols>
          <w:pgMar w:left="360" w:top="111" w:right="3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GoHealth,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222 W MERCHANDISE MART PLAZA, SUITE 1750, CHICAGO, ILLINOIS , 60654.</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5 to Schedule 13D ("Amendment No. 5") amends and supplements the Schedule 13D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originally filed with the United States Securities and Exchange Commission on November 25, 2022 (as amended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date, the "Schedule 13D"), relating to the shares of Class A Common Stock, par value $0.0001 per share (the "Class A Common Stock"), of GoHealth, Inc., a Delaware corporation (the "Issuer"). Capitalized terms used herein without</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definition shall have the meanings set forth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600"/>
        <w:spacing w:after="0" w:line="282" w:lineRule="auto"/>
        <w:rPr>
          <w:sz w:val="20"/>
          <w:szCs w:val="20"/>
          <w:color w:val="auto"/>
        </w:rPr>
      </w:pPr>
      <w:r>
        <w:rPr>
          <w:rFonts w:ascii="Times New Roman" w:cs="Times New Roman" w:eastAsia="Times New Roman" w:hAnsi="Times New Roman"/>
          <w:sz w:val="21"/>
          <w:szCs w:val="21"/>
          <w:color w:val="auto"/>
        </w:rPr>
        <w:t>Item 4 of the Schedule 13D is hereby amended and supplemented as follows: Super Priority Term Loan Credit Agreement and Amendment No. 14 to Credit Agreement On August 6, 2025, Norvax, LLC, a Delaware limited</w:t>
      </w:r>
    </w:p>
    <w:p>
      <w:pPr>
        <w:sectPr>
          <w:pgSz w:w="11900" w:h="16918" w:orient="portrait"/>
          <w:cols w:equalWidth="0" w:num="1">
            <w:col w:w="11160"/>
          </w:cols>
          <w:pgMar w:left="360" w:top="111" w:right="379" w:bottom="0" w:gutter="0" w:footer="0" w:header="0"/>
          <w:type w:val="continuous"/>
        </w:sectPr>
      </w:pPr>
    </w:p>
    <w:bookmarkStart w:id="10" w:name="page11"/>
    <w:bookmarkEnd w:id="10"/>
    <w:p>
      <w:pPr>
        <w:ind w:left="920"/>
        <w:spacing w:after="0" w:line="242" w:lineRule="auto"/>
        <w:rPr>
          <w:sz w:val="20"/>
          <w:szCs w:val="20"/>
          <w:color w:val="auto"/>
        </w:rPr>
      </w:pPr>
      <w:r>
        <w:rPr>
          <w:rFonts w:ascii="Times New Roman" w:cs="Times New Roman" w:eastAsia="Times New Roman" w:hAnsi="Times New Roman"/>
          <w:sz w:val="21"/>
          <w:szCs w:val="21"/>
          <w:color w:val="auto"/>
        </w:rPr>
        <w:t>liability company (the "Borrower"), entered into a Superpriority Senior Secured Credit Agreement (the "Priming Credit Agreement"), with Blizzard Midco, LLC, a Delaware limited liability company ("Holdings"), the lenders party thereto, and Blue Torch Finance, LLC, as administrative agent and as collateral agent. The Priming Credit Agreement governs a senior secured super priority term loan facility in an aggregate principal amount of $115.0 million consisting of (a) $80.0 million in new-money term loans, of which (i) $40.0 million were funded on August 6, 2025 and (ii) $40.0 million are available as delayed-draw term loans, and (b) $35.0 million of roll-up term loans resulting from the cashless conversion of a corresponding amount of existing Class A revolving loans at par that were outstanding under the Existing Credit Agreement (as defined below) into term loans on a dollar-for-dollar basis. Provided that no default or event of default has occurred and is continuing, delayed-draw term loans will be available to the Borrower on or after October 1, 2025, with the aggregate principal amount of such loans funded prior to November 1, 2025 not to exceed $15.0 million and prior to December 1, 2025, not to exceed $30.0 million, with the full amount available thereafter. On August 6, 2025, the Borrower and Holdings entered into Amendment No. 14 to the Credit Agreement (the "Amendment"), which amends that certain Credit Agreement, dated as of September 13, 2019 (as amended, restated, amended and restated, supplemented or otherwise modified from time to time prior to the date hereof, and as further amended by the Amendment, the "Amended Credit Agreement"), by and among the Borrower, Holdings, the lenders party thereto, and Blue Torch Finance, LLC, as administrative agent and as collateral agent. In addition, as a condition to the lenders' entry into the Priming Credit Agreement and the Amendment, the Board of Directors of the Issuer (the "Board") appointed three new directors and three existing directors of the Board resigned and departed the Board. The Amendment amends the Existing Credit Agreement to, among other things, (i) terminate all Class A-1 revolving commitments (with no Class A-1 revolving loans being outstanding on the Closing Date), (ii) terminate all Class A revolving commitments and extend the maturity date of the remaining Class A revolving loans outstanding on the Closing Date to August 5, 2029, (iii) permit the Borrower to pay-in-kind a portion of the interest on the outstanding Existing Term Loans and/or the Class A revolving loans, such loans accruing interest at a rate equal to Adjusted Term SOFR plus 8.00% per annum, of which an amount of interest equal to at least Adjusted Term SOFR plus 4.50% per annum is payable in cash with the remainder of such interest paid-in-kind, and</w:t>
      </w:r>
    </w:p>
    <w:p>
      <w:pPr>
        <w:spacing w:after="0" w:line="12" w:lineRule="exact"/>
        <w:rPr>
          <w:sz w:val="20"/>
          <w:szCs w:val="20"/>
          <w:color w:val="auto"/>
        </w:rPr>
      </w:pPr>
    </w:p>
    <w:p>
      <w:pPr>
        <w:ind w:left="920" w:right="60" w:firstLine="6"/>
        <w:spacing w:after="0" w:line="241" w:lineRule="auto"/>
        <w:tabs>
          <w:tab w:leader="none" w:pos="128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waive the amortization of the Existing Term Loans until December 31, 2026. The Amendment also incorporates to the Existing Credit Agreement the additional reporting obligations and certain other provisions included in the Priming Credit Agreement and described above, removes each of the total cash leverage covenant, the asset coverage covenant and the budget variance covenant, and provides that an "event of default" under the Priming Credit Agreement shall not constitute an event of default under the Amended Credit Agreement unless the Priming Term Loan Obligations have been accelerated. As consideration for, and as a condition to, the lenders' entry into the Amendment, on August 6, 2025, the Issuer issued to lenders (or their affiliates) holding Class A revolving loans and existing term loans outstanding under the Existing Credit Agreement (the "Subscribers"), pro rata based on their respective holdings thereof, an aggregate of 4,766,219 shares of Class A common stock, par value $0.0001 per share, of the Issuer (the "Subscription Shares"), which represent an aggregate of 19.99% of the total issued and outstanding shares of the Issuer's Class A common stock and Class B common stock, calculated as of immediately prior to the consummation of the transactions contemplated by the Amendment. The Subscribers will be entitled to certain customary registration rights with respect to the Subscription Shares. In connection with the above transactions, certain of the Reporting Persons and NVX Holdings, Inc., a Delaware corporation, executed a Waiver and Consent, dated as of August 6, 2025 (the "Waiver and Consent"), pursuant to which certain of the Reporting Persons and Centerbridge Capital Partners III, L.P., a Delaware limited partnership, waived certain of their rights and provided their consent to the transaction pursuant to that certain (i) Stockholders Agreement, dated as of July 15, 2020 (the "Stockholders Agreement"), by and among the Issuer, Centerbridge Capital Partners III, L.P. and NVX Holdings, and</w:t>
      </w:r>
    </w:p>
    <w:p>
      <w:pPr>
        <w:spacing w:after="0" w:line="9" w:lineRule="exact"/>
        <w:rPr>
          <w:rFonts w:ascii="Times New Roman" w:cs="Times New Roman" w:eastAsia="Times New Roman" w:hAnsi="Times New Roman"/>
          <w:sz w:val="21"/>
          <w:szCs w:val="21"/>
          <w:color w:val="auto"/>
        </w:rPr>
      </w:pPr>
    </w:p>
    <w:p>
      <w:pPr>
        <w:ind w:left="920" w:right="80" w:firstLine="6"/>
        <w:spacing w:after="0" w:line="232" w:lineRule="auto"/>
        <w:tabs>
          <w:tab w:leader="none" w:pos="123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Rights Agreement, dated as of July 15, 2020 (the "Registration Rights Agreement"), by and among the Issuer and each person identified on the Schedule of Holders attached thereto, including the entities designated as Centerbridge Holders and any of their affiliates and NVX Holdings. The foregoing description of the Waiver and Consent does not purport to be complete and is qualified in its entirety by reference to the full text of the Proposal, which is filed herewith as Exhibit 5 and incorporated herein by reference. In addition, as a condition to the lenders' entry into the Priming Credit Agreement and the Amendment, the Board appointed three new directors and three existing directors of the Board resigned and departed the Board, including Alexander E. Timm and Alan Wheatley who were designated to the Board by Centerbridge Capital Partners III, L.P.</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0" w:hanging="912"/>
        <w:spacing w:after="0" w:line="243" w:lineRule="auto"/>
        <w:tabs>
          <w:tab w:leader="none" w:pos="92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 of the Schedule 13D is hereby amended and restated in its entirety as follows: (a) - (b) The following sets forth, as of the date of this Schedule 13D, the aggregate number of shares of Class A Common Stock and percentage of Class A Common Stock beneficially owned by each of the Reporting Persons, as well as the number of shares of Class A Common Stock as to which each Reporting Person has the sole power to vote or to direct the vote, shared power to vote or to direct the vote, sole power to dispose or to direct the disposition of, or shared power to dispose or to direct the disposition of, as of the date hereof, based on 11,115,125 shares of Class A Common Stock outstanding as of May 6, 2025, as provided by the Issuer in the Quarterly Report on Form 10-Q filed by the Issuer on May 16, 2025, plus 4,766,219 shares of Class A Common Stock issued to the Subscribers (as defined and described in further detail in Item 4), plus, as applicable, 5,386,178 shares of Class A Common Stock underlying the LLC Interests held of record by CB Blizzard B: Reporting Person : CCP III Cayman GP Ltd. Amount beneficially owned: 9,566,028 Percent of class : 45.0% Sole power to vote or to direct the vote : 0 Shared power to vote or to direct the vote :</w:t>
      </w:r>
    </w:p>
    <w:p>
      <w:pPr>
        <w:spacing w:after="0" w:line="7" w:lineRule="exact"/>
        <w:rPr>
          <w:rFonts w:ascii="Times New Roman" w:cs="Times New Roman" w:eastAsia="Times New Roman" w:hAnsi="Times New Roman"/>
          <w:sz w:val="21"/>
          <w:szCs w:val="21"/>
          <w:color w:val="auto"/>
        </w:rPr>
      </w:pPr>
    </w:p>
    <w:p>
      <w:pPr>
        <w:ind w:left="9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9,566,028 Sole power to dispose or to direct the disposition : 0 Shared power to dispose or to direct the disposition :</w:t>
      </w: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9,566,028 Reporting Person : CB Blizzard Holdings C, L.P. Amount beneficially owned: 1,467,653 Percent of class :</w:t>
      </w:r>
    </w:p>
    <w:p>
      <w:pPr>
        <w:spacing w:after="0" w:line="1"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9.2% Sole power to vote or to direct the vote : 0 Shared power to vote or to direct the vote : 1,467,653 Sole power to</w:t>
      </w:r>
    </w:p>
    <w:p>
      <w:pPr>
        <w:spacing w:after="0" w:line="1"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dispose or to direct the disposition : 0 Shared power to dispose or to direct the disposition : 1,467,653 Reporting</w:t>
      </w:r>
    </w:p>
    <w:p>
      <w:pPr>
        <w:sectPr>
          <w:pgSz w:w="11900" w:h="16838" w:orient="portrait"/>
          <w:cols w:equalWidth="0" w:num="1">
            <w:col w:w="11140"/>
          </w:cols>
          <w:pgMar w:left="360" w:top="112" w:right="399" w:bottom="0" w:gutter="0" w:footer="0" w:header="0"/>
        </w:sectPr>
      </w:pPr>
    </w:p>
    <w:bookmarkStart w:id="11" w:name="page12"/>
    <w:bookmarkEnd w:id="11"/>
    <w:p>
      <w:pPr>
        <w:ind w:left="920"/>
        <w:spacing w:after="0"/>
        <w:rPr>
          <w:sz w:val="20"/>
          <w:szCs w:val="20"/>
          <w:color w:val="auto"/>
        </w:rPr>
      </w:pPr>
      <w:r>
        <w:rPr>
          <w:rFonts w:ascii="Times New Roman" w:cs="Times New Roman" w:eastAsia="Times New Roman" w:hAnsi="Times New Roman"/>
          <w:sz w:val="21"/>
          <w:szCs w:val="21"/>
          <w:color w:val="auto"/>
        </w:rPr>
        <w:t>Person : Centerbridge Associates III, L.P. Amount beneficially owned: 2,712,197 Percent of class : 17.1% Sole power</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to vote or to direct the vote : 0 Shared power to vote or to direct the vote : 2,712,197 Sole power to dispose or to</w:t>
      </w:r>
    </w:p>
    <w:p>
      <w:pPr>
        <w:ind w:left="920"/>
        <w:spacing w:after="0"/>
        <w:rPr>
          <w:sz w:val="20"/>
          <w:szCs w:val="20"/>
          <w:color w:val="auto"/>
        </w:rPr>
      </w:pPr>
      <w:r>
        <w:rPr>
          <w:rFonts w:ascii="Times New Roman" w:cs="Times New Roman" w:eastAsia="Times New Roman" w:hAnsi="Times New Roman"/>
          <w:sz w:val="21"/>
          <w:szCs w:val="21"/>
          <w:color w:val="auto"/>
        </w:rPr>
        <w:t>direct the disposition : 0 Shared power to dispose or to direct the disposition : 2,712,197 Reporting Person : CCP III</w:t>
      </w:r>
    </w:p>
    <w:p>
      <w:pPr>
        <w:ind w:left="920"/>
        <w:spacing w:after="0" w:line="231" w:lineRule="auto"/>
        <w:rPr>
          <w:sz w:val="20"/>
          <w:szCs w:val="20"/>
          <w:color w:val="auto"/>
        </w:rPr>
      </w:pPr>
      <w:r>
        <w:rPr>
          <w:rFonts w:ascii="Times New Roman" w:cs="Times New Roman" w:eastAsia="Times New Roman" w:hAnsi="Times New Roman"/>
          <w:sz w:val="22"/>
          <w:szCs w:val="22"/>
          <w:color w:val="auto"/>
        </w:rPr>
        <w:t>AIV VII Holdings, L.P. Amount beneficially owned: 2,712,197 Percent of class : 17.1% Sole power to vote or to</w:t>
      </w:r>
    </w:p>
    <w:p>
      <w:pPr>
        <w:ind w:left="920"/>
        <w:spacing w:after="0" w:line="231" w:lineRule="auto"/>
        <w:rPr>
          <w:sz w:val="20"/>
          <w:szCs w:val="20"/>
          <w:color w:val="auto"/>
        </w:rPr>
      </w:pPr>
      <w:r>
        <w:rPr>
          <w:rFonts w:ascii="Times New Roman" w:cs="Times New Roman" w:eastAsia="Times New Roman" w:hAnsi="Times New Roman"/>
          <w:sz w:val="22"/>
          <w:szCs w:val="22"/>
          <w:color w:val="auto"/>
        </w:rPr>
        <w:t>direct the vote : 0 Shared power to vote or to direct the vote : 2,712,197 Sole power to dispose or to direct the</w:t>
      </w:r>
    </w:p>
    <w:p>
      <w:pPr>
        <w:ind w:left="920"/>
        <w:spacing w:after="0" w:line="231" w:lineRule="auto"/>
        <w:rPr>
          <w:sz w:val="20"/>
          <w:szCs w:val="20"/>
          <w:color w:val="auto"/>
        </w:rPr>
      </w:pPr>
      <w:r>
        <w:rPr>
          <w:rFonts w:ascii="Times New Roman" w:cs="Times New Roman" w:eastAsia="Times New Roman" w:hAnsi="Times New Roman"/>
          <w:sz w:val="22"/>
          <w:szCs w:val="22"/>
          <w:color w:val="auto"/>
        </w:rPr>
        <w:t>disposition : 0 Shared power to dispose or to direct the disposition : 2,712,197 Reporting Person : CB Blizzard Co-</w:t>
      </w:r>
    </w:p>
    <w:p>
      <w:pPr>
        <w:ind w:left="920"/>
        <w:spacing w:after="0"/>
        <w:rPr>
          <w:sz w:val="20"/>
          <w:szCs w:val="20"/>
          <w:color w:val="auto"/>
        </w:rPr>
      </w:pPr>
      <w:r>
        <w:rPr>
          <w:rFonts w:ascii="Times New Roman" w:cs="Times New Roman" w:eastAsia="Times New Roman" w:hAnsi="Times New Roman"/>
          <w:sz w:val="21"/>
          <w:szCs w:val="21"/>
          <w:color w:val="auto"/>
        </w:rPr>
        <w:t>Invest Holdings, L.P. Amount beneficially owned: 2,712,197 Percent of class : 17.1% Sole power to vote or to direct</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vote : 0 Shared power to vote or to direct the vote : 2,712,197 Sole power to dispose or to direct the disposition : 0</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Shared power to dispose or to direct the disposition : 2,712,197 Reporting Person : CB Blizzard Lower Holdings GP</w:t>
      </w:r>
    </w:p>
    <w:p>
      <w:pPr>
        <w:ind w:left="920"/>
        <w:spacing w:after="0" w:line="231" w:lineRule="auto"/>
        <w:rPr>
          <w:sz w:val="20"/>
          <w:szCs w:val="20"/>
          <w:color w:val="auto"/>
        </w:rPr>
      </w:pPr>
      <w:r>
        <w:rPr>
          <w:rFonts w:ascii="Times New Roman" w:cs="Times New Roman" w:eastAsia="Times New Roman" w:hAnsi="Times New Roman"/>
          <w:sz w:val="22"/>
          <w:szCs w:val="22"/>
          <w:color w:val="auto"/>
        </w:rPr>
        <w:t>A, LLC Amount beneficially owned: 2,712,197 Percent of class : 17.1% Sole power to vote or to direct the vote : 0</w:t>
      </w:r>
    </w:p>
    <w:p>
      <w:pPr>
        <w:ind w:left="920"/>
        <w:spacing w:after="0" w:line="231" w:lineRule="auto"/>
        <w:rPr>
          <w:sz w:val="20"/>
          <w:szCs w:val="20"/>
          <w:color w:val="auto"/>
        </w:rPr>
      </w:pPr>
      <w:r>
        <w:rPr>
          <w:rFonts w:ascii="Times New Roman" w:cs="Times New Roman" w:eastAsia="Times New Roman" w:hAnsi="Times New Roman"/>
          <w:sz w:val="22"/>
          <w:szCs w:val="22"/>
          <w:color w:val="auto"/>
        </w:rPr>
        <w:t>Shared power to vote or to direct the vote : 2,712,197 Sole power to dispose or to direct the disposition : 0 Shared</w:t>
      </w:r>
    </w:p>
    <w:p>
      <w:pPr>
        <w:ind w:left="920"/>
        <w:spacing w:after="0" w:line="231" w:lineRule="auto"/>
        <w:rPr>
          <w:sz w:val="20"/>
          <w:szCs w:val="20"/>
          <w:color w:val="auto"/>
        </w:rPr>
      </w:pPr>
      <w:r>
        <w:rPr>
          <w:rFonts w:ascii="Times New Roman" w:cs="Times New Roman" w:eastAsia="Times New Roman" w:hAnsi="Times New Roman"/>
          <w:sz w:val="22"/>
          <w:szCs w:val="22"/>
          <w:color w:val="auto"/>
        </w:rPr>
        <w:t>power to dispose or to direct the disposition : 2,712,197 Reporting Person : CB Blizzard Lower Holdings A, L.P.</w:t>
      </w:r>
    </w:p>
    <w:p>
      <w:pPr>
        <w:ind w:left="920"/>
        <w:spacing w:after="0" w:line="230" w:lineRule="auto"/>
        <w:rPr>
          <w:sz w:val="20"/>
          <w:szCs w:val="20"/>
          <w:color w:val="auto"/>
        </w:rPr>
      </w:pPr>
      <w:r>
        <w:rPr>
          <w:rFonts w:ascii="Times New Roman" w:cs="Times New Roman" w:eastAsia="Times New Roman" w:hAnsi="Times New Roman"/>
          <w:sz w:val="22"/>
          <w:szCs w:val="22"/>
          <w:color w:val="auto"/>
        </w:rPr>
        <w:t>Amount beneficially owned: 2,712,197 Percent of class : 17.1% Sole power to vote or to direct the vote : 0 Shared</w:t>
      </w:r>
    </w:p>
    <w:p>
      <w:pPr>
        <w:ind w:left="920"/>
        <w:spacing w:after="0" w:line="231" w:lineRule="auto"/>
        <w:rPr>
          <w:sz w:val="20"/>
          <w:szCs w:val="20"/>
          <w:color w:val="auto"/>
        </w:rPr>
      </w:pPr>
      <w:r>
        <w:rPr>
          <w:rFonts w:ascii="Times New Roman" w:cs="Times New Roman" w:eastAsia="Times New Roman" w:hAnsi="Times New Roman"/>
          <w:sz w:val="22"/>
          <w:szCs w:val="22"/>
          <w:color w:val="auto"/>
        </w:rPr>
        <w:t>power to vote or to direct the vote : 2,712,197 Sole power to dispose or to direct the disposition : 0 Shared power to</w:t>
      </w:r>
    </w:p>
    <w:p>
      <w:pPr>
        <w:ind w:left="920"/>
        <w:spacing w:after="0" w:line="230" w:lineRule="auto"/>
        <w:rPr>
          <w:sz w:val="20"/>
          <w:szCs w:val="20"/>
          <w:color w:val="auto"/>
        </w:rPr>
      </w:pPr>
      <w:r>
        <w:rPr>
          <w:rFonts w:ascii="Times New Roman" w:cs="Times New Roman" w:eastAsia="Times New Roman" w:hAnsi="Times New Roman"/>
          <w:sz w:val="22"/>
          <w:szCs w:val="22"/>
          <w:color w:val="auto"/>
        </w:rPr>
        <w:t>dispose or to direct the disposition : 2,712,197 Reporting Person : Blizzard Aggregator, LLC Amount beneficially</w:t>
      </w:r>
    </w:p>
    <w:p>
      <w:pPr>
        <w:ind w:left="920"/>
        <w:spacing w:after="0" w:line="231" w:lineRule="auto"/>
        <w:rPr>
          <w:sz w:val="20"/>
          <w:szCs w:val="20"/>
          <w:color w:val="auto"/>
        </w:rPr>
      </w:pPr>
      <w:r>
        <w:rPr>
          <w:rFonts w:ascii="Times New Roman" w:cs="Times New Roman" w:eastAsia="Times New Roman" w:hAnsi="Times New Roman"/>
          <w:sz w:val="22"/>
          <w:szCs w:val="22"/>
          <w:color w:val="auto"/>
        </w:rPr>
        <w:t>owned: 5,386,178 Percent of class : 25.3% Sole power to vote or to direct the vote : 0 Shared power to vote or to</w:t>
      </w:r>
    </w:p>
    <w:p>
      <w:pPr>
        <w:ind w:left="920"/>
        <w:spacing w:after="0" w:line="230" w:lineRule="auto"/>
        <w:rPr>
          <w:sz w:val="20"/>
          <w:szCs w:val="20"/>
          <w:color w:val="auto"/>
        </w:rPr>
      </w:pPr>
      <w:r>
        <w:rPr>
          <w:rFonts w:ascii="Times New Roman" w:cs="Times New Roman" w:eastAsia="Times New Roman" w:hAnsi="Times New Roman"/>
          <w:sz w:val="22"/>
          <w:szCs w:val="22"/>
          <w:color w:val="auto"/>
        </w:rPr>
        <w:t>direct the vote : 5,386,178 Sole power to dispose or to direct the disposition : 0 Shared power to dispose or to direct</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disposition : 5,386,178 Reporting Person : CB Blizzard Lower Holdings GP B, LLC Amount beneficially owned:</w:t>
      </w:r>
    </w:p>
    <w:p>
      <w:pPr>
        <w:ind w:left="920"/>
        <w:spacing w:after="0" w:line="231" w:lineRule="auto"/>
        <w:rPr>
          <w:sz w:val="20"/>
          <w:szCs w:val="20"/>
          <w:color w:val="auto"/>
        </w:rPr>
      </w:pPr>
      <w:r>
        <w:rPr>
          <w:rFonts w:ascii="Times New Roman" w:cs="Times New Roman" w:eastAsia="Times New Roman" w:hAnsi="Times New Roman"/>
          <w:sz w:val="22"/>
          <w:szCs w:val="22"/>
          <w:color w:val="auto"/>
        </w:rPr>
        <w:t>5,386,178 Percent of class : 25.3% Sole power to vote or to direct the vote : 0 Shared power to vote or to direct the</w:t>
      </w:r>
    </w:p>
    <w:p>
      <w:pPr>
        <w:ind w:left="920"/>
        <w:spacing w:after="0" w:line="231" w:lineRule="auto"/>
        <w:rPr>
          <w:sz w:val="20"/>
          <w:szCs w:val="20"/>
          <w:color w:val="auto"/>
        </w:rPr>
      </w:pPr>
      <w:r>
        <w:rPr>
          <w:rFonts w:ascii="Times New Roman" w:cs="Times New Roman" w:eastAsia="Times New Roman" w:hAnsi="Times New Roman"/>
          <w:sz w:val="22"/>
          <w:szCs w:val="22"/>
          <w:color w:val="auto"/>
        </w:rPr>
        <w:t>vote : 5,386,178 Sole power to dispose or to direct the disposition : 0 Shared power to dispose or to direct the</w:t>
      </w:r>
    </w:p>
    <w:p>
      <w:pPr>
        <w:ind w:left="920"/>
        <w:spacing w:after="0" w:line="231" w:lineRule="auto"/>
        <w:rPr>
          <w:sz w:val="20"/>
          <w:szCs w:val="20"/>
          <w:color w:val="auto"/>
        </w:rPr>
      </w:pPr>
      <w:r>
        <w:rPr>
          <w:rFonts w:ascii="Times New Roman" w:cs="Times New Roman" w:eastAsia="Times New Roman" w:hAnsi="Times New Roman"/>
          <w:sz w:val="22"/>
          <w:szCs w:val="22"/>
          <w:color w:val="auto"/>
        </w:rPr>
        <w:t>disposition : 5,386,178 Reporting Person : CB Blizzard Lower Holdings B, L.P. Amount beneficially owned:</w:t>
      </w:r>
    </w:p>
    <w:p>
      <w:pPr>
        <w:ind w:left="920"/>
        <w:spacing w:after="0" w:line="230" w:lineRule="auto"/>
        <w:rPr>
          <w:sz w:val="20"/>
          <w:szCs w:val="20"/>
          <w:color w:val="auto"/>
        </w:rPr>
      </w:pPr>
      <w:r>
        <w:rPr>
          <w:rFonts w:ascii="Times New Roman" w:cs="Times New Roman" w:eastAsia="Times New Roman" w:hAnsi="Times New Roman"/>
          <w:sz w:val="22"/>
          <w:szCs w:val="22"/>
          <w:color w:val="auto"/>
        </w:rPr>
        <w:t>5,386,178 Percent of class : 25.3% Sole power to vote or to direct the vote : 0 Shared power to vote or to direct the</w:t>
      </w:r>
    </w:p>
    <w:p>
      <w:pPr>
        <w:ind w:left="920"/>
        <w:spacing w:after="0" w:line="231" w:lineRule="auto"/>
        <w:rPr>
          <w:sz w:val="20"/>
          <w:szCs w:val="20"/>
          <w:color w:val="auto"/>
        </w:rPr>
      </w:pPr>
      <w:r>
        <w:rPr>
          <w:rFonts w:ascii="Times New Roman" w:cs="Times New Roman" w:eastAsia="Times New Roman" w:hAnsi="Times New Roman"/>
          <w:sz w:val="22"/>
          <w:szCs w:val="22"/>
          <w:color w:val="auto"/>
        </w:rPr>
        <w:t>vote : 5,386,178 Sole power to dispose or to direct the disposition : 0 Shared power to dispose or to direct the</w:t>
      </w:r>
    </w:p>
    <w:p>
      <w:pPr>
        <w:ind w:left="920"/>
        <w:spacing w:after="0" w:line="230" w:lineRule="auto"/>
        <w:rPr>
          <w:sz w:val="20"/>
          <w:szCs w:val="20"/>
          <w:color w:val="auto"/>
        </w:rPr>
      </w:pPr>
      <w:r>
        <w:rPr>
          <w:rFonts w:ascii="Times New Roman" w:cs="Times New Roman" w:eastAsia="Times New Roman" w:hAnsi="Times New Roman"/>
          <w:sz w:val="22"/>
          <w:szCs w:val="22"/>
          <w:color w:val="auto"/>
        </w:rPr>
        <w:t>disposition : 5,386,178 Reporting Person : Jeffrey H. Aronson Amount beneficially owned: 9,566,028 Percent of</w:t>
      </w:r>
    </w:p>
    <w:p>
      <w:pPr>
        <w:spacing w:after="0" w:line="1" w:lineRule="exact"/>
        <w:rPr>
          <w:sz w:val="20"/>
          <w:szCs w:val="20"/>
          <w:color w:val="auto"/>
        </w:rPr>
      </w:pPr>
    </w:p>
    <w:p>
      <w:pPr>
        <w:ind w:left="920" w:right="20"/>
        <w:spacing w:after="0" w:line="242" w:lineRule="auto"/>
        <w:rPr>
          <w:sz w:val="20"/>
          <w:szCs w:val="20"/>
          <w:color w:val="auto"/>
        </w:rPr>
      </w:pPr>
      <w:r>
        <w:rPr>
          <w:rFonts w:ascii="Times New Roman" w:cs="Times New Roman" w:eastAsia="Times New Roman" w:hAnsi="Times New Roman"/>
          <w:sz w:val="21"/>
          <w:szCs w:val="21"/>
          <w:color w:val="auto"/>
        </w:rPr>
        <w:t>class : 45.0% Sole power to vote or to direct the vote : 0 Shared power to vote or to direct the vote : 9,566,028 Sole power to dispose or to direct the disposition : 0 Shared power to dispose or to direct the disposition : 9,566,028 CB Blizzard A is the record holder of 2,712,197 shares of Class A Common Stock. CB Blizzard C is the record holder of 1,467,653 shares of Class A Common Stock. CB Blizzard B is the record holder of 5,386,178 LLC Interests. 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 the foregoing entities may be deemed to share beneficial ownership of the securities held of record by CB Blizzard A. CCP GP is also the sole manager of Blizzard Aggregator, LLC, which is the owner of CB Blizzard Lower Holdings GP B, LLC, which is the general partner of CB Blizzard B. As a result, each of the foregoing entities may be deemed to share beneficial ownership of the LLC Interests held of record by CB Blizzard. 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 Mr. Aronson or by any Reporting Person as to beneficial ownership of securities owned by another Reporting Person. In addition, Mr. Aronson expressly disclaims beneficial ownership of the securities held of record by each of CB Blizzard A, CB Blizzard C and CB Blizzard B. By virtue of the agreements made pursuant to the Stockholders Agreement and the matters described in Item 4 above, the Reporting Persons and the Founder Stockholders may constitute a "group" within the meaning of Section 13(d)(3) of the Securities Exchange Act of 1934 (the "Exchange Act"), which group may be deemed to collectively beneficially own 16,007,486 shares of Class A Common Stock of the Issuer, constituting approximately 58.3% of the 15,881,344 shares of the Class A Common Stock outstanding, plus the 5,386,178 shares of Class A Common Stock underlying the LLC Interests held of record by CB Blizzard B and the 6,181,453 shares of Class A Common Stock underlying the LLC Interests held of record by certain of the Founder Stockholders, as calculated on the basis of Rule 13d-3 of the Exchange Act. However, the Reporting Persons expressly disclaim beneficial ownership of the 6,441,458 shares of Class A Common Stock (including the 6,181,453 shares of Class A Common Stock underlying the LLC Interests held of record by certain of the Founder Stockholders) beneficially owned by the Founder Stockholders. The Founder Stockholders have filed a separate Schedule 13D with respect to their interests in the Issuer and the Proposal.</w:t>
      </w:r>
    </w:p>
    <w:p>
      <w:pPr>
        <w:spacing w:after="0" w:line="16" w:lineRule="exact"/>
        <w:rPr>
          <w:sz w:val="20"/>
          <w:szCs w:val="20"/>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 above.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Except as set forth above, none of the Reporting Persons nor, to the best knowledge of the Reporting Persons, any of</w:t>
      </w:r>
    </w:p>
    <w:p>
      <w:pPr>
        <w:spacing w:after="0" w:line="25" w:lineRule="exact"/>
        <w:rPr>
          <w:rFonts w:ascii="Times New Roman" w:cs="Times New Roman" w:eastAsia="Times New Roman" w:hAnsi="Times New Roman"/>
          <w:sz w:val="22"/>
          <w:szCs w:val="22"/>
          <w:color w:val="auto"/>
        </w:rPr>
      </w:pPr>
    </w:p>
    <w:p>
      <w:pPr>
        <w:ind w:left="920" w:right="440" w:hanging="912"/>
        <w:spacing w:after="0" w:line="237" w:lineRule="auto"/>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individuals named in Item 2, has effected any transaction in shares of Class A Common Stock since the filing of Amendment No. 5 to Schedule 13D.</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20"/>
        <w:spacing w:after="0" w:line="256" w:lineRule="auto"/>
        <w:rPr>
          <w:sz w:val="20"/>
          <w:szCs w:val="20"/>
          <w:color w:val="auto"/>
        </w:rPr>
      </w:pPr>
      <w:r>
        <w:rPr>
          <w:rFonts w:ascii="Times New Roman" w:cs="Times New Roman" w:eastAsia="Times New Roman" w:hAnsi="Times New Roman"/>
          <w:sz w:val="22"/>
          <w:szCs w:val="22"/>
          <w:color w:val="auto"/>
        </w:rPr>
        <w:t>Item 6 of the Schedule 13D is hereby amended and supplemented as follows: The information set forth in Item 4 of the Schedule 13D is hereby incorporated by reference into this Item 6.</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1140" w:hanging="214"/>
        <w:spacing w:after="0"/>
        <w:tabs>
          <w:tab w:leader="none" w:pos="11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Waiver and Consent dated August 6, 2025</w:t>
      </w:r>
    </w:p>
    <w:p>
      <w:pPr>
        <w:spacing w:after="0" w:line="314" w:lineRule="exact"/>
        <w:rPr>
          <w:rFonts w:ascii="Times New Roman" w:cs="Times New Roman" w:eastAsia="Times New Roman" w:hAnsi="Times New Roman"/>
          <w:sz w:val="22"/>
          <w:szCs w:val="22"/>
          <w:color w:val="auto"/>
        </w:rPr>
      </w:pPr>
    </w:p>
    <w:p>
      <w:pPr>
        <w:ind w:left="2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20"/>
          </w:cols>
          <w:pgMar w:left="360" w:top="112" w:right="419" w:bottom="0" w:gutter="0" w:footer="0" w:header="0"/>
        </w:sectPr>
      </w:pPr>
    </w:p>
    <w:bookmarkStart w:id="12" w:name="page13"/>
    <w:bookmarkEnd w:id="12"/>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CCP III Cayman GP Ltd.</w:t>
      </w:r>
    </w:p>
    <w:p>
      <w:pPr>
        <w:spacing w:after="0" w:line="152"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Susanne V. Clark</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Susanne V. Clark/Authorized Signatory</w:t>
      </w:r>
    </w:p>
    <w:p>
      <w:pPr>
        <w:spacing w:after="0" w:line="44"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08/08/2025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CB Blizzard Holdings C, L.P.</w:t>
      </w:r>
    </w:p>
    <w:p>
      <w:pPr>
        <w:spacing w:after="0" w:line="29" w:lineRule="exact"/>
        <w:rPr>
          <w:sz w:val="20"/>
          <w:szCs w:val="20"/>
          <w:color w:val="auto"/>
        </w:rPr>
      </w:pPr>
    </w:p>
    <w:p>
      <w:pPr>
        <w:ind w:left="5660" w:right="120" w:hanging="1079"/>
        <w:spacing w:after="0" w:line="185" w:lineRule="auto"/>
        <w:tabs>
          <w:tab w:leader="none" w:pos="5640" w:val="left"/>
        </w:tabs>
        <w:rPr>
          <w:sz w:val="20"/>
          <w:szCs w:val="20"/>
          <w:color w:val="auto"/>
        </w:rPr>
      </w:pPr>
      <w:r>
        <w:rPr>
          <w:rFonts w:ascii="Times New Roman" w:cs="Times New Roman" w:eastAsia="Times New Roman" w:hAnsi="Times New Roman"/>
          <w:sz w:val="39"/>
          <w:szCs w:val="39"/>
          <w:color w:val="auto"/>
          <w:vertAlign w:val="subscript"/>
        </w:rPr>
        <w:t>Signature:</w:t>
      </w:r>
      <w:r>
        <w:rPr>
          <w:sz w:val="20"/>
          <w:szCs w:val="20"/>
          <w:color w:val="auto"/>
        </w:rPr>
        <w:tab/>
      </w:r>
      <w:r>
        <w:rPr>
          <w:rFonts w:ascii="Times New Roman" w:cs="Times New Roman" w:eastAsia="Times New Roman" w:hAnsi="Times New Roman"/>
          <w:sz w:val="20"/>
          <w:szCs w:val="20"/>
          <w:color w:val="auto"/>
        </w:rPr>
        <w:t>By: CCP III Cayman GP Ltd., its general partner, /s/ Susanne V. Clark</w:t>
      </w:r>
    </w:p>
    <w:p>
      <w:pPr>
        <w:spacing w:after="0" w:line="14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Susanne V. Clark/Authorized Signatory</w:t>
      </w:r>
    </w:p>
    <w:p>
      <w:pPr>
        <w:sectPr>
          <w:pgSz w:w="11900" w:h="16838" w:orient="portrait"/>
          <w:cols w:equalWidth="0" w:num="1">
            <w:col w:w="10060"/>
          </w:cols>
          <w:pgMar w:left="1440" w:top="112" w:right="399" w:bottom="0" w:gutter="0" w:footer="0" w:header="0"/>
        </w:sectPr>
      </w:pP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Date:</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Centerbridge Associates III, L.P.</w:t>
      </w: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08/08/2025</w:t>
      </w:r>
    </w:p>
    <w:p>
      <w:pPr>
        <w:spacing w:after="0" w:line="200" w:lineRule="exact"/>
        <w:rPr>
          <w:sz w:val="20"/>
          <w:szCs w:val="20"/>
          <w:color w:val="auto"/>
        </w:rPr>
      </w:pPr>
    </w:p>
    <w:p>
      <w:pPr>
        <w:spacing w:after="0" w:line="35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By: CCP III Cayman GP Ltd., its general partner, /s/ Susanne V. Clark</w:t>
      </w:r>
    </w:p>
    <w:p>
      <w:pPr>
        <w:spacing w:after="0" w:line="1" w:lineRule="exact"/>
        <w:rPr>
          <w:sz w:val="20"/>
          <w:szCs w:val="20"/>
          <w:color w:val="auto"/>
        </w:rPr>
      </w:pPr>
    </w:p>
    <w:p>
      <w:pPr>
        <w:sectPr>
          <w:pgSz w:w="11900" w:h="16838" w:orient="portrait"/>
          <w:cols w:equalWidth="0" w:num="2">
            <w:col w:w="5460" w:space="200"/>
            <w:col w:w="4400"/>
          </w:cols>
          <w:pgMar w:left="1440" w:top="112" w:right="399" w:bottom="0" w:gutter="0" w:footer="0" w:header="0"/>
          <w:type w:val="continuous"/>
        </w:sectPr>
      </w:pPr>
    </w:p>
    <w:p>
      <w:pPr>
        <w:ind w:left="4580"/>
        <w:spacing w:after="0"/>
        <w:rPr>
          <w:sz w:val="20"/>
          <w:szCs w:val="20"/>
          <w:color w:val="auto"/>
        </w:rPr>
      </w:pPr>
      <w:r>
        <w:rPr>
          <w:rFonts w:ascii="Times New Roman" w:cs="Times New Roman" w:eastAsia="Times New Roman" w:hAnsi="Times New Roman"/>
          <w:sz w:val="22"/>
          <w:szCs w:val="22"/>
          <w:color w:val="auto"/>
        </w:rPr>
        <w:t>Name/Title: Susanne V. Clark/Authorized Signatory</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08/08/2025</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CCP III AIV VII Holdings, L.P.</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Centerbridge Associates III, L.P., its general</w:t>
      </w:r>
    </w:p>
    <w:p>
      <w:pPr>
        <w:spacing w:after="0" w:line="14" w:lineRule="exact"/>
        <w:rPr>
          <w:sz w:val="20"/>
          <w:szCs w:val="20"/>
          <w:color w:val="auto"/>
        </w:rPr>
      </w:pPr>
    </w:p>
    <w:p>
      <w:pPr>
        <w:ind w:left="5660" w:right="120" w:hanging="1079"/>
        <w:spacing w:after="0" w:line="237" w:lineRule="auto"/>
        <w:tabs>
          <w:tab w:leader="none" w:pos="5640" w:val="left"/>
        </w:tabs>
        <w:rPr>
          <w:sz w:val="20"/>
          <w:szCs w:val="20"/>
          <w:color w:val="auto"/>
        </w:rPr>
      </w:pPr>
      <w:r>
        <w:rPr>
          <w:rFonts w:ascii="Times New Roman" w:cs="Times New Roman" w:eastAsia="Times New Roman" w:hAnsi="Times New Roman"/>
          <w:sz w:val="22"/>
          <w:szCs w:val="22"/>
          <w:color w:val="auto"/>
        </w:rPr>
        <w:t>Signature:</w:t>
        <w:tab/>
        <w:t>partner, By: CCP III Cayman GP Ltd., its general partner, /s/ Susanne V. Clark</w:t>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Susanne V. Clark/Authorized Signatory</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08/08/2025</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CB Blizzard Co-Invest Holdings, L.P.</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Centerbridge Associates III, L.P., its general</w:t>
      </w:r>
    </w:p>
    <w:p>
      <w:pPr>
        <w:spacing w:after="0" w:line="14" w:lineRule="exact"/>
        <w:rPr>
          <w:sz w:val="20"/>
          <w:szCs w:val="20"/>
          <w:color w:val="auto"/>
        </w:rPr>
      </w:pPr>
    </w:p>
    <w:p>
      <w:pPr>
        <w:ind w:left="5660" w:right="120" w:hanging="1079"/>
        <w:spacing w:after="0" w:line="237" w:lineRule="auto"/>
        <w:tabs>
          <w:tab w:leader="none" w:pos="5640" w:val="left"/>
        </w:tabs>
        <w:rPr>
          <w:sz w:val="20"/>
          <w:szCs w:val="20"/>
          <w:color w:val="auto"/>
        </w:rPr>
      </w:pPr>
      <w:r>
        <w:rPr>
          <w:rFonts w:ascii="Times New Roman" w:cs="Times New Roman" w:eastAsia="Times New Roman" w:hAnsi="Times New Roman"/>
          <w:sz w:val="22"/>
          <w:szCs w:val="22"/>
          <w:color w:val="auto"/>
        </w:rPr>
        <w:t>Signature:</w:t>
        <w:tab/>
        <w:t>partner, By: CCP III Cayman GP Ltd., its general partner, /s/ Susanne V. Clark</w:t>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Susanne V. Clark/Authorized Signatory</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08/08/2025</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CB Blizzard Lower Holdings GP A, LLC</w:t>
      </w:r>
    </w:p>
    <w:p>
      <w:pPr>
        <w:spacing w:after="0" w:line="152"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Susanne V. Clark</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Susanne V. Clark/Authorized Signatory</w:t>
      </w:r>
    </w:p>
    <w:p>
      <w:pPr>
        <w:spacing w:after="0" w:line="44"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08/08/2025</w:t>
      </w:r>
    </w:p>
    <w:p>
      <w:pPr>
        <w:spacing w:after="0" w:line="1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CB Blizzard Lower Holdings A, L.P.</w:t>
      </w:r>
    </w:p>
    <w:p>
      <w:pPr>
        <w:ind w:left="4580"/>
        <w:spacing w:after="0"/>
        <w:tabs>
          <w:tab w:leader="none" w:pos="564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CB Blizzard Lower Holdings GP A, LLC, its</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general partner, /s/ Susanne V. Clark</w:t>
      </w:r>
    </w:p>
    <w:p>
      <w:pPr>
        <w:spacing w:after="0" w:line="2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Susanne V. Clark/Authorized Signatory</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08/08/2025</w:t>
      </w:r>
    </w:p>
    <w:p>
      <w:pPr>
        <w:spacing w:after="0" w:line="1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Blizzard Aggregator, LLC</w:t>
      </w:r>
    </w:p>
    <w:p>
      <w:pPr>
        <w:jc w:val="right"/>
        <w:ind w:right="20"/>
        <w:spacing w:after="0"/>
        <w:tabs>
          <w:tab w:leader="none" w:pos="43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CCP III Cayman GP Ltd., its sole manager, /s/</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Susanne V. Clark</w:t>
      </w:r>
    </w:p>
    <w:p>
      <w:pPr>
        <w:spacing w:after="0" w:line="2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Susanne V. Clark/Authorized Signatory</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08/08/2025</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CB Blizzard Lower Holdings GP B, LLC</w:t>
      </w:r>
    </w:p>
    <w:p>
      <w:pPr>
        <w:spacing w:after="0" w:line="152"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Susanne V. Clark</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Susanne V. Clark/Authorized Signatory</w:t>
      </w:r>
    </w:p>
    <w:p>
      <w:pPr>
        <w:spacing w:after="0" w:line="44"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08/08/2025</w:t>
      </w:r>
    </w:p>
    <w:p>
      <w:pPr>
        <w:spacing w:after="0" w:line="1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CB Blizzard Lower Holdings B, L.P.</w:t>
      </w:r>
    </w:p>
    <w:p>
      <w:pPr>
        <w:ind w:left="4580"/>
        <w:spacing w:after="0"/>
        <w:tabs>
          <w:tab w:leader="none" w:pos="564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CB Blizzard Lower Holdings GP B, LLC, its</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general partner, /s/ Susanne V. Clark</w:t>
      </w:r>
    </w:p>
    <w:p>
      <w:pPr>
        <w:sectPr>
          <w:pgSz w:w="11900" w:h="16838" w:orient="portrait"/>
          <w:cols w:equalWidth="0" w:num="1">
            <w:col w:w="10060"/>
          </w:cols>
          <w:pgMar w:left="1440" w:top="112" w:right="399" w:bottom="0" w:gutter="0" w:footer="0" w:header="0"/>
          <w:type w:val="continuous"/>
        </w:sectPr>
      </w:pPr>
    </w:p>
    <w:bookmarkStart w:id="13" w:name="page14"/>
    <w:bookmarkEnd w:id="13"/>
    <w:p>
      <w:pPr>
        <w:ind w:left="4580"/>
        <w:spacing w:after="0"/>
        <w:rPr>
          <w:sz w:val="20"/>
          <w:szCs w:val="20"/>
          <w:color w:val="auto"/>
        </w:rPr>
      </w:pPr>
      <w:r>
        <w:rPr>
          <w:rFonts w:ascii="Times New Roman" w:cs="Times New Roman" w:eastAsia="Times New Roman" w:hAnsi="Times New Roman"/>
          <w:sz w:val="21"/>
          <w:szCs w:val="21"/>
          <w:color w:val="auto"/>
        </w:rPr>
        <w:t>Name/Title: Susanne V. Clark/Authorized Signatory</w:t>
      </w:r>
    </w:p>
    <w:p>
      <w:pPr>
        <w:spacing w:after="0" w:line="56"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08/08/2025</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Jeffrey H. Aronson</w:t>
      </w:r>
    </w:p>
    <w:p>
      <w:pPr>
        <w:spacing w:after="0" w:line="152" w:lineRule="exact"/>
        <w:rPr>
          <w:sz w:val="20"/>
          <w:szCs w:val="20"/>
          <w:color w:val="auto"/>
        </w:rPr>
      </w:pPr>
    </w:p>
    <w:p>
      <w:pPr>
        <w:ind w:left="212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H. Aronson</w:t>
      </w:r>
    </w:p>
    <w:p>
      <w:pPr>
        <w:spacing w:after="0" w:line="4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Name/Title: Jeffrey H. Aronson</w:t>
      </w:r>
    </w:p>
    <w:p>
      <w:pPr>
        <w:spacing w:after="0" w:line="44" w:lineRule="exact"/>
        <w:rPr>
          <w:sz w:val="20"/>
          <w:szCs w:val="20"/>
          <w:color w:val="auto"/>
        </w:rPr>
      </w:pPr>
    </w:p>
    <w:p>
      <w:pPr>
        <w:ind w:left="212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08/08/2025</w:t>
      </w:r>
    </w:p>
    <w:p>
      <w:pPr>
        <w:sectPr>
          <w:pgSz w:w="11900" w:h="16838" w:orient="portrait"/>
          <w:cols w:equalWidth="0" w:num="1">
            <w:col w:w="9080"/>
          </w:cols>
          <w:pgMar w:left="1440" w:top="112" w:right="137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22"/>
          <w:szCs w:val="22"/>
          <w:b w:val="1"/>
          <w:bCs w:val="1"/>
          <w:color w:val="auto"/>
        </w:rPr>
        <w:t>Exhibit 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WAIVER AND CONSENT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August 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Vijay Kotte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GoHealth,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 West Merchandise Mart Plaza, Suite 1750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Kotte: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Reference is made to that certain (i) Stockholders Agreement, dated as of July 15, 2020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by and among GoHealth,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Centerbridge Capital Partners III, L.P., a Delaware limited partnership (together with the persons listed in Schedule A to the Stockholders Agreement, the “</w:t>
      </w:r>
      <w:r>
        <w:rPr>
          <w:rFonts w:ascii="Times New Roman" w:cs="Times New Roman" w:eastAsia="Times New Roman" w:hAnsi="Times New Roman"/>
          <w:sz w:val="18"/>
          <w:szCs w:val="18"/>
          <w:u w:val="single" w:color="auto"/>
          <w:color w:val="auto"/>
        </w:rPr>
        <w:t>Centerbridge Parties</w:t>
      </w:r>
      <w:r>
        <w:rPr>
          <w:rFonts w:ascii="Times New Roman" w:cs="Times New Roman" w:eastAsia="Times New Roman" w:hAnsi="Times New Roman"/>
          <w:sz w:val="18"/>
          <w:szCs w:val="18"/>
          <w:color w:val="auto"/>
        </w:rPr>
        <w:t>”), and NVX Holdings, Inc., a Delaware corporation (“</w:t>
      </w:r>
      <w:r>
        <w:rPr>
          <w:rFonts w:ascii="Times New Roman" w:cs="Times New Roman" w:eastAsia="Times New Roman" w:hAnsi="Times New Roman"/>
          <w:sz w:val="18"/>
          <w:szCs w:val="18"/>
          <w:u w:val="single" w:color="auto"/>
          <w:color w:val="auto"/>
        </w:rPr>
        <w:t>NVX Holdings</w:t>
      </w:r>
      <w:r>
        <w:rPr>
          <w:rFonts w:ascii="Times New Roman" w:cs="Times New Roman" w:eastAsia="Times New Roman" w:hAnsi="Times New Roman"/>
          <w:sz w:val="18"/>
          <w:szCs w:val="18"/>
          <w:color w:val="auto"/>
        </w:rPr>
        <w:t>”), and (ii) Registration Rights Agreement, dated as of July 15, 2020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by and among the Company and each person identified on the Schedule of Holders attached thereto, including the entities designated as Centerbridge Holders and any of their affiliates (collectively, the “</w:t>
      </w:r>
      <w:r>
        <w:rPr>
          <w:rFonts w:ascii="Times New Roman" w:cs="Times New Roman" w:eastAsia="Times New Roman" w:hAnsi="Times New Roman"/>
          <w:sz w:val="18"/>
          <w:szCs w:val="18"/>
          <w:u w:val="single" w:color="auto"/>
          <w:color w:val="auto"/>
        </w:rPr>
        <w:t>CBP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and NVX Holdings.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WHEREAS, the Company and certain of its subsidiaries intend to effect the transactions and enter into the agreements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xml:space="preserve">”), contemplated by (i) the Superpriority Senior Secured Credit Agreement substantially in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(together with such changes thereto that are ministerial or otherwise immaterial and that do not adversely affect the rights and obligations of the parties under the Stockholders Agreement or Registration Rights Agreement, the “</w:t>
      </w:r>
      <w:r>
        <w:rPr>
          <w:rFonts w:ascii="Times New Roman" w:cs="Times New Roman" w:eastAsia="Times New Roman" w:hAnsi="Times New Roman"/>
          <w:sz w:val="18"/>
          <w:szCs w:val="18"/>
          <w:u w:val="single" w:color="auto"/>
          <w:color w:val="auto"/>
        </w:rPr>
        <w:t>Priming Credit Agreement</w:t>
      </w:r>
      <w:r>
        <w:rPr>
          <w:rFonts w:ascii="Times New Roman" w:cs="Times New Roman" w:eastAsia="Times New Roman" w:hAnsi="Times New Roman"/>
          <w:sz w:val="18"/>
          <w:szCs w:val="18"/>
          <w:color w:val="auto"/>
        </w:rPr>
        <w:t xml:space="preserve">”), which, among other things, will provide for entry into a $115.0 million senior secured super priority term loan facility, and (ii) one or more Stock Subscription Agreements substantially in the form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(together with such changes thereto that are ministerial or otherwise immaterial and that do not adversely affect the rights and obligations of the parties under the Stockholders Agreement or Registration Rights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which, among other things, will provide for the issuance by the Company of shares of its Class A common stock, par value $0.0001 per share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to certain lenders (the “</w:t>
      </w:r>
      <w:r>
        <w:rPr>
          <w:rFonts w:ascii="Times New Roman" w:cs="Times New Roman" w:eastAsia="Times New Roman" w:hAnsi="Times New Roman"/>
          <w:sz w:val="18"/>
          <w:szCs w:val="18"/>
          <w:u w:val="single" w:color="auto"/>
          <w:color w:val="auto"/>
        </w:rPr>
        <w:t>Equity Issuance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as consideration for, and as a condition to, the consummation of the Transactions, the Board of Directors of the Company will appoint three new directors (the “</w:t>
      </w:r>
      <w:r>
        <w:rPr>
          <w:rFonts w:ascii="Times New Roman" w:cs="Times New Roman" w:eastAsia="Times New Roman" w:hAnsi="Times New Roman"/>
          <w:sz w:val="18"/>
          <w:szCs w:val="18"/>
          <w:u w:val="single" w:color="auto"/>
          <w:color w:val="auto"/>
        </w:rPr>
        <w:t>New Directors</w:t>
      </w:r>
      <w:r>
        <w:rPr>
          <w:rFonts w:ascii="Times New Roman" w:cs="Times New Roman" w:eastAsia="Times New Roman" w:hAnsi="Times New Roman"/>
          <w:sz w:val="18"/>
          <w:szCs w:val="18"/>
          <w:color w:val="auto"/>
        </w:rPr>
        <w:t>”), and Alexander E. Timm, Alan Wheatley and Karoline Hilu (collectively, the “</w:t>
      </w:r>
      <w:r>
        <w:rPr>
          <w:rFonts w:ascii="Times New Roman" w:cs="Times New Roman" w:eastAsia="Times New Roman" w:hAnsi="Times New Roman"/>
          <w:sz w:val="18"/>
          <w:szCs w:val="18"/>
          <w:u w:val="single" w:color="auto"/>
          <w:color w:val="auto"/>
        </w:rPr>
        <w:t>Resigning Directors</w:t>
      </w:r>
      <w:r>
        <w:rPr>
          <w:rFonts w:ascii="Times New Roman" w:cs="Times New Roman" w:eastAsia="Times New Roman" w:hAnsi="Times New Roman"/>
          <w:sz w:val="18"/>
          <w:szCs w:val="18"/>
          <w:color w:val="auto"/>
        </w:rPr>
        <w:t>”), will resign effective immediately before the closing of the Transactions. In addition, the Board of Directors will establish a Transformation Committee consisting of the New Directors and Jeremy W. Gelber.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following the Equity Issuance, the Company will enter into a Registration Rights Agreement (the “</w:t>
      </w:r>
      <w:r>
        <w:rPr>
          <w:rFonts w:ascii="Times New Roman" w:cs="Times New Roman" w:eastAsia="Times New Roman" w:hAnsi="Times New Roman"/>
          <w:sz w:val="18"/>
          <w:szCs w:val="18"/>
          <w:u w:val="single" w:color="auto"/>
          <w:color w:val="auto"/>
        </w:rPr>
        <w:t>Lenders’ Registration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the lenders receiving Shares in the Equity Issuance, whereby such lenders will be provided certain customary registration rights with respect to the resale of the Shares (such grant of registration rights, the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and any future registration of Shares of the Company in connection with the Registration Rights, the “</w:t>
      </w:r>
      <w:r>
        <w:rPr>
          <w:rFonts w:ascii="Times New Roman" w:cs="Times New Roman" w:eastAsia="Times New Roman" w:hAnsi="Times New Roman"/>
          <w:sz w:val="18"/>
          <w:szCs w:val="18"/>
          <w:u w:val="single" w:color="auto"/>
          <w:color w:val="auto"/>
        </w:rPr>
        <w:t>New Registration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 w:name="page16"/>
    <w:bookmarkEnd w:id="1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undersigned hereby provides its irrevocable consent and waiver of the provisions of the Stockholders Agreement or the Registration Rights Agreement, as applicable, set forth below.</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Waiver of Director Nomination and Committee Rights</w:t>
      </w:r>
      <w:r>
        <w:rPr>
          <w:rFonts w:ascii="Times New Roman" w:cs="Times New Roman" w:eastAsia="Times New Roman" w:hAnsi="Times New Roman"/>
          <w:sz w:val="18"/>
          <w:szCs w:val="18"/>
          <w:color w:val="auto"/>
        </w:rPr>
        <w:t>. Each of the Centerbridge Parties and NVX Holdings, severally and not jointly, hereby irrevocably waives its respective rights set forth in the Stockholders Agreement solely to the extent necessary to effectuate the resignation of the Resigning Directors, the appointment and continued service of the New Directors, the establishment and composition of the Transformation Committee, the Transactions, and the reallocation of the composition of the Audit Committee of the Board (for the avoidance of doubt, (i) each of the Centerbridge Parties and NVX Holdings does not waive its right to appoint an independent director to each of the other committees of the Company’s Board of Directors and</w:t>
      </w:r>
    </w:p>
    <w:p>
      <w:pPr>
        <w:spacing w:after="0" w:line="3" w:lineRule="exact"/>
        <w:rPr>
          <w:sz w:val="20"/>
          <w:szCs w:val="20"/>
          <w:color w:val="auto"/>
        </w:rPr>
      </w:pPr>
    </w:p>
    <w:p>
      <w:pPr>
        <w:jc w:val="both"/>
        <w:ind w:firstLine="8"/>
        <w:spacing w:after="0" w:line="250" w:lineRule="auto"/>
        <w:tabs>
          <w:tab w:leader="none" w:pos="2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Jeremy W. Gelber’s seat (or his successor’s seat) becomes vacant, the Centerbridge Parties do not waive their right to designate to the Board a successor director and to designate to the Transformation Committee a successor appointee, as applicable, of their choosing), in each case, until the earlier of (a) the Termination Date (as defined in the Priming Credit Agreement) or (b) until such New Directors are no longer required to remain on the Board and on the Transformation Committee pursuant to the agreements and documents adopted at the closing of the Transactions.</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Consent to Transactions</w:t>
      </w:r>
      <w:r>
        <w:rPr>
          <w:rFonts w:ascii="Times New Roman" w:cs="Times New Roman" w:eastAsia="Times New Roman" w:hAnsi="Times New Roman"/>
          <w:sz w:val="18"/>
          <w:szCs w:val="18"/>
          <w:color w:val="auto"/>
        </w:rPr>
        <w:t>. Pursuant to the Stockholders Agreement, each of the Centerbridge Parties and NVX Holdings, severally and not jointly, hereby consents to the consummation of the Transactions and the Company’s agreements, authorizations and commitments, and the performance of the Company’s obligations to effectuate the Transactions, and waives all provisions of the Stockholders Agreement to the extent necessary to consummate the Transactions.</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Consent to Subsequent Registration Rights</w:t>
      </w:r>
      <w:r>
        <w:rPr>
          <w:rFonts w:ascii="Times New Roman" w:cs="Times New Roman" w:eastAsia="Times New Roman" w:hAnsi="Times New Roman"/>
          <w:sz w:val="18"/>
          <w:szCs w:val="18"/>
          <w:color w:val="auto"/>
        </w:rPr>
        <w:t>. Pursuant to Section 11 of the Registration Rights Agreement, each of the CBP Holders hereby consents to the granting of Registration Rights and any New Registration, and to the entry into the Lenders’ Registration Rights Agreement with terms and provisions and in a form to be reasonably satisfactory to the CBP Holders (provided that a joinder to the Registration Rights Agreement or a Lenders’ Registration Rights Agreement that provides to the lenders party thereto, rights that are substantially the same as or subordinate to those of NVX Holdings under the Registration Rights Agreement, shall be deemed to be reasonably satisfactory to the CBP Holders).</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Increase of Board Size</w:t>
      </w:r>
      <w:r>
        <w:rPr>
          <w:rFonts w:ascii="Times New Roman" w:cs="Times New Roman" w:eastAsia="Times New Roman" w:hAnsi="Times New Roman"/>
          <w:sz w:val="18"/>
          <w:szCs w:val="18"/>
          <w:color w:val="auto"/>
        </w:rPr>
        <w:t>. In the event that the New Directors (or their replacements) do not resign from their positions as directors, and depart the Board, as of the earlier of (a) the Termination Date (as defined in the Priming Credit Agreement) or (b) such time as the New Directors are no longer required to remain on the Board and on the Transformation Committee pursuant to the agreements and documents adopted at the closing of the Transactions, the Company agrees to take all Necessary Action (as defined in the Stockholders Agreement) to (i) cause the size of the Board to be increased to allow the Centerbridge Parties and NVX Holdings to designate for nomination to the Board as many individuals as necessary to fully exercise their rights under the Stockholders Agreement (the “</w:t>
      </w:r>
      <w:r>
        <w:rPr>
          <w:rFonts w:ascii="Times New Roman" w:cs="Times New Roman" w:eastAsia="Times New Roman" w:hAnsi="Times New Roman"/>
          <w:sz w:val="18"/>
          <w:szCs w:val="18"/>
          <w:u w:val="single" w:color="auto"/>
          <w:color w:val="auto"/>
        </w:rPr>
        <w:t>Additional Centerbridge/NVX Directors</w:t>
      </w:r>
      <w:r>
        <w:rPr>
          <w:rFonts w:ascii="Times New Roman" w:cs="Times New Roman" w:eastAsia="Times New Roman" w:hAnsi="Times New Roman"/>
          <w:sz w:val="18"/>
          <w:szCs w:val="18"/>
          <w:color w:val="auto"/>
        </w:rPr>
        <w:t>”) and (ii) cause the Additional Centerbridge/NVX Directors to fill the newly created vacancies on the Board.</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Without limiting any rights of the Centerbridge Parties or NVX Holdings under the Stockholders Agreement, any other agreement to which the Centerbridge Parties or NVX Holdings are a party, or applicable law, the Company (and its affiliates, successors and assigns) shall release and hold harmless the Centerbridge Parties and NVX Holdings (to the fullest extent permitted by applicable law) in connection with any claims, causes of action or other liabilities arising from, related to, or on account of this waiver and consent (the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provided, however, that the Company retains all rights necessary to enforce its rights and remedies under this waiver and consent; provided, further, that such release shall not be provided for Claims arising from Centerbridge Parties or NVX Holdings’ own fraud in connection with the Transactions.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Representation</w:t>
      </w:r>
      <w:r>
        <w:rPr>
          <w:rFonts w:ascii="Times New Roman" w:cs="Times New Roman" w:eastAsia="Times New Roman" w:hAnsi="Times New Roman"/>
          <w:sz w:val="18"/>
          <w:szCs w:val="18"/>
          <w:color w:val="auto"/>
        </w:rPr>
        <w:t>. Each of Centerbridge Parties and NVX Holdings represents and warrants that neither the Centerbridge Parties nor NVX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Holdings, as applicable, has entered into undisclosed agreements with respect to the Transactions with those certain lenders to the Priming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Notwithstanding anything herein to the contrary, except as expressly provided herein with respect to (i) the resignation of the Resigning Directors, the appointment and continued service of the New Directors and the establishment and composition of the Transformation Committee, (ii) the Company’s consummation of the Transactions and its agreements, authorizations and commitments, and the performance of its obligations to effectuate the Transactions and (iii) the Company’s entry into the Lenders’ Registration Rights Agreement, its grant of the Registration Rights and any New Registration, nothing in this consent shall constitute a waiver, consent or amendment by any of the Centerbridge Parties, the CBP Holders or NVX Holdings (collectively, the “</w:t>
      </w:r>
      <w:r>
        <w:rPr>
          <w:rFonts w:ascii="Times New Roman" w:cs="Times New Roman" w:eastAsia="Times New Roman" w:hAnsi="Times New Roman"/>
          <w:sz w:val="18"/>
          <w:szCs w:val="18"/>
          <w:u w:val="single" w:color="auto"/>
          <w:color w:val="auto"/>
        </w:rPr>
        <w:t>Consenting Parties</w:t>
      </w:r>
      <w:r>
        <w:rPr>
          <w:rFonts w:ascii="Times New Roman" w:cs="Times New Roman" w:eastAsia="Times New Roman" w:hAnsi="Times New Roman"/>
          <w:sz w:val="18"/>
          <w:szCs w:val="18"/>
          <w:color w:val="auto"/>
        </w:rPr>
        <w:t>”) of any other provisions under the Stockholders Agreement, the Registration Rights Agreement or under any other agreement with any of the Consenting Parties or any of their respective affiliates.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This Waiver and Consent has been executed by the undersigned, effective as of the date first written above.</w:t>
            </w: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10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5840" w:type="dxa"/>
            <w:vAlign w:val="bottom"/>
          </w:tcPr>
          <w:p>
            <w:pPr>
              <w:ind w:left="46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CENTERBRIDGE PARTIES AND CBP HOLDERS:</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BLIZZARD AGGREGATOR,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CCP III Cayman GP Ltd.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Its: Manager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W. Gelber</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Jeremy W. Gelber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5280"/>
              <w:spacing w:after="0"/>
              <w:rPr>
                <w:sz w:val="20"/>
                <w:szCs w:val="20"/>
                <w:color w:val="auto"/>
              </w:rPr>
            </w:pPr>
            <w:r>
              <w:rPr>
                <w:rFonts w:ascii="Times New Roman" w:cs="Times New Roman" w:eastAsia="Times New Roman" w:hAnsi="Times New Roman"/>
                <w:sz w:val="18"/>
                <w:szCs w:val="18"/>
                <w:b w:val="1"/>
                <w:bCs w:val="1"/>
                <w:color w:val="auto"/>
              </w:rPr>
              <w:t>CB BLIZZARD CO-INVEST HOLDINGS, L.P.</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Centerbridge Associates III, L.P.</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Its: General Partner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CCP III Cayman GP Ltd.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Its: General Partner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W. Gelber</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Jeremy W. Gelber</w:t>
            </w:r>
          </w:p>
        </w:tc>
        <w:tc>
          <w:tcPr>
            <w:tcW w:w="0" w:type="dxa"/>
            <w:vAlign w:val="bottom"/>
          </w:tcPr>
          <w:p>
            <w:pPr>
              <w:spacing w:after="0"/>
              <w:rPr>
                <w:sz w:val="1"/>
                <w:szCs w:val="1"/>
                <w:color w:val="auto"/>
              </w:rPr>
            </w:pPr>
          </w:p>
        </w:tc>
      </w:tr>
      <w:tr>
        <w:trPr>
          <w:trHeight w:val="20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r>
        <w:trPr>
          <w:trHeight w:val="252"/>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10880" w:type="dxa"/>
            <w:vAlign w:val="bottom"/>
            <w:gridSpan w:val="2"/>
            <w:vMerge w:val="restart"/>
          </w:tcPr>
          <w:p>
            <w:pPr>
              <w:ind w:left="5280"/>
              <w:spacing w:after="0"/>
              <w:rPr>
                <w:sz w:val="20"/>
                <w:szCs w:val="20"/>
                <w:color w:val="auto"/>
              </w:rPr>
            </w:pPr>
            <w:r>
              <w:rPr>
                <w:rFonts w:ascii="Times New Roman" w:cs="Times New Roman" w:eastAsia="Times New Roman" w:hAnsi="Times New Roman"/>
                <w:sz w:val="18"/>
                <w:szCs w:val="18"/>
                <w:b w:val="1"/>
                <w:bCs w:val="1"/>
                <w:color w:val="auto"/>
              </w:rPr>
              <w:t>CCP III AIV VII HOLDINGS, L.P.</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Centerbridge Associates III, L.P.</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Its: General Partner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CCP III Cayman GP Ltd.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Its: General Partner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W. Gelber</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Jeremy W. Gelber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restart"/>
          </w:tcPr>
          <w:p>
            <w:pPr>
              <w:ind w:left="2800"/>
              <w:spacing w:after="0"/>
              <w:rPr>
                <w:sz w:val="20"/>
                <w:szCs w:val="20"/>
                <w:color w:val="auto"/>
              </w:rPr>
            </w:pPr>
            <w:r>
              <w:rPr>
                <w:rFonts w:ascii="Times New Roman" w:cs="Times New Roman" w:eastAsia="Times New Roman" w:hAnsi="Times New Roman"/>
                <w:sz w:val="18"/>
                <w:szCs w:val="18"/>
                <w:b w:val="1"/>
                <w:bCs w:val="1"/>
                <w:color w:val="auto"/>
              </w:rPr>
              <w:t>CENTERBRIDGE CAPITAL PARTNERS SBS III, L.P.</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W. Gelber</w:t>
            </w:r>
          </w:p>
        </w:tc>
        <w:tc>
          <w:tcPr>
            <w:tcW w:w="0" w:type="dxa"/>
            <w:vAlign w:val="bottom"/>
          </w:tcPr>
          <w:p>
            <w:pPr>
              <w:spacing w:after="0"/>
              <w:rPr>
                <w:sz w:val="1"/>
                <w:szCs w:val="1"/>
                <w:color w:val="auto"/>
              </w:rPr>
            </w:pP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Jeremy W. Gelber</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restart"/>
          </w:tcPr>
          <w:p>
            <w:pPr>
              <w:ind w:left="2800"/>
              <w:spacing w:after="0"/>
              <w:rPr>
                <w:sz w:val="20"/>
                <w:szCs w:val="20"/>
                <w:color w:val="auto"/>
              </w:rPr>
            </w:pPr>
            <w:r>
              <w:rPr>
                <w:rFonts w:ascii="Times New Roman" w:cs="Times New Roman" w:eastAsia="Times New Roman" w:hAnsi="Times New Roman"/>
                <w:sz w:val="18"/>
                <w:szCs w:val="18"/>
                <w:b w:val="1"/>
                <w:bCs w:val="1"/>
                <w:color w:val="auto"/>
              </w:rPr>
              <w:t xml:space="preserve">CENTERBRIDGE CAPITAL PARTNERS III, L.P. </w:t>
            </w: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Centerbridge Associates III, L.P.</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Its: General Partner</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CCP III Cayman GP Ltd.</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Its: General Partner</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W. Gelber</w:t>
            </w:r>
          </w:p>
        </w:tc>
        <w:tc>
          <w:tcPr>
            <w:tcW w:w="0" w:type="dxa"/>
            <w:vAlign w:val="bottom"/>
          </w:tcPr>
          <w:p>
            <w:pPr>
              <w:spacing w:after="0"/>
              <w:rPr>
                <w:sz w:val="1"/>
                <w:szCs w:val="1"/>
                <w:color w:val="auto"/>
              </w:rPr>
            </w:pP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Jeremy W. Gelber</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restart"/>
          </w:tcPr>
          <w:p>
            <w:pPr>
              <w:ind w:left="2800"/>
              <w:spacing w:after="0"/>
              <w:rPr>
                <w:sz w:val="20"/>
                <w:szCs w:val="20"/>
                <w:color w:val="auto"/>
              </w:rPr>
            </w:pPr>
            <w:r>
              <w:rPr>
                <w:rFonts w:ascii="Times New Roman" w:cs="Times New Roman" w:eastAsia="Times New Roman" w:hAnsi="Times New Roman"/>
                <w:sz w:val="18"/>
                <w:szCs w:val="18"/>
                <w:b w:val="1"/>
                <w:bCs w:val="1"/>
                <w:color w:val="auto"/>
              </w:rPr>
              <w:t>CCP III AIV VII, L.P.</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W. Gelber</w:t>
            </w:r>
          </w:p>
        </w:tc>
        <w:tc>
          <w:tcPr>
            <w:tcW w:w="0" w:type="dxa"/>
            <w:vAlign w:val="bottom"/>
          </w:tcPr>
          <w:p>
            <w:pPr>
              <w:spacing w:after="0"/>
              <w:rPr>
                <w:sz w:val="1"/>
                <w:szCs w:val="1"/>
                <w:color w:val="auto"/>
              </w:rPr>
            </w:pP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Jeremy W. Gelber</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This Waiver and Consent has been executed by the undersigned, effective as of the date first written above.</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10880" w:type="dxa"/>
            <w:vAlign w:val="bottom"/>
            <w:gridSpan w:val="2"/>
            <w:vMerge w:val="restart"/>
          </w:tcPr>
          <w:p>
            <w:pPr>
              <w:ind w:left="5280"/>
              <w:spacing w:after="0"/>
              <w:rPr>
                <w:sz w:val="20"/>
                <w:szCs w:val="20"/>
                <w:color w:val="auto"/>
              </w:rPr>
            </w:pPr>
            <w:r>
              <w:rPr>
                <w:rFonts w:ascii="Times New Roman" w:cs="Times New Roman" w:eastAsia="Times New Roman" w:hAnsi="Times New Roman"/>
                <w:sz w:val="18"/>
                <w:szCs w:val="18"/>
                <w:b w:val="1"/>
                <w:bCs w:val="1"/>
                <w:color w:val="auto"/>
              </w:rPr>
              <w:t>NVX HOLDINGS,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Brandon M. Cruz</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Brandon M. Cruz</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3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Acknowledged and accepted:</w:t>
            </w:r>
          </w:p>
        </w:tc>
        <w:tc>
          <w:tcPr>
            <w:tcW w:w="23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736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8"/>
                <w:szCs w:val="18"/>
                <w:b w:val="1"/>
                <w:bCs w:val="1"/>
                <w:color w:val="auto"/>
              </w:rPr>
              <w:t>GOHEALTH, INC.</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3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3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Vijay Kotte</w:t>
            </w:r>
          </w:p>
        </w:tc>
        <w:tc>
          <w:tcPr>
            <w:tcW w:w="0" w:type="dxa"/>
            <w:vAlign w:val="bottom"/>
          </w:tcPr>
          <w:p>
            <w:pPr>
              <w:spacing w:after="0"/>
              <w:rPr>
                <w:sz w:val="1"/>
                <w:szCs w:val="1"/>
                <w:color w:val="auto"/>
              </w:rPr>
            </w:pPr>
          </w:p>
        </w:tc>
      </w:tr>
      <w:tr>
        <w:trPr>
          <w:trHeight w:val="191"/>
        </w:trPr>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320" w:type="dxa"/>
            <w:vAlign w:val="bottom"/>
          </w:tcPr>
          <w:p>
            <w:pPr>
              <w:ind w:left="17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Vijay Kotte</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3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4"/>
        </w:trPr>
        <w:tc>
          <w:tcPr>
            <w:tcW w:w="3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23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Priming Credit Agreement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 </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Form of Subscription Agreement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sectPr>
      <w:pgSz w:w="11900" w:h="16838" w:orient="portrait"/>
      <w:cols w:equalWidth="0" w:num="1">
        <w:col w:w="10139"/>
      </w:cols>
      <w:pgMar w:left="320" w:top="2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2"/>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2"/>
      <w:numFmt w:val="bullet"/>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1"/>
      <w:numFmt w:val="bullet"/>
      <w:start w:val="1"/>
    </w:lvl>
  </w:abstractNum>
  <w:abstractNum w:abstractNumId="5">
    <w:nsid w:val="66EF438D"/>
    <w:multiLevelType w:val="hybridMultilevel"/>
    <w:lvl w:ilvl="0">
      <w:lvlJc w:val="left"/>
      <w:lvlText w:val="2"/>
      <w:numFmt w:val="bullet"/>
      <w:start w:val="1"/>
    </w:lvl>
  </w:abstractNum>
  <w:abstractNum w:abstractNumId="6">
    <w:nsid w:val="140E0F76"/>
    <w:multiLevelType w:val="hybridMultilevel"/>
    <w:lvl w:ilvl="0">
      <w:lvlJc w:val="left"/>
      <w:lvlText w:val="3"/>
      <w:numFmt w:val="bullet"/>
      <w:start w:val="1"/>
    </w:lvl>
  </w:abstractNum>
  <w:abstractNum w:abstractNumId="7">
    <w:nsid w:val="3352255A"/>
    <w:multiLevelType w:val="hybridMultilevel"/>
    <w:lvl w:ilvl="0">
      <w:lvlJc w:val="left"/>
      <w:lvlText w:val="5"/>
      <w:numFmt w:val="bullet"/>
      <w:start w:val="1"/>
    </w:lvl>
  </w:abstractNum>
  <w:abstractNum w:abstractNumId="8">
    <w:nsid w:val="109CF92E"/>
    <w:multiLevelType w:val="hybridMultilevel"/>
    <w:lvl w:ilvl="0">
      <w:lvlJc w:val="left"/>
      <w:lvlText w:val="2"/>
      <w:numFmt w:val="bullet"/>
      <w:start w:val="1"/>
    </w:lvl>
  </w:abstractNum>
  <w:abstractNum w:abstractNumId="9">
    <w:nsid w:val="DED7263"/>
    <w:multiLevelType w:val="hybridMultilevel"/>
    <w:lvl w:ilvl="0">
      <w:lvlJc w:val="left"/>
      <w:lvlText w:val="3"/>
      <w:numFmt w:val="bullet"/>
      <w:start w:val="1"/>
    </w:lvl>
  </w:abstractNum>
  <w:abstractNum w:abstractNumId="10">
    <w:nsid w:val="7FDCC233"/>
    <w:multiLevelType w:val="hybridMultilevel"/>
    <w:lvl w:ilvl="0">
      <w:lvlJc w:val="left"/>
      <w:lvlText w:val="1"/>
      <w:numFmt w:val="bullet"/>
      <w:start w:val="1"/>
    </w:lvl>
  </w:abstractNum>
  <w:abstractNum w:abstractNumId="11">
    <w:nsid w:val="1BEFD79F"/>
    <w:multiLevelType w:val="hybridMultilevel"/>
    <w:lvl w:ilvl="0">
      <w:lvlJc w:val="left"/>
      <w:lvlText w:val="2"/>
      <w:numFmt w:val="bullet"/>
      <w:start w:val="1"/>
    </w:lvl>
  </w:abstractNum>
  <w:abstractNum w:abstractNumId="12">
    <w:nsid w:val="41A7C4C9"/>
    <w:multiLevelType w:val="hybridMultilevel"/>
    <w:lvl w:ilvl="0">
      <w:lvlJc w:val="left"/>
      <w:lvlText w:val="(%1)"/>
      <w:numFmt w:val="lowerRoman"/>
      <w:start w:val="4"/>
    </w:lvl>
  </w:abstractNum>
  <w:abstractNum w:abstractNumId="13">
    <w:nsid w:val="6B68079A"/>
    <w:multiLevelType w:val="hybridMultilevel"/>
    <w:lvl w:ilvl="0">
      <w:lvlJc w:val="left"/>
      <w:lvlText w:val="(%1)"/>
      <w:numFmt w:val="lowerRoman"/>
      <w:start w:val="2"/>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2"/>
    </w:lvl>
  </w:abstractNum>
  <w:abstractNum w:abstractNumId="16">
    <w:nsid w:val="519B500D"/>
    <w:multiLevelType w:val="hybridMultilevel"/>
    <w:lvl w:ilvl="0">
      <w:lvlJc w:val="left"/>
      <w:lvlText w:val="%1."/>
      <w:numFmt w:val="decimal"/>
      <w:start w:val="5"/>
    </w:lvl>
  </w:abstractNum>
  <w:abstractNum w:abstractNumId="17">
    <w:nsid w:val="431BD7B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2025-08-08T19:17:44Z</dcterms:created>
  <dcterms:modified xsi:type="dcterms:W3CDTF">2025-08-08T19:17:44Z</dcterms:modified>
</cp:coreProperties>
</file>