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6, 2022</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000" w:type="dxa"/>
            <w:vAlign w:val="bottom"/>
          </w:tcPr>
          <w:p>
            <w:pPr>
              <w:jc w:val="center"/>
              <w:ind w:left="1804"/>
              <w:spacing w:after="0"/>
              <w:rPr>
                <w:sz w:val="20"/>
                <w:szCs w:val="20"/>
                <w:color w:val="auto"/>
              </w:rPr>
            </w:pPr>
            <w:r>
              <w:rPr>
                <w:rFonts w:ascii="Times New Roman" w:cs="Times New Roman" w:eastAsia="Times New Roman" w:hAnsi="Times New Roman"/>
                <w:sz w:val="18"/>
                <w:szCs w:val="18"/>
                <w:b w:val="1"/>
                <w:bCs w:val="1"/>
                <w:color w:val="auto"/>
              </w:rPr>
              <w:t>85-0563805</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214 West Huron St.,</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Chicago, Illinois 60654</w:t>
            </w:r>
          </w:p>
        </w:tc>
        <w:tc>
          <w:tcPr>
            <w:tcW w:w="3000" w:type="dxa"/>
            <w:vAlign w:val="bottom"/>
          </w:tcPr>
          <w:p>
            <w:pPr>
              <w:spacing w:after="0"/>
              <w:rPr>
                <w:sz w:val="19"/>
                <w:szCs w:val="19"/>
                <w:color w:val="auto"/>
              </w:rPr>
            </w:pP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GOHEALTH, INC. 2020 INCENTIVE AWARD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GOHEALTH, INC. 2021 INDUCEMENT AWARD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BRIAN FARLEY,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Officer and Corporate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386-8200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IAN D. SCHUMAN,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STELIOS G. SAFFOS,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BRITTANY RUIZ,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1271 Avenue of the Americas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928"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Registration Statement on Form S-8 is being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for the purpose of registering</w:t>
      </w:r>
    </w:p>
    <w:p>
      <w:pPr>
        <w:spacing w:after="0" w:line="27" w:lineRule="exact"/>
        <w:rPr>
          <w:sz w:val="20"/>
          <w:szCs w:val="20"/>
          <w:color w:val="auto"/>
        </w:rPr>
      </w:pPr>
    </w:p>
    <w:p>
      <w:pPr>
        <w:ind w:left="4" w:right="120" w:hanging="4"/>
        <w:spacing w:after="0" w:line="253" w:lineRule="auto"/>
        <w:tabs>
          <w:tab w:leader="none" w:pos="2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10,267,608 shares of Class A Common Stock of GoHealth,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issuable under the Company’s 2020 Incentive Award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for which registration statement of the Company on Form S-8 (File No. 333-239879) is effective, and (ii) an additional 21,000,000 shares of the Company’s Class A Common Stock issuable under the Company’s 2021 Inducement Award Plan (the “</w:t>
      </w:r>
      <w:r>
        <w:rPr>
          <w:rFonts w:ascii="Times New Roman" w:cs="Times New Roman" w:eastAsia="Times New Roman" w:hAnsi="Times New Roman"/>
          <w:sz w:val="18"/>
          <w:szCs w:val="18"/>
          <w:u w:val="single" w:color="auto"/>
          <w:color w:val="auto"/>
        </w:rPr>
        <w:t>Inducement Plan</w:t>
      </w:r>
      <w:r>
        <w:rPr>
          <w:rFonts w:ascii="Times New Roman" w:cs="Times New Roman" w:eastAsia="Times New Roman" w:hAnsi="Times New Roman"/>
          <w:sz w:val="18"/>
          <w:szCs w:val="18"/>
          <w:color w:val="auto"/>
        </w:rPr>
        <w:t>”) for which registration statement of the Company on Form S-8 (File No. 333-261770) is effective.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Instruction E of Form S-8, the contents of the Registration Statements on Form S-8 filed with the Commission on July 15, 2020 (File</w:t>
      </w:r>
    </w:p>
    <w:p>
      <w:pPr>
        <w:spacing w:after="0" w:line="27" w:lineRule="exact"/>
        <w:rPr>
          <w:sz w:val="20"/>
          <w:szCs w:val="20"/>
          <w:color w:val="auto"/>
        </w:rPr>
      </w:pPr>
    </w:p>
    <w:p>
      <w:pPr>
        <w:ind w:left="4" w:right="100"/>
        <w:spacing w:after="0" w:line="260" w:lineRule="auto"/>
        <w:rPr>
          <w:sz w:val="20"/>
          <w:szCs w:val="20"/>
          <w:color w:val="auto"/>
        </w:rPr>
      </w:pPr>
      <w:r>
        <w:rPr>
          <w:rFonts w:ascii="Times New Roman" w:cs="Times New Roman" w:eastAsia="Times New Roman" w:hAnsi="Times New Roman"/>
          <w:sz w:val="18"/>
          <w:szCs w:val="18"/>
          <w:color w:val="auto"/>
        </w:rPr>
        <w:t>No. 333-239879), February 10, 2021 (File No. 333-252962), December 20, 2021 (File No. 333-261770) and March 23, 2022 (File No. 333-263787) are incorporated by reference herein; except for Item 8 which is being updated by this Registration Statement.</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The Exhibits listed on the accompanying Index to Exhibits are filed as part hereof, or incorporated by reference into, this Registration Statement. See Exhibit Index below.</w:t>
      </w:r>
    </w:p>
    <w:p>
      <w:pPr>
        <w:spacing w:after="0" w:line="37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10"/>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52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Amended and Restated Certificate of Incorporation of GoHealth, Inc. (incorporated by reference to Exhibit 3.1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Quarterly Report on Form 10-Q (File No. 001-39390), filed on August 20, 2020 with the Commission)</w:t>
              </w:r>
            </w:hyperlink>
          </w:p>
        </w:tc>
        <w:tc>
          <w:tcPr>
            <w:tcW w:w="7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Amended and Restated Bylaws of GoHealth, Inc. (incorporated by reference to Exhibit 3.2 to the Quarterly Report on Form 10-Q (File</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No. 001-39390), filed on August 20, 2020 with the Commission)</w:t>
              </w:r>
            </w:hyperlink>
          </w:p>
        </w:tc>
        <w:tc>
          <w:tcPr>
            <w:tcW w:w="5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2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Opinion of Latham &amp; Watkins LLP</w:t>
            </w:r>
          </w:p>
        </w:tc>
        <w:tc>
          <w:tcPr>
            <w:tcW w:w="7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Ernst &amp; Young LLP as to GoHealth, Inc.</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Latham &amp; Watkins LLP (included in Exhibit 5.1)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42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hereto)</w:t>
            </w:r>
          </w:p>
        </w:tc>
        <w:tc>
          <w:tcPr>
            <w:tcW w:w="160" w:type="dxa"/>
            <w:vAlign w:val="bottom"/>
            <w:tcBorders>
              <w:top w:val="single" w:sz="8" w:color="0000EE"/>
            </w:tcBorders>
          </w:tcPr>
          <w:p>
            <w:pPr>
              <w:spacing w:after="0"/>
              <w:rPr>
                <w:sz w:val="24"/>
                <w:szCs w:val="24"/>
                <w:color w:val="auto"/>
              </w:rPr>
            </w:pPr>
          </w:p>
        </w:tc>
        <w:tc>
          <w:tcPr>
            <w:tcW w:w="5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GoHealth, Inc. 2020 Incentive Award Plan (incorporated by reference to Exhibit 10.6 to the Company’s Registration Statement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No. 333-239287), filed on July 8, 2020 with the Commission)</w:t>
              </w:r>
            </w:hyperlink>
          </w:p>
        </w:tc>
        <w:tc>
          <w:tcPr>
            <w:tcW w:w="5100" w:type="dxa"/>
            <w:vAlign w:val="bottom"/>
            <w:tcBorders>
              <w:top w:val="single" w:sz="8" w:color="0000EE"/>
            </w:tcBorders>
            <w:gridSpan w:val="7"/>
          </w:tcPr>
          <w:p>
            <w:pPr>
              <w:spacing w:after="0"/>
              <w:rPr>
                <w:sz w:val="17"/>
                <w:szCs w:val="17"/>
                <w:color w:val="auto"/>
              </w:rPr>
            </w:pPr>
          </w:p>
        </w:tc>
        <w:tc>
          <w:tcPr>
            <w:tcW w:w="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5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Incentive Award Plan Form of Stock Option Award Grant Notice and Stock Option Agreement (incorporated by reference to Exhibit</w:t>
              </w:r>
            </w:hyperlink>
          </w:p>
        </w:tc>
        <w:tc>
          <w:tcPr>
            <w:tcW w:w="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19</w:t>
              </w:r>
              <w:r>
                <w:rPr>
                  <w:rFonts w:ascii="Times New Roman" w:cs="Times New Roman" w:eastAsia="Times New Roman" w:hAnsi="Times New Roman"/>
                  <w:sz w:val="18"/>
                  <w:szCs w:val="18"/>
                  <w:color w:val="0000EE"/>
                  <w:w w:val="99"/>
                </w:rPr>
                <w:t xml:space="preserve"> to the Company’s Registration Statement (File No. 333-239287), filed on July 8, 2020 with the Commission)</w:t>
              </w:r>
            </w:hyperlink>
          </w:p>
        </w:tc>
        <w:tc>
          <w:tcPr>
            <w:tcW w:w="16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4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Incentive Award Plan Form of Restricted Stock Unit Award Grant Notice and Restricted Stock Unit Agreement (incorporated by reference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to Exhibit 10.20 to the Company’s Registration Statement (File No. 333-239287), filed on July 8, 2020 with the Commission)</w:t>
              </w:r>
            </w:hyperlink>
          </w:p>
        </w:tc>
        <w:tc>
          <w:tcPr>
            <w:tcW w:w="9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6" w:right="439" w:bottom="1440" w:gutter="0" w:footer="0" w:header="0"/>
        </w:sectPr>
      </w:pPr>
    </w:p>
    <w:bookmarkStart w:id="2" w:name="page3"/>
    <w:bookmarkEnd w:id="2"/>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99.4*</w:t>
      </w:r>
      <w:r>
        <w:rPr>
          <w:sz w:val="20"/>
          <w:szCs w:val="20"/>
          <w:color w:val="auto"/>
        </w:rPr>
        <w:tab/>
      </w:r>
      <w:r>
        <w:rPr>
          <w:rFonts w:ascii="Times New Roman" w:cs="Times New Roman" w:eastAsia="Times New Roman" w:hAnsi="Times New Roman"/>
          <w:sz w:val="17"/>
          <w:szCs w:val="17"/>
          <w:u w:val="single" w:color="auto"/>
          <w:color w:val="0000EE"/>
        </w:rPr>
        <w:t>Incentive Award Plan Form of Stock Appreciation Rights Grant Notice and Stock Appreciation Rights Agreement</w:t>
      </w:r>
    </w:p>
    <w:p>
      <w:pPr>
        <w:spacing w:after="0" w:line="117" w:lineRule="exact"/>
        <w:rPr>
          <w:sz w:val="20"/>
          <w:szCs w:val="20"/>
          <w:color w:val="auto"/>
        </w:rPr>
      </w:pPr>
    </w:p>
    <w:p>
      <w:pPr>
        <w:ind w:left="724" w:hanging="714"/>
        <w:spacing w:after="0" w:line="282" w:lineRule="auto"/>
        <w:tabs>
          <w:tab w:leader="none" w:pos="7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99.5</w:t>
      </w:r>
      <w:r>
        <w:rPr>
          <w:sz w:val="20"/>
          <w:szCs w:val="20"/>
          <w:color w:val="auto"/>
        </w:rPr>
        <w:tab/>
      </w:r>
      <w:hyperlink r:id="rId24">
        <w:r>
          <w:rPr>
            <w:rFonts w:ascii="Times New Roman" w:cs="Times New Roman" w:eastAsia="Times New Roman" w:hAnsi="Times New Roman"/>
            <w:sz w:val="18"/>
            <w:szCs w:val="18"/>
            <w:u w:val="single" w:color="auto"/>
            <w:color w:val="0000EE"/>
          </w:rPr>
          <w:t>GoHealth, Inc. 2021 Inducement Award Plan (incorporated by reference to Exhibit 99.1 to the Company’s Registration Statement (File</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No. 333-261770), filed on December 20, 2021 with the Commission)</w:t>
        </w:r>
      </w:hyperlink>
    </w:p>
    <w:p>
      <w:pPr>
        <w:spacing w:after="0" w:line="54"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99.6*</w:t>
      </w:r>
      <w:r>
        <w:rPr>
          <w:sz w:val="20"/>
          <w:szCs w:val="20"/>
          <w:color w:val="auto"/>
        </w:rPr>
        <w:tab/>
      </w:r>
      <w:r>
        <w:rPr>
          <w:rFonts w:ascii="Times New Roman" w:cs="Times New Roman" w:eastAsia="Times New Roman" w:hAnsi="Times New Roman"/>
          <w:sz w:val="17"/>
          <w:szCs w:val="17"/>
          <w:u w:val="single" w:color="auto"/>
          <w:color w:val="0000EE"/>
        </w:rPr>
        <w:t>First Amendment to the GoHealth, Inc. 2021 Inducement Award Plan</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99.7*</w:t>
      </w:r>
      <w:r>
        <w:rPr>
          <w:sz w:val="20"/>
          <w:szCs w:val="20"/>
          <w:color w:val="auto"/>
        </w:rPr>
        <w:tab/>
      </w:r>
      <w:r>
        <w:rPr>
          <w:rFonts w:ascii="Times New Roman" w:cs="Times New Roman" w:eastAsia="Times New Roman" w:hAnsi="Times New Roman"/>
          <w:sz w:val="17"/>
          <w:szCs w:val="17"/>
          <w:u w:val="single" w:color="auto"/>
          <w:color w:val="0000EE"/>
        </w:rPr>
        <w:t>Inducement Award Plan Form of Stock Option Award Grant Notice and Stock Option Agreement</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99.8*</w:t>
      </w:r>
      <w:r>
        <w:rPr>
          <w:sz w:val="20"/>
          <w:szCs w:val="20"/>
          <w:color w:val="auto"/>
        </w:rPr>
        <w:tab/>
      </w:r>
      <w:r>
        <w:rPr>
          <w:rFonts w:ascii="Times New Roman" w:cs="Times New Roman" w:eastAsia="Times New Roman" w:hAnsi="Times New Roman"/>
          <w:sz w:val="17"/>
          <w:szCs w:val="17"/>
          <w:u w:val="single" w:color="auto"/>
          <w:color w:val="0000EE"/>
        </w:rPr>
        <w:t>Inducement Award Plan Form of Restricted Stock Unit Award Grant Notice and Restricted Stock Unit Agreement</w:t>
      </w:r>
    </w:p>
    <w:p>
      <w:pPr>
        <w:spacing w:after="0" w:line="117"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464"/>
          </w:cols>
          <w:pgMar w:left="436" w:top="270" w:right="99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June 6, 2022.</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Clinton P. Jones</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GoHealth, Inc. hereby constitutes and appoints Clinton P. Jones and Travis J. Matthiesen,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40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5"/>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Clinton P. Jones</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June 6, 2022</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6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J. Matthiesen</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 and Principal Accounting</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June 6, 2022</w:t>
            </w:r>
          </w:p>
        </w:tc>
        <w:tc>
          <w:tcPr>
            <w:tcW w:w="0" w:type="dxa"/>
            <w:vAlign w:val="bottom"/>
          </w:tcPr>
          <w:p>
            <w:pPr>
              <w:spacing w:after="0"/>
              <w:rPr>
                <w:sz w:val="1"/>
                <w:szCs w:val="1"/>
                <w:color w:val="auto"/>
              </w:rPr>
            </w:pPr>
          </w:p>
        </w:tc>
      </w:tr>
      <w:tr>
        <w:trPr>
          <w:trHeight w:val="214"/>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Travis J. Matthiesen</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6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M. Cruz</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June 6, 2022</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6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Fisher</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June 6, 2022</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6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G. Flanagan</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June 6, 2022</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Joseph G. Flanagan</w:t>
            </w:r>
          </w:p>
        </w:tc>
        <w:tc>
          <w:tcPr>
            <w:tcW w:w="6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W. Gelber</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June 6, 2022</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6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Miriam A. Tawil</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June 6, 2022</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Miriam A. Tawil</w:t>
            </w:r>
          </w:p>
        </w:tc>
        <w:tc>
          <w:tcPr>
            <w:tcW w:w="6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E. Timm</w:t>
            </w: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June 6, 2022</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Alexander E. Timm</w:t>
            </w:r>
          </w:p>
        </w:tc>
        <w:tc>
          <w:tcPr>
            <w:tcW w:w="6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440" w:top="266" w:right="57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New York, New York 10020-1401</w:t>
      </w:r>
    </w:p>
    <w:p>
      <w:pPr>
        <w:spacing w:after="0" w:line="9" w:lineRule="exact"/>
        <w:rPr>
          <w:sz w:val="20"/>
          <w:szCs w:val="20"/>
          <w:color w:val="auto"/>
        </w:rPr>
      </w:pPr>
    </w:p>
    <w:p>
      <w:pPr>
        <w:ind w:left="7280"/>
        <w:spacing w:after="0"/>
        <w:tabs>
          <w:tab w:leader="none" w:pos="9000" w:val="left"/>
        </w:tabs>
        <w:rPr>
          <w:sz w:val="20"/>
          <w:szCs w:val="20"/>
          <w:color w:val="auto"/>
        </w:rPr>
      </w:pPr>
      <w:r>
        <w:rPr>
          <w:rFonts w:ascii="Times New Roman" w:cs="Times New Roman" w:eastAsia="Times New Roman" w:hAnsi="Times New Roman"/>
          <w:sz w:val="18"/>
          <w:szCs w:val="18"/>
          <w:color w:val="auto"/>
        </w:rPr>
        <w:t>Tel: +1.212.906.1200</w:t>
      </w:r>
      <w:r>
        <w:rPr>
          <w:sz w:val="20"/>
          <w:szCs w:val="20"/>
          <w:color w:val="auto"/>
        </w:rPr>
        <w:tab/>
      </w:r>
      <w:r>
        <w:rPr>
          <w:rFonts w:ascii="Times New Roman" w:cs="Times New Roman" w:eastAsia="Times New Roman" w:hAnsi="Times New Roman"/>
          <w:sz w:val="17"/>
          <w:szCs w:val="17"/>
          <w:color w:val="auto"/>
        </w:rPr>
        <w:t>Fax: +1.212.751.4864</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www.lw.com</w:t>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Austin</w:t>
      </w:r>
      <w:r>
        <w:rPr>
          <w:sz w:val="20"/>
          <w:szCs w:val="20"/>
          <w:color w:val="auto"/>
        </w:rPr>
        <w:tab/>
      </w:r>
      <w:r>
        <w:rPr>
          <w:rFonts w:ascii="Times New Roman" w:cs="Times New Roman" w:eastAsia="Times New Roman" w:hAnsi="Times New Roman"/>
          <w:sz w:val="18"/>
          <w:szCs w:val="18"/>
          <w:color w:val="auto"/>
        </w:rPr>
        <w:t>Moscow</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Beijing</w:t>
      </w:r>
      <w:r>
        <w:rPr>
          <w:sz w:val="20"/>
          <w:szCs w:val="20"/>
          <w:color w:val="auto"/>
        </w:rPr>
        <w:tab/>
      </w:r>
      <w:r>
        <w:rPr>
          <w:rFonts w:ascii="Times New Roman" w:cs="Times New Roman" w:eastAsia="Times New Roman" w:hAnsi="Times New Roman"/>
          <w:sz w:val="18"/>
          <w:szCs w:val="18"/>
          <w:color w:val="auto"/>
        </w:rPr>
        <w:t>Munich</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Brussels</w:t>
      </w:r>
      <w:r>
        <w:rPr>
          <w:sz w:val="20"/>
          <w:szCs w:val="20"/>
          <w:color w:val="auto"/>
        </w:rPr>
        <w:tab/>
      </w:r>
      <w:r>
        <w:rPr>
          <w:rFonts w:ascii="Times New Roman" w:cs="Times New Roman" w:eastAsia="Times New Roman" w:hAnsi="Times New Roman"/>
          <w:sz w:val="18"/>
          <w:szCs w:val="18"/>
          <w:color w:val="auto"/>
        </w:rPr>
        <w:t>Orange County</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Century City</w:t>
      </w:r>
      <w:r>
        <w:rPr>
          <w:sz w:val="20"/>
          <w:szCs w:val="20"/>
          <w:color w:val="auto"/>
        </w:rPr>
        <w:tab/>
      </w:r>
      <w:r>
        <w:rPr>
          <w:rFonts w:ascii="Times New Roman" w:cs="Times New Roman" w:eastAsia="Times New Roman" w:hAnsi="Times New Roman"/>
          <w:sz w:val="18"/>
          <w:szCs w:val="18"/>
          <w:color w:val="auto"/>
        </w:rPr>
        <w:t>Paris</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Chicago</w:t>
      </w:r>
      <w:r>
        <w:rPr>
          <w:sz w:val="20"/>
          <w:szCs w:val="20"/>
          <w:color w:val="auto"/>
        </w:rPr>
        <w:tab/>
      </w:r>
      <w:r>
        <w:rPr>
          <w:rFonts w:ascii="Times New Roman" w:cs="Times New Roman" w:eastAsia="Times New Roman" w:hAnsi="Times New Roman"/>
          <w:sz w:val="18"/>
          <w:szCs w:val="18"/>
          <w:color w:val="auto"/>
        </w:rPr>
        <w:t>Riyadh</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Dubai</w:t>
      </w:r>
      <w:r>
        <w:rPr>
          <w:sz w:val="20"/>
          <w:szCs w:val="20"/>
          <w:color w:val="auto"/>
        </w:rPr>
        <w:tab/>
      </w:r>
      <w:r>
        <w:rPr>
          <w:rFonts w:ascii="Times New Roman" w:cs="Times New Roman" w:eastAsia="Times New Roman" w:hAnsi="Times New Roman"/>
          <w:sz w:val="18"/>
          <w:szCs w:val="18"/>
          <w:color w:val="auto"/>
        </w:rPr>
        <w:t>San Diego</w:t>
      </w:r>
    </w:p>
    <w:p>
      <w:pPr>
        <w:spacing w:after="0" w:line="9" w:lineRule="exact"/>
        <w:rPr>
          <w:sz w:val="20"/>
          <w:szCs w:val="20"/>
          <w:color w:val="auto"/>
        </w:rPr>
      </w:pPr>
    </w:p>
    <w:p>
      <w:pPr>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sseldorf</w:t>
      </w:r>
      <w:r>
        <w:rPr>
          <w:sz w:val="20"/>
          <w:szCs w:val="20"/>
          <w:color w:val="auto"/>
        </w:rPr>
        <w:tab/>
      </w:r>
      <w:r>
        <w:rPr>
          <w:rFonts w:ascii="Times New Roman" w:cs="Times New Roman" w:eastAsia="Times New Roman" w:hAnsi="Times New Roman"/>
          <w:sz w:val="18"/>
          <w:szCs w:val="18"/>
          <w:color w:val="auto"/>
        </w:rPr>
        <w:t>San Francisco</w:t>
      </w:r>
    </w:p>
    <w:p>
      <w:pPr>
        <w:spacing w:after="0" w:line="1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Frankfurt</w:t>
      </w:r>
      <w:r>
        <w:rPr>
          <w:sz w:val="20"/>
          <w:szCs w:val="20"/>
          <w:color w:val="auto"/>
        </w:rPr>
        <w:tab/>
      </w:r>
      <w:r>
        <w:rPr>
          <w:rFonts w:ascii="Times New Roman" w:cs="Times New Roman" w:eastAsia="Times New Roman" w:hAnsi="Times New Roman"/>
          <w:sz w:val="18"/>
          <w:szCs w:val="18"/>
          <w:color w:val="auto"/>
        </w:rPr>
        <w:t>Seoul</w:t>
      </w:r>
    </w:p>
    <w:p>
      <w:pPr>
        <w:spacing w:after="0" w:line="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Hamburg</w:t>
      </w:r>
      <w:r>
        <w:rPr>
          <w:sz w:val="20"/>
          <w:szCs w:val="20"/>
          <w:color w:val="auto"/>
        </w:rPr>
        <w:tab/>
      </w:r>
      <w:r>
        <w:rPr>
          <w:rFonts w:ascii="Times New Roman" w:cs="Times New Roman" w:eastAsia="Times New Roman" w:hAnsi="Times New Roman"/>
          <w:sz w:val="18"/>
          <w:szCs w:val="18"/>
          <w:color w:val="auto"/>
        </w:rPr>
        <w:t>Shanghai</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Hong Kong</w:t>
      </w:r>
      <w:r>
        <w:rPr>
          <w:sz w:val="20"/>
          <w:szCs w:val="20"/>
          <w:color w:val="auto"/>
        </w:rPr>
        <w:tab/>
      </w:r>
      <w:r>
        <w:rPr>
          <w:rFonts w:ascii="Times New Roman" w:cs="Times New Roman" w:eastAsia="Times New Roman" w:hAnsi="Times New Roman"/>
          <w:sz w:val="17"/>
          <w:szCs w:val="17"/>
          <w:color w:val="auto"/>
        </w:rPr>
        <w:t>Silicon Valley</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Houston</w:t>
      </w:r>
      <w:r>
        <w:rPr>
          <w:sz w:val="20"/>
          <w:szCs w:val="20"/>
          <w:color w:val="auto"/>
        </w:rPr>
        <w:tab/>
      </w: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London</w:t>
      </w:r>
      <w:r>
        <w:rPr>
          <w:sz w:val="20"/>
          <w:szCs w:val="20"/>
          <w:color w:val="auto"/>
        </w:rPr>
        <w:tab/>
      </w:r>
      <w:r>
        <w:rPr>
          <w:rFonts w:ascii="Times New Roman" w:cs="Times New Roman" w:eastAsia="Times New Roman" w:hAnsi="Times New Roman"/>
          <w:sz w:val="18"/>
          <w:szCs w:val="18"/>
          <w:color w:val="auto"/>
        </w:rPr>
        <w:t>Tel Aviv</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Los Angeles</w:t>
      </w:r>
      <w:r>
        <w:rPr>
          <w:sz w:val="20"/>
          <w:szCs w:val="20"/>
          <w:color w:val="auto"/>
        </w:rPr>
        <w:tab/>
      </w:r>
      <w:r>
        <w:rPr>
          <w:rFonts w:ascii="Times New Roman" w:cs="Times New Roman" w:eastAsia="Times New Roman" w:hAnsi="Times New Roman"/>
          <w:sz w:val="17"/>
          <w:szCs w:val="17"/>
          <w:color w:val="auto"/>
        </w:rPr>
        <w:t>Tokyo</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color w:val="auto"/>
        </w:rPr>
        <w:t>Madrid</w:t>
      </w:r>
      <w:r>
        <w:rPr>
          <w:sz w:val="20"/>
          <w:szCs w:val="20"/>
          <w:color w:val="auto"/>
        </w:rPr>
        <w:tab/>
      </w:r>
      <w:r>
        <w:rPr>
          <w:rFonts w:ascii="Times New Roman" w:cs="Times New Roman" w:eastAsia="Times New Roman" w:hAnsi="Times New Roman"/>
          <w:sz w:val="17"/>
          <w:szCs w:val="17"/>
          <w:color w:val="auto"/>
        </w:rPr>
        <w:t>Washington, D.C.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Milan</w:t>
      </w:r>
    </w:p>
    <w:p>
      <w:pPr>
        <w:spacing w:after="0" w:line="200" w:lineRule="exact"/>
        <w:rPr>
          <w:sz w:val="20"/>
          <w:szCs w:val="20"/>
          <w:color w:val="auto"/>
        </w:rPr>
      </w:pPr>
    </w:p>
    <w:p>
      <w:pPr>
        <w:sectPr>
          <w:pgSz w:w="11900" w:h="16838" w:orient="portrait"/>
          <w:cols w:equalWidth="0" w:num="2">
            <w:col w:w="6560" w:space="720"/>
            <w:col w:w="3740"/>
          </w:cols>
          <w:pgMar w:left="440" w:top="117"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West Huron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34"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S-8 with respect to 31,267,608 shares of Class A common stock,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special counsel to GoHealth,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(the “</w:t>
      </w:r>
      <w:r>
        <w:rPr>
          <w:rFonts w:ascii="Times New Roman" w:cs="Times New Roman" w:eastAsia="Times New Roman" w:hAnsi="Times New Roman"/>
          <w:sz w:val="18"/>
          <w:szCs w:val="18"/>
          <w:b w:val="1"/>
          <w:bCs w:val="1"/>
          <w:i w:val="1"/>
          <w:iCs w:val="1"/>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on Form S-8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issuance of up to 31,267,608 shares of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 the Company, par value $0.0001 per share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which may be issued pursuant to the Company’s 2020 Incentive Award 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2020 Plan</w:t>
      </w:r>
      <w:r>
        <w:rPr>
          <w:rFonts w:ascii="Times New Roman" w:cs="Times New Roman" w:eastAsia="Times New Roman" w:hAnsi="Times New Roman"/>
          <w:sz w:val="18"/>
          <w:szCs w:val="18"/>
          <w:color w:val="auto"/>
        </w:rPr>
        <w:t>”) and the Company’s 2021 Inducement Award Plan, as amended (the “</w:t>
      </w:r>
      <w:r>
        <w:rPr>
          <w:rFonts w:ascii="Times New Roman" w:cs="Times New Roman" w:eastAsia="Times New Roman" w:hAnsi="Times New Roman"/>
          <w:sz w:val="18"/>
          <w:szCs w:val="18"/>
          <w:b w:val="1"/>
          <w:bCs w:val="1"/>
          <w:i w:val="1"/>
          <w:iCs w:val="1"/>
          <w:color w:val="auto"/>
        </w:rPr>
        <w:t>Inducement Plan</w:t>
      </w:r>
      <w:r>
        <w:rPr>
          <w:rFonts w:ascii="Times New Roman" w:cs="Times New Roman" w:eastAsia="Times New Roman" w:hAnsi="Times New Roman"/>
          <w:sz w:val="18"/>
          <w:szCs w:val="18"/>
          <w:color w:val="auto"/>
        </w:rPr>
        <w:t>,” and, together with the 2020 Plan,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expressed herein as to any matter pertaining to the contents of the Registration Statement or related prospectus, other than as expressly stated herein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issuance of the Shares.</w:t>
      </w:r>
    </w:p>
    <w:p>
      <w:pPr>
        <w:spacing w:after="0" w:line="20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with respect to any other laws.</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issuances, grants or awards under the Plans</w:t>
      </w:r>
    </w:p>
    <w:p>
      <w:pPr>
        <w:sectPr>
          <w:pgSz w:w="11900" w:h="16838" w:orient="portrait"/>
          <w:cols w:equalWidth="0" w:num="1">
            <w:col w:w="11020"/>
          </w:cols>
          <w:pgMar w:left="440" w:top="117"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6,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38874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are duly authorized by all necessary corporate action and duly issued, granted or awarded and exercised in accordance with the requirements of law and the Plans (and the agreements duly adopted thereunder and in accordance therewith), the issue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 Latham &amp; Watkins LLP</w:t>
      </w:r>
    </w:p>
    <w:p>
      <w:pPr>
        <w:sectPr>
          <w:pgSz w:w="11900" w:h="16838" w:orient="portrait"/>
          <w:cols w:equalWidth="0" w:num="1">
            <w:col w:w="10980"/>
          </w:cols>
          <w:pgMar w:left="440" w:top="266" w:right="4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2020 Incentive Award Plan and the 2021 Inducement Award Plan of GoHealth, Inc. of our reports dated March 16, 2022, with respect to the consolidated financial statements of GoHealth, Inc. and the effectiveness of internal control over financial reporting of GoHealth, Inc. included in its Annual Report (Form 10-K)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2022</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335280</wp:posOffset>
            </wp:positionV>
            <wp:extent cx="6998970" cy="35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APPRECIATION RIGHTS GRANT NOTICE</w:t>
      </w:r>
    </w:p>
    <w:p>
      <w:pPr>
        <w:spacing w:after="0" w:line="117"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Capitalized terms not specifically defined in this Stock Appreciation Rights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have the meanings given to them in the 2020 Incentive Award Plan (as may be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GoHealth,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The Company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Stock Appreciation Right described in this Grant Notice (the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xml:space="preserve">”), subject to the terms and conditions of the Plan and the Stock Appreciation Rights Agreement attached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w:t>
      </w:r>
    </w:p>
    <w:p>
      <w:pPr>
        <w:sectPr>
          <w:pgSz w:w="11900" w:h="16838" w:orient="portrait"/>
          <w:cols w:equalWidth="0" w:num="1">
            <w:col w:w="11020"/>
          </w:cols>
          <w:pgMar w:left="440" w:top="117" w:right="4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Number of Shares Subject to SAR: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3"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SAR,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GOHEALTH, INC.</w:t>
            </w:r>
          </w:p>
        </w:tc>
        <w:tc>
          <w:tcPr>
            <w:tcW w:w="73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3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960" w:type="dxa"/>
            <w:vAlign w:val="bottom"/>
            <w:tcBorders>
              <w:top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[__________]</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300" w:type="dxa"/>
            <w:vAlign w:val="bottom"/>
          </w:tcPr>
          <w:p>
            <w:pPr>
              <w:spacing w:after="0"/>
              <w:rPr>
                <w:sz w:val="20"/>
                <w:szCs w:val="20"/>
                <w:color w:val="auto"/>
              </w:rPr>
            </w:pPr>
          </w:p>
        </w:tc>
        <w:tc>
          <w:tcPr>
            <w:tcW w:w="5080" w:type="dxa"/>
            <w:vAlign w:val="bottom"/>
          </w:tcPr>
          <w:p>
            <w:pPr>
              <w:spacing w:after="0"/>
              <w:rPr>
                <w:sz w:val="20"/>
                <w:szCs w:val="20"/>
                <w:color w:val="auto"/>
              </w:rPr>
            </w:pPr>
          </w:p>
        </w:tc>
      </w:tr>
    </w:tbl>
    <w:p>
      <w:pPr>
        <w:sectPr>
          <w:pgSz w:w="11900" w:h="16838" w:orient="portrait"/>
          <w:cols w:equalWidth="0" w:num="1">
            <w:col w:w="11020"/>
          </w:cols>
          <w:pgMar w:left="440" w:top="117" w:right="4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APPRECIATION RIGHTS AGREEMENT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37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Grant of SAR</w:t>
      </w:r>
      <w:r>
        <w:rPr>
          <w:rFonts w:ascii="Times New Roman" w:cs="Times New Roman" w:eastAsia="Times New Roman" w:hAnsi="Times New Roman"/>
          <w:sz w:val="18"/>
          <w:szCs w:val="18"/>
          <w:color w:val="auto"/>
        </w:rPr>
        <w:t>. The Company has granted to Participant the SAR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SAR is subject to the terms and conditions set forth in this Agreement and the Plan, which is incorporated herein by reference. In the event of any inconsistency between the Plan and this Agreement, the terms of the Plan will control.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99"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 The SAR will vest and become exercisable according to the vesting schedule in the Grant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except that any fraction of a Share as to which the SAR would be vested or exercisable will be accumulated and will vest and become exercisable only when a whole Share has accumulated. Except as provided in the Vesting Schedule or as the Administrator may otherwise approve, notwithstanding anything in the Grant Notice, the Plan or this Agreement to the contrary, unless the Administrator otherwise determines, the SAR will immediately expire and be forfeited as to any portion that is not vested and exercisable as of Participant’s Termination of Service for any reason.</w:t>
      </w:r>
    </w:p>
    <w:p>
      <w:pPr>
        <w:spacing w:after="0" w:line="18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Vesting Schedule is cumulative. Any portion of the SAR which vests and becomes exercisable will remain vested and exercisable until the SAR expires. The SAR will be forfeited immediately upon its expiration.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Expiration of SAR</w:t>
      </w:r>
      <w:r>
        <w:rPr>
          <w:rFonts w:ascii="Times New Roman" w:cs="Times New Roman" w:eastAsia="Times New Roman" w:hAnsi="Times New Roman"/>
          <w:sz w:val="18"/>
          <w:szCs w:val="18"/>
          <w:color w:val="auto"/>
        </w:rPr>
        <w:t>. The SAR may not be exercised to any extent by anyone after, and will expire on, the first of the following to occur:</w:t>
      </w:r>
    </w:p>
    <w:p>
      <w:pPr>
        <w:spacing w:after="0" w:line="225" w:lineRule="exact"/>
        <w:rPr>
          <w:sz w:val="20"/>
          <w:szCs w:val="20"/>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in the Grant Notice;</w:t>
      </w:r>
    </w:p>
    <w:p>
      <w:pPr>
        <w:spacing w:after="0" w:line="225" w:lineRule="exact"/>
        <w:rPr>
          <w:rFonts w:ascii="Times New Roman" w:cs="Times New Roman" w:eastAsia="Times New Roman" w:hAnsi="Times New Roman"/>
          <w:sz w:val="18"/>
          <w:szCs w:val="18"/>
          <w:color w:val="auto"/>
        </w:rPr>
      </w:pPr>
    </w:p>
    <w:p>
      <w:pPr>
        <w:ind w:right="60" w:firstLine="987"/>
        <w:spacing w:after="0" w:line="312" w:lineRule="auto"/>
        <w:tabs>
          <w:tab w:leader="none" w:pos="124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the Vesting Schedule or as the Administrator may otherwise approve, the expiration of three (3) months from the date of Participant’s Termination of Service, unless Participant’s Termination of Service is for Cause or by reason of Participant’s death or Disability;</w:t>
      </w:r>
    </w:p>
    <w:p>
      <w:pPr>
        <w:spacing w:after="0" w:line="139" w:lineRule="exact"/>
        <w:rPr>
          <w:rFonts w:ascii="Times New Roman" w:cs="Times New Roman" w:eastAsia="Times New Roman" w:hAnsi="Times New Roman"/>
          <w:sz w:val="17"/>
          <w:szCs w:val="17"/>
          <w:color w:val="auto"/>
        </w:rPr>
      </w:pPr>
    </w:p>
    <w:p>
      <w:pPr>
        <w:ind w:right="40"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Vesting Schedule or as the Administrator may otherwise approve, the expiration of one (1) year from the date of Participant’s Termination of Service by reason of Participant’s death or Disability;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Participant’s Termination of Service for Cause.</w:t>
      </w:r>
    </w:p>
    <w:p>
      <w:pPr>
        <w:spacing w:after="0" w:line="2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unless such term or an equivalent term is otherwise defined by any employment agreement, offer letter or other service agreement between a Participant and the Company or any of its Affiliates, any of the following: (i) Participant’s material breach or substantial failure to perform any of the duties, responsibilities, representation, warranties, covenants or obligations under this</w:t>
      </w:r>
    </w:p>
    <w:p>
      <w:pPr>
        <w:sectPr>
          <w:pgSz w:w="11900" w:h="16838" w:orient="portrait"/>
          <w:cols w:equalWidth="0" w:num="1">
            <w:col w:w="11020"/>
          </w:cols>
          <w:pgMar w:left="440" w:top="266" w:right="439" w:bottom="1440" w:gutter="0" w:footer="0" w:header="0"/>
        </w:sectPr>
      </w:pPr>
    </w:p>
    <w:bookmarkStart w:id="9" w:name="page10"/>
    <w:bookmarkEnd w:id="9"/>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any other written agreement with the Company or any of its Affiliates (other than as a result of Participant’s death or Disability), which failure continues unremedied and uncured for a period of thirty (30) days after written notice from the Company requesting such remedy or cure by Participant, (ii) Participant’s conviction for, or plea of guilty or no contest to, or confession of guilt of, any felony or gross misdemeanor (excluding minor traffic violations or similar offenses), (iii) Participant’s commission of any act of fraud, misappropriation, embezzlement, theft or gross malfeasance with respect to the Company or any of its affiliates or any of their assets..</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Leaves of Absence</w:t>
      </w:r>
      <w:r>
        <w:rPr>
          <w:rFonts w:ascii="Times New Roman" w:cs="Times New Roman" w:eastAsia="Times New Roman" w:hAnsi="Times New Roman"/>
          <w:sz w:val="18"/>
          <w:szCs w:val="18"/>
          <w:color w:val="auto"/>
        </w:rPr>
        <w:t xml:space="preserve">. If the Participant goes on a leave of absence, then the Company may adjust the Vesting Schedule in accordance with the Company’s leave of absence policy or the terms of such leave. Except as provided in the preceding sentence, the Participant shall be deemed to continue to be a Service Provider for any purpose under this Agreement while Participant is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(i) such leave was approved by the Company in writing and (ii) continued crediting of service for such purpose is expressly required by the terms of such leave or by applicable law (as determined by the Company). A Termination of Service shall be deemed to occur when such leave ends, unless the Participant immediately returns to active work.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OF SAR</w:t>
      </w:r>
    </w:p>
    <w:p>
      <w:pPr>
        <w:spacing w:after="0" w:line="9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During Participant’s lifetime, only the Participant may exercise the SAR. After Participant’s death, any exercisable portion of the SAR may, prior to the time the SAR expires, be exercised by Participant’s designated beneficiary as provided in the Plan.</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SAR or the entire SAR, if then wholly exercisable, may be exercised, in whole or in part, according to the procedures in the Plan at any time prior to the time the SAR or portion thereof expires, except that the SAR may only be exercised for whole Shares.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Participant acknowledges that Participant is ultimately liable and responsible for all taxes owed in connection with the SAR, regardless of any action the Company or any Subsidiary takes with respect to any tax withholding obligations that arise in connection with the SAR. Neither the Company nor any Subsidiary makes any representation or undertaking regarding the treatment of any tax withholding in connection with the awarding, vesting or exercise of the SAR or the subsequent cash payment in respect of the SAR. The Company and the Subsidiaries do not commit and are under no obligation to structure the SAR to reduce or eliminate Participant’s tax liability.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Upon the exercise of all or a portion of the SAR, the Participant shall be entitled to a cash payment equal to</w:t>
      </w:r>
    </w:p>
    <w:p>
      <w:pPr>
        <w:spacing w:after="0" w:line="27"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17"/>
          <w:szCs w:val="17"/>
          <w:color w:val="auto"/>
        </w:rPr>
        <w:t>the Appreciation Value of the SAR being exercised, less any amounts withheld pursuant to Section 3.3. For purposes of this Agreement, “</w:t>
      </w:r>
      <w:r>
        <w:rPr>
          <w:rFonts w:ascii="Times New Roman" w:cs="Times New Roman" w:eastAsia="Times New Roman" w:hAnsi="Times New Roman"/>
          <w:sz w:val="17"/>
          <w:szCs w:val="17"/>
          <w:b w:val="1"/>
          <w:bCs w:val="1"/>
          <w:i w:val="1"/>
          <w:iCs w:val="1"/>
          <w:color w:val="auto"/>
        </w:rPr>
        <w:t>Appreciation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Value</w:t>
      </w:r>
      <w:r>
        <w:rPr>
          <w:rFonts w:ascii="Times New Roman" w:cs="Times New Roman" w:eastAsia="Times New Roman" w:hAnsi="Times New Roman"/>
          <w:sz w:val="17"/>
          <w:szCs w:val="17"/>
          <w:color w:val="auto"/>
        </w:rPr>
        <w:t>” means an amount determined by multiplying the excess, if any, of the Fair Market Value of one Share on the date of exercise over the Exercise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Price per Share of the SAR by the number of Shares with respect to which the SAR is exercised, subject to any limitations of the Plan.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9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SAR is subject to adjustment, modification and termination in certain events as provided in this Agreement and the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10" w:name="page11"/>
    <w:bookmarkEnd w:id="10"/>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Participant’s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FIRST AMENDMENT TO THE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2021 INDUCEMENT AWARD PLAN</w:t>
      </w:r>
    </w:p>
    <w:p>
      <w:pPr>
        <w:spacing w:after="0" w:line="207"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to the GoHealth, Inc. 2021 Inducement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GoHealth,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June 3, 2022.</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52"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maintains the Plan.</w:t>
      </w:r>
    </w:p>
    <w:p>
      <w:pPr>
        <w:spacing w:after="0" w:line="130"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12.1 of the Plan, the Board has the authority to amend the Plan to increase the maximum number of Shares (as defined in the Plan) which may be issued under the Plan.</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it to be in the best interest of the Company to amend the Plan to increase the shares of common stock of the Company reserved thereunder.</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AMENDMENT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 Section 3.1(a) of the Plan is hereby amended and restated in its entirety to read as follows:</w:t>
      </w:r>
    </w:p>
    <w:p>
      <w:pPr>
        <w:spacing w:after="0" w:line="117" w:lineRule="exact"/>
        <w:rPr>
          <w:sz w:val="20"/>
          <w:szCs w:val="20"/>
          <w:color w:val="auto"/>
        </w:rPr>
      </w:pPr>
    </w:p>
    <w:p>
      <w:pPr>
        <w:ind w:left="444" w:right="20" w:firstLine="423"/>
        <w:spacing w:after="0" w:line="312" w:lineRule="auto"/>
        <w:rPr>
          <w:sz w:val="20"/>
          <w:szCs w:val="20"/>
          <w:color w:val="auto"/>
        </w:rPr>
      </w:pPr>
      <w:r>
        <w:rPr>
          <w:rFonts w:ascii="Times New Roman" w:cs="Times New Roman" w:eastAsia="Times New Roman" w:hAnsi="Times New Roman"/>
          <w:sz w:val="17"/>
          <w:szCs w:val="17"/>
          <w:color w:val="auto"/>
        </w:rPr>
        <w:t>“Subject to Sections 3.1(b) and 12.2, Awards may be made under the Plan covering an aggregate number of Shares equal to 25,000,000. Any Shares distributed pursuant to an Award may consist, in whole or in part, of authorized and unissued Common Stock or treasury Common Stock.”</w:t>
      </w:r>
    </w:p>
    <w:p>
      <w:pPr>
        <w:spacing w:after="0" w:line="32" w:lineRule="exact"/>
        <w:rPr>
          <w:sz w:val="20"/>
          <w:szCs w:val="20"/>
          <w:color w:val="auto"/>
        </w:rPr>
      </w:pPr>
    </w:p>
    <w:p>
      <w:pPr>
        <w:ind w:left="4" w:right="280" w:firstLine="436"/>
        <w:spacing w:after="0" w:line="282"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shall be and hereby is incorporated in and forms a part of the Plan. Except as expressly provided herein, all terms and conditions of the Plan shall remain in full force and effect.</w:t>
      </w:r>
    </w:p>
    <w:p>
      <w:pPr>
        <w:spacing w:after="0" w:line="54" w:lineRule="exact"/>
        <w:rPr>
          <w:sz w:val="20"/>
          <w:szCs w:val="20"/>
          <w:color w:val="auto"/>
        </w:rPr>
      </w:pPr>
    </w:p>
    <w:p>
      <w:pPr>
        <w:ind w:left="624" w:hanging="184"/>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shall be effective as of the date it is adopted by the Board.</w:t>
      </w:r>
    </w:p>
    <w:p>
      <w:pPr>
        <w:spacing w:after="0" w:line="221" w:lineRule="exact"/>
        <w:rPr>
          <w:rFonts w:ascii="Times New Roman" w:cs="Times New Roman" w:eastAsia="Times New Roman" w:hAnsi="Times New Roman"/>
          <w:sz w:val="18"/>
          <w:szCs w:val="18"/>
          <w:color w:val="auto"/>
        </w:rPr>
      </w:pPr>
    </w:p>
    <w:p>
      <w:pPr>
        <w:ind w:left="5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 * *</w:t>
      </w:r>
    </w:p>
    <w:p>
      <w:pPr>
        <w:sectPr>
          <w:pgSz w:w="11900" w:h="16838" w:orient="portrait"/>
          <w:cols w:equalWidth="0" w:num="1">
            <w:col w:w="11024"/>
          </w:cols>
          <w:pgMar w:left="436" w:top="117"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hereby certify that this First Amendment was duly adopted by the Board of Directors of GoHealth, Inc. as of June 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June 3, 2022.</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-7620</wp:posOffset>
            </wp:positionV>
            <wp:extent cx="2224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222440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Officer Name: Brian Farley</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Officer Title: Chief Legal Officer and Corporate Secretary</w:t>
      </w:r>
    </w:p>
    <w:p>
      <w:pPr>
        <w:sectPr>
          <w:pgSz w:w="11900" w:h="16838" w:orient="portrait"/>
          <w:cols w:equalWidth="0" w:num="1">
            <w:col w:w="10360"/>
          </w:cols>
          <w:pgMar w:left="880" w:top="270" w:right="6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2021 INDUCEMENT AWARD PLAN</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NOTICE OF STOCK OPTION GRANT</w:t>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Number of Shares Subject to Option Granted: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-873760</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-565150</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308610</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3351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454660</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728980</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 w:right="300"/>
        <w:spacing w:after="0" w:line="282" w:lineRule="auto"/>
        <w:rPr>
          <w:sz w:val="20"/>
          <w:szCs w:val="20"/>
          <w:color w:val="auto"/>
        </w:rPr>
      </w:pPr>
      <w:r>
        <w:rPr>
          <w:rFonts w:ascii="Times New Roman" w:cs="Times New Roman" w:eastAsia="Times New Roman" w:hAnsi="Times New Roman"/>
          <w:sz w:val="18"/>
          <w:szCs w:val="18"/>
          <w:color w:val="auto"/>
        </w:rPr>
        <w:t>This Option shall be exercisable, in whole or in part, according to the following vesting schedule:</w:t>
      </w:r>
    </w:p>
    <w:p>
      <w:pPr>
        <w:spacing w:after="0" w:line="175" w:lineRule="exact"/>
        <w:rPr>
          <w:sz w:val="20"/>
          <w:szCs w:val="20"/>
          <w:color w:val="auto"/>
        </w:rPr>
      </w:pPr>
    </w:p>
    <w:p>
      <w:pPr>
        <w:ind w:left="107" w:hanging="107"/>
        <w:spacing w:after="0"/>
        <w:tabs>
          <w:tab w:leader="none" w:pos="1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2">
            <w:col w:w="5013" w:space="720"/>
            <w:col w:w="5287"/>
          </w:cols>
          <w:pgMar w:left="440" w:top="117" w:right="439" w:bottom="1440" w:gutter="0" w:footer="0" w:header="0"/>
          <w:type w:val="continuous"/>
        </w:sectPr>
      </w:pPr>
    </w:p>
    <w:bookmarkStart w:id="14" w:name="page15"/>
    <w:bookmarkEnd w:id="14"/>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Participant acknowledge receipt of this Notice of Stock Option Grant and agree to the terms and conditions of the Stock Option Agreement attached hereto and incorporated by reference herein, the Company’s 2021 Inducement Award Plan and the terms of this Notice of Stock Option Grant as set forth above.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GOHEALTH, INC.</w:t>
            </w: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spacing w:after="0"/>
              <w:rPr>
                <w:sz w:val="24"/>
                <w:szCs w:val="24"/>
                <w:color w:val="auto"/>
              </w:rPr>
            </w:pP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jc w:val="right"/>
              <w:ind w:right="3870"/>
              <w:spacing w:after="0" w:line="205" w:lineRule="exact"/>
              <w:rPr>
                <w:sz w:val="20"/>
                <w:szCs w:val="20"/>
                <w:color w:val="auto"/>
              </w:rPr>
            </w:pPr>
            <w:r>
              <w:rPr>
                <w:rFonts w:ascii="Times New Roman" w:cs="Times New Roman" w:eastAsia="Times New Roman" w:hAnsi="Times New Roman"/>
                <w:sz w:val="18"/>
                <w:szCs w:val="18"/>
                <w:color w:val="auto"/>
                <w:w w:val="94"/>
              </w:rPr>
              <w:t>[_____]</w:t>
            </w:r>
          </w:p>
        </w:tc>
        <w:tc>
          <w:tcPr>
            <w:tcW w:w="1200" w:type="dxa"/>
            <w:vAlign w:val="bottom"/>
          </w:tcPr>
          <w:p>
            <w:pPr>
              <w:ind w:left="5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top w:val="single" w:sz="8" w:color="auto"/>
            </w:tcBorders>
          </w:tcPr>
          <w:p>
            <w:pPr>
              <w:jc w:val="right"/>
              <w:ind w:right="3970"/>
              <w:spacing w:after="0" w:line="205" w:lineRule="exact"/>
              <w:rPr>
                <w:sz w:val="20"/>
                <w:szCs w:val="20"/>
                <w:color w:val="auto"/>
              </w:rPr>
            </w:pPr>
            <w:r>
              <w:rPr>
                <w:rFonts w:ascii="Times New Roman" w:cs="Times New Roman" w:eastAsia="Times New Roman" w:hAnsi="Times New Roman"/>
                <w:sz w:val="18"/>
                <w:szCs w:val="18"/>
                <w:color w:val="auto"/>
                <w:w w:val="94"/>
              </w:rPr>
              <w:t>[_____]</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w w:val="94"/>
              </w:rPr>
              <w:t>[_____]</w:t>
            </w:r>
          </w:p>
        </w:tc>
        <w:tc>
          <w:tcPr>
            <w:tcW w:w="1200" w:type="dxa"/>
            <w:vAlign w:val="bottom"/>
          </w:tcPr>
          <w:p>
            <w:pPr>
              <w:spacing w:after="0"/>
              <w:rPr>
                <w:sz w:val="20"/>
                <w:szCs w:val="20"/>
                <w:color w:val="auto"/>
              </w:rPr>
            </w:pPr>
          </w:p>
        </w:tc>
        <w:tc>
          <w:tcPr>
            <w:tcW w:w="46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 AGREEMENT—INCORPORATED TERMS AND CONDITIONS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Grant of Option</w:t>
      </w:r>
      <w:r>
        <w:rPr>
          <w:rFonts w:ascii="Times New Roman" w:cs="Times New Roman" w:eastAsia="Times New Roman" w:hAnsi="Times New Roman"/>
          <w:sz w:val="18"/>
          <w:szCs w:val="18"/>
          <w:color w:val="auto"/>
        </w:rPr>
        <w:t>. GoHealth,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the Participant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 Stock Option Grant (the “</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for good and valuable consideration, an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the number of Shares set forth in the Notice of Stock Option Grant, at the exercise price per Share set forth in the Notice of Stock Option Grant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effective as of the date of grant set forth in the Notice of Stock Option Grant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and subject to the terms and conditions of the Company’s 2021 Inducement Award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herein by reference, and this Option Agreement. The Option shall be a Nonstatutory Stock Option and is intended to constitute an “employment inducement” award under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Rule 5635(c)(4), and consequently is intended to be exemptfrom the Nasdaq rules regarding shareholder approval of stock option plans or other equity compensation arrangements. Subject to Sections 10.6 and 12.1 of the Plan, in the event of a conflict between the terms and conditions of the Plan and this Option Agreement, the terms and conditions of the Plan shall prevail.</w:t>
      </w:r>
    </w:p>
    <w:p>
      <w:pPr>
        <w:spacing w:after="0" w:line="192"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Unless otherwise defined herein or in the Notice of Stock Option Grant, the terms defined in the Plan shall have the same defined meanings in this Stock Option Agreement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Termination Period.</w:t>
      </w:r>
    </w:p>
    <w:p>
      <w:pPr>
        <w:spacing w:after="0" w:line="22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This Option shall be exercisable for three (3) months after Participant’s Termination of Service, unless such termination is due to Participant’s death or Disability, in which case this Option shall be exercisable for twelve (12) months after Participant’s Termination of Service, or such termination is by the Company for Cause, in which case the Option shall cease to be exercisable on the date of such Termination of Service. Notwithstanding the foregoing sentence, in no event may this Option be exercised after the Expiration Date as set forth in the Notice of Stock Option Grant and this Option may be subject to earlier termination as provided in Section 10.6 of the Plan.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Exercise of Option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40" w:firstLine="987"/>
        <w:spacing w:after="0" w:line="282"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shall be exercisable during its term in accordance with the Vesting Schedule set out in the Notice of Stock Option Grant and with the applicable provisions of the Plan and this Option Agreement.</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Unless otherwise determined by the Administrator, any portion of this Option that has not become vested and exercisable on or prior to the date of Participant’s Termination of Service (including, without limitation, pursuant to any employment or similar agreement by and between Participant and the Company) shall be forfeited on such date of Participant’s Termination of Service and shall not thereafter become vested or exercisable.</w:t>
      </w:r>
    </w:p>
    <w:p>
      <w:pPr>
        <w:sectPr>
          <w:pgSz w:w="11900" w:h="16838" w:orient="portrait"/>
          <w:cols w:equalWidth="0" w:num="1">
            <w:col w:w="11000"/>
          </w:cols>
          <w:pgMar w:left="440" w:top="266" w:right="459" w:bottom="1440" w:gutter="0" w:footer="0" w:header="0"/>
        </w:sectPr>
      </w:pPr>
    </w:p>
    <w:bookmarkStart w:id="16" w:name="page17"/>
    <w:bookmarkEnd w:id="16"/>
    <w:p>
      <w:pPr>
        <w:ind w:right="40" w:firstLine="987"/>
        <w:spacing w:after="0" w:line="254"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Method of Exercise</w:t>
      </w:r>
      <w:r>
        <w:rPr>
          <w:rFonts w:ascii="Times New Roman" w:cs="Times New Roman" w:eastAsia="Times New Roman" w:hAnsi="Times New Roman"/>
          <w:sz w:val="18"/>
          <w:szCs w:val="18"/>
          <w:color w:val="auto"/>
        </w:rPr>
        <w:t>. This Option shall be exercisable by delivery of an exercise notice in the form attached as Exhibit A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In the event this Option shall be exercised pursuant to the terms of the Plan by any person or persons other than Participant, appropriate proof of the right of such person or persons to exercise this Option shall also be required, as determined in the sole discretion of the Administrator. This Option shall be deemed to be exercised upon receipt by the Company of such fully executed Exercise Notice accompanied by the aggregate Exercise Price, together with any applicable tax withholding.</w:t>
      </w:r>
    </w:p>
    <w:p>
      <w:pPr>
        <w:spacing w:after="0" w:line="192"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b w:val="1"/>
          <w:bCs w:val="1"/>
          <w:i w:val="1"/>
          <w:iCs w:val="1"/>
          <w:color w:val="auto"/>
        </w:rPr>
        <w:t>Method of Payment</w:t>
      </w:r>
      <w:r>
        <w:rPr>
          <w:rFonts w:ascii="Times New Roman" w:cs="Times New Roman" w:eastAsia="Times New Roman" w:hAnsi="Times New Roman"/>
          <w:sz w:val="17"/>
          <w:szCs w:val="17"/>
          <w:color w:val="auto"/>
        </w:rPr>
        <w:t>. Payment of the Exercise Price shall be by any of the following, or a combination thereof, at the election of the Participant:</w:t>
      </w:r>
    </w:p>
    <w:p>
      <w:pPr>
        <w:spacing w:after="0" w:line="241" w:lineRule="exact"/>
        <w:rPr>
          <w:sz w:val="20"/>
          <w:szCs w:val="20"/>
          <w:color w:val="auto"/>
        </w:rPr>
      </w:pPr>
    </w:p>
    <w:p>
      <w:pPr>
        <w:ind w:left="1240" w:hanging="253"/>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(whether through a broker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otherwise);</w:t>
      </w:r>
    </w:p>
    <w:p>
      <w:pPr>
        <w:spacing w:after="0" w:line="206"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surrender of other Shares which (i) shall be valued at their Fair Market Value on the date of exercise, which Fair Market Value must be equal to the aggregate exercise price of the Shares as to which this Option will be exercised and (ii) must be owned free and clear of any liens, claims, encumbrances or security interests, if accepting such Shares, in the sole discretion of the Administrator, shall not result in any adverse accounting consequences to the Company;</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net exercise of vested Shares otherwise issuable upon exercise of this Option; or</w:t>
      </w:r>
    </w:p>
    <w:p>
      <w:pPr>
        <w:spacing w:after="0" w:line="225"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any other consideration and method of payment for the issuance of Shares to the extent permitted by Applicable Laws.</w:t>
      </w:r>
    </w:p>
    <w:p>
      <w:pPr>
        <w:spacing w:after="0" w:line="157"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w:t>
      </w:r>
    </w:p>
    <w:p>
      <w:pPr>
        <w:spacing w:after="0" w:line="31" w:lineRule="exact"/>
        <w:rPr>
          <w:rFonts w:ascii="Times New Roman" w:cs="Times New Roman" w:eastAsia="Times New Roman" w:hAnsi="Times New Roman"/>
          <w:sz w:val="18"/>
          <w:szCs w:val="18"/>
          <w:color w:val="auto"/>
        </w:rPr>
      </w:pPr>
    </w:p>
    <w:p>
      <w:pPr>
        <w:jc w:val="both"/>
        <w:ind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or, subject to the consent of the Administrator, pursuant to a DRO, unless and until the Shares underlying this Option have been issued, and all restrictions applicable to such Shares have lapsed. This Option may be exercised during the lifetime of Participant only by Participant. The terms of the Plan and this Option</w:t>
      </w:r>
    </w:p>
    <w:p>
      <w:pPr>
        <w:sectPr>
          <w:pgSz w:w="11900" w:h="16838" w:orient="portrait"/>
          <w:cols w:equalWidth="0" w:num="1">
            <w:col w:w="11000"/>
          </w:cols>
          <w:pgMar w:left="440" w:top="270" w:right="459" w:bottom="1440" w:gutter="0" w:footer="0" w:header="0"/>
        </w:sectPr>
      </w:pPr>
    </w:p>
    <w:bookmarkStart w:id="17" w:name="page18"/>
    <w:bookmarkEnd w:id="1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shall be binding upon the executors, administrators, heirs, successors and assigns of Participant. Neither this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this </w:t>
      </w:r>
      <w:r>
        <w:rPr>
          <w:rFonts w:ascii="Times New Roman" w:cs="Times New Roman" w:eastAsia="Times New Roman" w:hAnsi="Times New Roman"/>
          <w:sz w:val="18"/>
          <w:szCs w:val="18"/>
          <w:u w:val="single" w:color="auto"/>
          <w:color w:val="auto"/>
        </w:rPr>
        <w:t>Section (E)</w:t>
      </w:r>
      <w:r>
        <w:rPr>
          <w:rFonts w:ascii="Times New Roman" w:cs="Times New Roman" w:eastAsia="Times New Roman" w:hAnsi="Times New Roman"/>
          <w:sz w:val="18"/>
          <w:szCs w:val="18"/>
          <w:color w:val="auto"/>
        </w:rPr>
        <w:t>. Notwithstanding the foregoing, with the consent of the Administrator, the Option may be transferred pursuant to Participant’s Permitted Transferees pursuant to any conditions and procedures the Administrator may require.</w:t>
      </w:r>
    </w:p>
    <w:p>
      <w:pPr>
        <w:spacing w:after="0" w:line="77"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Term of Option</w:t>
      </w:r>
      <w:r>
        <w:rPr>
          <w:rFonts w:ascii="Times New Roman" w:cs="Times New Roman" w:eastAsia="Times New Roman" w:hAnsi="Times New Roman"/>
          <w:sz w:val="18"/>
          <w:szCs w:val="18"/>
          <w:color w:val="auto"/>
        </w:rPr>
        <w:t>. This Option may be exercised only within the term set out in the Notice of Stock Option Grant, and may be exercised during such term only in accordance with the Plan and the terms of this Option Agreement. Once this Option becomes unexercisable under this Option Agreement, it shall be forfeited immediately.</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i w:val="1"/>
          <w:iCs w:val="1"/>
          <w:color w:val="auto"/>
        </w:rPr>
        <w:t>Tax Obligations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8"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(or the Affiliate employing or retaining Participant) has the authority to deduct or withhold, or require Participant to remit to the applicable employing entity, an amount sufficient to satisfy any applicable Federal, state, local and foreign income and employment tax withholding requirements (including the employee portion of any FICA obligation) applicable to the exercise of this Option or with respect to any taxable event arising pursuant to this Option Agreement. The Company (or its Affiliate) may withhold or Participant may make such payment in one or more of the following forms:</w:t>
      </w:r>
    </w:p>
    <w:p>
      <w:pPr>
        <w:spacing w:after="0" w:line="7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w:t>
      </w:r>
    </w:p>
    <w:p>
      <w:pPr>
        <w:spacing w:after="0" w:line="117" w:lineRule="exact"/>
        <w:rPr>
          <w:rFonts w:ascii="Times New Roman" w:cs="Times New Roman" w:eastAsia="Times New Roman" w:hAnsi="Times New Roman"/>
          <w:sz w:val="18"/>
          <w:szCs w:val="18"/>
          <w:color w:val="auto"/>
        </w:rPr>
      </w:pPr>
    </w:p>
    <w:p>
      <w:pPr>
        <w:jc w:val="both"/>
        <w:ind w:left="980" w:right="80" w:firstLine="408"/>
        <w:spacing w:after="0" w:line="261" w:lineRule="auto"/>
        <w:tabs>
          <w:tab w:leader="none" w:pos="164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electing to have withheld the net number of vested Shares otherwise issuable upon the exercise of this Option having a then current Fair Market Value not exceeding the amount necessary to satisfy the withholding obligation of the Company (or its Affiliate) based on the maximum statutory withholding rates in Participant’s applicable jurisdictions for federal, state, local and foreign income tax and payroll tax purposes that are applicable to such taxable income;</w:t>
      </w:r>
    </w:p>
    <w:p>
      <w:pPr>
        <w:spacing w:after="0" w:line="71" w:lineRule="exact"/>
        <w:rPr>
          <w:rFonts w:ascii="Times New Roman" w:cs="Times New Roman" w:eastAsia="Times New Roman" w:hAnsi="Times New Roman"/>
          <w:sz w:val="18"/>
          <w:szCs w:val="18"/>
          <w:color w:val="auto"/>
        </w:rPr>
      </w:pPr>
    </w:p>
    <w:p>
      <w:pPr>
        <w:ind w:left="980" w:right="100" w:firstLine="408"/>
        <w:spacing w:after="0" w:line="258" w:lineRule="auto"/>
        <w:tabs>
          <w:tab w:leader="none" w:pos="16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Company (or its Affiliate) based on the maximum statutory withholding rates in Participant’s applicable jurisdictions for federal, state, local and foreign income tax and payroll tax purposes that are applicable to such taxable income; or</w:t>
      </w:r>
    </w:p>
    <w:p>
      <w:pPr>
        <w:sectPr>
          <w:pgSz w:w="11900" w:h="16838" w:orient="portrait"/>
          <w:cols w:equalWidth="0" w:num="1">
            <w:col w:w="10940"/>
          </w:cols>
          <w:pgMar w:left="440" w:top="270" w:right="519" w:bottom="1440" w:gutter="0" w:footer="0" w:header="0"/>
        </w:sectPr>
      </w:pPr>
    </w:p>
    <w:bookmarkStart w:id="18" w:name="page19"/>
    <w:bookmarkEnd w:id="18"/>
    <w:p>
      <w:pPr>
        <w:ind w:left="980" w:right="80" w:firstLine="408"/>
        <w:spacing w:after="0" w:line="266" w:lineRule="auto"/>
        <w:tabs>
          <w:tab w:leader="none" w:pos="16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consent of the Administrator, by selling a sufficient number of Shares otherwise deliverable to Participant through such means as the Administrator may determine in its sole discretion (whether through a broker or otherwise) equal to the amount required to satisfy such withholding taxes.</w:t>
      </w:r>
    </w:p>
    <w:p>
      <w:pPr>
        <w:spacing w:after="0" w:line="176" w:lineRule="exact"/>
        <w:rPr>
          <w:sz w:val="20"/>
          <w:szCs w:val="20"/>
          <w:color w:val="auto"/>
        </w:rPr>
      </w:pPr>
    </w:p>
    <w:p>
      <w:pPr>
        <w:ind w:right="280" w:firstLine="1432"/>
        <w:spacing w:after="0" w:line="282" w:lineRule="auto"/>
        <w:rPr>
          <w:sz w:val="20"/>
          <w:szCs w:val="20"/>
          <w:color w:val="auto"/>
        </w:rPr>
      </w:pPr>
      <w:r>
        <w:rPr>
          <w:rFonts w:ascii="Times New Roman" w:cs="Times New Roman" w:eastAsia="Times New Roman" w:hAnsi="Times New Roman"/>
          <w:sz w:val="18"/>
          <w:szCs w:val="18"/>
          <w:color w:val="auto"/>
        </w:rPr>
        <w:t>Participant acknowledges and agrees that the Company may refuse to honor the exercise and refuse to deliver the Shares issuable upon exercise of this Option if such withholding amounts are not delivered in full at the time of exercise.</w:t>
      </w:r>
    </w:p>
    <w:p>
      <w:pPr>
        <w:spacing w:after="0" w:line="162" w:lineRule="exact"/>
        <w:rPr>
          <w:sz w:val="20"/>
          <w:szCs w:val="20"/>
          <w:color w:val="auto"/>
        </w:rPr>
      </w:pPr>
    </w:p>
    <w:p>
      <w:pPr>
        <w:ind w:firstLine="987"/>
        <w:spacing w:after="0" w:line="255" w:lineRule="auto"/>
        <w:tabs>
          <w:tab w:leader="none" w:pos="12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This Option is not intended to constitute “nonqualified deferred compensation” within the meaning of Code Section 409A. However, notwithstanding any other provision of the Plan or this Option Agreement, if at any time the Administrator determines that this Option (or any portion thereof) may be subject to Code Section 409A, the Administrator shall have the right in its sole discretion (without any obligation to do so or to indemnify Participant or any other Person for failure to do so) to adopt such amendments to the Plan or this Option Agreement, or adopt other policies and procedures (including amendments, policies and procedures with retroactive effect), or take any other actions, as the Administrator determines are necessary or appropriate for this Option either to be exempt from the application of Code Section 409A or to comply with the requirements of Code Section 409A.</w:t>
      </w:r>
    </w:p>
    <w:p>
      <w:pPr>
        <w:spacing w:after="0" w:line="188"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Participant is ultimately liable and responsible for all taxes owed in connection with this Option, regardless of any action the Company or any of its Affiliates takes with respect to any tax withholding obligations that arise in connection with this Option. Neither the Company nor any of its Affiliates makes any representation or undertaking regarding the treatment of any tax withholding in connection with the awarding, vesting or exercise of this Option or the subsequent sale of Shares. The Company and its Affiliates do not commit and are under no obligation to structure the Option to reduce or eliminate Participant’s tax liability.</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Restrictive Covenants; Forfeiture</w:t>
      </w:r>
      <w:r>
        <w:rPr>
          <w:rFonts w:ascii="Times New Roman" w:cs="Times New Roman" w:eastAsia="Times New Roman" w:hAnsi="Times New Roman"/>
          <w:sz w:val="18"/>
          <w:szCs w:val="18"/>
          <w:color w:val="auto"/>
        </w:rPr>
        <w:t>. Notwithstanding anything contained in this Agreement to the contrary, in the event the Participant breaches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restrictive covenant set forth in the Non-Disclosure, Invention Assignment, Non-Competition Agreement and Non-Solicitation Agreement or the Confidentiality, Non-Competition, and Non-Solicitation Agreement, as applicable, or any other written agreement between the Participant and the Company or any Affiliate of the Company, in addition to any other damages available at law or in equity, then (i) any portion of this Option that has not been exercised prior to the date of such breach shall thereupon be forfeited and (ii) the Participant shall be required to pay to the Company the amount of all Option Gain (as defined below). “</w:t>
      </w:r>
      <w:r>
        <w:rPr>
          <w:rFonts w:ascii="Times New Roman" w:cs="Times New Roman" w:eastAsia="Times New Roman" w:hAnsi="Times New Roman"/>
          <w:sz w:val="18"/>
          <w:szCs w:val="18"/>
          <w:b w:val="1"/>
          <w:bCs w:val="1"/>
          <w:i w:val="1"/>
          <w:iCs w:val="1"/>
          <w:color w:val="auto"/>
        </w:rPr>
        <w:t>Option Gain</w:t>
      </w:r>
      <w:r>
        <w:rPr>
          <w:rFonts w:ascii="Times New Roman" w:cs="Times New Roman" w:eastAsia="Times New Roman" w:hAnsi="Times New Roman"/>
          <w:sz w:val="18"/>
          <w:szCs w:val="18"/>
          <w:color w:val="auto"/>
        </w:rPr>
        <w:t>” with respect to any specified period of time shall mean the product of (i) the number of shares of Common Stock purchased upon the exercise of this Option during such period and (ii) the excess of (A) the Fair Market Value per share of Common Stock as of the date of such exercise over (B) the exercise price per share of Common Stock subject to such Options.</w:t>
      </w:r>
    </w:p>
    <w:p>
      <w:pPr>
        <w:spacing w:after="0" w:line="184" w:lineRule="exact"/>
        <w:rPr>
          <w:rFonts w:ascii="Times New Roman" w:cs="Times New Roman" w:eastAsia="Times New Roman" w:hAnsi="Times New Roman"/>
          <w:sz w:val="18"/>
          <w:szCs w:val="18"/>
          <w:color w:val="auto"/>
        </w:rPr>
      </w:pPr>
    </w:p>
    <w:p>
      <w:pPr>
        <w:ind w:right="60" w:firstLine="436"/>
        <w:spacing w:after="0" w:line="259" w:lineRule="auto"/>
        <w:tabs>
          <w:tab w:leader="none" w:pos="5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 Governing Law</w:t>
      </w:r>
      <w:r>
        <w:rPr>
          <w:rFonts w:ascii="Times New Roman" w:cs="Times New Roman" w:eastAsia="Times New Roman" w:hAnsi="Times New Roman"/>
          <w:sz w:val="18"/>
          <w:szCs w:val="18"/>
          <w:color w:val="auto"/>
        </w:rPr>
        <w:t>. The Plan is incorporated herein by reference. The Plan and this Option Agreement constitute the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or as is otherwise permitted under the Plan. This Option Agreement is governed by the internal substantive laws but not the choice of law rules of Delaware.</w:t>
      </w:r>
    </w:p>
    <w:p>
      <w:pPr>
        <w:sectPr>
          <w:pgSz w:w="11900" w:h="16838" w:orient="portrait"/>
          <w:cols w:equalWidth="0" w:num="1">
            <w:col w:w="11000"/>
          </w:cols>
          <w:pgMar w:left="440" w:top="270" w:right="459" w:bottom="1440" w:gutter="0" w:footer="0" w:header="0"/>
        </w:sectPr>
      </w:pPr>
    </w:p>
    <w:bookmarkStart w:id="19" w:name="page20"/>
    <w:bookmarkEnd w:id="1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 </w:t>
      </w:r>
      <w:r>
        <w:rPr>
          <w:rFonts w:ascii="Times New Roman" w:cs="Times New Roman" w:eastAsia="Times New Roman" w:hAnsi="Times New Roman"/>
          <w:sz w:val="18"/>
          <w:szCs w:val="18"/>
          <w:b w:val="1"/>
          <w:bCs w:val="1"/>
          <w:i w:val="1"/>
          <w:iCs w:val="1"/>
          <w:color w:val="auto"/>
        </w:rPr>
        <w:t>No Guarantee of Continued Service</w:t>
      </w:r>
      <w:r>
        <w:rPr>
          <w:rFonts w:ascii="Times New Roman" w:cs="Times New Roman" w:eastAsia="Times New Roman" w:hAnsi="Times New Roman"/>
          <w:sz w:val="18"/>
          <w:szCs w:val="18"/>
          <w:color w:val="auto"/>
        </w:rPr>
        <w:t>. PARTICIPANT ACKNOWLEDGES AND AGREES THAT THE VESTING OF SHARES PURSUANT TO THE VESTING SCHEDULE HEREOF IS EARNED ONLY BY CONTINUING AS A SERVICE PROVIDER AT THE WILL OF THE COMPANY (OR THE AFFILIATE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AFFILIATE EMPLOYING OR RETAINING PARTICIPANT) TO TERMINATE PARTICIPANT’S RELATIONSHIP AS A SERVICE PROVIDER AT ANY TIME, WITH OR WITHOUT CAUSE.</w:t>
      </w:r>
    </w:p>
    <w:p>
      <w:pPr>
        <w:spacing w:after="0" w:line="188"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Administrator shall have the power to interpret the Plan and this Option Agreement, and to adopt such rules for the administration, interpretation and application of the Plan and this Option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or this Option Agreement.</w:t>
      </w:r>
    </w:p>
    <w:p>
      <w:pPr>
        <w:spacing w:after="0" w:line="179"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Administrator may accelerate the vesting of all or a portion of this Option in such circumstances as it, in its sole discretion, may determine. Participant acknowledges that this Option is subject to adjustment, modification and termination in certain events as provided in this Option Agreement and the Plan, including Section 12.2 of the Plan.</w:t>
      </w:r>
    </w:p>
    <w:p>
      <w:pPr>
        <w:spacing w:after="0" w:line="17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address set forth below. By a notice given pursuant to this </w:t>
      </w:r>
      <w:r>
        <w:rPr>
          <w:rFonts w:ascii="Times New Roman" w:cs="Times New Roman" w:eastAsia="Times New Roman" w:hAnsi="Times New Roman"/>
          <w:sz w:val="18"/>
          <w:szCs w:val="18"/>
          <w:u w:val="single" w:color="auto"/>
          <w:color w:val="auto"/>
        </w:rPr>
        <w:t>Section (L)</w:t>
      </w:r>
      <w:r>
        <w:rPr>
          <w:rFonts w:ascii="Times New Roman" w:cs="Times New Roman" w:eastAsia="Times New Roman" w:hAnsi="Times New Roman"/>
          <w:sz w:val="18"/>
          <w:szCs w:val="18"/>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Any notice which is required to be given to Participant shall, if Participant is then deceased, be given to the person entitled to exercise his or her Option by written notice under this Section L. Subject to the limitations set forth in Section 232(e)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Participant consents to the delivery of any notice to Participant given by the Company under the DGCL or the Company’s certificate of</w:t>
      </w:r>
    </w:p>
    <w:p>
      <w:pPr>
        <w:sectPr>
          <w:pgSz w:w="11900" w:h="16838" w:orient="portrait"/>
          <w:cols w:equalWidth="0" w:num="1">
            <w:col w:w="10960"/>
          </w:cols>
          <w:pgMar w:left="440" w:top="266" w:right="499" w:bottom="1440" w:gutter="0" w:footer="0" w:header="0"/>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or bylaws by (i) facsimile telecommunication to the facsimile number for Participant in the Company’s records, (ii) electronic mail to the electronic mail address for Participant in the Company’s records, (iii) posting on an electronic network together with separate notice to Participant of such specific posting or (iv) any other form of electronic transmission (as defined in the DGCL) directed to Participant. This consent may be revoked by Participant by written notice to the Company and may be deemed revoked in the circumstances specified in Section 232 of the DGCL.</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b w:val="1"/>
          <w:bCs w:val="1"/>
          <w:i w:val="1"/>
          <w:iCs w:val="1"/>
          <w:color w:val="auto"/>
        </w:rPr>
        <w:t>Conformity to Securities Laws</w:t>
      </w:r>
      <w:r>
        <w:rPr>
          <w:rFonts w:ascii="Times New Roman" w:cs="Times New Roman" w:eastAsia="Times New Roman" w:hAnsi="Times New Roman"/>
          <w:sz w:val="18"/>
          <w:szCs w:val="18"/>
          <w:color w:val="auto"/>
        </w:rPr>
        <w:t>. Participant acknowledges that the Plan and this Option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this Option is granted and may be exercised, only in such a manner as to conform to such Applicable Law.</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Option Agreement, if Participant is subject to Section 16 of the Exchange Act, the Plan, this Option and this Option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Option Agreement shall be deemed amended to the extent necessary to conform to such applicable exemptive rule.</w:t>
      </w:r>
    </w:p>
    <w:p>
      <w:pPr>
        <w:spacing w:after="0" w:line="179"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xml:space="preserve">. The Company may assign any of its rights under this Option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18"/>
          <w:szCs w:val="18"/>
          <w:u w:val="single" w:color="auto"/>
          <w:color w:val="auto"/>
        </w:rPr>
        <w:t>Section (E)</w:t>
      </w:r>
      <w:r>
        <w:rPr>
          <w:rFonts w:ascii="Times New Roman" w:cs="Times New Roman" w:eastAsia="Times New Roman" w:hAnsi="Times New Roman"/>
          <w:sz w:val="18"/>
          <w:szCs w:val="18"/>
          <w:color w:val="auto"/>
        </w:rPr>
        <w:t xml:space="preserve"> and the Plan, this Option Agreement shall be binding upon and inure to the benefit of the heirs, legatees, legal representatives, successors and assigns of the parties hereto.</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i w:val="1"/>
          <w:iCs w:val="1"/>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Option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this Option.</w:t>
      </w:r>
    </w:p>
    <w:p>
      <w:pPr>
        <w:spacing w:after="0" w:line="176"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i w:val="1"/>
          <w:iCs w:val="1"/>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upon exercise of this Option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w:t>
      </w:r>
    </w:p>
    <w:p>
      <w:pPr>
        <w:sectPr>
          <w:pgSz w:w="11900" w:h="16838" w:orient="portrait"/>
          <w:cols w:equalWidth="0" w:num="1">
            <w:col w:w="10960"/>
          </w:cols>
          <w:pgMar w:left="440" w:top="270" w:right="499" w:bottom="1440" w:gutter="0" w:footer="0" w:header="0"/>
        </w:sectPr>
      </w:pPr>
    </w:p>
    <w:bookmarkStart w:id="21" w:name="page22"/>
    <w:bookmarkEnd w:id="21"/>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Participant shall not offer, pledge, sell, contract to sell, sell any option or contract to purchase, purchase any option or contract to sell, grant any option, right or warrant to purchase, lend, or otherwise transfer or dispose of, directly or indirectly, any Shares (or other securities) of the Company or enter into any swap, hedging or other arrangement that transfers to another, in whole or in part, any of the economic consequences of ownership of any Shares (or other securities) of the Company held by Participant (other than those included in the registration) for a period specified by the representative of the underwriters of Common Stock (or other securities) of the Company not to exceed 180 days following the effective date of any registration statement of the Company filed under the Securities Act (or such other period as may be requested by the Company or the underwriters to accommodate regulatory restrictions).</w:t>
      </w:r>
    </w:p>
    <w:p>
      <w:pPr>
        <w:sectPr>
          <w:pgSz w:w="11900" w:h="16838" w:orient="portrait"/>
          <w:cols w:equalWidth="0" w:num="1">
            <w:col w:w="10940"/>
          </w:cols>
          <w:pgMar w:left="440" w:top="266" w:right="519" w:bottom="1440" w:gutter="0" w:footer="0" w:header="0"/>
        </w:sectPr>
      </w:pPr>
    </w:p>
    <w:bookmarkStart w:id="22" w:name="page23"/>
    <w:bookmarkEnd w:id="2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2021 INDUCEMENT AWARD PLAN EXERCISE NOTICE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left="824" w:hanging="824"/>
        <w:spacing w:after="0"/>
        <w:tabs>
          <w:tab w:leader="none" w:pos="8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24" w:hanging="824"/>
        <w:spacing w:after="0"/>
        <w:tabs>
          <w:tab w:leader="none" w:pos="8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21" w:lineRule="exact"/>
        <w:rPr>
          <w:sz w:val="20"/>
          <w:szCs w:val="20"/>
          <w:color w:val="auto"/>
        </w:rPr>
      </w:pPr>
    </w:p>
    <w:p>
      <w:pPr>
        <w:ind w:left="444"/>
        <w:spacing w:after="0"/>
        <w:tabs>
          <w:tab w:leader="none" w:pos="2244" w:val="left"/>
          <w:tab w:leader="none" w:pos="4364" w:val="left"/>
          <w:tab w:leader="none" w:pos="4764" w:val="left"/>
        </w:tabs>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tab/>
        <w:t>Effective as of today,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the undersigned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hereby elects to exercise Participant’s option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-5080</wp:posOffset>
            </wp:positionV>
            <wp:extent cx="371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________________ shares of the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GoHealth,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and pursuant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2021 Inducement Award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the Stock Option Agreement dated _________________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The Option is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Nonstatutory Stock Option.</w:t>
      </w:r>
    </w:p>
    <w:p>
      <w:pPr>
        <w:spacing w:after="0" w:line="203" w:lineRule="exact"/>
        <w:rPr>
          <w:sz w:val="20"/>
          <w:szCs w:val="20"/>
          <w:color w:val="auto"/>
        </w:rPr>
      </w:pPr>
    </w:p>
    <w:p>
      <w:pPr>
        <w:ind w:left="4" w:right="60" w:firstLine="436"/>
        <w:spacing w:after="0" w:line="286"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Payment</w:t>
      </w:r>
      <w:r>
        <w:rPr>
          <w:rFonts w:ascii="Times New Roman" w:cs="Times New Roman" w:eastAsia="Times New Roman" w:hAnsi="Times New Roman"/>
          <w:sz w:val="18"/>
          <w:szCs w:val="18"/>
          <w:color w:val="auto"/>
        </w:rPr>
        <w:t>. Participant herewith delivers to the Company the total exercise price of the Shares, as set forth in the Option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and all withholding taxes due in connection with the exercise of the Option.</w:t>
      </w:r>
    </w:p>
    <w:p>
      <w:pPr>
        <w:spacing w:after="0" w:line="154" w:lineRule="exact"/>
        <w:rPr>
          <w:rFonts w:ascii="Times New Roman" w:cs="Times New Roman" w:eastAsia="Times New Roman" w:hAnsi="Times New Roman"/>
          <w:sz w:val="18"/>
          <w:szCs w:val="18"/>
          <w:color w:val="auto"/>
        </w:rPr>
      </w:pPr>
    </w:p>
    <w:p>
      <w:pPr>
        <w:ind w:left="4" w:right="740" w:firstLine="436"/>
        <w:spacing w:after="0" w:line="286"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of Participant</w:t>
      </w:r>
      <w:r>
        <w:rPr>
          <w:rFonts w:ascii="Times New Roman" w:cs="Times New Roman" w:eastAsia="Times New Roman" w:hAnsi="Times New Roman"/>
          <w:sz w:val="18"/>
          <w:szCs w:val="18"/>
          <w:color w:val="auto"/>
        </w:rPr>
        <w:t>. Participant acknowledges that Participant has received, read and understood the Plan and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agrees to abide by and be bound by their terms and conditions.</w:t>
      </w:r>
    </w:p>
    <w:p>
      <w:pPr>
        <w:spacing w:after="0" w:line="154" w:lineRule="exact"/>
        <w:rPr>
          <w:rFonts w:ascii="Times New Roman" w:cs="Times New Roman" w:eastAsia="Times New Roman" w:hAnsi="Times New Roman"/>
          <w:sz w:val="18"/>
          <w:szCs w:val="18"/>
          <w:color w:val="auto"/>
        </w:rPr>
      </w:pPr>
    </w:p>
    <w:p>
      <w:pPr>
        <w:ind w:left="4" w:firstLine="436"/>
        <w:spacing w:after="0" w:line="259"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Stockholder</w:t>
      </w:r>
      <w:r>
        <w:rPr>
          <w:rFonts w:ascii="Times New Roman" w:cs="Times New Roman" w:eastAsia="Times New Roman" w:hAnsi="Times New Roman"/>
          <w:sz w:val="18"/>
          <w:szCs w:val="18"/>
          <w:color w:val="auto"/>
        </w:rPr>
        <w:t>. Until the issuance of the Shares (as evidenced by the appropriate entry on the books of the Company or of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12.2 of the Plan.</w:t>
      </w:r>
    </w:p>
    <w:p>
      <w:pPr>
        <w:spacing w:after="0" w:line="179" w:lineRule="exact"/>
        <w:rPr>
          <w:rFonts w:ascii="Times New Roman" w:cs="Times New Roman" w:eastAsia="Times New Roman" w:hAnsi="Times New Roman"/>
          <w:sz w:val="18"/>
          <w:szCs w:val="18"/>
          <w:color w:val="auto"/>
        </w:rPr>
      </w:pPr>
    </w:p>
    <w:p>
      <w:pPr>
        <w:ind w:left="4" w:right="200" w:firstLine="436"/>
        <w:spacing w:after="0" w:line="268"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Consultation</w:t>
      </w:r>
      <w:r>
        <w:rPr>
          <w:rFonts w:ascii="Times New Roman" w:cs="Times New Roman" w:eastAsia="Times New Roman" w:hAnsi="Times New Roman"/>
          <w:sz w:val="18"/>
          <w:szCs w:val="18"/>
          <w:color w:val="auto"/>
        </w:rPr>
        <w:t>. Participant understands that Participant may suffer adverse tax consequences as a result of Participant’s 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70" w:lineRule="exact"/>
        <w:rPr>
          <w:rFonts w:ascii="Times New Roman" w:cs="Times New Roman" w:eastAsia="Times New Roman" w:hAnsi="Times New Roman"/>
          <w:sz w:val="18"/>
          <w:szCs w:val="18"/>
          <w:color w:val="auto"/>
        </w:rPr>
      </w:pPr>
    </w:p>
    <w:p>
      <w:pPr>
        <w:ind w:left="4" w:right="520" w:firstLine="436"/>
        <w:spacing w:after="0" w:line="268"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The Company may assign any of its rights under this Exercise Notice to single or multiple assignees,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ectPr>
          <w:pgSz w:w="11900" w:h="16838" w:orient="portrait"/>
          <w:cols w:equalWidth="0" w:num="1">
            <w:col w:w="11004"/>
          </w:cols>
          <w:pgMar w:left="436" w:top="266" w:right="459" w:bottom="1440" w:gutter="0" w:footer="0" w:header="0"/>
        </w:sectPr>
      </w:pPr>
    </w:p>
    <w:bookmarkStart w:id="23" w:name="page24"/>
    <w:bookmarkEnd w:id="23"/>
    <w:p>
      <w:pPr>
        <w:jc w:val="both"/>
        <w:ind w:firstLine="436"/>
        <w:spacing w:after="0" w:line="268"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Times New Roman" w:cs="Times New Roman" w:eastAsia="Times New Roman" w:hAnsi="Times New Roman"/>
          <w:sz w:val="18"/>
          <w:szCs w:val="18"/>
          <w:color w:val="auto"/>
        </w:rPr>
        <w:t>. Any dispute regarding the interpretation of this Exercise Notice shall be submitted by Participant or by the Company forthwith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Administrator, which shall review such dispute at its next regular meeting. The resolution of such a dispute by the Administrator shall be final and binding on all parties.</w:t>
      </w:r>
    </w:p>
    <w:p>
      <w:pPr>
        <w:spacing w:after="0" w:line="170" w:lineRule="exact"/>
        <w:rPr>
          <w:rFonts w:ascii="Times New Roman" w:cs="Times New Roman" w:eastAsia="Times New Roman" w:hAnsi="Times New Roman"/>
          <w:sz w:val="18"/>
          <w:szCs w:val="18"/>
          <w:color w:val="auto"/>
        </w:rPr>
      </w:pPr>
    </w:p>
    <w:p>
      <w:pPr>
        <w:ind w:right="60" w:firstLine="436"/>
        <w:spacing w:after="0" w:line="268"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Severability</w:t>
      </w:r>
      <w:r>
        <w:rPr>
          <w:rFonts w:ascii="Times New Roman" w:cs="Times New Roman" w:eastAsia="Times New Roman" w:hAnsi="Times New Roman"/>
          <w:sz w:val="18"/>
          <w:szCs w:val="18"/>
          <w:color w:val="auto"/>
        </w:rPr>
        <w:t>. This Exercise Notice is governed by the internal substantive laws, but not the choice of law rules,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any provision hereof becomes or is declared by a court of competent jurisdiction to be illegal, unenforceable or void, this Exercise Notice shall continue in full force and effect.</w:t>
      </w:r>
    </w:p>
    <w:p>
      <w:pPr>
        <w:spacing w:after="0" w:line="170" w:lineRule="exact"/>
        <w:rPr>
          <w:rFonts w:ascii="Times New Roman" w:cs="Times New Roman" w:eastAsia="Times New Roman" w:hAnsi="Times New Roman"/>
          <w:sz w:val="18"/>
          <w:szCs w:val="18"/>
          <w:color w:val="auto"/>
        </w:rPr>
      </w:pPr>
    </w:p>
    <w:p>
      <w:pPr>
        <w:ind w:firstLine="436"/>
        <w:spacing w:after="0" w:line="26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Plan and Option Agreement are incorporated herein by reference. This Exercise Notice, the Plan and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ectPr>
          <w:pgSz w:w="11900" w:h="16838" w:orient="portrait"/>
          <w:cols w:equalWidth="0" w:num="1">
            <w:col w:w="10980"/>
          </w:cols>
          <w:pgMar w:left="440" w:top="266" w:right="47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35744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35744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3574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822960</wp:posOffset>
            </wp:positionV>
            <wp:extent cx="35744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Accepted by:</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GOHEALTH,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84" w:lineRule="exact"/>
        <w:rPr>
          <w:sz w:val="20"/>
          <w:szCs w:val="20"/>
          <w:color w:val="auto"/>
        </w:rPr>
      </w:pPr>
    </w:p>
    <w:p>
      <w:pPr>
        <w:jc w:val="center"/>
        <w:ind w:right="5033"/>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3351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98" w:lineRule="exact"/>
        <w:rPr>
          <w:sz w:val="20"/>
          <w:szCs w:val="20"/>
          <w:color w:val="auto"/>
        </w:rPr>
      </w:pPr>
    </w:p>
    <w:p>
      <w:pPr>
        <w:jc w:val="center"/>
        <w:ind w:right="4413"/>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4593"/>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787" w:hanging="787"/>
        <w:spacing w:after="0"/>
        <w:tabs>
          <w:tab w:leader="none" w:pos="7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87" w:hanging="787"/>
        <w:spacing w:after="0"/>
        <w:tabs>
          <w:tab w:leader="none" w:pos="7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33515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13" w:space="720"/>
            <w:col w:w="5247"/>
          </w:cols>
          <w:pgMar w:left="440" w:top="266" w:right="479" w:bottom="1440" w:gutter="0" w:footer="0" w:header="0"/>
          <w:type w:val="continuous"/>
        </w:sectPr>
      </w:pPr>
    </w:p>
    <w:p>
      <w:pPr>
        <w:spacing w:after="0" w:line="9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Received:</w:t>
      </w:r>
    </w:p>
    <w:p>
      <w:pPr>
        <w:sectPr>
          <w:pgSz w:w="11900" w:h="16838" w:orient="portrait"/>
          <w:cols w:equalWidth="0" w:num="1">
            <w:col w:w="10980"/>
          </w:cols>
          <w:pgMar w:left="440" w:top="266" w:right="479" w:bottom="1440" w:gutter="0" w:footer="0" w:header="0"/>
          <w:type w:val="continuous"/>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99.8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INDUCEMENT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GRANT NOTICE AND RESTRICTED STOCK UNIT AGREEMENT</w:t>
      </w:r>
    </w:p>
    <w:p>
      <w:pPr>
        <w:spacing w:after="0" w:line="229"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GoHealth,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2021 Inducement Award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number of Restricted Stock Units set forth below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The RSUs are subject to the terms and conditions set forth in this Restricted Stock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the Restricted Stock Unit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each of which is incorporated herein by reference. Unless otherwise defined herein, the terms defined in the Plan shall have the same defined meanings in the Grant Notice and the Agreement.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3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6"/>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tc>
        <w:tc>
          <w:tcPr>
            <w:tcW w:w="3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Shares Issuable: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[Withholding Tax Election: </w:t>
      </w:r>
      <w:r>
        <w:rPr>
          <w:rFonts w:ascii="Times New Roman" w:cs="Times New Roman" w:eastAsia="Times New Roman" w:hAnsi="Times New Roman"/>
          <w:sz w:val="18"/>
          <w:szCs w:val="18"/>
          <w:color w:val="auto"/>
        </w:rPr>
        <w:t>By accepting this Award electronically through the Plan service provider’s online grant acceptance policy,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understands and agrees that as a condition of the grant of the RSUs hereunder, the Participant is required to, and hereby affirmatively elects to (the “</w:t>
      </w:r>
      <w:r>
        <w:rPr>
          <w:rFonts w:ascii="Times New Roman" w:cs="Times New Roman" w:eastAsia="Times New Roman" w:hAnsi="Times New Roman"/>
          <w:sz w:val="18"/>
          <w:szCs w:val="18"/>
          <w:u w:val="single" w:color="auto"/>
          <w:color w:val="auto"/>
        </w:rPr>
        <w:t>Sell to Cover Election</w:t>
      </w:r>
      <w:r>
        <w:rPr>
          <w:rFonts w:ascii="Times New Roman" w:cs="Times New Roman" w:eastAsia="Times New Roman" w:hAnsi="Times New Roman"/>
          <w:sz w:val="18"/>
          <w:szCs w:val="18"/>
          <w:color w:val="auto"/>
        </w:rPr>
        <w:t xml:space="preserve">”), (1) sell that number of Shares determined in accordance with Section 2.5 of the Agreement as may be necessary to satisfy all applicable withholding obligations with respect to any taxable event arising in connection with the RSUs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similarly sell such number of Shares as may be necessary to satisfy all applicable withholding obligations with respect to any other awards of restricted stock units granted to the Participant under the Plan or any other equity incentive plans of the Company or its predecessor, and (2) to allow the Agent (as defined in the Agreement) to remit the cash proceeds of such sale(s) to the Company. Furthermore, the Participant directs the Company to make a cash payment equal to the required tax withholding from the cash proceeds of such sale(s) directly to the appropriate taxing authorities. </w:t>
      </w:r>
      <w:r>
        <w:rPr>
          <w:rFonts w:ascii="Times New Roman" w:cs="Times New Roman" w:eastAsia="Times New Roman" w:hAnsi="Times New Roman"/>
          <w:sz w:val="18"/>
          <w:szCs w:val="18"/>
          <w:b w:val="1"/>
          <w:bCs w:val="1"/>
          <w:color w:val="auto"/>
        </w:rPr>
        <w:t>The Participant has carefully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reviewed Section 2.5 of the Agreement and the Participant hereby represents and warrants that on the date hereof he or she is not subject to any legal, regulatory or contractual restriction that would prevent the Agent from conducting sales, does not have, and will not attempt to exercise, authority, influence or control over any sales of Shares effected by the Agent pursuant to the Agreement, and is entering into the Agreement and this election to “sell to cover” in good faith and not as part of a plan or scheme to evade the prohibitions of Rule 10b5-1 (regarding trading of the Company’s securities on the basis of material nonpublic information)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It is the Participant’s intent that this election to “sell to cover” comply with the requirements of Rule 10b5-1(c)(1)(i)(B) under the Exchange Act and be interpreted to comply with the requirements of Rule 10b5-1(c) under the</w:t>
      </w:r>
    </w:p>
    <w:p>
      <w:pPr>
        <w:sectPr>
          <w:pgSz w:w="11900" w:h="16838" w:orient="portrait"/>
          <w:cols w:equalWidth="0" w:num="1">
            <w:col w:w="11020"/>
          </w:cols>
          <w:pgMar w:left="440" w:top="117" w:right="43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Act.]</w:t>
      </w:r>
      <w:r>
        <w:rPr>
          <w:rFonts w:ascii="Times New Roman" w:cs="Times New Roman" w:eastAsia="Times New Roman" w:hAnsi="Times New Roman"/>
          <w:sz w:val="15"/>
          <w:szCs w:val="15"/>
          <w:b w:val="1"/>
          <w:bCs w:val="1"/>
          <w:color w:val="auto"/>
        </w:rPr>
        <w:t>1</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By accepting this Award electronically through the Plan service provider’s online grant acceptance policy,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Include only for sell-to-cover.</w:t>
      </w:r>
    </w:p>
    <w:p>
      <w:pPr>
        <w:sectPr>
          <w:pgSz w:w="11900" w:h="16838" w:orient="portrait"/>
          <w:cols w:equalWidth="0" w:num="1">
            <w:col w:w="10784"/>
          </w:cols>
          <w:pgMar w:left="436" w:top="266" w:right="6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 RESTRICTED STOCK UNIT AWARD G</w:t>
      </w:r>
      <w:r>
        <w:rPr>
          <w:rFonts w:ascii="Times New Roman" w:cs="Times New Roman" w:eastAsia="Times New Roman" w:hAnsi="Times New Roman"/>
          <w:sz w:val="14"/>
          <w:szCs w:val="14"/>
          <w:b w:val="1"/>
          <w:bCs w:val="1"/>
          <w:u w:val="single" w:color="auto"/>
          <w:color w:val="auto"/>
        </w:rPr>
        <w:t>RANT</w:t>
      </w:r>
      <w:r>
        <w:rPr>
          <w:rFonts w:ascii="Times New Roman" w:cs="Times New Roman" w:eastAsia="Times New Roman" w:hAnsi="Times New Roman"/>
          <w:sz w:val="18"/>
          <w:szCs w:val="18"/>
          <w:b w:val="1"/>
          <w:bCs w:val="1"/>
          <w:u w:val="single" w:color="auto"/>
          <w:color w:val="auto"/>
        </w:rPr>
        <w:t xml:space="preserve"> N</w:t>
      </w:r>
      <w:r>
        <w:rPr>
          <w:rFonts w:ascii="Times New Roman" w:cs="Times New Roman" w:eastAsia="Times New Roman" w:hAnsi="Times New Roman"/>
          <w:sz w:val="14"/>
          <w:szCs w:val="14"/>
          <w:b w:val="1"/>
          <w:bCs w:val="1"/>
          <w:u w:val="single" w:color="auto"/>
          <w:color w:val="auto"/>
        </w:rPr>
        <w:t>OTICE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Pursuant to the Grant Notice to which this Agreement is attached, the Company has granted to Participant the number of RSUs set forth in the Grant Notice.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 Defined Terms</w:t>
      </w:r>
      <w:r>
        <w:rPr>
          <w:rFonts w:ascii="Times New Roman" w:cs="Times New Roman" w:eastAsia="Times New Roman" w:hAnsi="Times New Roman"/>
          <w:sz w:val="18"/>
          <w:szCs w:val="18"/>
          <w:color w:val="auto"/>
        </w:rPr>
        <w:t>. Capitalized terms not specifically defined herein shall have the meanings specified in the Plan or the Grant Notice. For purposes of this Agreement,</w:t>
      </w:r>
    </w:p>
    <w:p>
      <w:pPr>
        <w:spacing w:after="0" w:line="54" w:lineRule="exact"/>
        <w:rPr>
          <w:sz w:val="20"/>
          <w:szCs w:val="20"/>
          <w:color w:val="auto"/>
        </w:rPr>
      </w:pPr>
    </w:p>
    <w:p>
      <w:pPr>
        <w:ind w:right="40" w:firstLine="987"/>
        <w:spacing w:after="0" w:line="261"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or of, such entity.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correlative meaning,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as used with respect to any entity, means the possession, directly or indirectly, of the power to direct or cause the direction of the management and policies of such entity, whether through the ownership of voting securities, by contract or otherwise.</w:t>
      </w:r>
    </w:p>
    <w:p>
      <w:pPr>
        <w:spacing w:after="0" w:line="71" w:lineRule="exact"/>
        <w:rPr>
          <w:rFonts w:ascii="Times New Roman" w:cs="Times New Roman" w:eastAsia="Times New Roman" w:hAnsi="Times New Roman"/>
          <w:sz w:val="18"/>
          <w:szCs w:val="18"/>
          <w:color w:val="auto"/>
        </w:rPr>
      </w:pPr>
    </w:p>
    <w:p>
      <w:pPr>
        <w:ind w:right="60" w:firstLine="987"/>
        <w:spacing w:after="0" w:line="255"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unless such term or an equivalent term is otherwise defined by any employment agreement or offer letter between a Participant and a Participating Company, any of the following: (i) Participant’s material breach or substantial failure to perform any of the duties, responsibilities, representation, warranties, covenants or obligations under this Agreement (other than as a result of Participant’s death or disability), which failure continues unremedied and uncured for a period of thirty (30) days after written notice from the Company requesting such remedy or cure by Participant, (ii) Participant’s conviction for, or plea of guilty or no contest to, or confession of guilt of, any felony or gross misdemeanor (excluding minor traffic violations or similar offenses), (iii) Participant’s commission of any act of fraud, misappropriation, embezzlement, theft or gross malfeasance with respect to the Company or any of its affiliates or any of their assets.</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Cessation Date</w:t>
      </w:r>
      <w:r>
        <w:rPr>
          <w:rFonts w:ascii="Times New Roman" w:cs="Times New Roman" w:eastAsia="Times New Roman" w:hAnsi="Times New Roman"/>
          <w:sz w:val="18"/>
          <w:szCs w:val="18"/>
          <w:color w:val="auto"/>
        </w:rPr>
        <w:t>” shall mean the date of Participant’s Termination of Service (regardless of the reason for such termination).</w:t>
      </w:r>
    </w:p>
    <w:p>
      <w:pPr>
        <w:spacing w:after="0" w:line="117" w:lineRule="exact"/>
        <w:rPr>
          <w:sz w:val="20"/>
          <w:szCs w:val="20"/>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Company</w:t>
      </w:r>
      <w:r>
        <w:rPr>
          <w:rFonts w:ascii="Times New Roman" w:cs="Times New Roman" w:eastAsia="Times New Roman" w:hAnsi="Times New Roman"/>
          <w:sz w:val="18"/>
          <w:szCs w:val="18"/>
          <w:color w:val="auto"/>
        </w:rPr>
        <w:t>” shall mean the Company or any of its Affiliates.</w:t>
      </w:r>
    </w:p>
    <w:p>
      <w:pPr>
        <w:spacing w:after="0" w:line="117"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joint venture, partnership, limited liability company, association, joint stock or other company, business trust, trust or other entity or organization, including any national, federal, state, territorial agency, local or foreign judicial, legislative, regulatory or administrative authority, commission, court, tribunal, any political or other subdivision, department or branch of any of the foregoing, and any self-regulatory organization or arbitrator.</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 Incorporation of Terms of Plan</w:t>
      </w:r>
      <w:r>
        <w:rPr>
          <w:rFonts w:ascii="Times New Roman" w:cs="Times New Roman" w:eastAsia="Times New Roman" w:hAnsi="Times New Roman"/>
          <w:sz w:val="18"/>
          <w:szCs w:val="18"/>
          <w:color w:val="auto"/>
        </w:rPr>
        <w:t>. The RSUs and the shares of Class A Common Stock issued to Participant hereunder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are subject to the terms and conditions set forth in this Agreement and the Plan, which is incorporated herein by reference. In the event of any inconsistency between the Plan and this Agreement, the terms of the Plan shall control.</w:t>
      </w:r>
    </w:p>
    <w:p>
      <w:pPr>
        <w:sectPr>
          <w:pgSz w:w="11900" w:h="16838" w:orient="portrait"/>
          <w:cols w:equalWidth="0" w:num="1">
            <w:col w:w="11000"/>
          </w:cols>
          <w:pgMar w:left="440" w:top="266" w:right="4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RESTRICTED STOCK UNITS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2.1 Award of RSUs</w:t>
      </w:r>
    </w:p>
    <w:p>
      <w:pPr>
        <w:spacing w:after="0" w:line="117" w:lineRule="exact"/>
        <w:rPr>
          <w:sz w:val="20"/>
          <w:szCs w:val="20"/>
          <w:color w:val="auto"/>
        </w:rPr>
      </w:pPr>
    </w:p>
    <w:p>
      <w:pPr>
        <w:ind w:right="40" w:firstLine="987"/>
        <w:spacing w:after="0" w:line="254"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good and valuable consideration, receipt of which is acknowledged by the Company, effective as of the grant date set forth in the Grant Notice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Company has granted to Participant the number of RSUs set forth in the Grant Notice, upon the terms and conditions set forth in the Grant Notice, the Plan and this Agreement, subject to adjustment as provided in Section 12.2 of the Plan. Each RSU represents the right to receive one Share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 The Award is intended to constitute an “employment inducement” award under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Rule 5635(c)(4), and consequently is intended to be exempt from the Nasdaq rules regarding shareholder approval of stock option plans or other equity compensation arrangements. This Agreement and the terms and conditions of the Award shall be interpreted in accordance and consistent with such exemption.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2.2 Vesting of RSUs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Participant’s continued employment with or service to a Participating Company on each applicable vesting date and subject to the terms of this Agreement, including, without limitation,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the RSUs shall vest in such amounts and at such times as are set forth in the Grant Notice.</w:t>
      </w:r>
    </w:p>
    <w:p>
      <w:pPr>
        <w:spacing w:after="0" w:line="67"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Participant incurs a Termination of Service, except as may be otherwise provided herein or in the Plan or by the Administrator or as set forth in a written agreement between Participant and the Company, Participant shall immediately forfeit any and all RSUs granted under this Agreement that have not vested or do not vest on or prior to the date on which such Termination of Service occurs, and Participant’s rights in any such RSUs that are not so vested shall lapse and expire.</w:t>
      </w:r>
    </w:p>
    <w:p>
      <w:pPr>
        <w:spacing w:after="0" w:line="71"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Grant Notice or the provisions of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in the event Participant incurs a Termination of Service for Cause, except as may be otherwise provided by the Administrator or as set forth in a written agreement between Participant and the Company, Participant shall immediately forfeit any and all RSUs granted under this Agreement (whether or not vested), and Participant’s rights in any such RSUs shall lapse and expire.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2.3</w:t>
      </w:r>
    </w:p>
    <w:p>
      <w:pPr>
        <w:spacing w:after="0" w:line="117" w:lineRule="exact"/>
        <w:rPr>
          <w:sz w:val="20"/>
          <w:szCs w:val="20"/>
          <w:color w:val="auto"/>
        </w:rPr>
      </w:pPr>
    </w:p>
    <w:p>
      <w:pPr>
        <w:ind w:right="200" w:firstLine="987"/>
        <w:spacing w:after="0" w:line="256"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or Payment of RSUs</w:t>
      </w:r>
      <w:r>
        <w:rPr>
          <w:rFonts w:ascii="Times New Roman" w:cs="Times New Roman" w:eastAsia="Times New Roman" w:hAnsi="Times New Roman"/>
          <w:sz w:val="18"/>
          <w:szCs w:val="18"/>
          <w:color w:val="auto"/>
        </w:rPr>
        <w:t xml:space="preserve">. Participant’s RSUs shall be distributed in Shares (either in book-entry form or otherwise) on or within two business days following each applicable vesting date. Notwithstanding the foregoing, the Company may delay a distribution or payment in settlement of RSUs if it reasonably determines that such payment or distribution will violate federal securities laws or any other Applicable Law,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distribution or payment shall be made at the earliest date at which the Company reasonably determines that the making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or payment will not cause such violation, as required by Treasury Regulation Section 1.409A-2(b)(7)(ii),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payment or distribution shall be delayed under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if such delay will result in a violation of Section 409A.</w:t>
      </w:r>
    </w:p>
    <w:p>
      <w:pPr>
        <w:sectPr>
          <w:pgSz w:w="11900" w:h="16838" w:orient="portrait"/>
          <w:cols w:equalWidth="0" w:num="1">
            <w:col w:w="11000"/>
          </w:cols>
          <w:pgMar w:left="440" w:top="266" w:right="459" w:bottom="1440" w:gutter="0" w:footer="0" w:header="0"/>
        </w:sectPr>
      </w:pPr>
    </w:p>
    <w:bookmarkStart w:id="28" w:name="page29"/>
    <w:bookmarkEnd w:id="28"/>
    <w:p>
      <w:pPr>
        <w:ind w:right="60" w:firstLine="987"/>
        <w:spacing w:after="0" w:line="266"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distributions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2.4 Conditions to Issuance of Certificates</w:t>
      </w:r>
      <w:r>
        <w:rPr>
          <w:rFonts w:ascii="Times New Roman" w:cs="Times New Roman" w:eastAsia="Times New Roman" w:hAnsi="Times New Roman"/>
          <w:sz w:val="18"/>
          <w:szCs w:val="18"/>
          <w:color w:val="auto"/>
        </w:rPr>
        <w:t xml:space="preserve">.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(d) the receipt by the Company of full payment for such Shares, which may be in one or more of the forms of consideration permitted under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(e) the receipt of full payment of any applicable withholding tax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by the Participating Company with respect to which the applicable withholding obligation arises.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2.5 Tax Withholding</w:t>
      </w:r>
      <w:r>
        <w:rPr>
          <w:rFonts w:ascii="Times New Roman" w:cs="Times New Roman" w:eastAsia="Times New Roman" w:hAnsi="Times New Roman"/>
          <w:sz w:val="18"/>
          <w:szCs w:val="18"/>
          <w:color w:val="auto"/>
        </w:rPr>
        <w:t>. Notwithstanding any other provision of this Agreement:</w:t>
      </w:r>
    </w:p>
    <w:p>
      <w:pPr>
        <w:spacing w:after="0" w:line="117" w:lineRule="exact"/>
        <w:rPr>
          <w:sz w:val="20"/>
          <w:szCs w:val="20"/>
          <w:color w:val="auto"/>
        </w:rPr>
      </w:pPr>
    </w:p>
    <w:p>
      <w:pPr>
        <w:ind w:right="40" w:firstLine="987"/>
        <w:spacing w:after="0" w:line="261"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Section 10.2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Participating Companies may withhold or Participant may make such payment in one or more of the forms specified below:</w:t>
      </w:r>
    </w:p>
    <w:p>
      <w:pPr>
        <w:spacing w:after="0" w:line="7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made payable to the Participating Company with respect to which the withholding obligation arises;</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deduction of such amount from other compensation payable to Participant;</w:t>
      </w:r>
    </w:p>
    <w:p>
      <w:pPr>
        <w:spacing w:after="0" w:line="117" w:lineRule="exact"/>
        <w:rPr>
          <w:rFonts w:ascii="Times New Roman" w:cs="Times New Roman" w:eastAsia="Times New Roman" w:hAnsi="Times New Roman"/>
          <w:sz w:val="18"/>
          <w:szCs w:val="18"/>
          <w:color w:val="auto"/>
        </w:rPr>
      </w:pPr>
    </w:p>
    <w:p>
      <w:pPr>
        <w:ind w:right="120" w:firstLine="1428"/>
        <w:spacing w:after="0" w:line="258" w:lineRule="auto"/>
        <w:tabs>
          <w:tab w:leader="none" w:pos="174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distribution of the RSUs, with the consent of the Administrator, by requesting that the Company withhold a net number of vested shares of Stock otherwise issuable pursuant to the RSUs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75" w:lineRule="exact"/>
        <w:rPr>
          <w:rFonts w:ascii="Times New Roman" w:cs="Times New Roman" w:eastAsia="Times New Roman" w:hAnsi="Times New Roman"/>
          <w:sz w:val="18"/>
          <w:szCs w:val="18"/>
          <w:color w:val="auto"/>
        </w:rPr>
      </w:pPr>
    </w:p>
    <w:p>
      <w:pPr>
        <w:ind w:right="400" w:firstLine="1428"/>
        <w:spacing w:after="0" w:line="261" w:lineRule="auto"/>
        <w:tabs>
          <w:tab w:leader="none" w:pos="173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distribution of the RSUs, with the consent of the Administrator, by tendering to the Company vested shares of Stock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71" w:lineRule="exact"/>
        <w:rPr>
          <w:rFonts w:ascii="Times New Roman" w:cs="Times New Roman" w:eastAsia="Times New Roman" w:hAnsi="Times New Roman"/>
          <w:sz w:val="18"/>
          <w:szCs w:val="18"/>
          <w:color w:val="auto"/>
        </w:rPr>
      </w:pPr>
    </w:p>
    <w:p>
      <w:pPr>
        <w:ind w:right="80" w:firstLine="1428"/>
        <w:spacing w:after="0" w:line="277" w:lineRule="auto"/>
        <w:tabs>
          <w:tab w:leader="none" w:pos="168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withholding taxes arising in connection with the distribution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Participating Company with respect to which the withholding obligation arises in satisfaction of such withholding taxes;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payment of such proceeds is then made to the applicable Participating Company at such time as may be required by the Administrator, but in any event not later than the settlement of such sale; or</w:t>
      </w:r>
    </w:p>
    <w:p>
      <w:pPr>
        <w:sectPr>
          <w:pgSz w:w="11900" w:h="16838" w:orient="portrait"/>
          <w:cols w:equalWidth="0" w:num="1">
            <w:col w:w="10980"/>
          </w:cols>
          <w:pgMar w:left="440" w:top="270" w:right="479" w:bottom="1440" w:gutter="0" w:footer="0" w:header="0"/>
        </w:sectPr>
      </w:pPr>
    </w:p>
    <w:bookmarkStart w:id="29" w:name="page30"/>
    <w:bookmarkEnd w:id="29"/>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 in any combination of the foregoing.]</w:t>
      </w:r>
      <w:r>
        <w:rPr>
          <w:rFonts w:ascii="Times New Roman" w:cs="Times New Roman" w:eastAsia="Times New Roman" w:hAnsi="Times New Roman"/>
          <w:sz w:val="15"/>
          <w:szCs w:val="15"/>
          <w:color w:val="auto"/>
        </w:rPr>
        <w:t>2</w:t>
      </w:r>
    </w:p>
    <w:p>
      <w:pPr>
        <w:spacing w:after="0" w:line="225"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[In satisfaction of such tax withholding obligations and in accordance with the Sell to Cover Election included in the Grant Notice, the Participant has irrevocably elected to sell the portion of the Shares to be delivered under the Restricted Stock Units necessary so as to satisfy the tax withholding obligations and shall execute any letter of instruction or agreement required by the Company’s transfer agent (together with any other party the Company determines necessary to execute the Sell to Cover Election,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cause the Agent to irrevocably commit to forward the proceeds necessary to satisfy the tax withholding obligations directly to the Company and/or its Affiliates. In accordance with Participant’s Sell to Cover Election pursuant to the Grant Notice, the Participant hereby acknowledges and agrees:</w:t>
      </w:r>
    </w:p>
    <w:p>
      <w:pPr>
        <w:spacing w:after="0" w:line="79" w:lineRule="exact"/>
        <w:rPr>
          <w:sz w:val="20"/>
          <w:szCs w:val="20"/>
          <w:color w:val="auto"/>
        </w:rPr>
      </w:pPr>
    </w:p>
    <w:p>
      <w:pPr>
        <w:ind w:left="4" w:firstLine="1428"/>
        <w:spacing w:after="0" w:line="258" w:lineRule="auto"/>
        <w:tabs>
          <w:tab w:leader="none" w:pos="16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appoints the Agent as the Participant’s agent and authorizes the Agent to (1) sell on the open market at the then prevailing market price(s), on the Participant’s behalf, as soon as practicable on or after the Shares are issued upon the vesting of the Restricted Stock Units,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with respect thereto and (2) apply any remaining funds to the Participant’s federal tax withholding.</w:t>
      </w:r>
    </w:p>
    <w:p>
      <w:pPr>
        <w:spacing w:after="0" w:line="75" w:lineRule="exact"/>
        <w:rPr>
          <w:rFonts w:ascii="Times New Roman" w:cs="Times New Roman" w:eastAsia="Times New Roman" w:hAnsi="Times New Roman"/>
          <w:sz w:val="18"/>
          <w:szCs w:val="18"/>
          <w:color w:val="auto"/>
        </w:rPr>
      </w:pPr>
    </w:p>
    <w:p>
      <w:pPr>
        <w:ind w:left="4" w:right="100" w:firstLine="1428"/>
        <w:spacing w:after="0" w:line="282" w:lineRule="auto"/>
        <w:tabs>
          <w:tab w:leader="none" w:pos="17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authorizes the Company and the Agent to cooperate and communicate with one another to determine the number of Shares that must be sold pursuant to subsection (i) above.</w:t>
      </w:r>
    </w:p>
    <w:p>
      <w:pPr>
        <w:spacing w:after="0" w:line="53" w:lineRule="exact"/>
        <w:rPr>
          <w:rFonts w:ascii="Times New Roman" w:cs="Times New Roman" w:eastAsia="Times New Roman" w:hAnsi="Times New Roman"/>
          <w:sz w:val="18"/>
          <w:szCs w:val="18"/>
          <w:color w:val="auto"/>
        </w:rPr>
      </w:pPr>
    </w:p>
    <w:p>
      <w:pPr>
        <w:ind w:left="4" w:right="20" w:firstLine="1428"/>
        <w:spacing w:after="0" w:line="254" w:lineRule="auto"/>
        <w:tabs>
          <w:tab w:leader="none" w:pos="17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understands that the Agent may effect sales as provided in subsection (i) above in one or more sales and that the average price for executions resulting from bunched orders will be assigned to the Participant’s account. In addition, the Participant acknowledges that it may not be possible to sell Shares as provided by subsection (i) above due to (1) a legal or contractual restriction applicable to the Participant or the Agent, (2) a market 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subsection (i) above.</w:t>
      </w:r>
    </w:p>
    <w:p>
      <w:pPr>
        <w:spacing w:after="0" w:line="80" w:lineRule="exact"/>
        <w:rPr>
          <w:rFonts w:ascii="Times New Roman" w:cs="Times New Roman" w:eastAsia="Times New Roman" w:hAnsi="Times New Roman"/>
          <w:sz w:val="18"/>
          <w:szCs w:val="18"/>
          <w:color w:val="auto"/>
        </w:rPr>
      </w:pPr>
    </w:p>
    <w:p>
      <w:pPr>
        <w:ind w:left="4" w:firstLine="1428"/>
        <w:spacing w:after="0" w:line="266" w:lineRule="auto"/>
        <w:tabs>
          <w:tab w:leader="none" w:pos="17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that regardless of any other term or condition of this Section 2.5(a), the Agent will not be liable to the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67" w:lineRule="exact"/>
        <w:rPr>
          <w:rFonts w:ascii="Times New Roman" w:cs="Times New Roman" w:eastAsia="Times New Roman" w:hAnsi="Times New Roman"/>
          <w:sz w:val="18"/>
          <w:szCs w:val="18"/>
          <w:color w:val="auto"/>
        </w:rPr>
      </w:pPr>
    </w:p>
    <w:p>
      <w:pPr>
        <w:jc w:val="both"/>
        <w:ind w:left="4" w:right="200" w:firstLine="1428"/>
        <w:spacing w:after="0" w:line="312" w:lineRule="auto"/>
        <w:tabs>
          <w:tab w:leader="none" w:pos="169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hereby agrees to execute and deliver to the Agent any other agreements or documents as the Agent reasonably deems necessary or appropriate to carry out the purposes and intent of this Section 2.5(a). The Agent is a third-party beneficiary of this Section 2.5(a).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71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3"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Do not include if using sell-to-cover.</w:t>
      </w:r>
    </w:p>
    <w:p>
      <w:pPr>
        <w:sectPr>
          <w:pgSz w:w="11900" w:h="16838" w:orient="portrait"/>
          <w:cols w:equalWidth="0" w:num="1">
            <w:col w:w="11004"/>
          </w:cols>
          <w:pgMar w:left="436" w:top="270" w:right="459" w:bottom="1440" w:gutter="0" w:footer="0" w:header="0"/>
        </w:sectPr>
      </w:pPr>
    </w:p>
    <w:bookmarkStart w:id="30" w:name="page31"/>
    <w:bookmarkEnd w:id="30"/>
    <w:p>
      <w:pPr>
        <w:ind w:left="4" w:firstLine="1428"/>
        <w:spacing w:after="0" w:line="282" w:lineRule="auto"/>
        <w:tabs>
          <w:tab w:leader="none" w:pos="17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Section 2.5(a) shall terminate not later than the date on which all tax withholding obligations arising in connection with the vesting of the Award have been satisfied.]</w:t>
      </w:r>
      <w:r>
        <w:rPr>
          <w:rFonts w:ascii="Times New Roman" w:cs="Times New Roman" w:eastAsia="Times New Roman" w:hAnsi="Times New Roman"/>
          <w:sz w:val="15"/>
          <w:szCs w:val="15"/>
          <w:color w:val="auto"/>
        </w:rPr>
        <w:t>3</w:t>
      </w:r>
    </w:p>
    <w:p>
      <w:pPr>
        <w:spacing w:after="0" w:line="53"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withholding taxes arising in connection with the RSUs, in the event Participant fails to provide timely payment of all sums required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the Company shall have the right and option, but not the obligation, to treat such failure as an election by Participant to satisfy all or any portion of Participant’s required payment obligation pursuant to </w:t>
      </w:r>
      <w:r>
        <w:rPr>
          <w:rFonts w:ascii="Times New Roman" w:cs="Times New Roman" w:eastAsia="Times New Roman" w:hAnsi="Times New Roman"/>
          <w:sz w:val="18"/>
          <w:szCs w:val="18"/>
          <w:u w:val="single" w:color="auto"/>
          <w:color w:val="auto"/>
        </w:rPr>
        <w:t>Section 2.5(a)(ii)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2.5(a)(iii)</w:t>
      </w:r>
      <w:r>
        <w:rPr>
          <w:rFonts w:ascii="Times New Roman" w:cs="Times New Roman" w:eastAsia="Times New Roman" w:hAnsi="Times New Roman"/>
          <w:sz w:val="18"/>
          <w:szCs w:val="18"/>
          <w:color w:val="auto"/>
        </w:rPr>
        <w:t xml:space="preserve"> above, or any combination of the foregoing as the Company may determine to be appropriate.]</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83"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tax withholding obligation arising in connection with the RSUs will be satisfied under </w:t>
      </w:r>
      <w:r>
        <w:rPr>
          <w:rFonts w:ascii="Times New Roman" w:cs="Times New Roman" w:eastAsia="Times New Roman" w:hAnsi="Times New Roman"/>
          <w:sz w:val="18"/>
          <w:szCs w:val="18"/>
          <w:u w:val="single" w:color="auto"/>
          <w:color w:val="auto"/>
        </w:rPr>
        <w:t>Section 2.5(a)(iii)</w:t>
      </w:r>
      <w:r>
        <w:rPr>
          <w:rFonts w:ascii="Times New Roman" w:cs="Times New Roman" w:eastAsia="Times New Roman" w:hAnsi="Times New Roman"/>
          <w:sz w:val="18"/>
          <w:szCs w:val="18"/>
          <w:color w:val="auto"/>
        </w:rPr>
        <w:t xml:space="preserve">,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Award constitutes Participant’s instruction and authorization to the Company and such brokerage firm to complete the transactions described in this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including the transactions described in the previous sentence, as applicable. The Company may refuse to issue any shares of Stock in settlement of the RSUs to Participant until the foregoing tax withholding obligations are satisfied, provided that no payment shall be delayed under this Section 2.5(c) if such delay will result in a violation of Section 409A of the Code.]</w:t>
      </w:r>
      <w:r>
        <w:rPr>
          <w:rFonts w:ascii="Times New Roman" w:cs="Times New Roman" w:eastAsia="Times New Roman" w:hAnsi="Times New Roman"/>
          <w:sz w:val="15"/>
          <w:szCs w:val="15"/>
          <w:color w:val="auto"/>
        </w:rPr>
        <w:t>5</w:t>
      </w:r>
    </w:p>
    <w:p>
      <w:pPr>
        <w:spacing w:after="0" w:line="80"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ultimately liable and responsible for all taxes owed in connection with the RSUs, regardless of any action the Company or any other Participating Company takes with respect to any tax withholding obligations that arise in connection with the RSUs. No Participating Company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p>
    <w:p>
      <w:pPr>
        <w:spacing w:after="0" w:line="183"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2.6 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319405</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Include only for sell-to-cover.</w:t>
      </w:r>
    </w:p>
    <w:p>
      <w:pPr>
        <w:spacing w:after="0" w:line="26"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Do not include if using sell-to-cover.</w:t>
      </w:r>
    </w:p>
    <w:p>
      <w:pPr>
        <w:spacing w:after="0" w:line="9"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Do not include if using sell-to-cover.</w:t>
      </w:r>
    </w:p>
    <w:p>
      <w:pPr>
        <w:sectPr>
          <w:pgSz w:w="11900" w:h="16838" w:orient="portrait"/>
          <w:cols w:equalWidth="0" w:num="1">
            <w:col w:w="10964"/>
          </w:cols>
          <w:pgMar w:left="436" w:top="270" w:right="499" w:bottom="1440" w:gutter="0" w:footer="0" w:header="0"/>
        </w:sectPr>
      </w:pPr>
    </w:p>
    <w:bookmarkStart w:id="31" w:name="page32"/>
    <w:bookmarkEnd w:id="31"/>
    <w:p>
      <w:pPr>
        <w:ind w:firstLine="440"/>
        <w:spacing w:after="0" w:line="273"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2.7 Restrictive Covenants; Forfeiture</w:t>
      </w:r>
      <w:r>
        <w:rPr>
          <w:rFonts w:ascii="Times New Roman" w:cs="Times New Roman" w:eastAsia="Times New Roman" w:hAnsi="Times New Roman"/>
          <w:sz w:val="17"/>
          <w:szCs w:val="17"/>
          <w:color w:val="auto"/>
        </w:rPr>
        <w:t>. Notwithstanding anything contained in this Agreement to the contrary, in the event the Participant breaches any restrictive covenant set forth in the Non-Disclosure, Invention Assignment, Non-Competition Agreement and Non-Solicitation Agreement or the Confidentiality, Non-Competition, and Non-Solicitation Agreement, as applicable, or any other written agreement between the Participant and any Participating Company, in addition to any other damages available at law or in equity, then, (i) any portion of the Award that has not been distributed to the Participant prior to the date of such violation shall thereupon be forfeited and (ii) the Participant shall be required to pay to the Company the amount of all RSU Gain (as defined below). “</w:t>
      </w:r>
      <w:r>
        <w:rPr>
          <w:rFonts w:ascii="Times New Roman" w:cs="Times New Roman" w:eastAsia="Times New Roman" w:hAnsi="Times New Roman"/>
          <w:sz w:val="17"/>
          <w:szCs w:val="17"/>
          <w:b w:val="1"/>
          <w:bCs w:val="1"/>
          <w:i w:val="1"/>
          <w:iCs w:val="1"/>
          <w:color w:val="auto"/>
        </w:rPr>
        <w:t>RSU Gain</w:t>
      </w:r>
      <w:r>
        <w:rPr>
          <w:rFonts w:ascii="Times New Roman" w:cs="Times New Roman" w:eastAsia="Times New Roman" w:hAnsi="Times New Roman"/>
          <w:sz w:val="17"/>
          <w:szCs w:val="17"/>
          <w:color w:val="auto"/>
        </w:rPr>
        <w:t>” shall mean an amount equal to the product of (i) the number of shares of Common Stock that are distributed pursuant to this RSU Award and (ii) the Fair Market Value per share of Common Stock on the date of such distribution.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u w:val="single" w:color="auto"/>
          <w:color w:val="auto"/>
        </w:rPr>
        <w:t>Section 3.1 Administration</w:t>
      </w:r>
      <w:r>
        <w:rPr>
          <w:rFonts w:ascii="Times New Roman" w:cs="Times New Roman" w:eastAsia="Times New Roman" w:hAnsi="Times New Roman"/>
          <w:sz w:val="17"/>
          <w:szCs w:val="17"/>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68"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3.2 RSUs Not Transferable</w:t>
      </w:r>
      <w:r>
        <w:rPr>
          <w:rFonts w:ascii="Times New Roman" w:cs="Times New Roman" w:eastAsia="Times New Roman" w:hAnsi="Times New Roman"/>
          <w:sz w:val="18"/>
          <w:szCs w:val="18"/>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Permitted Transferees, pursuant to any such conditions and procedures the Administrator may require.</w:t>
      </w:r>
    </w:p>
    <w:p>
      <w:pPr>
        <w:spacing w:after="0" w:line="192"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3.3 Adjustments</w:t>
      </w:r>
      <w:r>
        <w:rPr>
          <w:rFonts w:ascii="Times New Roman" w:cs="Times New Roman" w:eastAsia="Times New Roman" w:hAnsi="Times New Roman"/>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12.2 of the Plan.</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3.4 Notices</w:t>
      </w:r>
      <w:r>
        <w:rPr>
          <w:rFonts w:ascii="Times New Roman" w:cs="Times New Roman" w:eastAsia="Times New Roman" w:hAnsi="Times New Roman"/>
          <w:sz w:val="18"/>
          <w:szCs w:val="18"/>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foreign entity.</w:t>
      </w:r>
    </w:p>
    <w:p>
      <w:pPr>
        <w:sectPr>
          <w:pgSz w:w="11900" w:h="16838" w:orient="portrait"/>
          <w:cols w:equalWidth="0" w:num="1">
            <w:col w:w="11000"/>
          </w:cols>
          <w:pgMar w:left="440" w:top="270" w:right="459" w:bottom="1440" w:gutter="0" w:footer="0" w:header="0"/>
        </w:sectPr>
      </w:pPr>
    </w:p>
    <w:bookmarkStart w:id="32" w:name="page33"/>
    <w:bookmarkEnd w:id="32"/>
    <w:p>
      <w:pPr>
        <w:ind w:right="7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3.5 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162"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3.6 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3.7 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the Grant Notice and this Agreement, shall be deemed amended to the extent necessary to conform to Applicable Law.</w:t>
      </w:r>
    </w:p>
    <w:p>
      <w:pPr>
        <w:spacing w:after="0" w:line="187"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3.8 Amendment, Suspension and Termination</w:t>
      </w:r>
      <w:r>
        <w:rPr>
          <w:rFonts w:ascii="Times New Roman" w:cs="Times New Roman" w:eastAsia="Times New Roman" w:hAnsi="Times New Roman"/>
          <w:sz w:val="18"/>
          <w:szCs w:val="18"/>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3.9 Successors and Assigns</w:t>
      </w:r>
      <w:r>
        <w:rPr>
          <w:rFonts w:ascii="Times New Roman" w:cs="Times New Roman" w:eastAsia="Times New Roman" w:hAnsi="Times New Roman"/>
          <w:sz w:val="18"/>
          <w:szCs w:val="18"/>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Plan, this Agreement shall be binding upon and inure to the benefit of the heirs, legatees, legal representatives, successors and assigns of the parties hereto.</w:t>
      </w:r>
    </w:p>
    <w:p>
      <w:pPr>
        <w:spacing w:after="0" w:line="180" w:lineRule="exact"/>
        <w:rPr>
          <w:sz w:val="20"/>
          <w:szCs w:val="20"/>
          <w:color w:val="auto"/>
        </w:rPr>
      </w:pPr>
    </w:p>
    <w:p>
      <w:pPr>
        <w:jc w:val="both"/>
        <w:ind w:right="26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3.10 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RSUs,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3"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u w:val="single" w:color="auto"/>
          <w:color w:val="auto"/>
        </w:rPr>
        <w:t>Section 3.11 Not a Contract of Employment</w:t>
      </w:r>
      <w:r>
        <w:rPr>
          <w:rFonts w:ascii="Times New Roman" w:cs="Times New Roman" w:eastAsia="Times New Roman" w:hAnsi="Times New Roman"/>
          <w:sz w:val="17"/>
          <w:szCs w:val="17"/>
          <w:color w:val="auto"/>
        </w:rPr>
        <w:t>. Nothing in this Agreement or in the Plan shall confer upon Participant any right to continue to serve as an employee or other service provider of any Participating Company or shall interfere with or restrict in any way the rights of any Participating Company, which rights are hereby expressly reserved, to discharge or terminate the services of Participant at any time for any reason whatsoever, with or without cause, except to the extent (i) expressly provided otherwise in a written agreement between a Participating Company and Participant or (ii) where such provisions are not consistent with applicable foreign or local laws, in which case such applicable foreign or local laws shall control.</w:t>
      </w:r>
    </w:p>
    <w:p>
      <w:pPr>
        <w:spacing w:after="0" w:line="168"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3.12 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3.13 Section 409A</w:t>
      </w:r>
      <w:r>
        <w:rPr>
          <w:rFonts w:ascii="Times New Roman" w:cs="Times New Roman" w:eastAsia="Times New Roman" w:hAnsi="Times New Roman"/>
          <w:sz w:val="18"/>
          <w:szCs w:val="18"/>
          <w:color w:val="auto"/>
        </w:rPr>
        <w:t>. The intent of the parties is that the payments and benefits under this Agreement comply with or be exempt from Section 409A of the Internal Revenue Code of 1986, as amended, and the regulations and guidance promulgated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accordingly, to the maximum extent permitted, this Agreement shall be interpreted to be in compliance therewith.</w:t>
      </w:r>
    </w:p>
    <w:p>
      <w:pPr>
        <w:sectPr>
          <w:pgSz w:w="11900" w:h="16838" w:orient="portrait"/>
          <w:cols w:equalWidth="0" w:num="1">
            <w:col w:w="11000"/>
          </w:cols>
          <w:pgMar w:left="440" w:top="270" w:right="459" w:bottom="1440" w:gutter="0" w:footer="0" w:header="0"/>
        </w:sectPr>
      </w:pPr>
    </w:p>
    <w:bookmarkStart w:id="33" w:name="page34"/>
    <w:bookmarkEnd w:id="33"/>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3.14 Agreement Severable</w:t>
      </w:r>
      <w:r>
        <w:rPr>
          <w:rFonts w:ascii="Times New Roman" w:cs="Times New Roman" w:eastAsia="Times New Roman" w:hAnsi="Times New Roman"/>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3.15 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180"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3.16 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3.17 [Broker-Assisted Sales</w:t>
      </w:r>
      <w:r>
        <w:rPr>
          <w:rFonts w:ascii="Times New Roman" w:cs="Times New Roman" w:eastAsia="Times New Roman" w:hAnsi="Times New Roman"/>
          <w:sz w:val="18"/>
          <w:szCs w:val="18"/>
          <w:color w:val="auto"/>
        </w:rPr>
        <w:t>. In the event of any broker-assisted sale of shares of Stock in connection with the payment of withholding taxes as provided in Section 2.5(a)(iii) or Section 2.5(a)(v):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Participating Company with respect to which the withholding obligation arises an amount in cash sufficient to satisfy any remaining portion of the applicable Participating Company’s withholding obligation.]</w:t>
      </w:r>
      <w:r>
        <w:rPr>
          <w:rFonts w:ascii="Times New Roman" w:cs="Times New Roman" w:eastAsia="Times New Roman" w:hAnsi="Times New Roman"/>
          <w:sz w:val="15"/>
          <w:szCs w:val="15"/>
          <w:color w:val="auto"/>
        </w:rPr>
        <w:t>6</w:t>
      </w:r>
    </w:p>
    <w:p>
      <w:pPr>
        <w:spacing w:after="0" w:line="1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Do not include if using sell-to-cover.</w:t>
      </w:r>
    </w:p>
    <w:p>
      <w:pPr>
        <w:sectPr>
          <w:pgSz w:w="11900" w:h="16838" w:orient="portrait"/>
          <w:cols w:equalWidth="0" w:num="1">
            <w:col w:w="10984"/>
          </w:cols>
          <w:pgMar w:left="436" w:top="270" w:right="479" w:bottom="1440" w:gutter="0" w:footer="0" w:header="0"/>
        </w:sectPr>
      </w:pPr>
    </w:p>
    <w:bookmarkStart w:id="34" w:name="page35"/>
    <w:bookmarkEnd w:id="34"/>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CALCULATION OF FILING FEE TABLE</w:t>
      </w:r>
    </w:p>
    <w:p>
      <w:pPr>
        <w:spacing w:after="0" w:line="2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(Form Type)</w:t>
      </w:r>
    </w:p>
    <w:p>
      <w:pPr>
        <w:spacing w:after="0" w:line="1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GOHEALTH, INC.</w:t>
      </w:r>
    </w:p>
    <w:p>
      <w:pPr>
        <w:spacing w:after="0" w:line="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u w:val="single" w:color="auto"/>
          <w:color w:val="auto"/>
        </w:rPr>
        <w:t>Table I: Newly Registered Securities</w:t>
      </w:r>
    </w:p>
    <w:p>
      <w:pPr>
        <w:spacing w:after="0" w:line="366"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3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17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17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17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 Calculation</w:t>
            </w:r>
          </w:p>
        </w:tc>
        <w:tc>
          <w:tcPr>
            <w:tcW w:w="1120" w:type="dxa"/>
            <w:vAlign w:val="bottom"/>
            <w:tcBorders>
              <w:right w:val="single" w:sz="8" w:color="auto"/>
            </w:tcBorders>
          </w:tcPr>
          <w:p>
            <w:pPr>
              <w:ind w:left="38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Maximum Aggregate</w:t>
            </w: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65"/>
        </w:trPr>
        <w:tc>
          <w:tcPr>
            <w:tcW w:w="170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3"/>
                <w:szCs w:val="13"/>
                <w:color w:val="auto"/>
                <w:w w:val="94"/>
              </w:rPr>
              <w:t>Plan</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Class 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 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1700" w:type="dxa"/>
            <w:vAlign w:val="bottom"/>
            <w:tcBorders>
              <w:left w:val="single" w:sz="8" w:color="auto"/>
              <w:right w:val="single" w:sz="8" w:color="auto"/>
            </w:tcBorders>
          </w:tcPr>
          <w:p>
            <w:pPr>
              <w:jc w:val="center"/>
              <w:ind w:left="55"/>
              <w:spacing w:after="0" w:line="206" w:lineRule="exact"/>
              <w:rPr>
                <w:sz w:val="20"/>
                <w:szCs w:val="20"/>
                <w:color w:val="auto"/>
              </w:rPr>
            </w:pPr>
            <w:r>
              <w:rPr>
                <w:rFonts w:ascii="Times New Roman" w:cs="Times New Roman" w:eastAsia="Times New Roman" w:hAnsi="Times New Roman"/>
                <w:sz w:val="18"/>
                <w:szCs w:val="18"/>
                <w:color w:val="auto"/>
              </w:rPr>
              <w:t>2020 Incentive</w:t>
            </w:r>
          </w:p>
        </w:tc>
        <w:tc>
          <w:tcPr>
            <w:tcW w:w="6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Class A</w:t>
            </w:r>
          </w:p>
        </w:tc>
        <w:tc>
          <w:tcPr>
            <w:tcW w:w="10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16"/>
        </w:trPr>
        <w:tc>
          <w:tcPr>
            <w:tcW w:w="17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8"/>
              </w:rPr>
              <w:t>Award Plan</w:t>
            </w: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$92.70 per</w:t>
            </w:r>
          </w:p>
        </w:tc>
        <w:tc>
          <w:tcPr>
            <w:tcW w:w="9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920" w:type="dxa"/>
            <w:vAlign w:val="bottom"/>
            <w:tcBorders>
              <w:right w:val="single" w:sz="8" w:color="auto"/>
            </w:tcBorders>
          </w:tcPr>
          <w:p>
            <w:pPr>
              <w:spacing w:after="0"/>
              <w:rPr>
                <w:sz w:val="18"/>
                <w:szCs w:val="18"/>
                <w:color w:val="auto"/>
              </w:rPr>
            </w:pPr>
          </w:p>
        </w:tc>
      </w:tr>
      <w:tr>
        <w:trPr>
          <w:trHeight w:val="241"/>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457(h)</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10,267,608</w:t>
            </w:r>
            <w:r>
              <w:rPr>
                <w:rFonts w:ascii="Times New Roman" w:cs="Times New Roman" w:eastAsia="Times New Roman" w:hAnsi="Times New Roman"/>
                <w:sz w:val="15"/>
                <w:szCs w:val="15"/>
                <w:color w:val="auto"/>
                <w:w w:val="99"/>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$0.76</w:t>
            </w:r>
            <w:r>
              <w:rPr>
                <w:rFonts w:ascii="Times New Roman" w:cs="Times New Roman" w:eastAsia="Times New Roman" w:hAnsi="Times New Roman"/>
                <w:sz w:val="15"/>
                <w:szCs w:val="15"/>
                <w:color w:val="auto"/>
                <w:w w:val="99"/>
              </w:rPr>
              <w:t>(4)</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$7,803,382.08</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dollars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$723.37</w:t>
            </w:r>
          </w:p>
        </w:tc>
      </w:tr>
      <w:tr>
        <w:trPr>
          <w:trHeight w:val="211"/>
        </w:trPr>
        <w:tc>
          <w:tcPr>
            <w:tcW w:w="170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rPr>
              <w:t>2021 Inducement</w:t>
            </w: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8"/>
              </w:rPr>
              <w:t>Award Plan</w:t>
            </w: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$92.70 per</w:t>
            </w:r>
          </w:p>
        </w:tc>
        <w:tc>
          <w:tcPr>
            <w:tcW w:w="920" w:type="dxa"/>
            <w:vAlign w:val="bottom"/>
            <w:tcBorders>
              <w:right w:val="single" w:sz="8" w:color="auto"/>
            </w:tcBorders>
          </w:tcPr>
          <w:p>
            <w:pPr>
              <w:spacing w:after="0"/>
              <w:rPr>
                <w:sz w:val="18"/>
                <w:szCs w:val="18"/>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920" w:type="dxa"/>
            <w:vAlign w:val="bottom"/>
            <w:tcBorders>
              <w:right w:val="single" w:sz="8" w:color="auto"/>
            </w:tcBorders>
          </w:tcPr>
          <w:p>
            <w:pPr>
              <w:spacing w:after="0"/>
              <w:rPr>
                <w:sz w:val="18"/>
                <w:szCs w:val="18"/>
                <w:color w:val="auto"/>
              </w:rPr>
            </w:pPr>
          </w:p>
        </w:tc>
      </w:tr>
      <w:tr>
        <w:trPr>
          <w:trHeight w:val="241"/>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457(h)</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21,000,000</w:t>
            </w:r>
            <w:r>
              <w:rPr>
                <w:rFonts w:ascii="Times New Roman" w:cs="Times New Roman" w:eastAsia="Times New Roman" w:hAnsi="Times New Roman"/>
                <w:sz w:val="15"/>
                <w:szCs w:val="15"/>
                <w:color w:val="auto"/>
                <w:w w:val="99"/>
              </w:rPr>
              <w:t>(3)</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$0.76</w:t>
            </w:r>
            <w:r>
              <w:rPr>
                <w:rFonts w:ascii="Times New Roman" w:cs="Times New Roman" w:eastAsia="Times New Roman" w:hAnsi="Times New Roman"/>
                <w:sz w:val="15"/>
                <w:szCs w:val="15"/>
                <w:color w:val="auto"/>
                <w:w w:val="99"/>
              </w:rPr>
              <w:t>(4)</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$15,960,000.00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dollars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$1,479.50</w:t>
            </w:r>
          </w:p>
        </w:tc>
      </w:tr>
      <w:tr>
        <w:trPr>
          <w:trHeight w:val="239"/>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gridSpan w:val="3"/>
          </w:tcPr>
          <w:p>
            <w:pPr>
              <w:jc w:val="center"/>
              <w:ind w:right="524"/>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7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$23,763,382.08</w:t>
            </w:r>
          </w:p>
        </w:tc>
        <w:tc>
          <w:tcPr>
            <w:tcW w:w="9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$2,202.87</w:t>
            </w:r>
          </w:p>
        </w:tc>
      </w:tr>
      <w:tr>
        <w:trPr>
          <w:trHeight w:val="236"/>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1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8"/>
                <w:szCs w:val="18"/>
                <w:color w:val="auto"/>
              </w:rPr>
              <w:t>Net Fee Due</w:t>
            </w:r>
          </w:p>
        </w:tc>
        <w:tc>
          <w:tcPr>
            <w:tcW w:w="11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$2,202.87</w:t>
            </w:r>
          </w:p>
        </w:tc>
      </w:tr>
    </w:tbl>
    <w:p>
      <w:pPr>
        <w:spacing w:after="0" w:line="220" w:lineRule="exact"/>
        <w:rPr>
          <w:sz w:val="20"/>
          <w:szCs w:val="20"/>
          <w:color w:val="auto"/>
        </w:rPr>
      </w:pPr>
    </w:p>
    <w:p>
      <w:pPr>
        <w:jc w:val="both"/>
        <w:ind w:left="324" w:hanging="324"/>
        <w:spacing w:after="0" w:line="227" w:lineRule="auto"/>
        <w:tabs>
          <w:tab w:leader="none" w:pos="3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promulgated under the Securities Act of 1933, as amended (the “Securities Act”), this Registration Statement shall also cover any additional shares of Class A Common Stock, par value $0.0001 per share (“Common Stock”), of GoHealth, Inc. (the “Company”) that become issuable under the Company’s 2020 Incentive Award Plan (the “2020 Plan”) and the Company’s 2021 Inducement Award Plan, as amended (the “Inducement Plan”) by reason of any stock dividend, stock split, recapitalization or other similar transaction effected without receipt of consideration that increases the number of outstanding shares of Common Stock.</w:t>
      </w:r>
    </w:p>
    <w:p>
      <w:pPr>
        <w:ind w:left="324" w:right="20" w:hanging="324"/>
        <w:spacing w:after="0"/>
        <w:tabs>
          <w:tab w:leader="none" w:pos="3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10,267,608 additional shares of the Company’s Common Stock that became available for issuance on May 25, 2022 under the 2020 Plan, pursuant to the terms of the 2020 Plan.</w:t>
      </w:r>
    </w:p>
    <w:p>
      <w:pPr>
        <w:spacing w:after="0" w:line="136" w:lineRule="exact"/>
        <w:rPr>
          <w:rFonts w:ascii="Times New Roman" w:cs="Times New Roman" w:eastAsia="Times New Roman" w:hAnsi="Times New Roman"/>
          <w:sz w:val="14"/>
          <w:szCs w:val="14"/>
          <w:color w:val="auto"/>
        </w:rPr>
      </w:pPr>
    </w:p>
    <w:p>
      <w:pPr>
        <w:ind w:left="324" w:right="20" w:hanging="324"/>
        <w:spacing w:after="0" w:line="221" w:lineRule="auto"/>
        <w:tabs>
          <w:tab w:leader="none" w:pos="3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21,000,000 additional shares of the Company’s Common Stock that became available for issuance on June 3, 2022 under the Inducement Plan, pursuant to the terms of the Inducement Plan.</w:t>
      </w:r>
    </w:p>
    <w:p>
      <w:pPr>
        <w:ind w:left="324" w:right="20" w:hanging="324"/>
        <w:spacing w:after="0" w:line="239" w:lineRule="auto"/>
        <w:tabs>
          <w:tab w:leader="none" w:pos="3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estimate is made pursuant to Rule 457(c) and Rule 457(h) of the Securities Act solely for purposes of calculating the registration fee. The Proposed Maximum Offering Price Per Unit for shares available for future grant is the average of the high and low prices for the registrant’s Common Stock as reported on The Nasdaq Global Select Market on June 3, 2022.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Roman"/>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upperLetter"/>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5"/>
    </w:lvl>
    <w:lvl w:ilvl="1">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3"/>
    </w:lvl>
  </w:abstractNum>
  <w:abstractNum w:abstractNumId="9">
    <w:nsid w:val="2D1D5AE9"/>
    <w:multiLevelType w:val="hybridMultilevel"/>
    <w:lvl w:ilvl="0">
      <w:lvlJc w:val="left"/>
      <w:lvlText w:val="%1"/>
      <w:numFmt w:val="upperLetter"/>
      <w:start w:val="1"/>
    </w:lvl>
    <w:lvl w:ilvl="1">
      <w:lvlJc w:val="left"/>
      <w:lvlText w:val="(%2)"/>
      <w:numFmt w:val="decimal"/>
      <w:start w:val="1"/>
    </w:lvl>
  </w:abstractNum>
  <w:abstractNum w:abstractNumId="10">
    <w:nsid w:val="6763845E"/>
    <w:multiLevelType w:val="hybridMultilevel"/>
    <w:lvl w:ilvl="0">
      <w:lvlJc w:val="left"/>
      <w:lvlText w:val="%1."/>
      <w:numFmt w:val="upperLetter"/>
      <w:start w:val="5"/>
    </w:lvl>
    <w:lvl w:ilvl="1">
      <w:lvlJc w:val="left"/>
      <w:lvlText w:val="%2"/>
      <w:numFmt w:val="decimal"/>
      <w:start w:val="1"/>
    </w:lvl>
  </w:abstractNum>
  <w:abstractNum w:abstractNumId="11">
    <w:nsid w:val="75A2A8D4"/>
    <w:multiLevelType w:val="hybridMultilevel"/>
    <w:lvl w:ilvl="0">
      <w:lvlJc w:val="left"/>
      <w:lvlText w:val="(%1)"/>
      <w:numFmt w:val="decimal"/>
      <w:start w:val="1"/>
    </w:lvl>
    <w:lvl w:ilvl="1">
      <w:lvlJc w:val="left"/>
      <w:lvlText w:val="(%2)"/>
      <w:numFmt w:val="lowerRoman"/>
      <w:start w:val="1"/>
    </w:lvl>
  </w:abstractNum>
  <w:abstractNum w:abstractNumId="12">
    <w:nsid w:val="8EDBDAB"/>
    <w:multiLevelType w:val="hybridMultilevel"/>
    <w:lvl w:ilvl="0">
      <w:lvlJc w:val="left"/>
      <w:lvlText w:val="(%1)"/>
      <w:numFmt w:val="lowerRoman"/>
      <w:start w:val="4"/>
    </w:lvl>
  </w:abstractNum>
  <w:abstractNum w:abstractNumId="13">
    <w:nsid w:val="79838CB2"/>
    <w:multiLevelType w:val="hybridMultilevel"/>
    <w:lvl w:ilvl="0">
      <w:lvlJc w:val="left"/>
      <w:lvlText w:val="%1"/>
      <w:numFmt w:val="upperLetter"/>
      <w:start w:val="1"/>
    </w:lvl>
    <w:lvl w:ilvl="1">
      <w:lvlJc w:val="left"/>
      <w:lvlText w:val="(%2)"/>
      <w:numFmt w:val="decimal"/>
      <w:start w:val="2"/>
    </w:lvl>
  </w:abstractNum>
  <w:abstractNum w:abstractNumId="14">
    <w:nsid w:val="4353D0CD"/>
    <w:multiLevelType w:val="hybridMultilevel"/>
    <w:lvl w:ilvl="0">
      <w:lvlJc w:val="left"/>
      <w:lvlText w:val="%1."/>
      <w:numFmt w:val="upperLetter"/>
      <w:start w:val="8"/>
    </w:lvl>
    <w:lvl w:ilvl="1">
      <w:lvlJc w:val="left"/>
      <w:lvlText w:val="%2"/>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2"/>
    </w:lvl>
  </w:abstractNum>
  <w:abstractNum w:abstractNumId="17">
    <w:nsid w:val="54E49EB4"/>
    <w:multiLevelType w:val="hybridMultilevel"/>
    <w:lvl w:ilvl="0">
      <w:lvlJc w:val="left"/>
      <w:lvlText w:val="%1."/>
      <w:numFmt w:val="decimal"/>
      <w:start w:val="7"/>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bullet"/>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5"/>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2"/>
    </w:lvl>
  </w:abstractNum>
  <w:abstractNum w:abstractNumId="26">
    <w:nsid w:val="737B8DDC"/>
    <w:multiLevelType w:val="hybridMultilevel"/>
    <w:lvl w:ilvl="0">
      <w:lvlJc w:val="left"/>
      <w:lvlText w:val="(%1)"/>
      <w:numFmt w:val="lowerLetter"/>
      <w:start w:val="1"/>
    </w:lvl>
    <w:lvl w:ilvl="1">
      <w:lvlJc w:val="left"/>
      <w:lvlText w:val="(%2)"/>
      <w:numFmt w:val="lowerRoman"/>
      <w:start w:val="1"/>
    </w:lvl>
  </w:abstractNum>
  <w:abstractNum w:abstractNumId="27">
    <w:nsid w:val="6CEAF087"/>
    <w:multiLevelType w:val="hybridMultilevel"/>
    <w:lvl w:ilvl="0">
      <w:lvlJc w:val="left"/>
      <w:lvlText w:val="(%1)"/>
      <w:numFmt w:val="lowerRoman"/>
      <w:start w:val="1"/>
    </w:lvl>
  </w:abstractNum>
  <w:abstractNum w:abstractNumId="28">
    <w:nsid w:val="22221A70"/>
    <w:multiLevelType w:val="hybridMultilevel"/>
    <w:lvl w:ilvl="0">
      <w:lvlJc w:val="left"/>
      <w:lvlText w:val="2"/>
      <w:numFmt w:val="bullet"/>
      <w:start w:val="1"/>
    </w:lvl>
  </w:abstractNum>
  <w:abstractNum w:abstractNumId="29">
    <w:nsid w:val="4516DDE9"/>
    <w:multiLevelType w:val="hybridMultilevel"/>
    <w:lvl w:ilvl="0">
      <w:lvlJc w:val="left"/>
      <w:lvlText w:val="%1"/>
      <w:numFmt w:val="lowerLetter"/>
      <w:start w:val="1"/>
    </w:lvl>
    <w:lvl w:ilvl="1">
      <w:lvlJc w:val="left"/>
      <w:lvlText w:val="(%2)"/>
      <w:numFmt w:val="lowerRoman"/>
      <w:start w:val="6"/>
    </w:lvl>
  </w:abstractNum>
  <w:abstractNum w:abstractNumId="30">
    <w:nsid w:val="3006C83E"/>
    <w:multiLevelType w:val="hybridMultilevel"/>
    <w:lvl w:ilvl="0">
      <w:lvlJc w:val="left"/>
      <w:lvlText w:val="(%1)"/>
      <w:numFmt w:val="lowerLetter"/>
      <w:start w:val="2"/>
    </w:lvl>
    <w:lvl w:ilvl="1">
      <w:lvlJc w:val="left"/>
      <w:lvlText w:val="%2"/>
      <w:numFmt w:val="lowerRoman"/>
      <w:start w:val="1"/>
    </w:lvl>
  </w:abstractNum>
  <w:abstractNum w:abstractNumId="31">
    <w:nsid w:val="614FD4A1"/>
    <w:multiLevelType w:val="hybridMultilevel"/>
    <w:lvl w:ilvl="0">
      <w:lvlJc w:val="left"/>
      <w:lvlText w:val="3"/>
      <w:numFmt w:val="bullet"/>
      <w:start w:val="1"/>
    </w:lvl>
  </w:abstractNum>
  <w:abstractNum w:abstractNumId="32">
    <w:nsid w:val="419AC241"/>
    <w:multiLevelType w:val="hybridMultilevel"/>
    <w:lvl w:ilvl="0">
      <w:lvlJc w:val="left"/>
      <w:lvlText w:val="4"/>
      <w:numFmt w:val="bullet"/>
      <w:start w:val="1"/>
    </w:lvl>
  </w:abstractNum>
  <w:abstractNum w:abstractNumId="33">
    <w:nsid w:val="5577F8E1"/>
    <w:multiLevelType w:val="hybridMultilevel"/>
    <w:lvl w:ilvl="0">
      <w:lvlJc w:val="left"/>
      <w:lvlText w:val="5"/>
      <w:numFmt w:val="bullet"/>
      <w:start w:val="1"/>
    </w:lvl>
  </w:abstractNum>
  <w:abstractNum w:abstractNumId="34">
    <w:nsid w:val="440BADFC"/>
    <w:multiLevelType w:val="hybridMultilevel"/>
    <w:lvl w:ilvl="0">
      <w:lvlJc w:val="left"/>
      <w:lvlText w:val="6"/>
      <w:numFmt w:val="bullet"/>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jpe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18" Type="http://schemas.openxmlformats.org/officeDocument/2006/relationships/hyperlink" Target="http://www.sec.gov/Archives/edgar/data/0001808220/000119312520224832/d935246dex31.htm" TargetMode="External"/><Relationship Id="rId19" Type="http://schemas.openxmlformats.org/officeDocument/2006/relationships/hyperlink" Target="http://www.sec.gov/Archives/edgar/data/0001808220/000119312520224832/d935246dex32.htm" TargetMode="External"/><Relationship Id="rId20" Type="http://schemas.openxmlformats.org/officeDocument/2006/relationships/hyperlink" Target="http://www.sec.gov/Archives/edgar/data/1808220/000119312520189225/d797183dex106.htm" TargetMode="External"/><Relationship Id="rId21" Type="http://schemas.openxmlformats.org/officeDocument/2006/relationships/hyperlink" Target="http://www.sec.gov/Archives/edgar/data/1808220/000119312520189225/d797183dex1019.htm" TargetMode="External"/><Relationship Id="rId22" Type="http://schemas.openxmlformats.org/officeDocument/2006/relationships/hyperlink" Target="http://www.sec.gov/Archives/edgar/data/1808220/000119312520189225/d797183dex1020.htm" TargetMode="External"/><Relationship Id="rId24" Type="http://schemas.openxmlformats.org/officeDocument/2006/relationships/hyperlink" Target="http://www.sec.gov/Archives/edgar/data/0001808220/000119312521362438/d27000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2022-06-06T15:33:36Z</dcterms:created>
  <dcterms:modified xsi:type="dcterms:W3CDTF">2022-06-06T15:33:36Z</dcterms:modified>
</cp:coreProperties>
</file>