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14, 2024</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32" w:right="339" w:bottom="1440" w:gutter="0" w:footer="0" w:header="0"/>
        </w:sectPr>
      </w:pPr>
    </w:p>
    <w:p>
      <w:pPr>
        <w:spacing w:after="0" w:line="14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32"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32" w:right="339" w:bottom="1440" w:gutter="0" w:footer="0" w:header="0"/>
          <w:type w:val="continuous"/>
        </w:sectPr>
      </w:pPr>
    </w:p>
    <w:p>
      <w:pPr>
        <w:spacing w:after="0" w:line="102"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32"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32"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32"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90"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On March 14, 2024, GoHealth, Inc. issued a press release announcing its financial results for the year ended December 31, 2023.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60" w:type="dxa"/>
            <w:vAlign w:val="bottom"/>
            <w:tcBorders>
              <w:top w:val="single" w:sz="8" w:color="auto"/>
              <w:bottom w:val="single" w:sz="8" w:color="0000FF"/>
            </w:tcBorders>
          </w:tcPr>
          <w:p>
            <w:pPr>
              <w:spacing w:after="0" w:line="169" w:lineRule="exact"/>
              <w:rPr>
                <w:sz w:val="20"/>
                <w:szCs w:val="20"/>
                <w:color w:val="auto"/>
              </w:rPr>
            </w:pPr>
            <w:r>
              <w:rPr>
                <w:rFonts w:ascii="Arial" w:cs="Arial" w:eastAsia="Arial" w:hAnsi="Arial"/>
                <w:sz w:val="16"/>
                <w:szCs w:val="16"/>
                <w:color w:val="0000FF"/>
              </w:rPr>
              <w:t>Press release, dated March 14, 2024</w:t>
            </w:r>
          </w:p>
        </w:tc>
        <w:tc>
          <w:tcPr>
            <w:tcW w:w="7180" w:type="dxa"/>
            <w:vAlign w:val="bottom"/>
            <w:tcBorders>
              <w:top w:val="single" w:sz="8" w:color="auto"/>
            </w:tcBorders>
          </w:tcPr>
          <w:p>
            <w:pPr>
              <w:spacing w:after="0"/>
              <w:rPr>
                <w:sz w:val="14"/>
                <w:szCs w:val="14"/>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14, 2024</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Fourth Quarter and Fiscal 2023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i w:val="1"/>
          <w:iCs w:val="1"/>
          <w:color w:val="auto"/>
        </w:rPr>
        <w:t xml:space="preserve">CHICAGO, March 14, 2024 </w:t>
      </w:r>
      <w:r>
        <w:rPr>
          <w:rFonts w:ascii="Arial" w:cs="Arial" w:eastAsia="Arial" w:hAnsi="Arial"/>
          <w:sz w:val="16"/>
          <w:szCs w:val="16"/>
          <w:color w:val="auto"/>
        </w:rPr>
        <w:t>— GoHealth, Inc. (NASDAQ: GOCO) (“GoHealth” or the “Company”), a leading health insurance marketplace and Medicare-focused digital health company, today announced unaudited financial results for the fourth quarter and year ended December 31, 2023.</w:t>
      </w:r>
    </w:p>
    <w:p>
      <w:pPr>
        <w:spacing w:after="0" w:line="183" w:lineRule="exact"/>
        <w:rPr>
          <w:sz w:val="20"/>
          <w:szCs w:val="20"/>
          <w:color w:val="auto"/>
        </w:rPr>
      </w:pPr>
    </w:p>
    <w:p>
      <w:pPr>
        <w:ind w:left="660" w:right="28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generated $109.1 million of cash flow from operations in 2023, a substantial 79.2% improvement compared to $60.9 million in the prior year period.</w:t>
      </w:r>
    </w:p>
    <w:p>
      <w:pPr>
        <w:spacing w:after="0" w:line="169" w:lineRule="exact"/>
        <w:rPr>
          <w:rFonts w:ascii="Arial" w:cs="Arial" w:eastAsia="Arial" w:hAnsi="Arial"/>
          <w:sz w:val="16"/>
          <w:szCs w:val="16"/>
          <w:color w:val="auto"/>
        </w:rPr>
      </w:pPr>
    </w:p>
    <w:p>
      <w:pPr>
        <w:ind w:left="660" w:right="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percentage of revenue earned from non-agency sales in the fourth quarter was 60% of Medicare revenue, compared to 26% in 2022. This shift to non-agency operating model continues to drive cash generation.</w:t>
      </w:r>
    </w:p>
    <w:p>
      <w:pPr>
        <w:spacing w:after="0" w:line="183" w:lineRule="exact"/>
        <w:rPr>
          <w:rFonts w:ascii="Arial" w:cs="Arial" w:eastAsia="Arial" w:hAnsi="Arial"/>
          <w:sz w:val="16"/>
          <w:szCs w:val="16"/>
          <w:color w:val="auto"/>
        </w:rPr>
      </w:pPr>
    </w:p>
    <w:p>
      <w:pPr>
        <w:ind w:left="660" w:right="10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Fourth quarter 2023 net revenues were $276.7 million, compared to $69.4 million in the prior year period. Full year 2023 net revenues were $734.7 million, compared to $631.7 million in 2022.</w:t>
      </w:r>
    </w:p>
    <w:p>
      <w:pPr>
        <w:spacing w:after="0" w:line="183" w:lineRule="exact"/>
        <w:rPr>
          <w:rFonts w:ascii="Arial" w:cs="Arial" w:eastAsia="Arial" w:hAnsi="Arial"/>
          <w:sz w:val="16"/>
          <w:szCs w:val="16"/>
          <w:color w:val="auto"/>
        </w:rPr>
      </w:pPr>
    </w:p>
    <w:p>
      <w:pPr>
        <w:ind w:left="660" w:right="280" w:hanging="328"/>
        <w:spacing w:after="0" w:line="19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Fourth quarter 2023 net loss was $2.3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$57.0 million, improvements of 98.5% and 160.1%, respectively, compared to the prior year period. Full year 2023 net loss of $151.3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$75.1 million were improvements of 59.8% and 157.9%, respectively, compared to the prior year period.</w:t>
      </w:r>
    </w:p>
    <w:p>
      <w:pPr>
        <w:spacing w:after="0" w:line="205"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improved performance of the Company and focus on higher quality submissions, there was no Lookback adjustment recorded in 2023. The Company recorded lookback adjustments in 2022 that are detailed in the tables below.</w:t>
      </w:r>
    </w:p>
    <w:p>
      <w:pPr>
        <w:spacing w:after="0" w:line="18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GoHealth assisted over two million Medicare consumers assess their benefit options in 2023.</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"As we reflect on our achievements this past year, our consumer-centric focus shifted from enrollment to engagement, with trust at its core. Our innovative PlanFit CheckUp program is a prime example of our commitment to the consumer and a driver of our 2023 results. By prioritizing the real needs of Medicare consumers, we continue to enhance consumer trust and set a new standard for industry practices, said Vijay Kotte, CEO of GoHealth. “Our approach underscores our mission to transform the consumer healthcare journey, ensuring every action we take is aligned with our core values of transparency, trust, and integrity,” continued Kotte.</w:t>
      </w:r>
    </w:p>
    <w:p>
      <w:pPr>
        <w:spacing w:after="0" w:line="216"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“In 2023, GoHealth did right by the consumer while staying true to our values as a company and effectively managing our cash. Our results showcase a meaningful year over year increase in profitability and significant improvement in our operating cash flow, highlighting the effectiveness of our strategic initiatives and the unwavering commitment of our team," said Jason Schulz, CFO of GoHealth.</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 Adjusted EBITDA is a non-GAAP measure. For a definition of Adjusted EBITDA and a reconciliation to the most comparable GAAP measure, please see below.</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3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 will host a conference call today, Thursday, March 14, 2024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3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some cases, you can identify forward-looking statements by terms, such as “may,” “will,” “should,” “aim,” “expects,” “plans,” “anticipates,” “could,” “intends,” “targets,” “projects,” “contemplates,” “believes,” “estimates,” “predicts,” “potential,” “likely,” “strive”,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operating results have been, and may continue to be, adversely impacted by factors that impact our estimate of LTV (as defined below); our gradual expansion of the Encompass Solution may not be as successful as we expect; our business may be harmed if we lose our relationships with health plan partners or if our relationships with health plan partners change; health plan partners may reduce the commissions paid to us and change their underwriting practices in ways that reduce the number of, or impact the renewal or approval rates of, insurance policies sold through our platform; we currently depend on a small group of health plan partners for a substantial portion of our revenue and losing our relationships with any of these health plan partners may disproportionately impact our financial position and performance; changes and developments in the health insurance system and laws and regulations governing the health insurance markets in the United States could materially adversely affect our business, operating results, financial condition and qualified prospects; we rely on certain services from the Centers for Medicare &amp; Medicaid Services, and a federal government shutdown that impedes our ability to use these services may materially impact our business; information technology system failures could interrupt our operations; volatility in general economic conditions, including inflation, interest rates, and commodity prices and exchange rates may impact our financial position and performance; we may lose key employees or fail to attract qualified employees; our failure to grow our customer base or retain our existing customers; we may not realize the benefits we expect from our strategic cash flow optimization and other cash management initiatives; our ability to sell Medicare-related health insurance plans is largely dependent on our licensed health insurance agents; operating and growing our business may require additional capital; and the Founders and Centerbridge have significant influence over us, including control over decisions that require the approval of stockholders.</w:t>
      </w: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2022 Annual Report on Form 10-K, Quarterly Report on Form 10-Q for the first quarter ended March 31, 2023, Quarterly Report on Form 10-Q for the second quarter ended June 30, 2023, Quarterly Report on Form 10-Q for the third quarter ended September 30, 2023, the forthcoming 2023 Annual Report on Form 10-K and other SEC filings.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13"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the business and monitor its results of operations. Sales per Submission, Cost per Submission and Adjusted Gross Margin per Submission are key operating metrics used by management to understand the Company’s underlying financial performance and trends.</w:t>
      </w:r>
    </w:p>
    <w:p>
      <w:pPr>
        <w:spacing w:after="0" w:line="21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Additional non-GAAP financial measures, including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1" w:right="339" w:bottom="1440" w:gutter="0" w:footer="0" w:header="0"/>
        </w:sectPr>
      </w:pPr>
    </w:p>
    <w:bookmarkStart w:id="6" w:name="page7"/>
    <w:bookmarkEnd w:id="6"/>
    <w:p>
      <w:pPr>
        <w:ind w:right="180"/>
        <w:spacing w:after="0" w:line="286" w:lineRule="auto"/>
        <w:rPr>
          <w:sz w:val="20"/>
          <w:szCs w:val="20"/>
          <w:color w:val="auto"/>
        </w:rPr>
      </w:pPr>
      <w:r>
        <w:rPr>
          <w:rFonts w:ascii="Arial" w:cs="Arial" w:eastAsia="Arial" w:hAnsi="Arial"/>
          <w:sz w:val="16"/>
          <w:szCs w:val="16"/>
          <w:color w:val="auto"/>
        </w:rPr>
        <w:t>Adjustments, are also discussed in this press release. The Lookback Adjustments are revenue adjustments that represent changes in estimates relating to performance obligations satisfied in prior periods and relate to the fiscal years 2021 and prior.</w:t>
      </w:r>
    </w:p>
    <w:p>
      <w:pPr>
        <w:spacing w:after="0" w:line="19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 Sales per Submission represents Medicare Revenue per Submission as further adjusted for certain items summarized below in this press release. Cost per Submission represents Operating Expense per Submission as further adjusted for certain items summarized below in this press release. Adjusted Gross Margin represents Sales per Submission less Cost per Submission.</w:t>
      </w:r>
    </w:p>
    <w:p>
      <w:pPr>
        <w:spacing w:after="0" w:line="186"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net revenue excluding the Lookback Adjustments, Adjusted EBITDA excluding the Lookback Adjustments, net revenue excluding both the Non-Encompass BPO Services revenue and the Lookback Adjustments, Adjusted EBITDA excluding both the Non-Encompass BPO Services gross margin and the Lookback Adjustments, Sales per Submission, Cost per Submission and Adjusted Gross Margin per Submission to its most directly comparable GAAP financial measure,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is unable to provide a full reconciliation of guidance for Adjusted EBITDA without unreasonable effort because it is not possible to predict certain adjustment items with a reasonable degree of certainty since they are not yet known or quantifiable, and do not relate to the Company’s routine activities. This information is dependent upon future events, which may be outside of the Company’s control and could have a significant impact on its GAAP financial results for fiscal year 2023.</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0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35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Gross Margin per Submission</w:t>
      </w:r>
      <w:r>
        <w:rPr>
          <w:rFonts w:ascii="Arial" w:cs="Arial" w:eastAsia="Arial" w:hAnsi="Arial"/>
          <w:sz w:val="16"/>
          <w:szCs w:val="16"/>
          <w:color w:val="auto"/>
        </w:rPr>
        <w:t>” refers to Sales per Submission less Cost per Submission.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Calibri" w:cs="Calibri" w:eastAsia="Calibri" w:hAnsi="Calibri"/>
          <w:sz w:val="16"/>
          <w:szCs w:val="16"/>
          <w:color w:val="auto"/>
        </w:rPr>
      </w:pPr>
      <w:r>
        <w:rPr>
          <w:rFonts w:ascii="Arial" w:cs="Arial" w:eastAsia="Arial" w:hAnsi="Arial"/>
          <w:sz w:val="16"/>
          <w:szCs w:val="16"/>
          <w:i w:val="1"/>
          <w:iCs w:val="1"/>
          <w:color w:val="auto"/>
        </w:rPr>
        <w:t xml:space="preserve">“Cash Adjusted EBITDA” refers to </w:t>
      </w:r>
      <w:r>
        <w:rPr>
          <w:rFonts w:ascii="Arial" w:cs="Arial" w:eastAsia="Arial" w:hAnsi="Arial"/>
          <w:sz w:val="16"/>
          <w:szCs w:val="16"/>
          <w:color w:val="auto"/>
        </w:rPr>
        <w:t>Adjusted EBITDA plus a decrease or less an increase in the year over year change in our net contract asset.</w:t>
      </w:r>
    </w:p>
    <w:p>
      <w:pPr>
        <w:spacing w:after="0" w:line="236" w:lineRule="exact"/>
        <w:rPr>
          <w:rFonts w:ascii="Calibri" w:cs="Calibri" w:eastAsia="Calibri" w:hAnsi="Calibri"/>
          <w:sz w:val="16"/>
          <w:szCs w:val="16"/>
          <w:color w:val="auto"/>
        </w:rPr>
      </w:pPr>
    </w:p>
    <w:p>
      <w:pPr>
        <w:ind w:left="660" w:right="20" w:hanging="328"/>
        <w:spacing w:after="0" w:line="248"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of Submission</w:t>
      </w:r>
      <w:r>
        <w:rPr>
          <w:rFonts w:ascii="Arial" w:cs="Arial" w:eastAsia="Arial" w:hAnsi="Arial"/>
          <w:sz w:val="16"/>
          <w:szCs w:val="16"/>
          <w:color w:val="auto"/>
        </w:rPr>
        <w:t>” refers to the aggregate cost to convert prospects into Submissions during a particular period. Cost of Submission is comprised of revenue share, marketing and advertising expenses and customer care and enrollment expenses, excluding share-based compensation expense, the impact of revenue adjustments recorded in the period, but relating to performance obligations satisfied in prior periods and such expenses related to Non-Encompass BPO Services.</w:t>
      </w:r>
    </w:p>
    <w:p>
      <w:pPr>
        <w:spacing w:after="0" w:line="198" w:lineRule="exact"/>
        <w:rPr>
          <w:rFonts w:ascii="Arial" w:cs="Arial" w:eastAsia="Arial" w:hAnsi="Arial"/>
          <w:sz w:val="16"/>
          <w:szCs w:val="16"/>
          <w:i w:val="1"/>
          <w:iCs w:val="1"/>
          <w:color w:val="auto"/>
        </w:rPr>
      </w:pPr>
    </w:p>
    <w:p>
      <w:pPr>
        <w:ind w:left="660" w:right="240" w:hanging="328"/>
        <w:spacing w:after="0" w:line="257"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per Submission</w:t>
      </w:r>
      <w:r>
        <w:rPr>
          <w:rFonts w:ascii="Arial" w:cs="Arial" w:eastAsia="Arial" w:hAnsi="Arial"/>
          <w:sz w:val="16"/>
          <w:szCs w:val="16"/>
          <w:color w:val="auto"/>
        </w:rPr>
        <w:t>” 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number of Submissions.</w:t>
      </w:r>
    </w:p>
    <w:p>
      <w:pPr>
        <w:spacing w:after="0" w:line="313" w:lineRule="exact"/>
        <w:rPr>
          <w:rFonts w:ascii="Arial" w:cs="Arial" w:eastAsia="Arial" w:hAnsi="Arial"/>
          <w:sz w:val="16"/>
          <w:szCs w:val="16"/>
          <w:i w:val="1"/>
          <w:iCs w:val="1"/>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Gross margin”</w:t>
      </w:r>
      <w:r>
        <w:rPr>
          <w:rFonts w:ascii="Arial" w:cs="Arial" w:eastAsia="Arial" w:hAnsi="Arial"/>
          <w:sz w:val="16"/>
          <w:szCs w:val="16"/>
          <w:color w:val="auto"/>
        </w:rPr>
        <w:t xml:space="preserve"> refers to net revenue divided by revenue share, marketing and advertising expenses and customer care and enrollment expenses</w:t>
      </w:r>
      <w:r>
        <w:rPr>
          <w:rFonts w:ascii="Arial" w:cs="Arial" w:eastAsia="Arial" w:hAnsi="Arial"/>
          <w:sz w:val="16"/>
          <w:szCs w:val="16"/>
          <w:i w:val="1"/>
          <w:iCs w:val="1"/>
          <w:color w:val="auto"/>
        </w:rPr>
        <w:t>.</w:t>
      </w:r>
    </w:p>
    <w:p>
      <w:pPr>
        <w:spacing w:after="0" w:line="234"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“Lookback Adjustment” </w:t>
      </w:r>
      <w:r>
        <w:rPr>
          <w:rFonts w:ascii="Arial" w:cs="Arial" w:eastAsia="Arial" w:hAnsi="Arial"/>
          <w:sz w:val="16"/>
          <w:szCs w:val="16"/>
          <w:color w:val="auto"/>
        </w:rPr>
        <w:t>refers to negative revenue adjustments that represent changes in estimates relating to performance obligations satisfied in</w:t>
      </w:r>
      <w:r>
        <w:rPr>
          <w:rFonts w:ascii="Arial" w:cs="Arial" w:eastAsia="Arial" w:hAnsi="Arial"/>
          <w:sz w:val="16"/>
          <w:szCs w:val="16"/>
          <w:i w:val="1"/>
          <w:iCs w:val="1"/>
          <w:color w:val="auto"/>
        </w:rPr>
        <w:t xml:space="preserve"> </w:t>
      </w:r>
      <w:r>
        <w:rPr>
          <w:rFonts w:ascii="Arial" w:cs="Arial" w:eastAsia="Arial" w:hAnsi="Arial"/>
          <w:sz w:val="16"/>
          <w:szCs w:val="16"/>
          <w:color w:val="auto"/>
        </w:rPr>
        <w:t>prior periods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jc w:val="both"/>
        <w:ind w:left="328" w:right="140" w:hanging="328"/>
        <w:spacing w:after="0" w:line="257" w:lineRule="auto"/>
        <w:tabs>
          <w:tab w:leader="none" w:pos="317"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spacing w:after="0" w:line="191" w:lineRule="exact"/>
        <w:rPr>
          <w:rFonts w:ascii="Arial" w:cs="Arial" w:eastAsia="Arial" w:hAnsi="Arial"/>
          <w:sz w:val="16"/>
          <w:szCs w:val="16"/>
          <w:color w:val="auto"/>
        </w:rPr>
      </w:pPr>
    </w:p>
    <w:p>
      <w:pPr>
        <w:ind w:left="328" w:right="80" w:hanging="328"/>
        <w:spacing w:after="0" w:line="286" w:lineRule="auto"/>
        <w:tabs>
          <w:tab w:leader="none" w:pos="317"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Non-Encompass BPO Services”</w:t>
      </w:r>
      <w:r>
        <w:rPr>
          <w:rFonts w:ascii="Arial" w:cs="Arial" w:eastAsia="Arial" w:hAnsi="Arial"/>
          <w:sz w:val="16"/>
          <w:szCs w:val="16"/>
          <w:color w:val="auto"/>
        </w:rPr>
        <w:t xml:space="preserve"> refer to programs in which GoHealth-employed agents are dedicated to certain health plan partners and agencies we partner with outside of the Encompass operating model.</w:t>
      </w:r>
    </w:p>
    <w:p>
      <w:pPr>
        <w:spacing w:after="0" w:line="169" w:lineRule="exact"/>
        <w:rPr>
          <w:rFonts w:ascii="Arial" w:cs="Arial" w:eastAsia="Arial" w:hAnsi="Arial"/>
          <w:sz w:val="16"/>
          <w:szCs w:val="16"/>
          <w:color w:val="auto"/>
        </w:rPr>
      </w:pPr>
    </w:p>
    <w:p>
      <w:pPr>
        <w:ind w:left="328" w:right="40" w:hanging="328"/>
        <w:spacing w:after="0" w:line="247" w:lineRule="auto"/>
        <w:tabs>
          <w:tab w:leader="none" w:pos="317"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 per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w:t>
      </w:r>
    </w:p>
    <w:p>
      <w:pPr>
        <w:spacing w:after="0" w:line="200" w:lineRule="exact"/>
        <w:rPr>
          <w:rFonts w:ascii="Arial" w:cs="Arial" w:eastAsia="Arial" w:hAnsi="Arial"/>
          <w:sz w:val="16"/>
          <w:szCs w:val="16"/>
          <w:i w:val="1"/>
          <w:iCs w:val="1"/>
          <w:color w:val="auto"/>
        </w:rPr>
      </w:pPr>
    </w:p>
    <w:p>
      <w:pPr>
        <w:ind w:left="328" w:right="160" w:hanging="328"/>
        <w:spacing w:after="0" w:line="244" w:lineRule="auto"/>
        <w:tabs>
          <w:tab w:leader="none" w:pos="304"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Sales/Cost of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aggregate cost to convert prospects into Submissions (comprised of revenue share, marketing and advertising expenses, and customer care and enrollment expenses, excluding share-based compensation expense) for such period. Sales/Cost of Submission exclude amounts related to Non-Encompass BPO Services.</w:t>
      </w:r>
    </w:p>
    <w:p>
      <w:pPr>
        <w:spacing w:after="0" w:line="202" w:lineRule="exact"/>
        <w:rPr>
          <w:rFonts w:ascii="Arial" w:cs="Arial" w:eastAsia="Arial" w:hAnsi="Arial"/>
          <w:sz w:val="16"/>
          <w:szCs w:val="16"/>
          <w:i w:val="1"/>
          <w:iCs w:val="1"/>
          <w:color w:val="auto"/>
        </w:rPr>
      </w:pPr>
    </w:p>
    <w:p>
      <w:pPr>
        <w:ind w:left="328" w:right="80" w:hanging="328"/>
        <w:spacing w:after="0" w:line="257" w:lineRule="auto"/>
        <w:tabs>
          <w:tab w:leader="none" w:pos="317"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Submission</w:t>
      </w:r>
      <w:r>
        <w:rPr>
          <w:rFonts w:ascii="Arial" w:cs="Arial" w:eastAsia="Arial" w:hAnsi="Arial"/>
          <w:sz w:val="16"/>
          <w:szCs w:val="16"/>
          <w:color w:val="auto"/>
        </w:rPr>
        <w:t>” 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8"/>
          </w:cols>
          <w:pgMar w:left="652" w:top="76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ind w:left="80"/>
              <w:spacing w:after="0"/>
              <w:rPr>
                <w:sz w:val="20"/>
                <w:szCs w:val="20"/>
                <w:color w:val="auto"/>
              </w:rPr>
            </w:pPr>
            <w:r>
              <w:rPr>
                <w:rFonts w:ascii="Arial" w:cs="Arial" w:eastAsia="Arial" w:hAnsi="Arial"/>
                <w:sz w:val="13"/>
                <w:szCs w:val="13"/>
                <w:b w:val="1"/>
                <w:bCs w:val="1"/>
                <w:color w:val="auto"/>
              </w:rPr>
              <w:t>Three months ended Dec.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110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3"/>
                <w:szCs w:val="13"/>
                <w:b w:val="1"/>
                <w:bCs w:val="1"/>
                <w:color w:val="auto"/>
              </w:rPr>
              <w:t>2023</w:t>
            </w:r>
          </w:p>
        </w:tc>
        <w:tc>
          <w:tcPr>
            <w:tcW w:w="90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1120" w:type="dxa"/>
            <w:vAlign w:val="bottom"/>
            <w:tcBorders>
              <w:bottom w:val="single" w:sz="8" w:color="B6B6B6"/>
            </w:tcBorders>
            <w:gridSpan w:val="3"/>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90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00" w:type="dxa"/>
            <w:vAlign w:val="bottom"/>
          </w:tcPr>
          <w:p>
            <w:pPr>
              <w:jc w:val="right"/>
              <w:ind w:right="197"/>
              <w:spacing w:after="0" w:line="128"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00" w:type="dxa"/>
            <w:vAlign w:val="bottom"/>
          </w:tcPr>
          <w:p>
            <w:pPr>
              <w:jc w:val="center"/>
              <w:ind w:right="57"/>
              <w:spacing w:after="0" w:line="128"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10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Revenues</w:t>
            </w:r>
          </w:p>
        </w:tc>
        <w:tc>
          <w:tcPr>
            <w:tcW w:w="2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Revenues</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40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top w:val="single" w:sz="8" w:color="B6B6B6"/>
            </w:tcBorders>
            <w:shd w:val="clear" w:color="auto" w:fill="B6B6B6"/>
          </w:tcPr>
          <w:p>
            <w:pPr>
              <w:spacing w:after="0"/>
              <w:rPr>
                <w:sz w:val="14"/>
                <w:szCs w:val="14"/>
                <w:color w:val="auto"/>
              </w:rPr>
            </w:pPr>
          </w:p>
        </w:tc>
        <w:tc>
          <w:tcPr>
            <w:tcW w:w="220" w:type="dxa"/>
            <w:vAlign w:val="bottom"/>
            <w:tcBorders>
              <w:top w:val="single" w:sz="8" w:color="B6B6B6"/>
            </w:tcBorders>
          </w:tcPr>
          <w:p>
            <w:pPr>
              <w:spacing w:after="0"/>
              <w:rPr>
                <w:sz w:val="14"/>
                <w:szCs w:val="14"/>
                <w:color w:val="auto"/>
              </w:rPr>
            </w:pPr>
          </w:p>
        </w:tc>
        <w:tc>
          <w:tcPr>
            <w:tcW w:w="88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4"/>
                <w:szCs w:val="14"/>
                <w:color w:val="auto"/>
              </w:rPr>
            </w:pPr>
          </w:p>
        </w:tc>
        <w:tc>
          <w:tcPr>
            <w:tcW w:w="12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20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69,376</w:t>
            </w:r>
          </w:p>
        </w:tc>
        <w:tc>
          <w:tcPr>
            <w:tcW w:w="100" w:type="dxa"/>
            <w:vAlign w:val="bottom"/>
          </w:tcPr>
          <w:p>
            <w:pPr>
              <w:spacing w:after="0"/>
              <w:rPr>
                <w:sz w:val="14"/>
                <w:szCs w:val="14"/>
                <w:color w:val="auto"/>
              </w:rPr>
            </w:pPr>
          </w:p>
        </w:tc>
        <w:tc>
          <w:tcPr>
            <w:tcW w:w="120" w:type="dxa"/>
            <w:vAlign w:val="bottom"/>
            <w:tcBorders>
              <w:top w:val="single" w:sz="8" w:color="B6B6B6"/>
            </w:tcBorders>
          </w:tcPr>
          <w:p>
            <w:pPr>
              <w:spacing w:after="0"/>
              <w:rPr>
                <w:sz w:val="14"/>
                <w:szCs w:val="14"/>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40" w:type="dxa"/>
            <w:vAlign w:val="bottom"/>
            <w:tcBorders>
              <w:top w:val="single" w:sz="8" w:color="B6B6B6"/>
            </w:tcBorders>
          </w:tcPr>
          <w:p>
            <w:pPr>
              <w:spacing w:after="0"/>
              <w:rPr>
                <w:sz w:val="14"/>
                <w:szCs w:val="14"/>
                <w:color w:val="auto"/>
              </w:rPr>
            </w:pPr>
          </w:p>
        </w:tc>
        <w:tc>
          <w:tcPr>
            <w:tcW w:w="86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207,321</w:t>
            </w:r>
          </w:p>
        </w:tc>
        <w:tc>
          <w:tcPr>
            <w:tcW w:w="80" w:type="dxa"/>
            <w:vAlign w:val="bottom"/>
          </w:tcPr>
          <w:p>
            <w:pPr>
              <w:spacing w:after="0"/>
              <w:rPr>
                <w:sz w:val="14"/>
                <w:szCs w:val="14"/>
                <w:color w:val="auto"/>
              </w:rPr>
            </w:pPr>
          </w:p>
        </w:tc>
        <w:tc>
          <w:tcPr>
            <w:tcW w:w="102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298.8 %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Revenue share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41,085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20,629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20,456</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99.2 %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Marketing and advertising expense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80,614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56,151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24,463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75,199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64,752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10,447</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16.1 %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Technology expense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11,596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11,525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19,629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25,671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(6,042)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Goodwill and intangible asset impairment charges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40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B6B6B6"/>
              <w:bottom w:val="single" w:sz="8" w:color="B6B6B6"/>
            </w:tcBorders>
            <w:shd w:val="clear" w:color="auto" w:fill="B6B6B6"/>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261,637</w:t>
            </w:r>
          </w:p>
        </w:tc>
        <w:tc>
          <w:tcPr>
            <w:tcW w:w="100" w:type="dxa"/>
            <w:vAlign w:val="bottom"/>
          </w:tcPr>
          <w:p>
            <w:pPr>
              <w:spacing w:after="0"/>
              <w:rPr>
                <w:sz w:val="14"/>
                <w:szCs w:val="14"/>
                <w:color w:val="auto"/>
              </w:rPr>
            </w:pPr>
          </w:p>
        </w:tc>
        <w:tc>
          <w:tcPr>
            <w:tcW w:w="12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94.6 %</w:t>
            </w:r>
          </w:p>
        </w:tc>
        <w:tc>
          <w:tcPr>
            <w:tcW w:w="100" w:type="dxa"/>
            <w:vAlign w:val="bottom"/>
          </w:tcPr>
          <w:p>
            <w:pPr>
              <w:spacing w:after="0"/>
              <w:rPr>
                <w:sz w:val="14"/>
                <w:szCs w:val="14"/>
                <w:color w:val="auto"/>
              </w:rPr>
            </w:pPr>
          </w:p>
        </w:tc>
        <w:tc>
          <w:tcPr>
            <w:tcW w:w="20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202,554</w:t>
            </w:r>
          </w:p>
        </w:tc>
        <w:tc>
          <w:tcPr>
            <w:tcW w:w="100" w:type="dxa"/>
            <w:vAlign w:val="bottom"/>
          </w:tcPr>
          <w:p>
            <w:pPr>
              <w:spacing w:after="0"/>
              <w:rPr>
                <w:sz w:val="14"/>
                <w:szCs w:val="14"/>
                <w:color w:val="auto"/>
              </w:rPr>
            </w:pPr>
          </w:p>
        </w:tc>
        <w:tc>
          <w:tcPr>
            <w:tcW w:w="12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292.0 %</w:t>
            </w:r>
          </w:p>
        </w:tc>
        <w:tc>
          <w:tcPr>
            <w:tcW w:w="100" w:type="dxa"/>
            <w:vAlign w:val="bottom"/>
          </w:tcPr>
          <w:p>
            <w:pPr>
              <w:spacing w:after="0"/>
              <w:rPr>
                <w:sz w:val="14"/>
                <w:szCs w:val="14"/>
                <w:color w:val="auto"/>
              </w:rPr>
            </w:pPr>
          </w:p>
        </w:tc>
        <w:tc>
          <w:tcPr>
            <w:tcW w:w="140" w:type="dxa"/>
            <w:vAlign w:val="bottom"/>
            <w:tcBorders>
              <w:top w:val="single" w:sz="8" w:color="B6B6B6"/>
              <w:bottom w:val="single" w:sz="8" w:color="B6B6B6"/>
            </w:tcBorders>
          </w:tcPr>
          <w:p>
            <w:pPr>
              <w:spacing w:after="0"/>
              <w:rPr>
                <w:sz w:val="14"/>
                <w:szCs w:val="14"/>
                <w:color w:val="auto"/>
              </w:rPr>
            </w:pPr>
          </w:p>
        </w:tc>
        <w:tc>
          <w:tcPr>
            <w:tcW w:w="8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59,083</w:t>
            </w:r>
          </w:p>
        </w:tc>
        <w:tc>
          <w:tcPr>
            <w:tcW w:w="80" w:type="dxa"/>
            <w:vAlign w:val="bottom"/>
          </w:tcPr>
          <w:p>
            <w:pPr>
              <w:spacing w:after="0"/>
              <w:rPr>
                <w:sz w:val="14"/>
                <w:szCs w:val="14"/>
                <w:color w:val="auto"/>
              </w:rPr>
            </w:pPr>
          </w:p>
        </w:tc>
        <w:tc>
          <w:tcPr>
            <w:tcW w:w="10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29.2 %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15,060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(133,178)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148,238</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(111.3)%</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17,751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17,317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40" w:type="dxa"/>
            <w:vAlign w:val="bottom"/>
            <w:tcBorders>
              <w:bottom w:val="single" w:sz="8" w:color="B6B6B6"/>
            </w:tcBorders>
          </w:tcPr>
          <w:p>
            <w:pPr>
              <w:spacing w:after="0"/>
              <w:rPr>
                <w:sz w:val="15"/>
                <w:szCs w:val="15"/>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1,452.0 %</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bottom w:val="single" w:sz="8" w:color="B6B6B6"/>
            </w:tcBorders>
            <w:shd w:val="clear" w:color="auto" w:fill="B6B6B6"/>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(1,915)</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20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(150,445)</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(216.9)%</w:t>
            </w:r>
          </w:p>
        </w:tc>
        <w:tc>
          <w:tcPr>
            <w:tcW w:w="100" w:type="dxa"/>
            <w:vAlign w:val="bottom"/>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148,530</w:t>
            </w:r>
          </w:p>
        </w:tc>
        <w:tc>
          <w:tcPr>
            <w:tcW w:w="80" w:type="dxa"/>
            <w:vAlign w:val="bottom"/>
          </w:tcPr>
          <w:p>
            <w:pPr>
              <w:spacing w:after="0"/>
              <w:rPr>
                <w:sz w:val="14"/>
                <w:szCs w:val="14"/>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B6B6B6"/>
            </w:tcBorders>
            <w:shd w:val="clear" w:color="auto" w:fill="B6B6B6"/>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20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29.8 %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B6B6B6"/>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(150,737)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148,443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(89,338)</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(128.8)%</w:t>
            </w:r>
          </w:p>
        </w:tc>
        <w:tc>
          <w:tcPr>
            <w:tcW w:w="100" w:type="dxa"/>
            <w:vAlign w:val="bottom"/>
          </w:tcPr>
          <w:p>
            <w:pPr>
              <w:spacing w:after="0"/>
              <w:rPr>
                <w:sz w:val="15"/>
                <w:szCs w:val="15"/>
                <w:color w:val="auto"/>
              </w:rPr>
            </w:pPr>
          </w:p>
        </w:tc>
        <w:tc>
          <w:tcPr>
            <w:tcW w:w="140" w:type="dxa"/>
            <w:vAlign w:val="bottom"/>
            <w:tcBorders>
              <w:bottom w:val="single" w:sz="8" w:color="B6B6B6"/>
            </w:tcBorders>
          </w:tcPr>
          <w:p>
            <w:pPr>
              <w:spacing w:after="0"/>
              <w:rPr>
                <w:sz w:val="15"/>
                <w:szCs w:val="15"/>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88,270</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(1,226)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(0.4)%</w:t>
            </w:r>
          </w:p>
        </w:tc>
        <w:tc>
          <w:tcPr>
            <w:tcW w:w="100" w:type="dxa"/>
            <w:vAlign w:val="bottom"/>
          </w:tcPr>
          <w:p>
            <w:pPr>
              <w:spacing w:after="0"/>
              <w:rPr>
                <w:sz w:val="15"/>
                <w:szCs w:val="15"/>
                <w:color w:val="auto"/>
              </w:rPr>
            </w:pPr>
          </w:p>
        </w:tc>
        <w:tc>
          <w:tcPr>
            <w:tcW w:w="20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(61,399)</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(88.5)%</w:t>
            </w:r>
          </w:p>
        </w:tc>
        <w:tc>
          <w:tcPr>
            <w:tcW w:w="100" w:type="dxa"/>
            <w:vAlign w:val="bottom"/>
          </w:tcPr>
          <w:p>
            <w:pPr>
              <w:spacing w:after="0"/>
              <w:rPr>
                <w:sz w:val="15"/>
                <w:szCs w:val="15"/>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60,173</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(98.0)%</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400" w:type="dxa"/>
            <w:vAlign w:val="bottom"/>
            <w:vMerge w:val="continue"/>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400" w:type="dxa"/>
            <w:vAlign w:val="bottom"/>
          </w:tcPr>
          <w:p>
            <w:pPr>
              <w:ind w:left="20"/>
              <w:spacing w:after="0" w:line="145" w:lineRule="exact"/>
              <w:rPr>
                <w:sz w:val="20"/>
                <w:szCs w:val="20"/>
                <w:color w:val="auto"/>
              </w:rPr>
            </w:pPr>
            <w:r>
              <w:rPr>
                <w:rFonts w:ascii="Arial" w:cs="Arial" w:eastAsia="Arial" w:hAnsi="Arial"/>
                <w:sz w:val="13"/>
                <w:szCs w:val="13"/>
                <w:color w:val="auto"/>
                <w:w w:val="98"/>
              </w:rPr>
              <w:t>Weighted-average shares of Class A common stock outstanding —basic and</w:t>
            </w:r>
          </w:p>
        </w:tc>
        <w:tc>
          <w:tcPr>
            <w:tcW w:w="100" w:type="dxa"/>
            <w:vAlign w:val="bottom"/>
            <w:shd w:val="clear" w:color="auto" w:fill="B6B6B6"/>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9,582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8,895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42,684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(106,550)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B6B6B6"/>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Twelve months ended Dec.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8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98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85"/>
        </w:trPr>
        <w:tc>
          <w:tcPr>
            <w:tcW w:w="44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8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0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Net revenues</w:t>
            </w:r>
          </w:p>
        </w:tc>
        <w:tc>
          <w:tcPr>
            <w:tcW w:w="80" w:type="dxa"/>
            <w:vAlign w:val="bottom"/>
            <w:tcBorders>
              <w:top w:val="single" w:sz="8" w:color="B6B6B6"/>
            </w:tcBorders>
            <w:shd w:val="clear" w:color="auto" w:fill="B6B6B6"/>
          </w:tcPr>
          <w:p>
            <w:pPr>
              <w:spacing w:after="0"/>
              <w:rPr>
                <w:sz w:val="14"/>
                <w:szCs w:val="14"/>
                <w:color w:val="auto"/>
              </w:rPr>
            </w:pPr>
          </w:p>
        </w:tc>
        <w:tc>
          <w:tcPr>
            <w:tcW w:w="240" w:type="dxa"/>
            <w:vAlign w:val="bottom"/>
            <w:tcBorders>
              <w:top w:val="single" w:sz="8" w:color="B6B6B6"/>
            </w:tcBorders>
          </w:tcPr>
          <w:p>
            <w:pPr>
              <w:spacing w:after="0"/>
              <w:rPr>
                <w:sz w:val="14"/>
                <w:szCs w:val="14"/>
                <w:color w:val="auto"/>
              </w:rPr>
            </w:pPr>
          </w:p>
        </w:tc>
        <w:tc>
          <w:tcPr>
            <w:tcW w:w="94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734,671</w:t>
            </w:r>
          </w:p>
        </w:tc>
        <w:tc>
          <w:tcPr>
            <w:tcW w:w="80" w:type="dxa"/>
            <w:vAlign w:val="bottom"/>
          </w:tcPr>
          <w:p>
            <w:pPr>
              <w:spacing w:after="0"/>
              <w:rPr>
                <w:sz w:val="14"/>
                <w:szCs w:val="14"/>
                <w:color w:val="auto"/>
              </w:rPr>
            </w:pPr>
          </w:p>
        </w:tc>
        <w:tc>
          <w:tcPr>
            <w:tcW w:w="9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220" w:type="dxa"/>
            <w:vAlign w:val="bottom"/>
            <w:tcBorders>
              <w:top w:val="single" w:sz="8" w:color="B6B6B6"/>
            </w:tcBorders>
          </w:tcPr>
          <w:p>
            <w:pPr>
              <w:spacing w:after="0"/>
              <w:rPr>
                <w:sz w:val="14"/>
                <w:szCs w:val="14"/>
                <w:color w:val="auto"/>
              </w:rPr>
            </w:pPr>
          </w:p>
        </w:tc>
        <w:tc>
          <w:tcPr>
            <w:tcW w:w="940" w:type="dxa"/>
            <w:vAlign w:val="bottom"/>
            <w:tcBorders>
              <w:top w:val="single" w:sz="8" w:color="B6B6B6"/>
            </w:tcBorders>
          </w:tcPr>
          <w:p>
            <w:pPr>
              <w:jc w:val="right"/>
              <w:ind w:right="117"/>
              <w:spacing w:after="0"/>
              <w:rPr>
                <w:sz w:val="20"/>
                <w:szCs w:val="20"/>
                <w:color w:val="auto"/>
              </w:rPr>
            </w:pPr>
            <w:r>
              <w:rPr>
                <w:rFonts w:ascii="Arial" w:cs="Arial" w:eastAsia="Arial" w:hAnsi="Arial"/>
                <w:sz w:val="13"/>
                <w:szCs w:val="13"/>
                <w:color w:val="auto"/>
              </w:rPr>
              <w:t>631,675</w:t>
            </w:r>
          </w:p>
        </w:tc>
        <w:tc>
          <w:tcPr>
            <w:tcW w:w="80" w:type="dxa"/>
            <w:vAlign w:val="bottom"/>
          </w:tcPr>
          <w:p>
            <w:pPr>
              <w:spacing w:after="0"/>
              <w:rPr>
                <w:sz w:val="14"/>
                <w:szCs w:val="14"/>
                <w:color w:val="auto"/>
              </w:rPr>
            </w:pPr>
          </w:p>
        </w:tc>
        <w:tc>
          <w:tcPr>
            <w:tcW w:w="9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60" w:type="dxa"/>
            <w:vAlign w:val="bottom"/>
            <w:tcBorders>
              <w:top w:val="single" w:sz="8" w:color="B6B6B6"/>
            </w:tcBorders>
          </w:tcPr>
          <w:p>
            <w:pPr>
              <w:spacing w:after="0"/>
              <w:rPr>
                <w:sz w:val="14"/>
                <w:szCs w:val="14"/>
                <w:color w:val="auto"/>
              </w:rPr>
            </w:pPr>
          </w:p>
        </w:tc>
        <w:tc>
          <w:tcPr>
            <w:tcW w:w="8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102,996</w:t>
            </w:r>
          </w:p>
        </w:tc>
        <w:tc>
          <w:tcPr>
            <w:tcW w:w="100" w:type="dxa"/>
            <w:vAlign w:val="bottom"/>
          </w:tcPr>
          <w:p>
            <w:pPr>
              <w:spacing w:after="0"/>
              <w:rPr>
                <w:sz w:val="14"/>
                <w:szCs w:val="14"/>
                <w:color w:val="auto"/>
              </w:rPr>
            </w:pPr>
          </w:p>
        </w:tc>
        <w:tc>
          <w:tcPr>
            <w:tcW w:w="96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8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Revenue share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158,961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187,670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(28,709)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Marketing and advertising expense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205,042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207,559</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(2,517)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209,234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260,902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(51,668)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Technology expense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43,302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46,094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(2,792)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93,069</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116,530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(23,461)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94,057</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94,057</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2,687</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25,345</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(22,658)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Goodwill and intangible asset impairment charges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40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12,184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(12,184)</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816,352</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111.1 %</w:t>
            </w:r>
          </w:p>
        </w:tc>
        <w:tc>
          <w:tcPr>
            <w:tcW w:w="100" w:type="dxa"/>
            <w:vAlign w:val="bottom"/>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950,341</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150.4 %</w:t>
            </w:r>
          </w:p>
        </w:tc>
        <w:tc>
          <w:tcPr>
            <w:tcW w:w="100" w:type="dxa"/>
            <w:vAlign w:val="bottom"/>
          </w:tcPr>
          <w:p>
            <w:pPr>
              <w:spacing w:after="0"/>
              <w:rPr>
                <w:sz w:val="14"/>
                <w:szCs w:val="14"/>
                <w:color w:val="auto"/>
              </w:rPr>
            </w:pPr>
          </w:p>
        </w:tc>
        <w:tc>
          <w:tcPr>
            <w:tcW w:w="16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(133,989)</w:t>
            </w:r>
          </w:p>
        </w:tc>
        <w:tc>
          <w:tcPr>
            <w:tcW w:w="100" w:type="dxa"/>
            <w:vAlign w:val="bottom"/>
          </w:tcPr>
          <w:p>
            <w:pPr>
              <w:spacing w:after="0"/>
              <w:rPr>
                <w:sz w:val="14"/>
                <w:szCs w:val="14"/>
                <w:color w:val="auto"/>
              </w:rPr>
            </w:pPr>
          </w:p>
        </w:tc>
        <w:tc>
          <w:tcPr>
            <w:tcW w:w="9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8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(81,681)</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(318,666)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236,985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69,472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57,069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12,403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21.7 %</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(151,116)</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94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(375,620)</w:t>
            </w:r>
          </w:p>
        </w:tc>
        <w:tc>
          <w:tcPr>
            <w:tcW w:w="8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(59.5)%</w:t>
            </w:r>
          </w:p>
        </w:tc>
        <w:tc>
          <w:tcPr>
            <w:tcW w:w="100" w:type="dxa"/>
            <w:vAlign w:val="bottom"/>
          </w:tcPr>
          <w:p>
            <w:pPr>
              <w:spacing w:after="0"/>
              <w:rPr>
                <w:sz w:val="14"/>
                <w:szCs w:val="14"/>
                <w:color w:val="auto"/>
              </w:rPr>
            </w:pPr>
          </w:p>
        </w:tc>
        <w:tc>
          <w:tcPr>
            <w:tcW w:w="16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224,504</w:t>
            </w:r>
          </w:p>
        </w:tc>
        <w:tc>
          <w:tcPr>
            <w:tcW w:w="100" w:type="dxa"/>
            <w:vAlign w:val="bottom"/>
          </w:tcPr>
          <w:p>
            <w:pPr>
              <w:spacing w:after="0"/>
              <w:rPr>
                <w:sz w:val="14"/>
                <w:szCs w:val="14"/>
                <w:color w:val="auto"/>
              </w:rPr>
            </w:pPr>
          </w:p>
        </w:tc>
        <w:tc>
          <w:tcPr>
            <w:tcW w:w="9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B6B6B6"/>
            </w:tcBorders>
            <w:shd w:val="clear" w:color="auto" w:fill="B6B6B6"/>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94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4"/>
                <w:szCs w:val="14"/>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4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4"/>
                <w:szCs w:val="14"/>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16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B6B6B6"/>
          </w:tcPr>
          <w:p>
            <w:pPr>
              <w:spacing w:after="0"/>
              <w:rPr>
                <w:sz w:val="14"/>
                <w:szCs w:val="1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(151,270)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(376,384)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225,114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8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(88,013)</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(227,678)</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5"/>
                <w:szCs w:val="15"/>
                <w:color w:val="auto"/>
              </w:rPr>
            </w:pPr>
          </w:p>
        </w:tc>
        <w:tc>
          <w:tcPr>
            <w:tcW w:w="160" w:type="dxa"/>
            <w:vAlign w:val="bottom"/>
            <w:tcBorders>
              <w:bottom w:val="single" w:sz="8" w:color="B6B6B6"/>
            </w:tcBorders>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139,665</w:t>
            </w:r>
          </w:p>
        </w:tc>
        <w:tc>
          <w:tcPr>
            <w:tcW w:w="100" w:type="dxa"/>
            <w:vAlign w:val="bottom"/>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8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(63,257)</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(8.6)%</w:t>
            </w:r>
          </w:p>
        </w:tc>
        <w:tc>
          <w:tcPr>
            <w:tcW w:w="100" w:type="dxa"/>
            <w:vAlign w:val="bottom"/>
          </w:tcPr>
          <w:p>
            <w:pPr>
              <w:spacing w:after="0"/>
              <w:rPr>
                <w:sz w:val="15"/>
                <w:szCs w:val="15"/>
                <w:color w:val="auto"/>
              </w:rPr>
            </w:pPr>
          </w:p>
        </w:tc>
        <w:tc>
          <w:tcPr>
            <w:tcW w:w="2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(148,706)</w:t>
            </w:r>
          </w:p>
        </w:tc>
        <w:tc>
          <w:tcPr>
            <w:tcW w:w="8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(23.5)%</w:t>
            </w:r>
          </w:p>
        </w:tc>
        <w:tc>
          <w:tcPr>
            <w:tcW w:w="100" w:type="dxa"/>
            <w:vAlign w:val="bottom"/>
          </w:tcPr>
          <w:p>
            <w:pPr>
              <w:spacing w:after="0"/>
              <w:rPr>
                <w:sz w:val="15"/>
                <w:szCs w:val="15"/>
                <w:color w:val="auto"/>
              </w:rPr>
            </w:pPr>
          </w:p>
        </w:tc>
        <w:tc>
          <w:tcPr>
            <w:tcW w:w="160" w:type="dxa"/>
            <w:vAlign w:val="bottom"/>
            <w:tcBorders>
              <w:bottom w:val="single" w:sz="8" w:color="B6B6B6"/>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85,449</w:t>
            </w:r>
          </w:p>
        </w:tc>
        <w:tc>
          <w:tcPr>
            <w:tcW w:w="100" w:type="dxa"/>
            <w:vAlign w:val="bottom"/>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(57.5)%</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400" w:type="dxa"/>
            <w:vAlign w:val="bottom"/>
            <w:vMerge w:val="continue"/>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8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(17.72)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00" w:type="dxa"/>
            <w:vAlign w:val="bottom"/>
          </w:tcPr>
          <w:p>
            <w:pPr>
              <w:ind w:left="20"/>
              <w:spacing w:after="0" w:line="136" w:lineRule="exact"/>
              <w:rPr>
                <w:sz w:val="20"/>
                <w:szCs w:val="20"/>
                <w:color w:val="auto"/>
              </w:rPr>
            </w:pPr>
            <w:r>
              <w:rPr>
                <w:rFonts w:ascii="Arial" w:cs="Arial" w:eastAsia="Arial" w:hAnsi="Arial"/>
                <w:sz w:val="13"/>
                <w:szCs w:val="13"/>
                <w:color w:val="auto"/>
                <w:w w:val="97"/>
              </w:rPr>
              <w:t>Weighted-average shares of Class A common stock outstanding — basic and</w:t>
            </w:r>
          </w:p>
        </w:tc>
        <w:tc>
          <w:tcPr>
            <w:tcW w:w="80" w:type="dxa"/>
            <w:vAlign w:val="bottom"/>
            <w:shd w:val="clear" w:color="auto" w:fill="B6B6B6"/>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9,292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8,445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8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EBITDA</w:t>
            </w:r>
          </w:p>
        </w:tc>
        <w:tc>
          <w:tcPr>
            <w:tcW w:w="8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24,104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(211,549)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8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75,091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(129,776)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8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10.2 %</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2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 31,</w:t>
            </w:r>
          </w:p>
        </w:tc>
        <w:tc>
          <w:tcPr>
            <w:tcW w:w="240" w:type="dxa"/>
            <w:vAlign w:val="bottom"/>
          </w:tcPr>
          <w:p>
            <w:pPr>
              <w:spacing w:after="0"/>
              <w:rPr>
                <w:sz w:val="14"/>
                <w:szCs w:val="14"/>
                <w:color w:val="auto"/>
              </w:rPr>
            </w:pPr>
          </w:p>
        </w:tc>
        <w:tc>
          <w:tcPr>
            <w:tcW w:w="240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w:t>
            </w:r>
          </w:p>
        </w:tc>
        <w:tc>
          <w:tcPr>
            <w:tcW w:w="80" w:type="dxa"/>
            <w:vAlign w:val="bottom"/>
            <w:tcBorders>
              <w:bottom w:val="single" w:sz="8" w:color="B6B6B6"/>
            </w:tcBorders>
            <w:shd w:val="clear" w:color="auto" w:fill="B6B6B6"/>
          </w:tcPr>
          <w:p>
            <w:pPr>
              <w:spacing w:after="0"/>
              <w:rPr>
                <w:sz w:val="12"/>
                <w:szCs w:val="12"/>
                <w:color w:val="auto"/>
              </w:rPr>
            </w:pPr>
          </w:p>
        </w:tc>
        <w:tc>
          <w:tcPr>
            <w:tcW w:w="2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276,697</w:t>
            </w:r>
          </w:p>
        </w:tc>
        <w:tc>
          <w:tcPr>
            <w:tcW w:w="100" w:type="dxa"/>
            <w:vAlign w:val="bottom"/>
          </w:tcPr>
          <w:p>
            <w:pPr>
              <w:spacing w:after="0"/>
              <w:rPr>
                <w:sz w:val="12"/>
                <w:szCs w:val="12"/>
                <w:color w:val="auto"/>
              </w:rPr>
            </w:pPr>
          </w:p>
        </w:tc>
        <w:tc>
          <w:tcPr>
            <w:tcW w:w="28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69,376</w:t>
            </w:r>
          </w:p>
        </w:tc>
        <w:tc>
          <w:tcPr>
            <w:tcW w:w="100" w:type="dxa"/>
            <w:vAlign w:val="bottom"/>
          </w:tcPr>
          <w:p>
            <w:pPr>
              <w:spacing w:after="0"/>
              <w:rPr>
                <w:sz w:val="12"/>
                <w:szCs w:val="12"/>
                <w:color w:val="auto"/>
              </w:rPr>
            </w:pPr>
          </w:p>
        </w:tc>
        <w:tc>
          <w:tcPr>
            <w:tcW w:w="24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734,671</w:t>
            </w:r>
          </w:p>
        </w:tc>
        <w:tc>
          <w:tcPr>
            <w:tcW w:w="100" w:type="dxa"/>
            <w:vAlign w:val="bottom"/>
          </w:tcPr>
          <w:p>
            <w:pPr>
              <w:spacing w:after="0"/>
              <w:rPr>
                <w:sz w:val="12"/>
                <w:szCs w:val="12"/>
                <w:color w:val="auto"/>
              </w:rPr>
            </w:pPr>
          </w:p>
        </w:tc>
        <w:tc>
          <w:tcPr>
            <w:tcW w:w="300" w:type="dxa"/>
            <w:vAlign w:val="bottom"/>
            <w:tcBorders>
              <w:bottom w:val="single" w:sz="8" w:color="B6B6B6"/>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631,675</w:t>
            </w:r>
          </w:p>
        </w:tc>
        <w:tc>
          <w:tcPr>
            <w:tcW w:w="0" w:type="dxa"/>
            <w:vAlign w:val="bottom"/>
          </w:tcPr>
          <w:p>
            <w:pPr>
              <w:spacing w:after="0"/>
              <w:rPr>
                <w:sz w:val="1"/>
                <w:szCs w:val="1"/>
                <w:color w:val="auto"/>
              </w:rPr>
            </w:pPr>
          </w:p>
        </w:tc>
      </w:tr>
      <w:tr>
        <w:trPr>
          <w:trHeight w:val="163"/>
        </w:trPr>
        <w:tc>
          <w:tcPr>
            <w:tcW w:w="57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(150,737)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(151,270)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(376,384)</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17,751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17,317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69,472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57,069</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83"/>
        </w:trPr>
        <w:tc>
          <w:tcPr>
            <w:tcW w:w="5780" w:type="dxa"/>
            <w:vAlign w:val="bottom"/>
          </w:tcPr>
          <w:p>
            <w:pPr>
              <w:ind w:left="240"/>
              <w:spacing w:after="0"/>
              <w:rPr>
                <w:sz w:val="20"/>
                <w:szCs w:val="20"/>
                <w:color w:val="auto"/>
              </w:rPr>
            </w:pPr>
            <w:r>
              <w:rPr>
                <w:rFonts w:ascii="Arial" w:cs="Arial" w:eastAsia="Arial" w:hAnsi="Arial"/>
                <w:sz w:val="13"/>
                <w:szCs w:val="13"/>
                <w:color w:val="auto"/>
              </w:rPr>
              <w:t>Depreciation and amortization expense</w:t>
            </w:r>
          </w:p>
        </w:tc>
        <w:tc>
          <w:tcPr>
            <w:tcW w:w="8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26,848</w:t>
            </w:r>
          </w:p>
        </w:tc>
        <w:tc>
          <w:tcPr>
            <w:tcW w:w="100" w:type="dxa"/>
            <w:vAlign w:val="bottom"/>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26,578</w:t>
            </w:r>
          </w:p>
        </w:tc>
        <w:tc>
          <w:tcPr>
            <w:tcW w:w="100" w:type="dxa"/>
            <w:vAlign w:val="bottom"/>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105,748</w:t>
            </w:r>
          </w:p>
        </w:tc>
        <w:tc>
          <w:tcPr>
            <w:tcW w:w="100" w:type="dxa"/>
            <w:vAlign w:val="bottom"/>
          </w:tcPr>
          <w:p>
            <w:pPr>
              <w:spacing w:after="0"/>
              <w:rPr>
                <w:sz w:val="15"/>
                <w:szCs w:val="15"/>
                <w:color w:val="auto"/>
              </w:rPr>
            </w:pPr>
          </w:p>
        </w:tc>
        <w:tc>
          <w:tcPr>
            <w:tcW w:w="30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107,002</w:t>
            </w:r>
          </w:p>
        </w:tc>
        <w:tc>
          <w:tcPr>
            <w:tcW w:w="0" w:type="dxa"/>
            <w:vAlign w:val="bottom"/>
          </w:tcPr>
          <w:p>
            <w:pPr>
              <w:spacing w:after="0"/>
              <w:rPr>
                <w:sz w:val="1"/>
                <w:szCs w:val="1"/>
                <w:color w:val="auto"/>
              </w:rPr>
            </w:pPr>
          </w:p>
        </w:tc>
      </w:tr>
      <w:tr>
        <w:trPr>
          <w:trHeight w:val="166"/>
        </w:trPr>
        <w:tc>
          <w:tcPr>
            <w:tcW w:w="5780" w:type="dxa"/>
            <w:vAlign w:val="bottom"/>
          </w:tcPr>
          <w:p>
            <w:pPr>
              <w:ind w:left="20"/>
              <w:spacing w:after="0"/>
              <w:rPr>
                <w:sz w:val="20"/>
                <w:szCs w:val="20"/>
                <w:color w:val="auto"/>
              </w:rPr>
            </w:pPr>
            <w:r>
              <w:rPr>
                <w:rFonts w:ascii="Arial" w:cs="Arial" w:eastAsia="Arial" w:hAnsi="Arial"/>
                <w:sz w:val="13"/>
                <w:szCs w:val="13"/>
                <w:color w:val="auto"/>
              </w:rPr>
              <w:t>EBITDA</w:t>
            </w: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42,684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(106,550)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24,104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(211,549)</w:t>
            </w:r>
          </w:p>
        </w:tc>
        <w:tc>
          <w:tcPr>
            <w:tcW w:w="0" w:type="dxa"/>
            <w:vAlign w:val="bottom"/>
          </w:tcPr>
          <w:p>
            <w:pPr>
              <w:spacing w:after="0"/>
              <w:rPr>
                <w:sz w:val="1"/>
                <w:szCs w:val="1"/>
                <w:color w:val="auto"/>
              </w:rPr>
            </w:pPr>
          </w:p>
        </w:tc>
      </w:tr>
      <w:tr>
        <w:trPr>
          <w:trHeight w:val="181"/>
        </w:trPr>
        <w:tc>
          <w:tcPr>
            <w:tcW w:w="5780" w:type="dxa"/>
            <w:vAlign w:val="bottom"/>
          </w:tcPr>
          <w:p>
            <w:pPr>
              <w:ind w:left="240"/>
              <w:spacing w:after="0" w:line="181" w:lineRule="exact"/>
              <w:rPr>
                <w:sz w:val="20"/>
                <w:szCs w:val="20"/>
                <w:color w:val="auto"/>
              </w:rPr>
            </w:pPr>
            <w:r>
              <w:rPr>
                <w:rFonts w:ascii="Arial" w:cs="Arial" w:eastAsia="Arial" w:hAnsi="Arial"/>
                <w:sz w:val="13"/>
                <w:szCs w:val="13"/>
                <w:color w:val="auto"/>
              </w:rPr>
              <w:t xml:space="preserve">Goodwill and intangible asset impairment charges </w:t>
            </w:r>
            <w:r>
              <w:rPr>
                <w:rFonts w:ascii="Arial" w:cs="Arial" w:eastAsia="Arial" w:hAnsi="Arial"/>
                <w:sz w:val="16"/>
                <w:szCs w:val="16"/>
                <w:color w:val="auto"/>
                <w:vertAlign w:val="superscript"/>
              </w:rPr>
              <w:t>(1)</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Share-based compensation expense (benefit) </w:t>
            </w:r>
            <w:r>
              <w:rPr>
                <w:rFonts w:ascii="Arial" w:cs="Arial" w:eastAsia="Arial" w:hAnsi="Arial"/>
                <w:sz w:val="16"/>
                <w:szCs w:val="16"/>
                <w:color w:val="auto"/>
                <w:vertAlign w:val="superscript"/>
              </w:rPr>
              <w:t>(2)</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3,405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6,256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19,564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32,124</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Professional services </w:t>
            </w:r>
            <w:r>
              <w:rPr>
                <w:rFonts w:ascii="Arial" w:cs="Arial" w:eastAsia="Arial" w:hAnsi="Arial"/>
                <w:sz w:val="16"/>
                <w:szCs w:val="16"/>
                <w:color w:val="auto"/>
                <w:vertAlign w:val="superscript"/>
              </w:rPr>
              <w:t>(3)</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1,548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4,752</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w w:val="98"/>
              </w:rPr>
              <w:t xml:space="preserve">Other (income) loss related to the adjustment of liabilities under the Tax Receivable Agreement </w:t>
            </w:r>
            <w:r>
              <w:rPr>
                <w:rFonts w:ascii="Arial" w:cs="Arial" w:eastAsia="Arial" w:hAnsi="Arial"/>
                <w:sz w:val="16"/>
                <w:szCs w:val="16"/>
                <w:color w:val="auto"/>
                <w:w w:val="98"/>
                <w:vertAlign w:val="superscript"/>
              </w:rPr>
              <w:t>(4)</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Legal fees </w:t>
            </w:r>
            <w:r>
              <w:rPr>
                <w:rFonts w:ascii="Arial" w:cs="Arial" w:eastAsia="Arial" w:hAnsi="Arial"/>
                <w:sz w:val="16"/>
                <w:szCs w:val="16"/>
                <w:color w:val="auto"/>
                <w:vertAlign w:val="superscript"/>
              </w:rPr>
              <w:t>(5)</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3,478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14,840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3,478</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Operating lease impairment charges </w:t>
            </w:r>
            <w:r>
              <w:rPr>
                <w:rFonts w:ascii="Arial" w:cs="Arial" w:eastAsia="Arial" w:hAnsi="Arial"/>
                <w:sz w:val="16"/>
                <w:szCs w:val="16"/>
                <w:color w:val="auto"/>
                <w:vertAlign w:val="superscript"/>
              </w:rPr>
              <w:t>(6)</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2,687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25,345</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 xml:space="preserve">Severance costs </w:t>
            </w:r>
            <w:r>
              <w:rPr>
                <w:rFonts w:ascii="Arial" w:cs="Arial" w:eastAsia="Arial" w:hAnsi="Arial"/>
                <w:sz w:val="16"/>
                <w:szCs w:val="16"/>
                <w:color w:val="auto"/>
                <w:vertAlign w:val="superscript"/>
              </w:rPr>
              <w:t>(7)</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1,920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3,340</w:t>
            </w:r>
          </w:p>
        </w:tc>
        <w:tc>
          <w:tcPr>
            <w:tcW w:w="0" w:type="dxa"/>
            <w:vAlign w:val="bottom"/>
          </w:tcPr>
          <w:p>
            <w:pPr>
              <w:spacing w:after="0"/>
              <w:rPr>
                <w:sz w:val="1"/>
                <w:szCs w:val="1"/>
                <w:color w:val="auto"/>
              </w:rPr>
            </w:pPr>
          </w:p>
        </w:tc>
      </w:tr>
      <w:tr>
        <w:trPr>
          <w:trHeight w:val="180"/>
        </w:trPr>
        <w:tc>
          <w:tcPr>
            <w:tcW w:w="5780" w:type="dxa"/>
            <w:vAlign w:val="bottom"/>
          </w:tcPr>
          <w:p>
            <w:pPr>
              <w:ind w:left="240"/>
              <w:spacing w:after="0" w:line="180" w:lineRule="exact"/>
              <w:rPr>
                <w:sz w:val="20"/>
                <w:szCs w:val="20"/>
                <w:color w:val="auto"/>
              </w:rPr>
            </w:pPr>
            <w:r>
              <w:rPr>
                <w:rFonts w:ascii="Arial" w:cs="Arial" w:eastAsia="Arial" w:hAnsi="Arial"/>
                <w:sz w:val="13"/>
                <w:szCs w:val="13"/>
                <w:color w:val="auto"/>
              </w:rPr>
              <w:t xml:space="preserve">Restructuring and other related charges </w:t>
            </w:r>
            <w:r>
              <w:rPr>
                <w:rFonts w:ascii="Arial" w:cs="Arial" w:eastAsia="Arial" w:hAnsi="Arial"/>
                <w:sz w:val="16"/>
                <w:szCs w:val="16"/>
                <w:color w:val="auto"/>
                <w:vertAlign w:val="superscript"/>
              </w:rPr>
              <w:t>(8)</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12,184</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(129,776)</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10.2 %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indefinite-lived intangible asset impairment charges for the twelve months ended December 31, 2023</w:t>
      </w:r>
    </w:p>
    <w:p>
      <w:pPr>
        <w:spacing w:after="0" w:line="4" w:lineRule="exact"/>
        <w:rPr>
          <w:rFonts w:ascii="Arial" w:cs="Arial" w:eastAsia="Arial" w:hAnsi="Arial"/>
          <w:sz w:val="13"/>
          <w:szCs w:val="13"/>
          <w:i w:val="1"/>
          <w:iCs w:val="1"/>
          <w:color w:val="auto"/>
        </w:rPr>
      </w:pPr>
    </w:p>
    <w:p>
      <w:pPr>
        <w:ind w:left="340" w:right="160" w:hanging="332"/>
        <w:spacing w:after="0" w:line="244" w:lineRule="auto"/>
        <w:tabs>
          <w:tab w:leader="none" w:pos="332"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primarily associated with non-recurring consulting fees and other professional services.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expense related to the measurement of our Tax Receivable Agreement obligation.</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non-routine legal fees, settlement accruals and other expenses unrelated to our corporate operations.</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spacing w:after="0" w:line="7"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executive employment and associated fees unrelated to restructuring activities.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w:t>
      </w:r>
    </w:p>
    <w:p>
      <w:pPr>
        <w:spacing w:after="0" w:line="342"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following table summarizes net revenues and Adjusted EBITDA excluding the Lookback Adjustments and Non-Encompass BPO Services for the periods indicated (unaudited):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 31,</w:t>
            </w:r>
          </w:p>
        </w:tc>
        <w:tc>
          <w:tcPr>
            <w:tcW w:w="240" w:type="dxa"/>
            <w:vAlign w:val="bottom"/>
          </w:tcPr>
          <w:p>
            <w:pPr>
              <w:spacing w:after="0"/>
              <w:rPr>
                <w:sz w:val="14"/>
                <w:szCs w:val="14"/>
                <w:color w:val="auto"/>
              </w:rPr>
            </w:pPr>
          </w:p>
        </w:tc>
        <w:tc>
          <w:tcPr>
            <w:tcW w:w="240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B6B6B6"/>
          </w:tcPr>
          <w:p>
            <w:pPr>
              <w:spacing w:after="0"/>
              <w:rPr>
                <w:sz w:val="12"/>
                <w:szCs w:val="1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2"/>
                <w:szCs w:val="12"/>
                <w:color w:val="auto"/>
              </w:rPr>
            </w:pPr>
          </w:p>
        </w:tc>
        <w:tc>
          <w:tcPr>
            <w:tcW w:w="280" w:type="dxa"/>
            <w:vAlign w:val="bottom"/>
          </w:tcPr>
          <w:p>
            <w:pPr>
              <w:jc w:val="right"/>
              <w:ind w:right="137"/>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ind w:right="117"/>
              <w:spacing w:after="0" w:line="146" w:lineRule="exact"/>
              <w:rPr>
                <w:sz w:val="20"/>
                <w:szCs w:val="20"/>
                <w:color w:val="auto"/>
              </w:rPr>
            </w:pPr>
            <w:r>
              <w:rPr>
                <w:rFonts w:ascii="Arial" w:cs="Arial" w:eastAsia="Arial" w:hAnsi="Arial"/>
                <w:sz w:val="13"/>
                <w:szCs w:val="13"/>
                <w:color w:val="auto"/>
              </w:rPr>
              <w:t>69,376</w:t>
            </w:r>
          </w:p>
        </w:tc>
        <w:tc>
          <w:tcPr>
            <w:tcW w:w="100" w:type="dxa"/>
            <w:vAlign w:val="bottom"/>
          </w:tcPr>
          <w:p>
            <w:pPr>
              <w:spacing w:after="0"/>
              <w:rPr>
                <w:sz w:val="12"/>
                <w:szCs w:val="12"/>
                <w:color w:val="auto"/>
              </w:rPr>
            </w:pPr>
          </w:p>
        </w:tc>
        <w:tc>
          <w:tcPr>
            <w:tcW w:w="240" w:type="dxa"/>
            <w:vAlign w:val="bottom"/>
          </w:tcPr>
          <w:p>
            <w:pPr>
              <w:jc w:val="right"/>
              <w:ind w:right="97"/>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line="146" w:lineRule="exact"/>
              <w:rPr>
                <w:sz w:val="20"/>
                <w:szCs w:val="20"/>
                <w:color w:val="auto"/>
              </w:rPr>
            </w:pPr>
            <w:r>
              <w:rPr>
                <w:rFonts w:ascii="Arial" w:cs="Arial" w:eastAsia="Arial" w:hAnsi="Arial"/>
                <w:sz w:val="13"/>
                <w:szCs w:val="13"/>
                <w:color w:val="auto"/>
              </w:rPr>
              <w:t>734,671</w:t>
            </w:r>
          </w:p>
        </w:tc>
        <w:tc>
          <w:tcPr>
            <w:tcW w:w="100" w:type="dxa"/>
            <w:vAlign w:val="bottom"/>
          </w:tcPr>
          <w:p>
            <w:pPr>
              <w:spacing w:after="0"/>
              <w:rPr>
                <w:sz w:val="12"/>
                <w:szCs w:val="12"/>
                <w:color w:val="auto"/>
              </w:rPr>
            </w:pPr>
          </w:p>
        </w:tc>
        <w:tc>
          <w:tcPr>
            <w:tcW w:w="300" w:type="dxa"/>
            <w:vAlign w:val="bottom"/>
          </w:tcPr>
          <w:p>
            <w:pPr>
              <w:jc w:val="right"/>
              <w:ind w:right="157"/>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ind w:right="97"/>
              <w:spacing w:after="0" w:line="146" w:lineRule="exact"/>
              <w:rPr>
                <w:sz w:val="20"/>
                <w:szCs w:val="20"/>
                <w:color w:val="auto"/>
              </w:rPr>
            </w:pPr>
            <w:r>
              <w:rPr>
                <w:rFonts w:ascii="Arial" w:cs="Arial" w:eastAsia="Arial" w:hAnsi="Arial"/>
                <w:sz w:val="13"/>
                <w:szCs w:val="13"/>
                <w:color w:val="auto"/>
              </w:rPr>
              <w:t>631,675</w:t>
            </w:r>
          </w:p>
        </w:tc>
        <w:tc>
          <w:tcPr>
            <w:tcW w:w="0" w:type="dxa"/>
            <w:vAlign w:val="bottom"/>
          </w:tcPr>
          <w:p>
            <w:pPr>
              <w:spacing w:after="0"/>
              <w:rPr>
                <w:sz w:val="1"/>
                <w:szCs w:val="1"/>
                <w:color w:val="auto"/>
              </w:rPr>
            </w:pPr>
          </w:p>
        </w:tc>
      </w:tr>
      <w:tr>
        <w:trPr>
          <w:trHeight w:val="173"/>
        </w:trPr>
        <w:tc>
          <w:tcPr>
            <w:tcW w:w="5780" w:type="dxa"/>
            <w:vAlign w:val="bottom"/>
          </w:tcPr>
          <w:p>
            <w:pPr>
              <w:ind w:left="240"/>
              <w:spacing w:after="0"/>
              <w:rPr>
                <w:sz w:val="20"/>
                <w:szCs w:val="20"/>
                <w:color w:val="auto"/>
              </w:rPr>
            </w:pPr>
            <w:r>
              <w:rPr>
                <w:rFonts w:ascii="Arial" w:cs="Arial" w:eastAsia="Arial" w:hAnsi="Arial"/>
                <w:sz w:val="13"/>
                <w:szCs w:val="13"/>
                <w:color w:val="auto"/>
              </w:rPr>
              <w:t>Lookback Adjustments reported during the indicated periods</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266,383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275,709</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Net revenue excluding Lookback Adjustments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10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335,759</w:t>
            </w:r>
          </w:p>
        </w:tc>
        <w:tc>
          <w:tcPr>
            <w:tcW w:w="10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10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734,671</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907,384</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Exit of non-Encompass BPO Services</w:t>
            </w:r>
          </w:p>
        </w:tc>
        <w:tc>
          <w:tcPr>
            <w:tcW w:w="8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(34,198)</w:t>
            </w:r>
          </w:p>
        </w:tc>
        <w:tc>
          <w:tcPr>
            <w:tcW w:w="100" w:type="dxa"/>
            <w:vAlign w:val="bottom"/>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10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(9,477)</w:t>
            </w:r>
          </w:p>
        </w:tc>
        <w:tc>
          <w:tcPr>
            <w:tcW w:w="100" w:type="dxa"/>
            <w:vAlign w:val="bottom"/>
          </w:tcPr>
          <w:p>
            <w:pPr>
              <w:spacing w:after="0"/>
              <w:rPr>
                <w:sz w:val="14"/>
                <w:szCs w:val="14"/>
                <w:color w:val="auto"/>
              </w:rPr>
            </w:pPr>
          </w:p>
        </w:tc>
        <w:tc>
          <w:tcPr>
            <w:tcW w:w="30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(110,865)</w:t>
            </w:r>
          </w:p>
        </w:tc>
        <w:tc>
          <w:tcPr>
            <w:tcW w:w="0" w:type="dxa"/>
            <w:vAlign w:val="bottom"/>
          </w:tcPr>
          <w:p>
            <w:pPr>
              <w:spacing w:after="0"/>
              <w:rPr>
                <w:sz w:val="1"/>
                <w:szCs w:val="1"/>
                <w:color w:val="auto"/>
              </w:rPr>
            </w:pPr>
          </w:p>
        </w:tc>
      </w:tr>
      <w:tr>
        <w:trPr>
          <w:trHeight w:val="174"/>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 excluding Lookback Adjustments and non-Encompass BPO Services</w:t>
            </w:r>
          </w:p>
        </w:tc>
        <w:tc>
          <w:tcPr>
            <w:tcW w:w="8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276,542</w:t>
            </w:r>
          </w:p>
        </w:tc>
        <w:tc>
          <w:tcPr>
            <w:tcW w:w="100" w:type="dxa"/>
            <w:vAlign w:val="bottom"/>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301,561</w:t>
            </w:r>
          </w:p>
        </w:tc>
        <w:tc>
          <w:tcPr>
            <w:tcW w:w="100" w:type="dxa"/>
            <w:vAlign w:val="bottom"/>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725,194</w:t>
            </w:r>
          </w:p>
        </w:tc>
        <w:tc>
          <w:tcPr>
            <w:tcW w:w="100" w:type="dxa"/>
            <w:vAlign w:val="bottom"/>
          </w:tcPr>
          <w:p>
            <w:pPr>
              <w:spacing w:after="0"/>
              <w:rPr>
                <w:sz w:val="15"/>
                <w:szCs w:val="15"/>
                <w:color w:val="auto"/>
              </w:rPr>
            </w:pPr>
          </w:p>
        </w:tc>
        <w:tc>
          <w:tcPr>
            <w:tcW w:w="30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796,519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6"/>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80" w:type="dxa"/>
            <w:vAlign w:val="bottom"/>
            <w:shd w:val="clear" w:color="auto" w:fill="B6B6B6"/>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24"/>
                <w:szCs w:val="2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(129,776)</w:t>
            </w:r>
          </w:p>
        </w:tc>
        <w:tc>
          <w:tcPr>
            <w:tcW w:w="0" w:type="dxa"/>
            <w:vAlign w:val="bottom"/>
          </w:tcPr>
          <w:p>
            <w:pPr>
              <w:spacing w:after="0"/>
              <w:rPr>
                <w:sz w:val="1"/>
                <w:szCs w:val="1"/>
                <w:color w:val="auto"/>
              </w:rPr>
            </w:pPr>
          </w:p>
        </w:tc>
      </w:tr>
      <w:tr>
        <w:trPr>
          <w:trHeight w:val="177"/>
        </w:trPr>
        <w:tc>
          <w:tcPr>
            <w:tcW w:w="5780" w:type="dxa"/>
            <w:vAlign w:val="bottom"/>
          </w:tcPr>
          <w:p>
            <w:pPr>
              <w:ind w:left="240"/>
              <w:spacing w:after="0"/>
              <w:rPr>
                <w:sz w:val="20"/>
                <w:szCs w:val="20"/>
                <w:color w:val="auto"/>
              </w:rPr>
            </w:pPr>
            <w:r>
              <w:rPr>
                <w:rFonts w:ascii="Arial" w:cs="Arial" w:eastAsia="Arial" w:hAnsi="Arial"/>
                <w:sz w:val="13"/>
                <w:szCs w:val="13"/>
                <w:color w:val="auto"/>
              </w:rPr>
              <w:t>Lookback Adjustments reported during the indicated periods</w:t>
            </w:r>
          </w:p>
        </w:tc>
        <w:tc>
          <w:tcPr>
            <w:tcW w:w="80" w:type="dxa"/>
            <w:vAlign w:val="bottom"/>
            <w:shd w:val="clear" w:color="auto" w:fill="B6B6B6"/>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186,617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192,693</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Adjusted EBITDA excluding Lookback Adjustments</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10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91,836</w:t>
            </w:r>
          </w:p>
        </w:tc>
        <w:tc>
          <w:tcPr>
            <w:tcW w:w="10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10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spacing w:after="0"/>
              <w:rPr>
                <w:sz w:val="14"/>
                <w:szCs w:val="14"/>
                <w:color w:val="auto"/>
              </w:rPr>
            </w:pPr>
          </w:p>
        </w:tc>
        <w:tc>
          <w:tcPr>
            <w:tcW w:w="98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62,917</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Exit of non-Encompass BPO Services</w:t>
            </w:r>
          </w:p>
        </w:tc>
        <w:tc>
          <w:tcPr>
            <w:tcW w:w="80" w:type="dxa"/>
            <w:vAlign w:val="bottom"/>
            <w:tcBorders>
              <w:bottom w:val="single" w:sz="8" w:color="B6B6B6"/>
            </w:tcBorders>
            <w:shd w:val="clear" w:color="auto" w:fill="B6B6B6"/>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(6,980)</w:t>
            </w:r>
          </w:p>
        </w:tc>
        <w:tc>
          <w:tcPr>
            <w:tcW w:w="100" w:type="dxa"/>
            <w:vAlign w:val="bottom"/>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10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(2,665)</w:t>
            </w:r>
          </w:p>
        </w:tc>
        <w:tc>
          <w:tcPr>
            <w:tcW w:w="100" w:type="dxa"/>
            <w:vAlign w:val="bottom"/>
          </w:tcPr>
          <w:p>
            <w:pPr>
              <w:spacing w:after="0"/>
              <w:rPr>
                <w:sz w:val="14"/>
                <w:szCs w:val="14"/>
                <w:color w:val="auto"/>
              </w:rPr>
            </w:pPr>
          </w:p>
        </w:tc>
        <w:tc>
          <w:tcPr>
            <w:tcW w:w="30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(20,476)</w:t>
            </w:r>
          </w:p>
        </w:tc>
        <w:tc>
          <w:tcPr>
            <w:tcW w:w="0" w:type="dxa"/>
            <w:vAlign w:val="bottom"/>
          </w:tcPr>
          <w:p>
            <w:pPr>
              <w:spacing w:after="0"/>
              <w:rPr>
                <w:sz w:val="1"/>
                <w:szCs w:val="1"/>
                <w:color w:val="auto"/>
              </w:rPr>
            </w:pPr>
          </w:p>
        </w:tc>
      </w:tr>
      <w:tr>
        <w:trPr>
          <w:trHeight w:val="174"/>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Adjusted EBITDA excluding Lookback Adjustments and non-Encompass BPO Services</w:t>
            </w:r>
          </w:p>
        </w:tc>
        <w:tc>
          <w:tcPr>
            <w:tcW w:w="80" w:type="dxa"/>
            <w:vAlign w:val="bottom"/>
            <w:tcBorders>
              <w:bottom w:val="single" w:sz="8" w:color="B6B6B6"/>
            </w:tcBorders>
            <w:shd w:val="clear" w:color="auto" w:fill="B6B6B6"/>
          </w:tcPr>
          <w:p>
            <w:pPr>
              <w:spacing w:after="0"/>
              <w:rPr>
                <w:sz w:val="15"/>
                <w:szCs w:val="15"/>
                <w:color w:val="auto"/>
              </w:rPr>
            </w:pPr>
          </w:p>
        </w:tc>
        <w:tc>
          <w:tcPr>
            <w:tcW w:w="2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56,853</w:t>
            </w:r>
          </w:p>
        </w:tc>
        <w:tc>
          <w:tcPr>
            <w:tcW w:w="100" w:type="dxa"/>
            <w:vAlign w:val="bottom"/>
          </w:tcPr>
          <w:p>
            <w:pPr>
              <w:spacing w:after="0"/>
              <w:rPr>
                <w:sz w:val="15"/>
                <w:szCs w:val="15"/>
                <w:color w:val="auto"/>
              </w:rPr>
            </w:pPr>
          </w:p>
        </w:tc>
        <w:tc>
          <w:tcPr>
            <w:tcW w:w="28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84,856</w:t>
            </w:r>
          </w:p>
        </w:tc>
        <w:tc>
          <w:tcPr>
            <w:tcW w:w="100" w:type="dxa"/>
            <w:vAlign w:val="bottom"/>
          </w:tcPr>
          <w:p>
            <w:pPr>
              <w:spacing w:after="0"/>
              <w:rPr>
                <w:sz w:val="15"/>
                <w:szCs w:val="15"/>
                <w:color w:val="auto"/>
              </w:rPr>
            </w:pPr>
          </w:p>
        </w:tc>
        <w:tc>
          <w:tcPr>
            <w:tcW w:w="24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72,426</w:t>
            </w:r>
          </w:p>
        </w:tc>
        <w:tc>
          <w:tcPr>
            <w:tcW w:w="100" w:type="dxa"/>
            <w:vAlign w:val="bottom"/>
          </w:tcPr>
          <w:p>
            <w:pPr>
              <w:spacing w:after="0"/>
              <w:rPr>
                <w:sz w:val="15"/>
                <w:szCs w:val="15"/>
                <w:color w:val="auto"/>
              </w:rPr>
            </w:pPr>
          </w:p>
        </w:tc>
        <w:tc>
          <w:tcPr>
            <w:tcW w:w="300" w:type="dxa"/>
            <w:vAlign w:val="bottom"/>
            <w:tcBorders>
              <w:bottom w:val="single" w:sz="8" w:color="B6B6B6"/>
            </w:tcBorders>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42,441</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60"/>
              <w:spacing w:after="0"/>
              <w:rPr>
                <w:sz w:val="20"/>
                <w:szCs w:val="20"/>
                <w:color w:val="auto"/>
              </w:rPr>
            </w:pPr>
            <w:r>
              <w:rPr>
                <w:rFonts w:ascii="Arial" w:cs="Arial" w:eastAsia="Arial" w:hAnsi="Arial"/>
                <w:sz w:val="13"/>
                <w:szCs w:val="13"/>
                <w:color w:val="auto"/>
              </w:rPr>
              <w:t>Adjusted EBITDA margin excluding Lookback Adjustments and non-Encompass BPO Services</w:t>
            </w:r>
          </w:p>
        </w:tc>
        <w:tc>
          <w:tcPr>
            <w:tcW w:w="80" w:type="dxa"/>
            <w:vAlign w:val="bottom"/>
            <w:tcBorders>
              <w:bottom w:val="single" w:sz="8" w:color="B6B6B6"/>
            </w:tcBorders>
            <w:shd w:val="clear" w:color="auto" w:fill="B6B6B6"/>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the reconciliations of Adjusted EBITDA to Cash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6"/>
          </w:tcPr>
          <w:p>
            <w:pPr>
              <w:jc w:val="right"/>
              <w:ind w:right="148"/>
              <w:spacing w:after="0"/>
              <w:rPr>
                <w:sz w:val="20"/>
                <w:szCs w:val="20"/>
                <w:color w:val="auto"/>
              </w:rPr>
            </w:pPr>
            <w:r>
              <w:rPr>
                <w:rFonts w:ascii="Arial" w:cs="Arial" w:eastAsia="Arial" w:hAnsi="Arial"/>
                <w:sz w:val="14"/>
                <w:szCs w:val="14"/>
                <w:b w:val="1"/>
                <w:bCs w:val="1"/>
                <w:color w:val="auto"/>
              </w:rPr>
              <w:t>Twelve months ended Dec. 31,</w:t>
            </w:r>
          </w:p>
        </w:tc>
        <w:tc>
          <w:tcPr>
            <w:tcW w:w="1140" w:type="dxa"/>
            <w:vAlign w:val="bottom"/>
          </w:tcPr>
          <w:p>
            <w:pPr>
              <w:spacing w:after="0"/>
              <w:rPr>
                <w:sz w:val="17"/>
                <w:szCs w:val="17"/>
                <w:color w:val="auto"/>
              </w:rPr>
            </w:pPr>
          </w:p>
        </w:tc>
      </w:tr>
      <w:tr>
        <w:trPr>
          <w:trHeight w:val="197"/>
        </w:trPr>
        <w:tc>
          <w:tcPr>
            <w:tcW w:w="63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5"/>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shd w:val="clear" w:color="auto" w:fill="929292"/>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75,091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(129,776)</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33,821</w:t>
            </w:r>
          </w:p>
        </w:tc>
      </w:tr>
      <w:tr>
        <w:trPr>
          <w:trHeight w:val="197"/>
        </w:trPr>
        <w:tc>
          <w:tcPr>
            <w:tcW w:w="6360" w:type="dxa"/>
            <w:vAlign w:val="bottom"/>
          </w:tcPr>
          <w:p>
            <w:pPr>
              <w:ind w:left="360"/>
              <w:spacing w:after="0"/>
              <w:rPr>
                <w:sz w:val="20"/>
                <w:szCs w:val="20"/>
                <w:color w:val="auto"/>
              </w:rPr>
            </w:pPr>
            <w:r>
              <w:rPr>
                <w:rFonts w:ascii="Arial" w:cs="Arial" w:eastAsia="Arial" w:hAnsi="Arial"/>
                <w:sz w:val="14"/>
                <w:szCs w:val="14"/>
                <w:color w:val="auto"/>
              </w:rPr>
              <w:t>Beginning commissions receivable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1,031,433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1,262,507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810,398</w:t>
            </w:r>
          </w:p>
        </w:tc>
      </w:tr>
      <w:tr>
        <w:trPr>
          <w:trHeight w:val="204"/>
        </w:trPr>
        <w:tc>
          <w:tcPr>
            <w:tcW w:w="6360" w:type="dxa"/>
            <w:vAlign w:val="bottom"/>
          </w:tcPr>
          <w:p>
            <w:pPr>
              <w:ind w:left="360"/>
              <w:spacing w:after="0"/>
              <w:rPr>
                <w:sz w:val="20"/>
                <w:szCs w:val="20"/>
                <w:color w:val="auto"/>
              </w:rPr>
            </w:pPr>
            <w:r>
              <w:rPr>
                <w:rFonts w:ascii="Arial" w:cs="Arial" w:eastAsia="Arial" w:hAnsi="Arial"/>
                <w:sz w:val="14"/>
                <w:szCs w:val="14"/>
                <w:color w:val="auto"/>
              </w:rPr>
              <w:t>Beginning commissions payable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(375,141)</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(378,563)</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(261,074)</w:t>
            </w:r>
          </w:p>
        </w:tc>
      </w:tr>
      <w:tr>
        <w:trPr>
          <w:trHeight w:val="196"/>
        </w:trPr>
        <w:tc>
          <w:tcPr>
            <w:tcW w:w="6360" w:type="dxa"/>
            <w:vAlign w:val="bottom"/>
          </w:tcPr>
          <w:p>
            <w:pPr>
              <w:ind w:left="20"/>
              <w:spacing w:after="0"/>
              <w:rPr>
                <w:sz w:val="20"/>
                <w:szCs w:val="20"/>
                <w:color w:val="auto"/>
              </w:rPr>
            </w:pPr>
            <w:r>
              <w:rPr>
                <w:rFonts w:ascii="Arial" w:cs="Arial" w:eastAsia="Arial" w:hAnsi="Arial"/>
                <w:sz w:val="14"/>
                <w:szCs w:val="14"/>
                <w:color w:val="auto"/>
              </w:rPr>
              <w:t>Beginning net contract assets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656,292</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883,944</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549,324</w:t>
            </w:r>
          </w:p>
        </w:tc>
      </w:tr>
      <w:tr>
        <w:trPr>
          <w:trHeight w:val="194"/>
        </w:trPr>
        <w:tc>
          <w:tcPr>
            <w:tcW w:w="6360" w:type="dxa"/>
            <w:vAlign w:val="bottom"/>
          </w:tcPr>
          <w:p>
            <w:pPr>
              <w:ind w:left="360"/>
              <w:spacing w:after="0"/>
              <w:rPr>
                <w:sz w:val="20"/>
                <w:szCs w:val="20"/>
                <w:color w:val="auto"/>
              </w:rPr>
            </w:pPr>
            <w:r>
              <w:rPr>
                <w:rFonts w:ascii="Arial" w:cs="Arial" w:eastAsia="Arial" w:hAnsi="Arial"/>
                <w:sz w:val="14"/>
                <w:szCs w:val="14"/>
                <w:color w:val="auto"/>
              </w:rPr>
              <w:t>Ending commissions receivable</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911,697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1,031,433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1,262,507</w:t>
            </w:r>
          </w:p>
        </w:tc>
      </w:tr>
      <w:tr>
        <w:trPr>
          <w:trHeight w:val="204"/>
        </w:trPr>
        <w:tc>
          <w:tcPr>
            <w:tcW w:w="6360" w:type="dxa"/>
            <w:vAlign w:val="bottom"/>
          </w:tcPr>
          <w:p>
            <w:pPr>
              <w:ind w:left="360"/>
              <w:spacing w:after="0"/>
              <w:rPr>
                <w:sz w:val="20"/>
                <w:szCs w:val="20"/>
                <w:color w:val="auto"/>
              </w:rPr>
            </w:pPr>
            <w:r>
              <w:rPr>
                <w:rFonts w:ascii="Arial" w:cs="Arial" w:eastAsia="Arial" w:hAnsi="Arial"/>
                <w:sz w:val="14"/>
                <w:szCs w:val="14"/>
                <w:color w:val="auto"/>
              </w:rPr>
              <w:t>Ending commissions payable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(321,987)</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(375,141)</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(378,563)</w:t>
            </w:r>
          </w:p>
        </w:tc>
      </w:tr>
      <w:tr>
        <w:trPr>
          <w:trHeight w:val="196"/>
        </w:trPr>
        <w:tc>
          <w:tcPr>
            <w:tcW w:w="6360" w:type="dxa"/>
            <w:vAlign w:val="bottom"/>
          </w:tcPr>
          <w:p>
            <w:pPr>
              <w:ind w:left="20"/>
              <w:spacing w:after="0"/>
              <w:rPr>
                <w:sz w:val="20"/>
                <w:szCs w:val="20"/>
                <w:color w:val="auto"/>
              </w:rPr>
            </w:pPr>
            <w:r>
              <w:rPr>
                <w:rFonts w:ascii="Arial" w:cs="Arial" w:eastAsia="Arial" w:hAnsi="Arial"/>
                <w:sz w:val="14"/>
                <w:szCs w:val="14"/>
                <w:color w:val="auto"/>
              </w:rPr>
              <w:t>Ending net contract assets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589,710</w:t>
            </w:r>
          </w:p>
        </w:tc>
        <w:tc>
          <w:tcPr>
            <w:tcW w:w="10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656,292</w:t>
            </w:r>
          </w:p>
        </w:tc>
        <w:tc>
          <w:tcPr>
            <w:tcW w:w="1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883,944</w:t>
            </w: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(Increase)/decrease in contract asset</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66,582</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227,652</w:t>
            </w:r>
          </w:p>
        </w:tc>
        <w:tc>
          <w:tcPr>
            <w:tcW w:w="100" w:type="dxa"/>
            <w:vAlign w:val="bottom"/>
          </w:tcPr>
          <w:p>
            <w:pPr>
              <w:spacing w:after="0"/>
              <w:rPr>
                <w:sz w:val="17"/>
                <w:szCs w:val="17"/>
                <w:color w:val="auto"/>
              </w:rPr>
            </w:pPr>
          </w:p>
        </w:tc>
        <w:tc>
          <w:tcPr>
            <w:tcW w:w="40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(334,620)</w:t>
            </w:r>
          </w:p>
        </w:tc>
      </w:tr>
      <w:tr>
        <w:trPr>
          <w:trHeight w:val="220"/>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Adjusted EBITDA</w:t>
            </w:r>
          </w:p>
        </w:tc>
        <w:tc>
          <w:tcPr>
            <w:tcW w:w="100" w:type="dxa"/>
            <w:vAlign w:val="bottom"/>
            <w:tcBorders>
              <w:bottom w:val="single" w:sz="8" w:color="929292"/>
            </w:tcBorders>
            <w:shd w:val="clear" w:color="auto" w:fill="929292"/>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141,673</w:t>
            </w:r>
          </w:p>
        </w:tc>
        <w:tc>
          <w:tcPr>
            <w:tcW w:w="100" w:type="dxa"/>
            <w:vAlign w:val="bottom"/>
          </w:tcPr>
          <w:p>
            <w:pPr>
              <w:spacing w:after="0"/>
              <w:rPr>
                <w:sz w:val="19"/>
                <w:szCs w:val="19"/>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97,876</w:t>
            </w:r>
          </w:p>
        </w:tc>
        <w:tc>
          <w:tcPr>
            <w:tcW w:w="100" w:type="dxa"/>
            <w:vAlign w:val="bottom"/>
          </w:tcPr>
          <w:p>
            <w:pPr>
              <w:spacing w:after="0"/>
              <w:rPr>
                <w:sz w:val="19"/>
                <w:szCs w:val="19"/>
                <w:color w:val="auto"/>
              </w:rPr>
            </w:pPr>
          </w:p>
        </w:tc>
        <w:tc>
          <w:tcPr>
            <w:tcW w:w="400" w:type="dxa"/>
            <w:vAlign w:val="bottom"/>
            <w:tcBorders>
              <w:bottom w:val="single" w:sz="8" w:color="B6B6B6"/>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(300,799)</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(benefit) by operating function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 31,</w:t>
            </w:r>
          </w:p>
        </w:tc>
        <w:tc>
          <w:tcPr>
            <w:tcW w:w="220" w:type="dxa"/>
            <w:vAlign w:val="bottom"/>
          </w:tcPr>
          <w:p>
            <w:pPr>
              <w:spacing w:after="0"/>
              <w:rPr>
                <w:sz w:val="17"/>
                <w:szCs w:val="17"/>
                <w:color w:val="auto"/>
              </w:rPr>
            </w:pPr>
          </w:p>
        </w:tc>
        <w:tc>
          <w:tcPr>
            <w:tcW w:w="25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Twelve months ended Dec. 31,</w:t>
            </w:r>
          </w:p>
        </w:tc>
      </w:tr>
      <w:tr>
        <w:trPr>
          <w:trHeight w:val="197"/>
        </w:trPr>
        <w:tc>
          <w:tcPr>
            <w:tcW w:w="56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1,653</w:t>
            </w:r>
          </w:p>
        </w:tc>
      </w:tr>
      <w:tr>
        <w:trPr>
          <w:trHeight w:val="203"/>
        </w:trPr>
        <w:tc>
          <w:tcPr>
            <w:tcW w:w="562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2,218</w:t>
            </w:r>
          </w:p>
        </w:tc>
      </w:tr>
      <w:tr>
        <w:trPr>
          <w:trHeight w:val="203"/>
        </w:trPr>
        <w:tc>
          <w:tcPr>
            <w:tcW w:w="562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2,924</w:t>
            </w:r>
          </w:p>
        </w:tc>
      </w:tr>
      <w:tr>
        <w:trPr>
          <w:trHeight w:val="207"/>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929292"/>
            </w:tcBorders>
            <w:shd w:val="clear" w:color="auto" w:fill="929292"/>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4,811</w:t>
            </w:r>
          </w:p>
        </w:tc>
        <w:tc>
          <w:tcPr>
            <w:tcW w:w="80" w:type="dxa"/>
            <w:vAlign w:val="bottom"/>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13,929</w:t>
            </w:r>
          </w:p>
        </w:tc>
        <w:tc>
          <w:tcPr>
            <w:tcW w:w="100" w:type="dxa"/>
            <w:vAlign w:val="bottom"/>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25,329</w:t>
            </w:r>
          </w:p>
        </w:tc>
      </w:tr>
      <w:tr>
        <w:trPr>
          <w:trHeight w:val="220"/>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 (benefit)</w:t>
            </w:r>
          </w:p>
        </w:tc>
        <w:tc>
          <w:tcPr>
            <w:tcW w:w="100" w:type="dxa"/>
            <w:vAlign w:val="bottom"/>
            <w:tcBorders>
              <w:bottom w:val="single" w:sz="8" w:color="929292"/>
            </w:tcBorders>
            <w:shd w:val="clear" w:color="auto" w:fill="929292"/>
          </w:tcPr>
          <w:p>
            <w:pPr>
              <w:spacing w:after="0"/>
              <w:rPr>
                <w:sz w:val="19"/>
                <w:szCs w:val="19"/>
                <w:color w:val="auto"/>
              </w:rPr>
            </w:pPr>
          </w:p>
        </w:tc>
        <w:tc>
          <w:tcPr>
            <w:tcW w:w="22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3,405</w:t>
            </w:r>
          </w:p>
        </w:tc>
        <w:tc>
          <w:tcPr>
            <w:tcW w:w="100" w:type="dxa"/>
            <w:vAlign w:val="bottom"/>
          </w:tcPr>
          <w:p>
            <w:pPr>
              <w:spacing w:after="0"/>
              <w:rPr>
                <w:sz w:val="19"/>
                <w:szCs w:val="19"/>
                <w:color w:val="auto"/>
              </w:rPr>
            </w:pPr>
          </w:p>
        </w:tc>
        <w:tc>
          <w:tcPr>
            <w:tcW w:w="3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6,256</w:t>
            </w:r>
          </w:p>
        </w:tc>
        <w:tc>
          <w:tcPr>
            <w:tcW w:w="80" w:type="dxa"/>
            <w:vAlign w:val="bottom"/>
          </w:tcPr>
          <w:p>
            <w:pPr>
              <w:spacing w:after="0"/>
              <w:rPr>
                <w:sz w:val="19"/>
                <w:szCs w:val="19"/>
                <w:color w:val="auto"/>
              </w:rPr>
            </w:pPr>
          </w:p>
        </w:tc>
        <w:tc>
          <w:tcPr>
            <w:tcW w:w="22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19,564</w:t>
            </w:r>
          </w:p>
        </w:tc>
        <w:tc>
          <w:tcPr>
            <w:tcW w:w="100" w:type="dxa"/>
            <w:vAlign w:val="bottom"/>
          </w:tcPr>
          <w:p>
            <w:pPr>
              <w:spacing w:after="0"/>
              <w:rPr>
                <w:sz w:val="19"/>
                <w:szCs w:val="19"/>
                <w:color w:val="auto"/>
              </w:rPr>
            </w:pPr>
          </w:p>
        </w:tc>
        <w:tc>
          <w:tcPr>
            <w:tcW w:w="2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32,124</w:t>
            </w: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 31,</w:t>
            </w:r>
          </w:p>
        </w:tc>
        <w:tc>
          <w:tcPr>
            <w:tcW w:w="260" w:type="dxa"/>
            <w:vAlign w:val="bottom"/>
          </w:tcPr>
          <w:p>
            <w:pPr>
              <w:spacing w:after="0"/>
              <w:rPr>
                <w:sz w:val="17"/>
                <w:szCs w:val="17"/>
                <w:color w:val="auto"/>
              </w:rPr>
            </w:pPr>
          </w:p>
        </w:tc>
        <w:tc>
          <w:tcPr>
            <w:tcW w:w="2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Twelve months ended Dec. 31,</w:t>
            </w:r>
          </w:p>
        </w:tc>
      </w:tr>
      <w:tr>
        <w:trPr>
          <w:trHeight w:val="196"/>
        </w:trPr>
        <w:tc>
          <w:tcPr>
            <w:tcW w:w="5180" w:type="dxa"/>
            <w:vAlign w:val="bottom"/>
          </w:tcPr>
          <w:p>
            <w:pPr>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76"/>
        </w:trPr>
        <w:tc>
          <w:tcPr>
            <w:tcW w:w="5180" w:type="dxa"/>
            <w:vAlign w:val="bottom"/>
          </w:tcPr>
          <w:p>
            <w:pPr>
              <w:spacing w:after="0"/>
              <w:rPr>
                <w:sz w:val="20"/>
                <w:szCs w:val="20"/>
                <w:color w:val="auto"/>
              </w:rPr>
            </w:pPr>
            <w:r>
              <w:rPr>
                <w:rFonts w:ascii="Arial" w:cs="Arial" w:eastAsia="Arial" w:hAnsi="Arial"/>
                <w:sz w:val="14"/>
                <w:szCs w:val="14"/>
                <w:color w:val="auto"/>
              </w:rPr>
              <w:t>Medicare Revenue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4"/>
                <w:szCs w:val="14"/>
                <w:color w:val="auto"/>
              </w:rPr>
              <w:t>Agency Revenue</w:t>
            </w: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80" w:type="dxa"/>
            <w:vAlign w:val="bottom"/>
            <w:shd w:val="clear" w:color="auto" w:fill="929292"/>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94,405</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(66,294)</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355,918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316,734</w:t>
            </w:r>
          </w:p>
        </w:tc>
      </w:tr>
      <w:tr>
        <w:trPr>
          <w:trHeight w:val="192"/>
        </w:trPr>
        <w:tc>
          <w:tcPr>
            <w:tcW w:w="5180" w:type="dxa"/>
            <w:vAlign w:val="bottom"/>
          </w:tcPr>
          <w:p>
            <w:pPr>
              <w:ind w:left="440"/>
              <w:spacing w:after="0"/>
              <w:rPr>
                <w:sz w:val="20"/>
                <w:szCs w:val="20"/>
                <w:color w:val="auto"/>
              </w:rPr>
            </w:pPr>
            <w:r>
              <w:rPr>
                <w:rFonts w:ascii="Arial" w:cs="Arial" w:eastAsia="Arial" w:hAnsi="Arial"/>
                <w:sz w:val="14"/>
                <w:szCs w:val="14"/>
                <w:color w:val="auto"/>
              </w:rPr>
              <w:t>Partner Marketing and Other Revenue</w:t>
            </w:r>
          </w:p>
        </w:tc>
        <w:tc>
          <w:tcPr>
            <w:tcW w:w="80" w:type="dxa"/>
            <w:vAlign w:val="bottom"/>
            <w:tcBorders>
              <w:bottom w:val="single" w:sz="8" w:color="929292"/>
            </w:tcBorders>
            <w:shd w:val="clear" w:color="auto" w:fill="929292"/>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16,093</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37,852</w:t>
            </w:r>
          </w:p>
        </w:tc>
        <w:tc>
          <w:tcPr>
            <w:tcW w:w="100" w:type="dxa"/>
            <w:vAlign w:val="bottom"/>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87,712</w:t>
            </w:r>
          </w:p>
        </w:tc>
        <w:tc>
          <w:tcPr>
            <w:tcW w:w="100" w:type="dxa"/>
            <w:vAlign w:val="bottom"/>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112,983</w:t>
            </w:r>
          </w:p>
        </w:tc>
      </w:tr>
      <w:tr>
        <w:trPr>
          <w:trHeight w:val="196"/>
        </w:trPr>
        <w:tc>
          <w:tcPr>
            <w:tcW w:w="5180" w:type="dxa"/>
            <w:vAlign w:val="bottom"/>
          </w:tcPr>
          <w:p>
            <w:pPr>
              <w:ind w:left="160"/>
              <w:spacing w:after="0"/>
              <w:rPr>
                <w:sz w:val="20"/>
                <w:szCs w:val="20"/>
                <w:color w:val="auto"/>
              </w:rPr>
            </w:pPr>
            <w:r>
              <w:rPr>
                <w:rFonts w:ascii="Arial" w:cs="Arial" w:eastAsia="Arial" w:hAnsi="Arial"/>
                <w:sz w:val="14"/>
                <w:szCs w:val="14"/>
                <w:color w:val="auto"/>
              </w:rPr>
              <w:t>Total Agency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110,498</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(28,442)</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443,630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429,717</w:t>
            </w:r>
          </w:p>
        </w:tc>
      </w:tr>
      <w:tr>
        <w:trPr>
          <w:trHeight w:val="196"/>
        </w:trPr>
        <w:tc>
          <w:tcPr>
            <w:tcW w:w="5180" w:type="dxa"/>
            <w:vAlign w:val="bottom"/>
          </w:tcPr>
          <w:p>
            <w:pPr>
              <w:ind w:left="160"/>
              <w:spacing w:after="0"/>
              <w:rPr>
                <w:sz w:val="20"/>
                <w:szCs w:val="20"/>
                <w:color w:val="auto"/>
              </w:rPr>
            </w:pPr>
            <w:r>
              <w:rPr>
                <w:rFonts w:ascii="Arial" w:cs="Arial" w:eastAsia="Arial" w:hAnsi="Arial"/>
                <w:sz w:val="14"/>
                <w:szCs w:val="14"/>
                <w:color w:val="auto"/>
              </w:rPr>
              <w:t>Non-Agency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165,383</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85,185</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271,969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107,336</w:t>
            </w:r>
          </w:p>
        </w:tc>
      </w:tr>
      <w:tr>
        <w:trPr>
          <w:trHeight w:val="200"/>
        </w:trPr>
        <w:tc>
          <w:tcPr>
            <w:tcW w:w="5180" w:type="dxa"/>
            <w:vAlign w:val="bottom"/>
          </w:tcPr>
          <w:p>
            <w:pPr>
              <w:spacing w:after="0"/>
              <w:rPr>
                <w:sz w:val="20"/>
                <w:szCs w:val="20"/>
                <w:color w:val="auto"/>
              </w:rPr>
            </w:pPr>
            <w:r>
              <w:rPr>
                <w:rFonts w:ascii="Arial" w:cs="Arial" w:eastAsia="Arial" w:hAnsi="Arial"/>
                <w:sz w:val="14"/>
                <w:szCs w:val="14"/>
                <w:color w:val="auto"/>
              </w:rPr>
              <w:t>Total Medicare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275,881</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56,743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715,599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537,053</w:t>
            </w:r>
          </w:p>
        </w:tc>
      </w:tr>
      <w:tr>
        <w:trPr>
          <w:trHeight w:val="176"/>
        </w:trPr>
        <w:tc>
          <w:tcPr>
            <w:tcW w:w="5180" w:type="dxa"/>
            <w:vAlign w:val="bottom"/>
          </w:tcPr>
          <w:p>
            <w:pPr>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80" w:type="dxa"/>
            <w:vAlign w:val="bottom"/>
          </w:tcPr>
          <w:p>
            <w:pPr>
              <w:ind w:left="440"/>
              <w:spacing w:after="0"/>
              <w:rPr>
                <w:sz w:val="20"/>
                <w:szCs w:val="20"/>
                <w:color w:val="auto"/>
              </w:rPr>
            </w:pPr>
            <w:r>
              <w:rPr>
                <w:rFonts w:ascii="Arial" w:cs="Arial" w:eastAsia="Arial" w:hAnsi="Arial"/>
                <w:sz w:val="14"/>
                <w:szCs w:val="14"/>
                <w:color w:val="auto"/>
              </w:rPr>
              <w:t>Non-Encompass BPO Services Revenue</w:t>
            </w: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11,870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87,383</w:t>
            </w:r>
          </w:p>
        </w:tc>
      </w:tr>
      <w:tr>
        <w:trPr>
          <w:trHeight w:val="204"/>
        </w:trPr>
        <w:tc>
          <w:tcPr>
            <w:tcW w:w="5180" w:type="dxa"/>
            <w:vAlign w:val="bottom"/>
          </w:tcPr>
          <w:p>
            <w:pPr>
              <w:ind w:left="44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9,750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7,239</w:t>
            </w:r>
          </w:p>
        </w:tc>
      </w:tr>
      <w:tr>
        <w:trPr>
          <w:trHeight w:val="198"/>
        </w:trPr>
        <w:tc>
          <w:tcPr>
            <w:tcW w:w="5180" w:type="dxa"/>
            <w:vAlign w:val="bottom"/>
          </w:tcPr>
          <w:p>
            <w:pPr>
              <w:spacing w:after="0"/>
              <w:rPr>
                <w:sz w:val="20"/>
                <w:szCs w:val="20"/>
                <w:color w:val="auto"/>
              </w:rPr>
            </w:pPr>
            <w:r>
              <w:rPr>
                <w:rFonts w:ascii="Arial" w:cs="Arial" w:eastAsia="Arial" w:hAnsi="Arial"/>
                <w:sz w:val="14"/>
                <w:szCs w:val="14"/>
                <w:color w:val="auto"/>
              </w:rPr>
              <w:t>Total 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12,633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19,072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94,622</w:t>
            </w:r>
          </w:p>
        </w:tc>
      </w:tr>
      <w:tr>
        <w:trPr>
          <w:trHeight w:val="220"/>
        </w:trPr>
        <w:tc>
          <w:tcPr>
            <w:tcW w:w="5180" w:type="dxa"/>
            <w:vAlign w:val="bottom"/>
          </w:tcPr>
          <w:p>
            <w:pPr>
              <w:spacing w:after="0"/>
              <w:rPr>
                <w:sz w:val="20"/>
                <w:szCs w:val="20"/>
                <w:color w:val="auto"/>
              </w:rPr>
            </w:pPr>
            <w:r>
              <w:rPr>
                <w:rFonts w:ascii="Arial" w:cs="Arial" w:eastAsia="Arial" w:hAnsi="Arial"/>
                <w:sz w:val="14"/>
                <w:szCs w:val="14"/>
                <w:i w:val="1"/>
                <w:iCs w:val="1"/>
                <w:color w:val="auto"/>
              </w:rPr>
              <w:t>Total Net Revenue</w:t>
            </w:r>
          </w:p>
        </w:tc>
        <w:tc>
          <w:tcPr>
            <w:tcW w:w="8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276,697</w:t>
            </w:r>
          </w:p>
        </w:tc>
        <w:tc>
          <w:tcPr>
            <w:tcW w:w="100" w:type="dxa"/>
            <w:vAlign w:val="bottom"/>
          </w:tcPr>
          <w:p>
            <w:pPr>
              <w:spacing w:after="0"/>
              <w:rPr>
                <w:sz w:val="19"/>
                <w:szCs w:val="19"/>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69,376</w:t>
            </w:r>
          </w:p>
        </w:tc>
        <w:tc>
          <w:tcPr>
            <w:tcW w:w="100" w:type="dxa"/>
            <w:vAlign w:val="bottom"/>
          </w:tcPr>
          <w:p>
            <w:pPr>
              <w:spacing w:after="0"/>
              <w:rPr>
                <w:sz w:val="19"/>
                <w:szCs w:val="19"/>
                <w:color w:val="auto"/>
              </w:rPr>
            </w:pPr>
          </w:p>
        </w:tc>
        <w:tc>
          <w:tcPr>
            <w:tcW w:w="2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734,671</w:t>
            </w:r>
          </w:p>
        </w:tc>
        <w:tc>
          <w:tcPr>
            <w:tcW w:w="100" w:type="dxa"/>
            <w:vAlign w:val="bottom"/>
          </w:tcPr>
          <w:p>
            <w:pPr>
              <w:spacing w:after="0"/>
              <w:rPr>
                <w:sz w:val="19"/>
                <w:szCs w:val="19"/>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631,675</w:t>
            </w: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r>
    </w:tbl>
    <w:p>
      <w:pPr>
        <w:spacing w:after="0" w:line="17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the Company’s Non-Encompass BPO Services as well as from the sale of individual and family plan insurance products.</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Dec.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8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90,809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16,464</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$27 in 2023 and $89 in 2022</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4,703</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336,215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335,796</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49,166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57,593</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476,440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414,556</w:t>
            </w:r>
          </w:p>
        </w:tc>
        <w:tc>
          <w:tcPr>
            <w:tcW w:w="0" w:type="dxa"/>
            <w:vAlign w:val="bottom"/>
          </w:tcPr>
          <w:p>
            <w:pPr>
              <w:spacing w:after="0"/>
              <w:rPr>
                <w:sz w:val="1"/>
                <w:szCs w:val="1"/>
                <w:color w:val="auto"/>
              </w:rPr>
            </w:pPr>
          </w:p>
        </w:tc>
      </w:tr>
      <w:tr>
        <w:trPr>
          <w:trHeight w:val="164"/>
        </w:trPr>
        <w:tc>
          <w:tcPr>
            <w:tcW w:w="88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575,482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695,637</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21,995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21,483</w:t>
            </w:r>
          </w:p>
        </w:tc>
        <w:tc>
          <w:tcPr>
            <w:tcW w:w="0" w:type="dxa"/>
            <w:vAlign w:val="bottom"/>
          </w:tcPr>
          <w:p>
            <w:pPr>
              <w:spacing w:after="0"/>
              <w:rPr>
                <w:sz w:val="1"/>
                <w:szCs w:val="1"/>
                <w:color w:val="auto"/>
              </w:rPr>
            </w:pPr>
          </w:p>
        </w:tc>
      </w:tr>
      <w:tr>
        <w:trPr>
          <w:trHeight w:val="171"/>
        </w:trPr>
        <w:tc>
          <w:tcPr>
            <w:tcW w:w="88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25,282</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Intangible assets, net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396,554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500,611</w:t>
            </w:r>
          </w:p>
        </w:tc>
        <w:tc>
          <w:tcPr>
            <w:tcW w:w="0" w:type="dxa"/>
            <w:vAlign w:val="bottom"/>
          </w:tcPr>
          <w:p>
            <w:pPr>
              <w:spacing w:after="0"/>
              <w:rPr>
                <w:sz w:val="1"/>
                <w:szCs w:val="1"/>
                <w:color w:val="auto"/>
              </w:rPr>
            </w:pPr>
          </w:p>
        </w:tc>
      </w:tr>
      <w:tr>
        <w:trPr>
          <w:trHeight w:val="199"/>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1,499,570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1,659,290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8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17,705</w:t>
            </w:r>
          </w:p>
        </w:tc>
        <w:tc>
          <w:tcPr>
            <w:tcW w:w="8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15,148</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86,254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53,334</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118,732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122,023</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8,974</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52,403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50,594</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14,122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10,112</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370,013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265,455</w:t>
            </w:r>
          </w:p>
        </w:tc>
        <w:tc>
          <w:tcPr>
            <w:tcW w:w="0" w:type="dxa"/>
            <w:vAlign w:val="bottom"/>
          </w:tcPr>
          <w:p>
            <w:pPr>
              <w:spacing w:after="0"/>
              <w:rPr>
                <w:sz w:val="1"/>
                <w:szCs w:val="1"/>
                <w:color w:val="auto"/>
              </w:rPr>
            </w:pPr>
          </w:p>
        </w:tc>
      </w:tr>
      <w:tr>
        <w:trPr>
          <w:trHeight w:val="150"/>
        </w:trPr>
        <w:tc>
          <w:tcPr>
            <w:tcW w:w="8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203,255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253,118</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39,547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38,367</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422,705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504,810</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9,095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5,839</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674,602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802,134</w:t>
            </w:r>
          </w:p>
        </w:tc>
        <w:tc>
          <w:tcPr>
            <w:tcW w:w="0" w:type="dxa"/>
            <w:vAlign w:val="bottom"/>
          </w:tcPr>
          <w:p>
            <w:pPr>
              <w:spacing w:after="0"/>
              <w:rPr>
                <w:sz w:val="1"/>
                <w:szCs w:val="1"/>
                <w:color w:val="auto"/>
              </w:rPr>
            </w:pPr>
          </w:p>
        </w:tc>
      </w:tr>
      <w:tr>
        <w:trPr>
          <w:trHeight w:val="151"/>
        </w:trPr>
        <w:tc>
          <w:tcPr>
            <w:tcW w:w="8800" w:type="dxa"/>
            <w:vAlign w:val="bottom"/>
          </w:tcPr>
          <w:p>
            <w:pPr>
              <w:ind w:left="20"/>
              <w:spacing w:after="0" w:line="146" w:lineRule="exact"/>
              <w:rPr>
                <w:sz w:val="20"/>
                <w:szCs w:val="20"/>
                <w:color w:val="auto"/>
              </w:rPr>
            </w:pPr>
            <w:r>
              <w:rPr>
                <w:rFonts w:ascii="Arial" w:cs="Arial" w:eastAsia="Arial" w:hAnsi="Arial"/>
                <w:sz w:val="13"/>
                <w:szCs w:val="13"/>
                <w:color w:val="auto"/>
              </w:rPr>
              <w:t>Commitments and Contingencies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w w:val="99"/>
              </w:rPr>
              <w:t>Series A redeemable convertible preferred stock — $0.0001 par value; 50 shares authorized; 50 shares issued and outstanding as of both December 31,</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 and December 31, 2022. Liquidation preference of $50.9 million as of both December 31, 2023 and December 31, 2022.</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49,302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49,302</w:t>
            </w:r>
          </w:p>
        </w:tc>
        <w:tc>
          <w:tcPr>
            <w:tcW w:w="0" w:type="dxa"/>
            <w:vAlign w:val="bottom"/>
          </w:tcPr>
          <w:p>
            <w:pPr>
              <w:spacing w:after="0"/>
              <w:rPr>
                <w:sz w:val="1"/>
                <w:szCs w:val="1"/>
                <w:color w:val="auto"/>
              </w:rPr>
            </w:pPr>
          </w:p>
        </w:tc>
      </w:tr>
      <w:tr>
        <w:trPr>
          <w:trHeight w:val="173"/>
        </w:trPr>
        <w:tc>
          <w:tcPr>
            <w:tcW w:w="8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Stockholders’ equity: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800" w:type="dxa"/>
            <w:vAlign w:val="bottom"/>
            <w:shd w:val="clear" w:color="auto" w:fill="CCEEFF"/>
          </w:tcPr>
          <w:p>
            <w:pPr>
              <w:ind w:left="240"/>
              <w:spacing w:after="0" w:line="133" w:lineRule="exact"/>
              <w:rPr>
                <w:sz w:val="20"/>
                <w:szCs w:val="20"/>
                <w:color w:val="auto"/>
              </w:rPr>
            </w:pPr>
            <w:r>
              <w:rPr>
                <w:rFonts w:ascii="Arial" w:cs="Arial" w:eastAsia="Arial" w:hAnsi="Arial"/>
                <w:sz w:val="13"/>
                <w:szCs w:val="13"/>
                <w:color w:val="auto"/>
                <w:w w:val="99"/>
              </w:rPr>
              <w:t>Class A common stock – $0.0001 par value; 1,100,000 shares authorized; 9,823 and 8,963 shares issued; 9,651 and 8,950 shares outstanding as of</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2023 and December 31, 2022, respectively.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1"/>
        </w:trPr>
        <w:tc>
          <w:tcPr>
            <w:tcW w:w="8800" w:type="dxa"/>
            <w:vAlign w:val="bottom"/>
          </w:tcPr>
          <w:p>
            <w:pPr>
              <w:ind w:left="240"/>
              <w:spacing w:after="0" w:line="131" w:lineRule="exact"/>
              <w:rPr>
                <w:sz w:val="20"/>
                <w:szCs w:val="20"/>
                <w:color w:val="auto"/>
              </w:rPr>
            </w:pPr>
            <w:r>
              <w:rPr>
                <w:rFonts w:ascii="Arial" w:cs="Arial" w:eastAsia="Arial" w:hAnsi="Arial"/>
                <w:sz w:val="13"/>
                <w:szCs w:val="13"/>
                <w:color w:val="auto"/>
                <w:w w:val="99"/>
              </w:rPr>
              <w:t>Class B common stock – $0.0001 par value; 616,018 shares authorized; 12,814 and 13,054 shares issued and outstanding as of December 31, 2023</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800" w:type="dxa"/>
            <w:vAlign w:val="bottom"/>
          </w:tcPr>
          <w:p>
            <w:pPr>
              <w:ind w:left="240"/>
              <w:spacing w:after="0"/>
              <w:rPr>
                <w:sz w:val="20"/>
                <w:szCs w:val="20"/>
                <w:color w:val="auto"/>
              </w:rPr>
            </w:pPr>
            <w:r>
              <w:rPr>
                <w:rFonts w:ascii="Arial" w:cs="Arial" w:eastAsia="Arial" w:hAnsi="Arial"/>
                <w:sz w:val="13"/>
                <w:szCs w:val="13"/>
                <w:color w:val="auto"/>
              </w:rPr>
              <w:t>and December 31, 2022, respectively.</w:t>
            </w:r>
          </w:p>
        </w:tc>
        <w:tc>
          <w:tcPr>
            <w:tcW w:w="26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8"/>
        </w:trPr>
        <w:tc>
          <w:tcPr>
            <w:tcW w:w="880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w w:val="98"/>
              </w:rPr>
              <w:t>Preferred stock – $0.0001 par value; 20,000 shares authorized (including 50 shares of Series A redeemable convertible preferred stock authorized and</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800" w:type="dxa"/>
            <w:vAlign w:val="bottom"/>
            <w:shd w:val="clear" w:color="auto" w:fill="CCEEFF"/>
          </w:tcPr>
          <w:p>
            <w:pPr>
              <w:ind w:left="240"/>
              <w:spacing w:after="0" w:line="126" w:lineRule="exact"/>
              <w:rPr>
                <w:sz w:val="20"/>
                <w:szCs w:val="20"/>
                <w:color w:val="auto"/>
              </w:rPr>
            </w:pPr>
            <w:r>
              <w:rPr>
                <w:rFonts w:ascii="Arial" w:cs="Arial" w:eastAsia="Arial" w:hAnsi="Arial"/>
                <w:sz w:val="13"/>
                <w:szCs w:val="13"/>
                <w:color w:val="auto"/>
                <w:w w:val="99"/>
              </w:rPr>
              <w:t>200 shares of Series A-1 convertible preferred stock authorized); 50 shares issued and outstanding as of both December 31, 2023 and December 31,</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2022.</w:t>
            </w:r>
          </w:p>
        </w:tc>
        <w:tc>
          <w:tcPr>
            <w:tcW w:w="26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800" w:type="dxa"/>
            <w:vAlign w:val="bottom"/>
          </w:tcPr>
          <w:p>
            <w:pPr>
              <w:ind w:left="240"/>
              <w:spacing w:after="0" w:line="131" w:lineRule="exact"/>
              <w:rPr>
                <w:sz w:val="20"/>
                <w:szCs w:val="20"/>
                <w:color w:val="auto"/>
              </w:rPr>
            </w:pPr>
            <w:r>
              <w:rPr>
                <w:rFonts w:ascii="Arial" w:cs="Arial" w:eastAsia="Arial" w:hAnsi="Arial"/>
                <w:sz w:val="13"/>
                <w:szCs w:val="13"/>
                <w:color w:val="auto"/>
                <w:w w:val="99"/>
              </w:rPr>
              <w:t>Series A-1 convertible preferred stock— $0.0001 par value; 200 shares authorized; no shares issued and outstanding as of both December 31, 2023</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800" w:type="dxa"/>
            <w:vAlign w:val="bottom"/>
          </w:tcPr>
          <w:p>
            <w:pPr>
              <w:ind w:left="240"/>
              <w:spacing w:after="0"/>
              <w:rPr>
                <w:sz w:val="20"/>
                <w:szCs w:val="20"/>
                <w:color w:val="auto"/>
              </w:rPr>
            </w:pPr>
            <w:r>
              <w:rPr>
                <w:rFonts w:ascii="Arial" w:cs="Arial" w:eastAsia="Arial" w:hAnsi="Arial"/>
                <w:sz w:val="13"/>
                <w:szCs w:val="13"/>
                <w:color w:val="auto"/>
              </w:rPr>
              <w:t>and December 31, 2022.</w:t>
            </w:r>
          </w:p>
        </w:tc>
        <w:tc>
          <w:tcPr>
            <w:tcW w:w="2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173 and 13 shares of Class A common stock as of December 31, 2023 and December 31, 2022, respectively.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1"/>
        </w:trPr>
        <w:tc>
          <w:tcPr>
            <w:tcW w:w="880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654,059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626,269</w:t>
            </w:r>
          </w:p>
        </w:tc>
        <w:tc>
          <w:tcPr>
            <w:tcW w:w="0" w:type="dxa"/>
            <w:vAlign w:val="bottom"/>
          </w:tcPr>
          <w:p>
            <w:pPr>
              <w:spacing w:after="0"/>
              <w:rPr>
                <w:sz w:val="1"/>
                <w:szCs w:val="1"/>
                <w:color w:val="auto"/>
              </w:rPr>
            </w:pPr>
          </w:p>
        </w:tc>
      </w:tr>
      <w:tr>
        <w:trPr>
          <w:trHeight w:val="180"/>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(420,280)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(357,023)</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231,014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268,759</w:t>
            </w:r>
          </w:p>
        </w:tc>
        <w:tc>
          <w:tcPr>
            <w:tcW w:w="0" w:type="dxa"/>
            <w:vAlign w:val="bottom"/>
          </w:tcPr>
          <w:p>
            <w:pPr>
              <w:spacing w:after="0"/>
              <w:rPr>
                <w:sz w:val="1"/>
                <w:szCs w:val="1"/>
                <w:color w:val="auto"/>
              </w:rPr>
            </w:pPr>
          </w:p>
        </w:tc>
      </w:tr>
      <w:tr>
        <w:trPr>
          <w:trHeight w:val="16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174,639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273,640</w:t>
            </w: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405,653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542,399</w:t>
            </w:r>
          </w:p>
        </w:tc>
        <w:tc>
          <w:tcPr>
            <w:tcW w:w="0" w:type="dxa"/>
            <w:vAlign w:val="bottom"/>
          </w:tcPr>
          <w:p>
            <w:pPr>
              <w:spacing w:after="0"/>
              <w:rPr>
                <w:sz w:val="1"/>
                <w:szCs w:val="1"/>
                <w:color w:val="auto"/>
              </w:rPr>
            </w:pPr>
          </w:p>
        </w:tc>
      </w:tr>
      <w:tr>
        <w:trPr>
          <w:trHeight w:val="174"/>
        </w:trPr>
        <w:tc>
          <w:tcPr>
            <w:tcW w:w="880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1,499,570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1,659,290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w w:val="99"/>
              </w:rPr>
              <w:t>Twelve months ended Dec. 31,</w:t>
            </w:r>
          </w:p>
        </w:tc>
        <w:tc>
          <w:tcPr>
            <w:tcW w:w="0" w:type="dxa"/>
            <w:vAlign w:val="bottom"/>
          </w:tcPr>
          <w:p>
            <w:pPr>
              <w:spacing w:after="0"/>
              <w:rPr>
                <w:sz w:val="1"/>
                <w:szCs w:val="1"/>
                <w:color w:val="auto"/>
              </w:rPr>
            </w:pPr>
          </w:p>
        </w:tc>
      </w:tr>
      <w:tr>
        <w:trPr>
          <w:trHeight w:val="17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(151,270)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(376,384)</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27,142</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12,945</w:t>
            </w:r>
          </w:p>
        </w:tc>
        <w:tc>
          <w:tcPr>
            <w:tcW w:w="0" w:type="dxa"/>
            <w:vAlign w:val="bottom"/>
          </w:tcPr>
          <w:p>
            <w:pPr>
              <w:spacing w:after="0"/>
              <w:rPr>
                <w:sz w:val="1"/>
                <w:szCs w:val="1"/>
                <w:color w:val="auto"/>
              </w:rPr>
            </w:pP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94,057</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w:t>
            </w:r>
          </w:p>
        </w:tc>
        <w:tc>
          <w:tcPr>
            <w:tcW w:w="0" w:type="dxa"/>
            <w:vAlign w:val="bottom"/>
          </w:tcPr>
          <w:p>
            <w:pPr>
              <w:spacing w:after="0"/>
              <w:rPr>
                <w:sz w:val="1"/>
                <w:szCs w:val="1"/>
                <w:color w:val="auto"/>
              </w:rPr>
            </w:pP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25,345</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restructuring charges</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171"/>
        </w:trPr>
        <w:tc>
          <w:tcPr>
            <w:tcW w:w="894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4,017</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 net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12,574</w:t>
            </w:r>
          </w:p>
        </w:tc>
        <w:tc>
          <w:tcPr>
            <w:tcW w:w="0" w:type="dxa"/>
            <w:vAlign w:val="bottom"/>
          </w:tcPr>
          <w:p>
            <w:pPr>
              <w:spacing w:after="0"/>
              <w:rPr>
                <w:sz w:val="1"/>
                <w:szCs w:val="1"/>
                <w:color w:val="auto"/>
              </w:rPr>
            </w:pP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119,706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231,274</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w:t>
            </w:r>
          </w:p>
        </w:tc>
        <w:tc>
          <w:tcPr>
            <w:tcW w:w="0" w:type="dxa"/>
            <w:vAlign w:val="bottom"/>
          </w:tcPr>
          <w:p>
            <w:pPr>
              <w:spacing w:after="0"/>
              <w:rPr>
                <w:sz w:val="1"/>
                <w:szCs w:val="1"/>
                <w:color w:val="auto"/>
              </w:rPr>
            </w:pP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(24,795)</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50,058</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w:t>
            </w:r>
          </w:p>
        </w:tc>
        <w:tc>
          <w:tcPr>
            <w:tcW w:w="0" w:type="dxa"/>
            <w:vAlign w:val="bottom"/>
          </w:tcPr>
          <w:p>
            <w:pPr>
              <w:spacing w:after="0"/>
              <w:rPr>
                <w:sz w:val="1"/>
                <w:szCs w:val="1"/>
                <w:color w:val="auto"/>
              </w:rPr>
            </w:pPr>
          </w:p>
        </w:tc>
      </w:tr>
      <w:tr>
        <w:trPr>
          <w:trHeight w:val="171"/>
        </w:trPr>
        <w:tc>
          <w:tcPr>
            <w:tcW w:w="894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(8,731)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(6,597)</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8,383</w:t>
            </w:r>
          </w:p>
        </w:tc>
        <w:tc>
          <w:tcPr>
            <w:tcW w:w="0" w:type="dxa"/>
            <w:vAlign w:val="bottom"/>
          </w:tcPr>
          <w:p>
            <w:pPr>
              <w:spacing w:after="0"/>
              <w:rPr>
                <w:sz w:val="1"/>
                <w:szCs w:val="1"/>
                <w:color w:val="auto"/>
              </w:rPr>
            </w:pP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109,141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60,904</w:t>
            </w:r>
          </w:p>
        </w:tc>
        <w:tc>
          <w:tcPr>
            <w:tcW w:w="0" w:type="dxa"/>
            <w:vAlign w:val="bottom"/>
          </w:tcPr>
          <w:p>
            <w:pPr>
              <w:spacing w:after="0"/>
              <w:rPr>
                <w:sz w:val="1"/>
                <w:szCs w:val="1"/>
                <w:color w:val="auto"/>
              </w:rPr>
            </w:pPr>
          </w:p>
        </w:tc>
      </w:tr>
      <w:tr>
        <w:trPr>
          <w:trHeight w:val="16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Acquisition of business, net of cash</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capitalized software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(13,512)</w:t>
            </w:r>
          </w:p>
        </w:tc>
        <w:tc>
          <w:tcPr>
            <w:tcW w:w="0" w:type="dxa"/>
            <w:vAlign w:val="bottom"/>
          </w:tcPr>
          <w:p>
            <w:pPr>
              <w:spacing w:after="0"/>
              <w:rPr>
                <w:sz w:val="1"/>
                <w:szCs w:val="1"/>
                <w:color w:val="auto"/>
              </w:rPr>
            </w:pP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(13,732)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(13,512)</w:t>
            </w:r>
          </w:p>
        </w:tc>
        <w:tc>
          <w:tcPr>
            <w:tcW w:w="0" w:type="dxa"/>
            <w:vAlign w:val="bottom"/>
          </w:tcPr>
          <w:p>
            <w:pPr>
              <w:spacing w:after="0"/>
              <w:rPr>
                <w:sz w:val="1"/>
                <w:szCs w:val="1"/>
                <w:color w:val="auto"/>
              </w:rPr>
            </w:pPr>
          </w:p>
        </w:tc>
      </w:tr>
      <w:tr>
        <w:trPr>
          <w:trHeight w:val="16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Repayment of borrowings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(15,336)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(160,270)</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 exercises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sale of Series A redeemable convertible preferred stock</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 payments from issuance of Series A redeemable convertible preferred stock</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(2,697)</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74"/>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(21,106)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(115,051)</w:t>
            </w:r>
          </w:p>
        </w:tc>
        <w:tc>
          <w:tcPr>
            <w:tcW w:w="0" w:type="dxa"/>
            <w:vAlign w:val="bottom"/>
          </w:tcPr>
          <w:p>
            <w:pPr>
              <w:spacing w:after="0"/>
              <w:rPr>
                <w:sz w:val="1"/>
                <w:szCs w:val="1"/>
                <w:color w:val="auto"/>
              </w:rPr>
            </w:pP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7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74,345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(67,897)</w:t>
            </w:r>
          </w:p>
        </w:tc>
        <w:tc>
          <w:tcPr>
            <w:tcW w:w="0" w:type="dxa"/>
            <w:vAlign w:val="bottom"/>
          </w:tcPr>
          <w:p>
            <w:pPr>
              <w:spacing w:after="0"/>
              <w:rPr>
                <w:sz w:val="1"/>
                <w:szCs w:val="1"/>
                <w:color w:val="auto"/>
              </w:rPr>
            </w:pPr>
          </w:p>
        </w:tc>
      </w:tr>
      <w:tr>
        <w:trPr>
          <w:trHeight w:val="164"/>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84,361</w:t>
            </w:r>
          </w:p>
        </w:tc>
        <w:tc>
          <w:tcPr>
            <w:tcW w:w="0" w:type="dxa"/>
            <w:vAlign w:val="bottom"/>
          </w:tcPr>
          <w:p>
            <w:pPr>
              <w:spacing w:after="0"/>
              <w:rPr>
                <w:sz w:val="1"/>
                <w:szCs w:val="1"/>
                <w:color w:val="auto"/>
              </w:rPr>
            </w:pPr>
          </w:p>
        </w:tc>
      </w:tr>
      <w:tr>
        <w:trPr>
          <w:trHeight w:val="199"/>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90,809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16,464</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56,920</w:t>
            </w:r>
          </w:p>
        </w:tc>
        <w:tc>
          <w:tcPr>
            <w:tcW w:w="0" w:type="dxa"/>
            <w:vAlign w:val="bottom"/>
          </w:tcPr>
          <w:p>
            <w:pPr>
              <w:spacing w:after="0"/>
              <w:rPr>
                <w:sz w:val="1"/>
                <w:szCs w:val="1"/>
                <w:color w:val="auto"/>
              </w:rPr>
            </w:pPr>
          </w:p>
        </w:tc>
      </w:tr>
      <w:tr>
        <w:trPr>
          <w:trHeight w:val="171"/>
        </w:trPr>
        <w:tc>
          <w:tcPr>
            <w:tcW w:w="8940" w:type="dxa"/>
            <w:vAlign w:val="bottom"/>
          </w:tcPr>
          <w:p>
            <w:pPr>
              <w:ind w:left="20"/>
              <w:spacing w:after="0"/>
              <w:rPr>
                <w:sz w:val="20"/>
                <w:szCs w:val="20"/>
                <w:color w:val="auto"/>
              </w:rPr>
            </w:pPr>
            <w:r>
              <w:rPr>
                <w:rFonts w:ascii="Arial" w:cs="Arial" w:eastAsia="Arial" w:hAnsi="Arial"/>
                <w:sz w:val="13"/>
                <w:szCs w:val="13"/>
                <w:color w:val="auto"/>
              </w:rPr>
              <w:t>Income taxes paid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80"/>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9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81" w:right="339" w:bottom="1440" w:gutter="0" w:footer="0" w:header="0"/>
        </w:sectPr>
      </w:pPr>
    </w:p>
    <w:bookmarkStart w:id="14" w:name="page15"/>
    <w:bookmarkEnd w:id="14"/>
    <w:p>
      <w:pPr>
        <w:ind w:right="160"/>
        <w:spacing w:after="0" w:line="248"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 except for EBITDA and Adjusted</w:t>
      </w:r>
    </w:p>
    <w:p>
      <w:pPr>
        <w:spacing w:after="0"/>
        <w:rPr>
          <w:sz w:val="20"/>
          <w:szCs w:val="20"/>
          <w:color w:val="auto"/>
        </w:rPr>
      </w:pPr>
      <w:r>
        <w:rPr>
          <w:rFonts w:ascii="Arial" w:cs="Arial" w:eastAsia="Arial" w:hAnsi="Arial"/>
          <w:sz w:val="16"/>
          <w:szCs w:val="16"/>
          <w:color w:val="auto"/>
        </w:rPr>
        <w:t>EBITDA.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Medicare Revenue per Submission, Operating Expense per Submission and Gross Margin per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Submission to Sales per Submission, Cost Per Submission, and Adjusted Gross Margin per Submission for the periods indicated (unaudited):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 31,</w:t>
            </w:r>
          </w:p>
        </w:tc>
        <w:tc>
          <w:tcPr>
            <w:tcW w:w="280" w:type="dxa"/>
            <w:vAlign w:val="bottom"/>
          </w:tcPr>
          <w:p>
            <w:pPr>
              <w:spacing w:after="0"/>
              <w:rPr>
                <w:sz w:val="15"/>
                <w:szCs w:val="15"/>
                <w:color w:val="auto"/>
              </w:rPr>
            </w:pPr>
          </w:p>
        </w:tc>
        <w:tc>
          <w:tcPr>
            <w:tcW w:w="2440" w:type="dxa"/>
            <w:vAlign w:val="bottom"/>
            <w:gridSpan w:val="4"/>
          </w:tcPr>
          <w:p>
            <w:pPr>
              <w:jc w:val="right"/>
              <w:ind w:right="37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20"/>
                <w:szCs w:val="20"/>
                <w:color w:val="auto"/>
              </w:rPr>
            </w:pPr>
            <w:r>
              <w:rPr>
                <w:rFonts w:ascii="Arial" w:cs="Arial" w:eastAsia="Arial" w:hAnsi="Arial"/>
                <w:sz w:val="13"/>
                <w:szCs w:val="13"/>
                <w:color w:val="auto"/>
              </w:rPr>
              <w:t>(in thousands)</w:t>
            </w:r>
          </w:p>
        </w:tc>
        <w:tc>
          <w:tcPr>
            <w:tcW w:w="280" w:type="dxa"/>
            <w:vAlign w:val="bottom"/>
            <w:tcBorders>
              <w:top w:val="single" w:sz="8" w:color="929292"/>
              <w:bottom w:val="single" w:sz="8" w:color="929292"/>
            </w:tcBorders>
          </w:tcPr>
          <w:p>
            <w:pPr>
              <w:spacing w:after="0"/>
              <w:rPr>
                <w:sz w:val="14"/>
                <w:szCs w:val="14"/>
                <w:color w:val="auto"/>
              </w:rPr>
            </w:pPr>
          </w:p>
        </w:tc>
        <w:tc>
          <w:tcPr>
            <w:tcW w:w="1020" w:type="dxa"/>
            <w:vAlign w:val="bottom"/>
            <w:tcBorders>
              <w:top w:val="single" w:sz="8" w:color="929292"/>
              <w:bottom w:val="single" w:sz="8" w:color="929292"/>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929292"/>
            </w:tcBorders>
          </w:tcPr>
          <w:p>
            <w:pPr>
              <w:spacing w:after="0"/>
              <w:rPr>
                <w:sz w:val="14"/>
                <w:szCs w:val="14"/>
                <w:color w:val="auto"/>
              </w:rPr>
            </w:pPr>
          </w:p>
        </w:tc>
        <w:tc>
          <w:tcPr>
            <w:tcW w:w="300" w:type="dxa"/>
            <w:vAlign w:val="bottom"/>
            <w:tcBorders>
              <w:top w:val="single" w:sz="8" w:color="929292"/>
              <w:bottom w:val="single" w:sz="8" w:color="929292"/>
            </w:tcBorders>
          </w:tcPr>
          <w:p>
            <w:pPr>
              <w:spacing w:after="0"/>
              <w:rPr>
                <w:sz w:val="14"/>
                <w:szCs w:val="14"/>
                <w:color w:val="auto"/>
              </w:rPr>
            </w:pPr>
          </w:p>
        </w:tc>
        <w:tc>
          <w:tcPr>
            <w:tcW w:w="1020" w:type="dxa"/>
            <w:vAlign w:val="bottom"/>
            <w:tcBorders>
              <w:top w:val="single" w:sz="8" w:color="929292"/>
              <w:bottom w:val="single" w:sz="8" w:color="929292"/>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80" w:type="dxa"/>
            <w:vAlign w:val="bottom"/>
            <w:tcBorders>
              <w:top w:val="single" w:sz="8" w:color="929292"/>
              <w:bottom w:val="single" w:sz="8" w:color="929292"/>
            </w:tcBorders>
          </w:tcPr>
          <w:p>
            <w:pPr>
              <w:spacing w:after="0"/>
              <w:rPr>
                <w:sz w:val="14"/>
                <w:szCs w:val="14"/>
                <w:color w:val="auto"/>
              </w:rPr>
            </w:pPr>
          </w:p>
        </w:tc>
        <w:tc>
          <w:tcPr>
            <w:tcW w:w="1040" w:type="dxa"/>
            <w:vAlign w:val="bottom"/>
            <w:tcBorders>
              <w:top w:val="single" w:sz="8" w:color="929292"/>
              <w:bottom w:val="single" w:sz="8" w:color="929292"/>
            </w:tcBorders>
          </w:tcPr>
          <w:p>
            <w:pPr>
              <w:jc w:val="right"/>
              <w:ind w:right="45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929292"/>
            </w:tcBorders>
          </w:tcPr>
          <w:p>
            <w:pPr>
              <w:spacing w:after="0"/>
              <w:rPr>
                <w:sz w:val="14"/>
                <w:szCs w:val="14"/>
                <w:color w:val="auto"/>
              </w:rPr>
            </w:pPr>
          </w:p>
        </w:tc>
        <w:tc>
          <w:tcPr>
            <w:tcW w:w="300" w:type="dxa"/>
            <w:vAlign w:val="bottom"/>
            <w:tcBorders>
              <w:top w:val="single" w:sz="8" w:color="929292"/>
              <w:bottom w:val="single" w:sz="8" w:color="929292"/>
            </w:tcBorders>
          </w:tcPr>
          <w:p>
            <w:pPr>
              <w:spacing w:after="0"/>
              <w:rPr>
                <w:sz w:val="14"/>
                <w:szCs w:val="14"/>
                <w:color w:val="auto"/>
              </w:rPr>
            </w:pPr>
          </w:p>
        </w:tc>
        <w:tc>
          <w:tcPr>
            <w:tcW w:w="1000" w:type="dxa"/>
            <w:vAlign w:val="bottom"/>
            <w:tcBorders>
              <w:top w:val="single" w:sz="8" w:color="929292"/>
              <w:bottom w:val="single" w:sz="8" w:color="929292"/>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5700" w:type="dxa"/>
            <w:vAlign w:val="bottom"/>
          </w:tcPr>
          <w:p>
            <w:pPr>
              <w:spacing w:after="0"/>
              <w:rPr>
                <w:sz w:val="20"/>
                <w:szCs w:val="20"/>
                <w:color w:val="auto"/>
              </w:rPr>
            </w:pPr>
            <w:r>
              <w:rPr>
                <w:rFonts w:ascii="Arial" w:cs="Arial" w:eastAsia="Arial" w:hAnsi="Arial"/>
                <w:sz w:val="13"/>
                <w:szCs w:val="13"/>
                <w:b w:val="1"/>
                <w:bCs w:val="1"/>
                <w:color w:val="auto"/>
              </w:rPr>
              <w:t>Sales per Submission</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700" w:type="dxa"/>
            <w:vAlign w:val="bottom"/>
          </w:tcPr>
          <w:p>
            <w:pPr>
              <w:ind w:left="120"/>
              <w:spacing w:after="0"/>
              <w:rPr>
                <w:sz w:val="20"/>
                <w:szCs w:val="20"/>
                <w:color w:val="auto"/>
              </w:rPr>
            </w:pPr>
            <w:r>
              <w:rPr>
                <w:rFonts w:ascii="Arial" w:cs="Arial" w:eastAsia="Arial" w:hAnsi="Arial"/>
                <w:sz w:val="13"/>
                <w:szCs w:val="13"/>
                <w:color w:val="auto"/>
              </w:rPr>
              <w:t>Medicare Revenue per Submission</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rPr>
                <w:sz w:val="20"/>
                <w:szCs w:val="20"/>
                <w:color w:val="auto"/>
              </w:rPr>
            </w:pPr>
            <w:r>
              <w:rPr>
                <w:rFonts w:ascii="Arial" w:cs="Arial" w:eastAsia="Arial" w:hAnsi="Arial"/>
                <w:sz w:val="13"/>
                <w:szCs w:val="13"/>
                <w:color w:val="auto"/>
              </w:rPr>
              <w:t>Lookback Adjustments reported during the indicated periods</w:t>
            </w:r>
            <w:r>
              <w:rPr>
                <w:rFonts w:ascii="Arial" w:cs="Arial" w:eastAsia="Arial" w:hAnsi="Arial"/>
                <w:sz w:val="16"/>
                <w:szCs w:val="16"/>
                <w:color w:val="auto"/>
                <w:vertAlign w:val="superscript"/>
              </w:rPr>
              <w:t>1</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Arial" w:cs="Arial" w:eastAsia="Arial" w:hAnsi="Arial"/>
                <w:sz w:val="13"/>
                <w:szCs w:val="13"/>
                <w:color w:val="auto"/>
              </w:rPr>
              <w:t>Sales per Submission</w:t>
            </w:r>
          </w:p>
        </w:tc>
        <w:tc>
          <w:tcPr>
            <w:tcW w:w="280" w:type="dxa"/>
            <w:vAlign w:val="bottom"/>
            <w:tcBorders>
              <w:top w:val="single" w:sz="8" w:color="929292"/>
              <w:bottom w:val="single" w:sz="8" w:color="929292"/>
            </w:tcBorders>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300" w:type="dxa"/>
            <w:vAlign w:val="bottom"/>
            <w:tcBorders>
              <w:top w:val="single" w:sz="8" w:color="929292"/>
              <w:bottom w:val="single" w:sz="8" w:color="929292"/>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928</w:t>
            </w:r>
          </w:p>
        </w:tc>
        <w:tc>
          <w:tcPr>
            <w:tcW w:w="80" w:type="dxa"/>
            <w:vAlign w:val="bottom"/>
          </w:tcPr>
          <w:p>
            <w:pPr>
              <w:spacing w:after="0"/>
              <w:rPr>
                <w:sz w:val="14"/>
                <w:szCs w:val="14"/>
                <w:color w:val="auto"/>
              </w:rPr>
            </w:pPr>
          </w:p>
        </w:tc>
        <w:tc>
          <w:tcPr>
            <w:tcW w:w="280" w:type="dxa"/>
            <w:vAlign w:val="bottom"/>
            <w:tcBorders>
              <w:top w:val="single" w:sz="8" w:color="929292"/>
              <w:bottom w:val="single" w:sz="8" w:color="929292"/>
            </w:tcBorders>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4"/>
                <w:szCs w:val="14"/>
                <w:color w:val="auto"/>
              </w:rPr>
            </w:pPr>
          </w:p>
        </w:tc>
        <w:tc>
          <w:tcPr>
            <w:tcW w:w="300" w:type="dxa"/>
            <w:vAlign w:val="bottom"/>
            <w:tcBorders>
              <w:top w:val="single" w:sz="8" w:color="929292"/>
              <w:bottom w:val="single" w:sz="8" w:color="929292"/>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3"/>
                <w:szCs w:val="13"/>
                <w:color w:val="auto"/>
              </w:rPr>
              <w:t>915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b w:val="1"/>
                <w:bCs w:val="1"/>
                <w:color w:val="auto"/>
              </w:rPr>
              <w:t>Cost per Submission</w:t>
            </w:r>
          </w:p>
        </w:tc>
        <w:tc>
          <w:tcPr>
            <w:tcW w:w="28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Pr>
          <w:p>
            <w:pPr>
              <w:ind w:left="120"/>
              <w:spacing w:after="0"/>
              <w:rPr>
                <w:sz w:val="20"/>
                <w:szCs w:val="20"/>
                <w:color w:val="auto"/>
              </w:rPr>
            </w:pPr>
            <w:r>
              <w:rPr>
                <w:rFonts w:ascii="Arial" w:cs="Arial" w:eastAsia="Arial" w:hAnsi="Arial"/>
                <w:sz w:val="13"/>
                <w:szCs w:val="13"/>
                <w:color w:val="auto"/>
              </w:rPr>
              <w:t>Operating Expense per Submission</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625</w:t>
            </w:r>
          </w:p>
        </w:tc>
        <w:tc>
          <w:tcPr>
            <w:tcW w:w="8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85"/>
        </w:trPr>
        <w:tc>
          <w:tcPr>
            <w:tcW w:w="5700" w:type="dxa"/>
            <w:vAlign w:val="bottom"/>
          </w:tcPr>
          <w:p>
            <w:pPr>
              <w:ind w:left="120"/>
              <w:spacing w:after="0"/>
              <w:rPr>
                <w:sz w:val="20"/>
                <w:szCs w:val="20"/>
                <w:color w:val="auto"/>
              </w:rPr>
            </w:pPr>
            <w:r>
              <w:rPr>
                <w:rFonts w:ascii="Arial" w:cs="Arial" w:eastAsia="Arial" w:hAnsi="Arial"/>
                <w:sz w:val="13"/>
                <w:szCs w:val="13"/>
                <w:color w:val="auto"/>
              </w:rPr>
              <w:t>Indirect operating expenses</w:t>
            </w:r>
            <w:r>
              <w:rPr>
                <w:rFonts w:ascii="Arial" w:cs="Arial" w:eastAsia="Arial" w:hAnsi="Arial"/>
                <w:sz w:val="16"/>
                <w:szCs w:val="16"/>
                <w:color w:val="auto"/>
                <w:vertAlign w:val="superscript"/>
              </w:rPr>
              <w:t>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76"/>
        </w:trPr>
        <w:tc>
          <w:tcPr>
            <w:tcW w:w="5700" w:type="dxa"/>
            <w:vAlign w:val="bottom"/>
          </w:tcPr>
          <w:p>
            <w:pPr>
              <w:ind w:left="120"/>
              <w:spacing w:after="0" w:line="175" w:lineRule="exact"/>
              <w:rPr>
                <w:sz w:val="20"/>
                <w:szCs w:val="20"/>
                <w:color w:val="auto"/>
              </w:rPr>
            </w:pPr>
            <w:r>
              <w:rPr>
                <w:rFonts w:ascii="Arial" w:cs="Arial" w:eastAsia="Arial" w:hAnsi="Arial"/>
                <w:sz w:val="13"/>
                <w:szCs w:val="13"/>
                <w:color w:val="auto"/>
              </w:rPr>
              <w:t>Lookback Adjustments reported during the indicated periods</w:t>
            </w:r>
            <w:r>
              <w:rPr>
                <w:rFonts w:ascii="Arial" w:cs="Arial" w:eastAsia="Arial" w:hAnsi="Arial"/>
                <w:sz w:val="16"/>
                <w:szCs w:val="16"/>
                <w:color w:val="auto"/>
                <w:vertAlign w:val="superscript"/>
              </w:rPr>
              <w:t>1</w:t>
            </w:r>
          </w:p>
        </w:tc>
        <w:tc>
          <w:tcPr>
            <w:tcW w:w="2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6"/>
        </w:trPr>
        <w:tc>
          <w:tcPr>
            <w:tcW w:w="5700" w:type="dxa"/>
            <w:vAlign w:val="bottom"/>
          </w:tcPr>
          <w:p>
            <w:pPr>
              <w:ind w:left="120"/>
              <w:spacing w:after="0"/>
              <w:rPr>
                <w:sz w:val="20"/>
                <w:szCs w:val="20"/>
                <w:color w:val="auto"/>
              </w:rPr>
            </w:pPr>
            <w:r>
              <w:rPr>
                <w:rFonts w:ascii="Arial" w:cs="Arial" w:eastAsia="Arial" w:hAnsi="Arial"/>
                <w:sz w:val="13"/>
                <w:szCs w:val="13"/>
                <w:color w:val="auto"/>
              </w:rPr>
              <w:t>Exit of Non-Encompass BPO Services</w:t>
            </w:r>
          </w:p>
        </w:tc>
        <w:tc>
          <w:tcPr>
            <w:tcW w:w="2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rPr>
                <w:sz w:val="20"/>
                <w:szCs w:val="20"/>
                <w:color w:val="auto"/>
              </w:rPr>
            </w:pPr>
            <w:r>
              <w:rPr>
                <w:rFonts w:ascii="Arial" w:cs="Arial" w:eastAsia="Arial" w:hAnsi="Arial"/>
                <w:sz w:val="13"/>
                <w:szCs w:val="13"/>
                <w:color w:val="auto"/>
              </w:rPr>
              <w:t>Share-based compensation expense (benefit)</w:t>
            </w:r>
            <w:r>
              <w:rPr>
                <w:rFonts w:ascii="Arial" w:cs="Arial" w:eastAsia="Arial" w:hAnsi="Arial"/>
                <w:sz w:val="16"/>
                <w:szCs w:val="16"/>
                <w:color w:val="auto"/>
                <w:vertAlign w:val="superscript"/>
              </w:rPr>
              <w:t>3</w:t>
            </w:r>
          </w:p>
        </w:tc>
        <w:tc>
          <w:tcPr>
            <w:tcW w:w="280" w:type="dxa"/>
            <w:vAlign w:val="bottom"/>
            <w:tcBorders>
              <w:bottom w:val="single" w:sz="8" w:color="929292"/>
            </w:tcBorders>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280" w:type="dxa"/>
            <w:vAlign w:val="bottom"/>
            <w:tcBorders>
              <w:bottom w:val="single" w:sz="8" w:color="929292"/>
            </w:tcBorders>
          </w:tcPr>
          <w:p>
            <w:pPr>
              <w:spacing w:after="0"/>
              <w:rPr>
                <w:sz w:val="16"/>
                <w:szCs w:val="16"/>
                <w:color w:val="auto"/>
              </w:rPr>
            </w:pP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Arial" w:cs="Arial" w:eastAsia="Arial" w:hAnsi="Arial"/>
                <w:sz w:val="13"/>
                <w:szCs w:val="13"/>
                <w:color w:val="auto"/>
              </w:rPr>
              <w:t>Cost per Submission</w:t>
            </w:r>
          </w:p>
        </w:tc>
        <w:tc>
          <w:tcPr>
            <w:tcW w:w="280" w:type="dxa"/>
            <w:vAlign w:val="bottom"/>
            <w:tcBorders>
              <w:bottom w:val="single" w:sz="8" w:color="929292"/>
            </w:tcBorders>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688</w:t>
            </w:r>
          </w:p>
        </w:tc>
        <w:tc>
          <w:tcPr>
            <w:tcW w:w="100" w:type="dxa"/>
            <w:vAlign w:val="bottom"/>
          </w:tcPr>
          <w:p>
            <w:pPr>
              <w:spacing w:after="0"/>
              <w:rPr>
                <w:sz w:val="14"/>
                <w:szCs w:val="14"/>
                <w:color w:val="auto"/>
              </w:rPr>
            </w:pPr>
          </w:p>
        </w:tc>
        <w:tc>
          <w:tcPr>
            <w:tcW w:w="300" w:type="dxa"/>
            <w:vAlign w:val="bottom"/>
            <w:tcBorders>
              <w:bottom w:val="single" w:sz="8" w:color="929292"/>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14"/>
                <w:szCs w:val="14"/>
                <w:color w:val="auto"/>
              </w:rPr>
            </w:pPr>
          </w:p>
        </w:tc>
        <w:tc>
          <w:tcPr>
            <w:tcW w:w="280" w:type="dxa"/>
            <w:vAlign w:val="bottom"/>
            <w:tcBorders>
              <w:bottom w:val="single" w:sz="8" w:color="929292"/>
            </w:tcBorders>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4"/>
                <w:szCs w:val="14"/>
                <w:color w:val="auto"/>
              </w:rPr>
            </w:pPr>
          </w:p>
        </w:tc>
        <w:tc>
          <w:tcPr>
            <w:tcW w:w="300" w:type="dxa"/>
            <w:vAlign w:val="bottom"/>
            <w:tcBorders>
              <w:bottom w:val="single" w:sz="8" w:color="929292"/>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747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5700" w:type="dxa"/>
            <w:vAlign w:val="bottom"/>
          </w:tcPr>
          <w:p>
            <w:pPr>
              <w:spacing w:after="0"/>
              <w:rPr>
                <w:sz w:val="20"/>
                <w:szCs w:val="20"/>
                <w:color w:val="auto"/>
              </w:rPr>
            </w:pPr>
            <w:r>
              <w:rPr>
                <w:rFonts w:ascii="Arial" w:cs="Arial" w:eastAsia="Arial" w:hAnsi="Arial"/>
                <w:sz w:val="13"/>
                <w:szCs w:val="13"/>
                <w:color w:val="auto"/>
              </w:rPr>
              <w:t>Gross Margin per Submission</w:t>
            </w:r>
            <w:r>
              <w:rPr>
                <w:rFonts w:ascii="Arial" w:cs="Arial" w:eastAsia="Arial" w:hAnsi="Arial"/>
                <w:sz w:val="16"/>
                <w:szCs w:val="16"/>
                <w:color w:val="auto"/>
                <w:vertAlign w:val="superscript"/>
              </w:rPr>
              <w:t>4</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3"/>
                <w:szCs w:val="13"/>
                <w:color w:val="auto"/>
              </w:rPr>
              <w:t>Adjusted Gross Margin per Submission</w:t>
            </w:r>
            <w:r>
              <w:rPr>
                <w:rFonts w:ascii="Arial" w:cs="Arial" w:eastAsia="Arial" w:hAnsi="Arial"/>
                <w:sz w:val="16"/>
                <w:szCs w:val="16"/>
                <w:color w:val="auto"/>
                <w:vertAlign w:val="superscript"/>
              </w:rPr>
              <w:t>5</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9"/>
                <w:szCs w:val="19"/>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9"/>
                <w:szCs w:val="19"/>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impact of Lookback Adjustments on Non-Encompass BPO Services.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Indirect operating expenses include technology, general and administrative, amortization of intangible assets, operating lease impairment charges and restructuring and other related charges.</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Share-based compensation expense included within marketing and advertising expenses and customer care and enrollment expenses.</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Medicare Revenue per Submission less Operating Expense per Submission.</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Sales per Submission less Cost per Submission.</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 (unaudited):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420" w:type="dxa"/>
            <w:vAlign w:val="bottom"/>
            <w:gridSpan w:val="4"/>
          </w:tcPr>
          <w:p>
            <w:pPr>
              <w:jc w:val="center"/>
              <w:ind w:right="80"/>
              <w:spacing w:after="0"/>
              <w:rPr>
                <w:sz w:val="20"/>
                <w:szCs w:val="20"/>
                <w:color w:val="auto"/>
              </w:rPr>
            </w:pPr>
            <w:r>
              <w:rPr>
                <w:rFonts w:ascii="Arial" w:cs="Arial" w:eastAsia="Arial" w:hAnsi="Arial"/>
                <w:sz w:val="14"/>
                <w:szCs w:val="14"/>
                <w:color w:val="auto"/>
              </w:rPr>
              <w:t>Three months ended Dec. 31,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6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color w:val="auto"/>
              </w:rPr>
              <w:t>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60" w:type="dxa"/>
            <w:vAlign w:val="bottom"/>
            <w:tcBorders>
              <w:left w:val="single" w:sz="8" w:color="929292"/>
            </w:tcBorders>
            <w:vMerge w:val="restart"/>
          </w:tcPr>
          <w:p>
            <w:pPr>
              <w:ind w:left="170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tcBorders>
              <w:top w:val="single" w:sz="8" w:color="929292"/>
            </w:tcBorders>
            <w:shd w:val="clear" w:color="auto" w:fill="929292"/>
          </w:tcPr>
          <w:p>
            <w:pPr>
              <w:spacing w:after="0"/>
              <w:rPr>
                <w:sz w:val="16"/>
                <w:szCs w:val="16"/>
                <w:color w:val="auto"/>
              </w:rPr>
            </w:pPr>
          </w:p>
        </w:tc>
        <w:tc>
          <w:tcPr>
            <w:tcW w:w="1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288,127</w:t>
            </w:r>
          </w:p>
        </w:tc>
        <w:tc>
          <w:tcPr>
            <w:tcW w:w="80" w:type="dxa"/>
            <w:vAlign w:val="bottom"/>
          </w:tcPr>
          <w:p>
            <w:pPr>
              <w:spacing w:after="0"/>
              <w:rPr>
                <w:sz w:val="16"/>
                <w:szCs w:val="16"/>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324,133</w:t>
            </w:r>
          </w:p>
        </w:tc>
        <w:tc>
          <w:tcPr>
            <w:tcW w:w="100" w:type="dxa"/>
            <w:vAlign w:val="bottom"/>
          </w:tcPr>
          <w:p>
            <w:pPr>
              <w:spacing w:after="0"/>
              <w:rPr>
                <w:sz w:val="16"/>
                <w:szCs w:val="16"/>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(36,006)</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5"/>
        </w:trPr>
        <w:tc>
          <w:tcPr>
            <w:tcW w:w="426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42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rPr>
              <w:t>Twelve months ended Dec. 31,</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6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color w:val="auto"/>
              </w:rPr>
              <w:t>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826,159</w:t>
            </w:r>
          </w:p>
        </w:tc>
        <w:tc>
          <w:tcPr>
            <w:tcW w:w="80" w:type="dxa"/>
            <w:vAlign w:val="bottom"/>
          </w:tcPr>
          <w:p>
            <w:pPr>
              <w:spacing w:after="0"/>
              <w:rPr>
                <w:sz w:val="17"/>
                <w:szCs w:val="17"/>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862,656</w:t>
            </w:r>
          </w:p>
        </w:tc>
        <w:tc>
          <w:tcPr>
            <w:tcW w:w="100" w:type="dxa"/>
            <w:vAlign w:val="bottom"/>
          </w:tcPr>
          <w:p>
            <w:pPr>
              <w:spacing w:after="0"/>
              <w:rPr>
                <w:sz w:val="17"/>
                <w:szCs w:val="17"/>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(36,497)</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(in thousands) for the period presented (unaudited):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8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 Dec. 31,</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80" w:type="dxa"/>
            <w:vAlign w:val="bottom"/>
            <w:tcBorders>
              <w:left w:val="single" w:sz="8" w:color="929292"/>
            </w:tcBorders>
            <w:vMerge w:val="restart"/>
          </w:tcPr>
          <w:p>
            <w:pPr>
              <w:ind w:left="1400"/>
              <w:spacing w:after="0"/>
              <w:rPr>
                <w:sz w:val="20"/>
                <w:szCs w:val="20"/>
                <w:color w:val="auto"/>
              </w:rPr>
            </w:pPr>
            <w:r>
              <w:rPr>
                <w:rFonts w:ascii="Arial" w:cs="Arial" w:eastAsia="Arial" w:hAnsi="Arial"/>
                <w:sz w:val="14"/>
                <w:szCs w:val="14"/>
                <w:b w:val="1"/>
                <w:bCs w:val="1"/>
                <w:color w:val="00497F"/>
              </w:rPr>
              <w:t>Sales Per Submission</w:t>
            </w:r>
          </w:p>
        </w:tc>
        <w:tc>
          <w:tcPr>
            <w:tcW w:w="100" w:type="dxa"/>
            <w:vAlign w:val="bottom"/>
            <w:tcBorders>
              <w:top w:val="single" w:sz="8" w:color="929292"/>
            </w:tcBorders>
            <w:shd w:val="clear" w:color="auto" w:fill="929292"/>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6"/>
                <w:szCs w:val="16"/>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95"/>
        </w:trPr>
        <w:tc>
          <w:tcPr>
            <w:tcW w:w="428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vMerge w:val="restart"/>
          </w:tcPr>
          <w:p>
            <w:pPr>
              <w:jc w:val="center"/>
              <w:ind w:right="480"/>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8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8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8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Borders>
              <w:top w:val="single" w:sz="8" w:color="929292"/>
            </w:tcBorders>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7"/>
                <w:szCs w:val="17"/>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Sales/Cost of Submission, Cost of Submission (in thousands) and Cost Per Submission for the three and twelve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and 2022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740" w:type="dxa"/>
            <w:vAlign w:val="bottom"/>
            <w:gridSpan w:val="4"/>
          </w:tcPr>
          <w:p>
            <w:pPr>
              <w:jc w:val="right"/>
              <w:ind w:right="28"/>
              <w:spacing w:after="0"/>
              <w:rPr>
                <w:sz w:val="20"/>
                <w:szCs w:val="20"/>
                <w:color w:val="auto"/>
              </w:rPr>
            </w:pPr>
            <w:r>
              <w:rPr>
                <w:rFonts w:ascii="Arial" w:cs="Arial" w:eastAsia="Arial" w:hAnsi="Arial"/>
                <w:sz w:val="14"/>
                <w:szCs w:val="14"/>
                <w:color w:val="auto"/>
              </w:rPr>
              <w:t>Three months ended Dec.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628"/>
              <w:spacing w:after="0"/>
              <w:rPr>
                <w:sz w:val="20"/>
                <w:szCs w:val="20"/>
                <w:color w:val="auto"/>
              </w:rPr>
            </w:pPr>
            <w:r>
              <w:rPr>
                <w:rFonts w:ascii="Arial" w:cs="Arial" w:eastAsia="Arial" w:hAnsi="Arial"/>
                <w:sz w:val="14"/>
                <w:szCs w:val="14"/>
                <w:color w:val="auto"/>
              </w:rPr>
              <w:t>Twelve months ended Dec. 31,</w:t>
            </w:r>
          </w:p>
        </w:tc>
      </w:tr>
      <w:tr>
        <w:trPr>
          <w:trHeight w:val="194"/>
        </w:trPr>
        <w:tc>
          <w:tcPr>
            <w:tcW w:w="4320" w:type="dxa"/>
            <w:vAlign w:val="bottom"/>
            <w:tcBorders>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2022</w:t>
            </w:r>
          </w:p>
        </w:tc>
        <w:tc>
          <w:tcPr>
            <w:tcW w:w="6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B6B6B6"/>
            </w:tcBorders>
          </w:tcPr>
          <w:p>
            <w:pPr>
              <w:spacing w:after="0"/>
              <w:rPr>
                <w:sz w:val="16"/>
                <w:szCs w:val="16"/>
                <w:color w:val="auto"/>
              </w:rPr>
            </w:pPr>
          </w:p>
        </w:tc>
        <w:tc>
          <w:tcPr>
            <w:tcW w:w="126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380" w:type="dxa"/>
            <w:vAlign w:val="bottom"/>
            <w:tcBorders>
              <w:bottom w:val="single" w:sz="8" w:color="B6B6B6"/>
            </w:tcBorders>
          </w:tcPr>
          <w:p>
            <w:pPr>
              <w:spacing w:after="0"/>
              <w:rPr>
                <w:sz w:val="16"/>
                <w:szCs w:val="16"/>
                <w:color w:val="auto"/>
              </w:rPr>
            </w:pPr>
          </w:p>
        </w:tc>
        <w:tc>
          <w:tcPr>
            <w:tcW w:w="1260" w:type="dxa"/>
            <w:vAlign w:val="bottom"/>
            <w:tcBorders>
              <w:bottom w:val="single" w:sz="8" w:color="B6B6B6"/>
            </w:tcBorders>
          </w:tcPr>
          <w:p>
            <w:pPr>
              <w:jc w:val="right"/>
              <w:ind w:right="588"/>
              <w:spacing w:after="0"/>
              <w:rPr>
                <w:sz w:val="20"/>
                <w:szCs w:val="20"/>
                <w:color w:val="auto"/>
              </w:rPr>
            </w:pPr>
            <w:r>
              <w:rPr>
                <w:rFonts w:ascii="Arial" w:cs="Arial" w:eastAsia="Arial" w:hAnsi="Arial"/>
                <w:sz w:val="14"/>
                <w:szCs w:val="14"/>
                <w:color w:val="auto"/>
              </w:rPr>
              <w:t>2022</w:t>
            </w: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color w:val="auto"/>
              </w:rPr>
              <w:t>Sales/Cost of Submission</w:t>
            </w:r>
          </w:p>
        </w:tc>
        <w:tc>
          <w:tcPr>
            <w:tcW w:w="100" w:type="dxa"/>
            <w:vAlign w:val="bottom"/>
            <w:shd w:val="clear" w:color="auto" w:fill="929292"/>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Cost of Submission</w:t>
            </w:r>
          </w:p>
        </w:tc>
        <w:tc>
          <w:tcPr>
            <w:tcW w:w="100" w:type="dxa"/>
            <w:vAlign w:val="bottom"/>
            <w:shd w:val="clear" w:color="auto" w:fill="929292"/>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197,940</w:t>
            </w:r>
          </w:p>
        </w:tc>
        <w:tc>
          <w:tcPr>
            <w:tcW w:w="100" w:type="dxa"/>
            <w:vAlign w:val="bottom"/>
          </w:tcPr>
          <w:p>
            <w:pPr>
              <w:spacing w:after="0"/>
              <w:rPr>
                <w:sz w:val="17"/>
                <w:szCs w:val="17"/>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193,172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563,552</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644,706</w:t>
            </w:r>
          </w:p>
        </w:tc>
      </w:tr>
      <w:tr>
        <w:trPr>
          <w:trHeight w:val="210"/>
        </w:trPr>
        <w:tc>
          <w:tcPr>
            <w:tcW w:w="4320" w:type="dxa"/>
            <w:vAlign w:val="bottom"/>
          </w:tcPr>
          <w:p>
            <w:pPr>
              <w:ind w:left="20"/>
              <w:spacing w:after="0"/>
              <w:rPr>
                <w:sz w:val="20"/>
                <w:szCs w:val="20"/>
                <w:color w:val="auto"/>
              </w:rPr>
            </w:pPr>
            <w:r>
              <w:rPr>
                <w:rFonts w:ascii="Arial" w:cs="Arial" w:eastAsia="Arial" w:hAnsi="Arial"/>
                <w:sz w:val="14"/>
                <w:szCs w:val="14"/>
                <w:color w:val="auto"/>
              </w:rPr>
              <w:t>Cost per Submission</w:t>
            </w:r>
          </w:p>
        </w:tc>
        <w:tc>
          <w:tcPr>
            <w:tcW w:w="100" w:type="dxa"/>
            <w:vAlign w:val="bottom"/>
            <w:shd w:val="clear" w:color="auto" w:fill="929292"/>
          </w:tcPr>
          <w:p>
            <w:pPr>
              <w:spacing w:after="0"/>
              <w:rPr>
                <w:sz w:val="18"/>
                <w:szCs w:val="18"/>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8"/>
                <w:szCs w:val="18"/>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747</w:t>
            </w:r>
          </w:p>
        </w:tc>
      </w:tr>
    </w:tbl>
    <w:p>
      <w:pPr>
        <w:spacing w:after="0" w:line="200" w:lineRule="exact"/>
        <w:rPr>
          <w:sz w:val="20"/>
          <w:szCs w:val="20"/>
          <w:color w:val="auto"/>
        </w:rPr>
      </w:pPr>
    </w:p>
    <w:p>
      <w:pPr>
        <w:sectPr>
          <w:pgSz w:w="11900" w:h="16838" w:orient="portrait"/>
          <w:cols w:equalWidth="0" w:num="1">
            <w:col w:w="11240"/>
          </w:cols>
          <w:pgMar w:left="320" w:top="868" w:right="339" w:bottom="1440" w:gutter="0" w:footer="0" w:header="0"/>
        </w:sectPr>
      </w:pPr>
    </w:p>
    <w:p>
      <w:pPr>
        <w:spacing w:after="0" w:line="32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86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2024-03-14T06:07:41Z</dcterms:created>
  <dcterms:modified xsi:type="dcterms:W3CDTF">2024-03-14T06:07:41Z</dcterms:modified>
</cp:coreProperties>
</file>