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346075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414655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DC 20549</w:t>
      </w: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 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(Rule 14a-101)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 </w:t>
      </w:r>
    </w:p>
    <w:p>
      <w:pPr>
        <w:ind w:left="21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ind w:left="32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ind w:left="476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 </w:t>
      </w:r>
    </w:p>
    <w:p>
      <w:pPr>
        <w:ind w:left="2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ind w:left="336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80"/>
        <w:spacing w:after="0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 </w:t>
        <w:tab/>
        <w:t>)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GoHealth,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the appropriate box):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386080</wp:posOffset>
            </wp:positionV>
            <wp:extent cx="699516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197485</wp:posOffset>
            </wp:positionV>
            <wp:extent cx="61722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257175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8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995160" cy="8778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431165</wp:posOffset>
            </wp:positionH>
            <wp:positionV relativeFrom="page">
              <wp:posOffset>88900</wp:posOffset>
            </wp:positionV>
            <wp:extent cx="6686550" cy="8649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864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2023-04-11T15:32:38Z</dcterms:created>
  <dcterms:modified xsi:type="dcterms:W3CDTF">2023-04-11T15:32:38Z</dcterms:modified>
</cp:coreProperties>
</file>