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CCP III Cayman GP Ltd.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42"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4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jc w:val="center"/>
              <w:ind w:right="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rPr>
              <w:t>12/08/2022</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13,641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13.86</w:t>
            </w:r>
            <w:r>
              <w:rPr>
                <w:rFonts w:ascii="Times New Roman" w:cs="Times New Roman" w:eastAsia="Times New Roman" w:hAnsi="Times New Roman"/>
                <w:sz w:val="22"/>
                <w:szCs w:val="22"/>
                <w:color w:val="008000"/>
                <w:w w:val="92"/>
                <w:vertAlign w:val="superscript"/>
              </w:rPr>
              <w:t>(1)</w:t>
            </w:r>
          </w:p>
        </w:tc>
        <w:tc>
          <w:tcPr>
            <w:tcW w:w="1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4,002,091</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gridSpan w:val="2"/>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rPr>
              <w:t>12/08/2022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11,102</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14.0348</w:t>
            </w:r>
            <w:r>
              <w:rPr>
                <w:rFonts w:ascii="Times New Roman" w:cs="Times New Roman" w:eastAsia="Times New Roman" w:hAnsi="Times New Roman"/>
                <w:sz w:val="22"/>
                <w:szCs w:val="22"/>
                <w:color w:val="008000"/>
                <w:w w:val="97"/>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4,013,193</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gridSpan w:val="2"/>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rPr>
              <w:t>12/09/2022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709</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13.9558</w:t>
            </w:r>
            <w:r>
              <w:rPr>
                <w:rFonts w:ascii="Times New Roman" w:cs="Times New Roman" w:eastAsia="Times New Roman" w:hAnsi="Times New Roman"/>
                <w:sz w:val="22"/>
                <w:szCs w:val="22"/>
                <w:color w:val="008000"/>
                <w:w w:val="97"/>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4,013,902</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gridSpan w:val="2"/>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rPr>
              <w:t>12/09/2022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37,616</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14.3618</w:t>
            </w:r>
            <w:r>
              <w:rPr>
                <w:rFonts w:ascii="Times New Roman" w:cs="Times New Roman" w:eastAsia="Times New Roman" w:hAnsi="Times New Roman"/>
                <w:sz w:val="22"/>
                <w:szCs w:val="22"/>
                <w:color w:val="008000"/>
                <w:w w:val="97"/>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4,051,518</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gridSpan w:val="2"/>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rPr>
              <w:t>12/09/2022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20,839</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15.4211</w:t>
            </w:r>
            <w:r>
              <w:rPr>
                <w:rFonts w:ascii="Times New Roman" w:cs="Times New Roman" w:eastAsia="Times New Roman" w:hAnsi="Times New Roman"/>
                <w:sz w:val="22"/>
                <w:szCs w:val="22"/>
                <w:color w:val="008000"/>
                <w:w w:val="95"/>
                <w:vertAlign w:val="superscript"/>
              </w:rPr>
              <w:t>(8)</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4,072,357</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gridSpan w:val="2"/>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rPr>
              <w:t>12/09/2022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1,362</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4,073,719</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5"/>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20" w:type="dxa"/>
            <w:vAlign w:val="bottom"/>
            <w:gridSpan w:val="17"/>
          </w:tcPr>
          <w:p>
            <w:pPr>
              <w:jc w:val="center"/>
              <w:ind w:righ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20" w:type="dxa"/>
            <w:vAlign w:val="bottom"/>
            <w:gridSpan w:val="14"/>
          </w:tcPr>
          <w:p>
            <w:pPr>
              <w:jc w:val="center"/>
              <w:ind w:right="3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center"/>
              <w:ind w:right="28"/>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CCP III Cayman GP Ltd.</w:t>
              </w:r>
            </w:hyperlink>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80" w:type="dxa"/>
            <w:vAlign w:val="bottom"/>
          </w:tcPr>
          <w:p>
            <w:pPr>
              <w:jc w:val="center"/>
              <w:ind w:right="288"/>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tcPr>
          <w:p>
            <w:pPr>
              <w:jc w:val="center"/>
              <w:ind w:right="88"/>
              <w:spacing w:after="0"/>
              <w:rPr>
                <w:sz w:val="20"/>
                <w:szCs w:val="20"/>
                <w:color w:val="auto"/>
              </w:rPr>
            </w:pPr>
            <w:r>
              <w:rPr>
                <w:rFonts w:ascii="Times New Roman" w:cs="Times New Roman" w:eastAsia="Times New Roman" w:hAnsi="Times New Roman"/>
                <w:sz w:val="17"/>
                <w:szCs w:val="17"/>
                <w:color w:val="0000FF"/>
              </w:rPr>
              <w:t>10152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Centerbridge Associates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80" w:type="dxa"/>
            <w:vAlign w:val="bottom"/>
          </w:tcPr>
          <w:p>
            <w:pPr>
              <w:jc w:val="center"/>
              <w:ind w:right="288"/>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42"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ectPr>
          <w:pgSz w:w="11900" w:h="16838" w:orient="portrait"/>
          <w:cols w:equalWidth="0" w:num="1">
            <w:col w:w="11080"/>
          </w:cols>
          <w:pgMar w:left="460" w:top="219" w:right="359" w:bottom="4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CCP III AIV VII Holdings,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-2209165</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CB Blizzard Co-Invest Holdings,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Blizzard Aggregator,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Aronson Jeffrey</w:t>
              </w:r>
            </w:hyperlink>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CB Blizzard Lower Holdings GP 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CB Blizzard Lower Holdings A,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bl>
    <w:p>
      <w:pPr>
        <w:spacing w:after="0" w:line="200" w:lineRule="exact"/>
        <w:rPr>
          <w:sz w:val="20"/>
          <w:szCs w:val="20"/>
          <w:color w:val="auto"/>
        </w:rPr>
      </w:pPr>
    </w:p>
    <w:p>
      <w:pPr>
        <w:sectPr>
          <w:pgSz w:w="11900" w:h="16838" w:orient="portrait"/>
          <w:cols w:equalWidth="0" w:num="1">
            <w:col w:w="9979"/>
          </w:cols>
          <w:pgMar w:left="480" w:top="125"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125" w:right="1440" w:bottom="0" w:gutter="0" w:footer="0" w:header="0"/>
          <w:type w:val="continuous"/>
        </w:sectPr>
      </w:pPr>
    </w:p>
    <w:bookmarkStart w:id="2" w:name="page3"/>
    <w:bookmarkEnd w:id="2"/>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312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33127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CB Blizzard Lower Holdings GP B,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CB Blizzard Lower Holdings B,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$13.65 to $13.995.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includes (i) 2,712,197 shares of Class A Common Stock held of record by CB Blizzard Lower Holdings A, L.P. ("CB Blizzard A") and (ii) 1,361,522 shares of Class A Common Stock held of record by CB Blizzard Holdings C, L.P. ("CB Blizzard C").</w:t>
      </w:r>
    </w:p>
    <w:p>
      <w:pPr>
        <w:spacing w:after="0" w:line="7" w:lineRule="exact"/>
        <w:rPr>
          <w:rFonts w:ascii="Times New Roman" w:cs="Times New Roman" w:eastAsia="Times New Roman" w:hAnsi="Times New Roman"/>
          <w:sz w:val="13"/>
          <w:szCs w:val="13"/>
          <w:color w:val="008000"/>
        </w:rPr>
      </w:pPr>
    </w:p>
    <w:p>
      <w:pPr>
        <w:ind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26" w:lineRule="exact"/>
        <w:rPr>
          <w:rFonts w:ascii="Times New Roman" w:cs="Times New Roman" w:eastAsia="Times New Roman" w:hAnsi="Times New Roman"/>
          <w:sz w:val="13"/>
          <w:szCs w:val="13"/>
          <w:color w:val="008000"/>
        </w:rPr>
      </w:pPr>
    </w:p>
    <w:p>
      <w:pPr>
        <w:ind w:right="14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4"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$14.00 to $14.23.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$13.88 to $13.99.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$14.01 to $14.99.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$15.00 to $15.99.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the limitations of the electronic filing system, CB Blizzard Holdings C, L.P. is filing on a separate Form 4.</w:t>
      </w:r>
    </w:p>
    <w:p>
      <w:pPr>
        <w:sectPr>
          <w:pgSz w:w="11900" w:h="16871" w:orient="portrait"/>
          <w:cols w:equalWidth="0" w:num="1">
            <w:col w:w="10900"/>
          </w:cols>
          <w:pgMar w:left="500" w:top="163" w:right="499" w:bottom="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36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ASSOCIATES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5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4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CCP III AIV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486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58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923" w:lineRule="exact"/>
        <w:rPr>
          <w:sz w:val="20"/>
          <w:szCs w:val="20"/>
          <w:color w:val="auto"/>
        </w:rPr>
      </w:pPr>
    </w:p>
    <w:p>
      <w:pPr>
        <w:sectPr>
          <w:pgSz w:w="11900" w:h="16871" w:orient="portrait"/>
          <w:cols w:equalWidth="0" w:num="2">
            <w:col w:w="8640" w:space="100"/>
            <w:col w:w="2160"/>
          </w:cols>
          <w:pgMar w:left="500" w:top="163" w:right="499" w:bottom="0" w:gutter="0" w:footer="0" w:header="0"/>
          <w:type w:val="continuous"/>
        </w:sectPr>
      </w:pPr>
    </w:p>
    <w:p>
      <w:pPr>
        <w:ind w:left="6540"/>
        <w:spacing w:after="0"/>
        <w:rPr>
          <w:sz w:val="20"/>
          <w:szCs w:val="20"/>
          <w:color w:val="auto"/>
        </w:rPr>
      </w:pPr>
      <w:r>
        <w:rPr>
          <w:rFonts w:ascii="Times New Roman" w:cs="Times New Roman" w:eastAsia="Times New Roman" w:hAnsi="Times New Roman"/>
          <w:sz w:val="17"/>
          <w:szCs w:val="17"/>
          <w:color w:val="0000FF"/>
        </w:rPr>
        <w:t>BLIZZARD AGGREGATOR, 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CCP III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04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sectPr>
          <w:pgSz w:w="11900" w:h="16871" w:orient="portrait"/>
          <w:cols w:equalWidth="0" w:num="1">
            <w:col w:w="10900"/>
          </w:cols>
          <w:pgMar w:left="500" w:top="163"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GP LTD., its sole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JEFFREY H. ARONSON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53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GP A,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65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A,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A,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GP B,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B,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9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B,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28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12" Type="http://schemas.openxmlformats.org/officeDocument/2006/relationships/hyperlink" Target="http://www.sec.gov/cgi-bin/browse-edgar?action=getcompany&amp;CIK=0001667801" TargetMode="External"/><Relationship Id="rId13" Type="http://schemas.openxmlformats.org/officeDocument/2006/relationships/hyperlink" Target="http://www.sec.gov/cgi-bin/browse-edgar?action=getcompany&amp;CIK=0001808220" TargetMode="External"/><Relationship Id="rId14" Type="http://schemas.openxmlformats.org/officeDocument/2006/relationships/hyperlink" Target="http://www.sec.gov/cgi-bin/browse-edgar?action=getcompany&amp;CIK=0001818016" TargetMode="External"/><Relationship Id="rId16" Type="http://schemas.openxmlformats.org/officeDocument/2006/relationships/hyperlink" Target="http://www.sec.gov/cgi-bin/browse-edgar?action=getcompany&amp;CIK=0001818077" TargetMode="External"/><Relationship Id="rId18" Type="http://schemas.openxmlformats.org/officeDocument/2006/relationships/hyperlink" Target="http://www.sec.gov/cgi-bin/browse-edgar?action=getcompany&amp;CIK=0001785522" TargetMode="External"/><Relationship Id="rId19" Type="http://schemas.openxmlformats.org/officeDocument/2006/relationships/hyperlink" Target="http://www.sec.gov/cgi-bin/browse-edgar?action=getcompany&amp;CIK=0001818020" TargetMode="External"/><Relationship Id="rId20" Type="http://schemas.openxmlformats.org/officeDocument/2006/relationships/hyperlink" Target="http://www.sec.gov/cgi-bin/browse-edgar?action=getcompany&amp;CIK=0001425800" TargetMode="External"/><Relationship Id="rId21" Type="http://schemas.openxmlformats.org/officeDocument/2006/relationships/hyperlink" Target="http://www.sec.gov/cgi-bin/browse-edgar?action=getcompany&amp;CIK=0001852144" TargetMode="External"/><Relationship Id="rId22" Type="http://schemas.openxmlformats.org/officeDocument/2006/relationships/hyperlink" Target="http://www.sec.gov/cgi-bin/browse-edgar?action=getcompany&amp;CIK=0001852252" TargetMode="External"/><Relationship Id="rId24" Type="http://schemas.openxmlformats.org/officeDocument/2006/relationships/hyperlink" Target="http://www.sec.gov/cgi-bin/browse-edgar?action=getcompany&amp;CIK=0001852159" TargetMode="External"/><Relationship Id="rId25" Type="http://schemas.openxmlformats.org/officeDocument/2006/relationships/hyperlink" Target="http://www.sec.gov/cgi-bin/browse-edgar?action=getcompany&amp;CIK=0001852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2022-12-12T16:08:04Z</dcterms:created>
  <dcterms:modified xsi:type="dcterms:W3CDTF">2022-12-12T16:08:04Z</dcterms:modified>
</cp:coreProperties>
</file>