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20, 2024</w:t>
      </w:r>
    </w:p>
    <w:p>
      <w:pPr>
        <w:spacing w:after="0" w:line="18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 UNDER</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GoHealth,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8260" w:type="dxa"/>
            <w:vAlign w:val="bottom"/>
          </w:tcPr>
          <w:p>
            <w:pPr>
              <w:jc w:val="center"/>
              <w:ind w:right="4829"/>
              <w:spacing w:after="0"/>
              <w:rPr>
                <w:sz w:val="20"/>
                <w:szCs w:val="20"/>
                <w:color w:val="auto"/>
              </w:rPr>
            </w:pPr>
            <w:r>
              <w:rPr>
                <w:rFonts w:ascii="Times New Roman" w:cs="Times New Roman" w:eastAsia="Times New Roman" w:hAnsi="Times New Roman"/>
                <w:sz w:val="14"/>
                <w:szCs w:val="14"/>
                <w:b w:val="1"/>
                <w:bCs w:val="1"/>
                <w:color w:val="auto"/>
                <w:w w:val="96"/>
              </w:rPr>
              <w:t>DELAWARE</w:t>
            </w:r>
          </w:p>
        </w:tc>
        <w:tc>
          <w:tcPr>
            <w:tcW w:w="21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85-0563805</w:t>
            </w:r>
          </w:p>
        </w:tc>
      </w:tr>
      <w:tr>
        <w:trPr>
          <w:trHeight w:val="184"/>
        </w:trPr>
        <w:tc>
          <w:tcPr>
            <w:tcW w:w="8260" w:type="dxa"/>
            <w:vAlign w:val="bottom"/>
          </w:tcPr>
          <w:p>
            <w:pPr>
              <w:jc w:val="center"/>
              <w:ind w:right="480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21"/>
        </w:trPr>
        <w:tc>
          <w:tcPr>
            <w:tcW w:w="8260" w:type="dxa"/>
            <w:vAlign w:val="bottom"/>
          </w:tcPr>
          <w:p>
            <w:pPr>
              <w:jc w:val="center"/>
              <w:ind w:left="2689"/>
              <w:spacing w:after="0"/>
              <w:rPr>
                <w:sz w:val="20"/>
                <w:szCs w:val="20"/>
                <w:color w:val="auto"/>
              </w:rPr>
            </w:pPr>
            <w:r>
              <w:rPr>
                <w:rFonts w:ascii="Times New Roman" w:cs="Times New Roman" w:eastAsia="Times New Roman" w:hAnsi="Times New Roman"/>
                <w:sz w:val="14"/>
                <w:szCs w:val="14"/>
                <w:b w:val="1"/>
                <w:bCs w:val="1"/>
                <w:color w:val="auto"/>
              </w:rPr>
              <w:t>222 W Merchandise Mart Plaza, Suite 1750, Chicago, Illinois 60654</w:t>
            </w:r>
          </w:p>
        </w:tc>
        <w:tc>
          <w:tcPr>
            <w:tcW w:w="2100" w:type="dxa"/>
            <w:vAlign w:val="bottom"/>
          </w:tcPr>
          <w:p>
            <w:pPr>
              <w:spacing w:after="0"/>
              <w:rPr>
                <w:sz w:val="24"/>
                <w:szCs w:val="24"/>
                <w:color w:val="auto"/>
              </w:rPr>
            </w:pPr>
          </w:p>
        </w:tc>
      </w:tr>
      <w:tr>
        <w:trPr>
          <w:trHeight w:val="184"/>
        </w:trPr>
        <w:tc>
          <w:tcPr>
            <w:tcW w:w="8260" w:type="dxa"/>
            <w:vAlign w:val="bottom"/>
          </w:tcPr>
          <w:p>
            <w:pPr>
              <w:jc w:val="center"/>
              <w:ind w:left="268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100" w:type="dxa"/>
            <w:vAlign w:val="bottom"/>
          </w:tcPr>
          <w:p>
            <w:pPr>
              <w:spacing w:after="0"/>
              <w:rPr>
                <w:sz w:val="16"/>
                <w:szCs w:val="16"/>
                <w:color w:val="auto"/>
              </w:rPr>
            </w:pPr>
          </w:p>
        </w:tc>
      </w:tr>
      <w:tr>
        <w:trPr>
          <w:trHeight w:val="313"/>
        </w:trPr>
        <w:tc>
          <w:tcPr>
            <w:tcW w:w="8260" w:type="dxa"/>
            <w:vAlign w:val="bottom"/>
          </w:tcPr>
          <w:p>
            <w:pPr>
              <w:jc w:val="center"/>
              <w:ind w:left="2669"/>
              <w:spacing w:after="0"/>
              <w:rPr>
                <w:sz w:val="20"/>
                <w:szCs w:val="20"/>
                <w:color w:val="auto"/>
              </w:rPr>
            </w:pPr>
            <w:r>
              <w:rPr>
                <w:rFonts w:ascii="Times New Roman" w:cs="Times New Roman" w:eastAsia="Times New Roman" w:hAnsi="Times New Roman"/>
                <w:sz w:val="14"/>
                <w:szCs w:val="14"/>
                <w:b w:val="1"/>
                <w:bCs w:val="1"/>
                <w:color w:val="auto"/>
                <w:w w:val="99"/>
              </w:rPr>
              <w:t>GOHEALTH, INC. AMENDED AND RESTATED 2020 INCENTIVE AWARD PLAN</w:t>
            </w:r>
          </w:p>
        </w:tc>
        <w:tc>
          <w:tcPr>
            <w:tcW w:w="2100" w:type="dxa"/>
            <w:vAlign w:val="bottom"/>
          </w:tcPr>
          <w:p>
            <w:pPr>
              <w:spacing w:after="0"/>
              <w:rPr>
                <w:sz w:val="24"/>
                <w:szCs w:val="24"/>
                <w:color w:val="auto"/>
              </w:rPr>
            </w:pPr>
          </w:p>
        </w:tc>
      </w:tr>
      <w:tr>
        <w:trPr>
          <w:trHeight w:val="161"/>
        </w:trPr>
        <w:tc>
          <w:tcPr>
            <w:tcW w:w="8260" w:type="dxa"/>
            <w:vAlign w:val="bottom"/>
          </w:tcPr>
          <w:p>
            <w:pPr>
              <w:jc w:val="center"/>
              <w:ind w:left="2689"/>
              <w:spacing w:after="0"/>
              <w:rPr>
                <w:sz w:val="20"/>
                <w:szCs w:val="20"/>
                <w:color w:val="auto"/>
              </w:rPr>
            </w:pPr>
            <w:r>
              <w:rPr>
                <w:rFonts w:ascii="Times New Roman" w:cs="Times New Roman" w:eastAsia="Times New Roman" w:hAnsi="Times New Roman"/>
                <w:sz w:val="14"/>
                <w:szCs w:val="14"/>
                <w:b w:val="1"/>
                <w:bCs w:val="1"/>
                <w:color w:val="auto"/>
              </w:rPr>
              <w:t>GOHEALTH, INC. 2020 EMPLOYEE STOCK PURCHASE PLAN</w:t>
            </w:r>
          </w:p>
        </w:tc>
        <w:tc>
          <w:tcPr>
            <w:tcW w:w="2100" w:type="dxa"/>
            <w:vAlign w:val="bottom"/>
          </w:tcPr>
          <w:p>
            <w:pPr>
              <w:spacing w:after="0"/>
              <w:rPr>
                <w:sz w:val="14"/>
                <w:szCs w:val="14"/>
                <w:color w:val="auto"/>
              </w:rPr>
            </w:pPr>
          </w:p>
        </w:tc>
      </w:tr>
      <w:tr>
        <w:trPr>
          <w:trHeight w:val="184"/>
        </w:trPr>
        <w:tc>
          <w:tcPr>
            <w:tcW w:w="8260" w:type="dxa"/>
            <w:vAlign w:val="bottom"/>
          </w:tcPr>
          <w:p>
            <w:pPr>
              <w:jc w:val="center"/>
              <w:ind w:left="2689"/>
              <w:spacing w:after="0"/>
              <w:rPr>
                <w:sz w:val="20"/>
                <w:szCs w:val="20"/>
                <w:color w:val="auto"/>
              </w:rPr>
            </w:pPr>
            <w:r>
              <w:rPr>
                <w:rFonts w:ascii="Times New Roman" w:cs="Times New Roman" w:eastAsia="Times New Roman" w:hAnsi="Times New Roman"/>
                <w:sz w:val="14"/>
                <w:szCs w:val="14"/>
                <w:color w:val="auto"/>
              </w:rPr>
              <w:t>(Full title of the plan)</w:t>
            </w:r>
          </w:p>
        </w:tc>
        <w:tc>
          <w:tcPr>
            <w:tcW w:w="2100" w:type="dxa"/>
            <w:vAlign w:val="bottom"/>
          </w:tcPr>
          <w:p>
            <w:pPr>
              <w:spacing w:after="0"/>
              <w:rPr>
                <w:sz w:val="16"/>
                <w:szCs w:val="16"/>
                <w:color w:val="auto"/>
              </w:rPr>
            </w:pPr>
          </w:p>
        </w:tc>
      </w:tr>
      <w:tr>
        <w:trPr>
          <w:trHeight w:val="514"/>
        </w:trPr>
        <w:tc>
          <w:tcPr>
            <w:tcW w:w="8260" w:type="dxa"/>
            <w:vAlign w:val="bottom"/>
          </w:tcPr>
          <w:p>
            <w:pPr>
              <w:jc w:val="center"/>
              <w:ind w:left="2669"/>
              <w:spacing w:after="0"/>
              <w:rPr>
                <w:sz w:val="20"/>
                <w:szCs w:val="20"/>
                <w:color w:val="auto"/>
              </w:rPr>
            </w:pPr>
            <w:r>
              <w:rPr>
                <w:rFonts w:ascii="Times New Roman" w:cs="Times New Roman" w:eastAsia="Times New Roman" w:hAnsi="Times New Roman"/>
                <w:sz w:val="14"/>
                <w:szCs w:val="14"/>
                <w:b w:val="1"/>
                <w:bCs w:val="1"/>
                <w:color w:val="auto"/>
              </w:rPr>
              <w:t>BRADLEY BURD</w:t>
            </w:r>
          </w:p>
        </w:tc>
        <w:tc>
          <w:tcPr>
            <w:tcW w:w="2100" w:type="dxa"/>
            <w:vAlign w:val="bottom"/>
          </w:tcPr>
          <w:p>
            <w:pPr>
              <w:spacing w:after="0"/>
              <w:rPr>
                <w:sz w:val="24"/>
                <w:szCs w:val="24"/>
                <w:color w:val="auto"/>
              </w:rPr>
            </w:pPr>
          </w:p>
        </w:tc>
      </w:tr>
      <w:tr>
        <w:trPr>
          <w:trHeight w:val="159"/>
        </w:trPr>
        <w:tc>
          <w:tcPr>
            <w:tcW w:w="8260" w:type="dxa"/>
            <w:vAlign w:val="bottom"/>
          </w:tcPr>
          <w:p>
            <w:pPr>
              <w:jc w:val="center"/>
              <w:ind w:left="2669"/>
              <w:spacing w:after="0" w:line="159" w:lineRule="exact"/>
              <w:rPr>
                <w:sz w:val="20"/>
                <w:szCs w:val="20"/>
                <w:color w:val="auto"/>
              </w:rPr>
            </w:pPr>
            <w:r>
              <w:rPr>
                <w:rFonts w:ascii="Times New Roman" w:cs="Times New Roman" w:eastAsia="Times New Roman" w:hAnsi="Times New Roman"/>
                <w:sz w:val="14"/>
                <w:szCs w:val="14"/>
                <w:b w:val="1"/>
                <w:bCs w:val="1"/>
                <w:color w:val="auto"/>
              </w:rPr>
              <w:t>Chief Legal Officer</w:t>
            </w:r>
          </w:p>
        </w:tc>
        <w:tc>
          <w:tcPr>
            <w:tcW w:w="2100" w:type="dxa"/>
            <w:vAlign w:val="bottom"/>
          </w:tcPr>
          <w:p>
            <w:pPr>
              <w:spacing w:after="0"/>
              <w:rPr>
                <w:sz w:val="13"/>
                <w:szCs w:val="13"/>
                <w:color w:val="auto"/>
              </w:rPr>
            </w:pPr>
          </w:p>
        </w:tc>
      </w:tr>
      <w:tr>
        <w:trPr>
          <w:trHeight w:val="159"/>
        </w:trPr>
        <w:tc>
          <w:tcPr>
            <w:tcW w:w="8260" w:type="dxa"/>
            <w:vAlign w:val="bottom"/>
          </w:tcPr>
          <w:p>
            <w:pPr>
              <w:jc w:val="center"/>
              <w:ind w:left="2689"/>
              <w:spacing w:after="0" w:line="159" w:lineRule="exact"/>
              <w:rPr>
                <w:sz w:val="20"/>
                <w:szCs w:val="20"/>
                <w:color w:val="auto"/>
              </w:rPr>
            </w:pPr>
            <w:r>
              <w:rPr>
                <w:rFonts w:ascii="Times New Roman" w:cs="Times New Roman" w:eastAsia="Times New Roman" w:hAnsi="Times New Roman"/>
                <w:sz w:val="14"/>
                <w:szCs w:val="14"/>
                <w:b w:val="1"/>
                <w:bCs w:val="1"/>
                <w:color w:val="auto"/>
              </w:rPr>
              <w:t>GoHealth, Inc.</w:t>
            </w:r>
          </w:p>
        </w:tc>
        <w:tc>
          <w:tcPr>
            <w:tcW w:w="2100" w:type="dxa"/>
            <w:vAlign w:val="bottom"/>
          </w:tcPr>
          <w:p>
            <w:pPr>
              <w:spacing w:after="0"/>
              <w:rPr>
                <w:sz w:val="13"/>
                <w:szCs w:val="13"/>
                <w:color w:val="auto"/>
              </w:rPr>
            </w:pPr>
          </w:p>
        </w:tc>
      </w:tr>
      <w:tr>
        <w:trPr>
          <w:trHeight w:val="159"/>
        </w:trPr>
        <w:tc>
          <w:tcPr>
            <w:tcW w:w="8260" w:type="dxa"/>
            <w:vAlign w:val="bottom"/>
          </w:tcPr>
          <w:p>
            <w:pPr>
              <w:jc w:val="center"/>
              <w:ind w:left="2689"/>
              <w:spacing w:after="0" w:line="159" w:lineRule="exact"/>
              <w:rPr>
                <w:sz w:val="20"/>
                <w:szCs w:val="20"/>
                <w:color w:val="auto"/>
              </w:rPr>
            </w:pPr>
            <w:r>
              <w:rPr>
                <w:rFonts w:ascii="Times New Roman" w:cs="Times New Roman" w:eastAsia="Times New Roman" w:hAnsi="Times New Roman"/>
                <w:sz w:val="14"/>
                <w:szCs w:val="14"/>
                <w:b w:val="1"/>
                <w:bCs w:val="1"/>
                <w:color w:val="auto"/>
              </w:rPr>
              <w:t>222 W Merchandise Mart Plaza, Suite 1750</w:t>
            </w:r>
          </w:p>
        </w:tc>
        <w:tc>
          <w:tcPr>
            <w:tcW w:w="2100" w:type="dxa"/>
            <w:vAlign w:val="bottom"/>
          </w:tcPr>
          <w:p>
            <w:pPr>
              <w:spacing w:after="0"/>
              <w:rPr>
                <w:sz w:val="13"/>
                <w:szCs w:val="13"/>
                <w:color w:val="auto"/>
              </w:rPr>
            </w:pPr>
          </w:p>
        </w:tc>
      </w:tr>
      <w:tr>
        <w:trPr>
          <w:trHeight w:val="161"/>
        </w:trPr>
        <w:tc>
          <w:tcPr>
            <w:tcW w:w="8260" w:type="dxa"/>
            <w:vAlign w:val="bottom"/>
          </w:tcPr>
          <w:p>
            <w:pPr>
              <w:jc w:val="center"/>
              <w:ind w:left="2669"/>
              <w:spacing w:after="0"/>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100" w:type="dxa"/>
            <w:vAlign w:val="bottom"/>
          </w:tcPr>
          <w:p>
            <w:pPr>
              <w:spacing w:after="0"/>
              <w:rPr>
                <w:sz w:val="14"/>
                <w:szCs w:val="14"/>
                <w:color w:val="auto"/>
              </w:rPr>
            </w:pPr>
          </w:p>
        </w:tc>
      </w:tr>
      <w:tr>
        <w:trPr>
          <w:trHeight w:val="184"/>
        </w:trPr>
        <w:tc>
          <w:tcPr>
            <w:tcW w:w="8260" w:type="dxa"/>
            <w:vAlign w:val="bottom"/>
          </w:tcPr>
          <w:p>
            <w:pPr>
              <w:jc w:val="center"/>
              <w:ind w:left="2689"/>
              <w:spacing w:after="0"/>
              <w:rPr>
                <w:sz w:val="20"/>
                <w:szCs w:val="20"/>
                <w:color w:val="auto"/>
              </w:rPr>
            </w:pPr>
            <w:r>
              <w:rPr>
                <w:rFonts w:ascii="Times New Roman" w:cs="Times New Roman" w:eastAsia="Times New Roman" w:hAnsi="Times New Roman"/>
                <w:sz w:val="14"/>
                <w:szCs w:val="14"/>
                <w:color w:val="auto"/>
              </w:rPr>
              <w:t>(Name and address of agent for service)</w:t>
            </w:r>
          </w:p>
        </w:tc>
        <w:tc>
          <w:tcPr>
            <w:tcW w:w="2100" w:type="dxa"/>
            <w:vAlign w:val="bottom"/>
          </w:tcPr>
          <w:p>
            <w:pPr>
              <w:spacing w:after="0"/>
              <w:rPr>
                <w:sz w:val="16"/>
                <w:szCs w:val="16"/>
                <w:color w:val="auto"/>
              </w:rPr>
            </w:pPr>
          </w:p>
        </w:tc>
      </w:tr>
      <w:tr>
        <w:trPr>
          <w:trHeight w:val="325"/>
        </w:trPr>
        <w:tc>
          <w:tcPr>
            <w:tcW w:w="8260" w:type="dxa"/>
            <w:vAlign w:val="bottom"/>
          </w:tcPr>
          <w:p>
            <w:pPr>
              <w:jc w:val="center"/>
              <w:ind w:left="2669"/>
              <w:spacing w:after="0"/>
              <w:rPr>
                <w:sz w:val="20"/>
                <w:szCs w:val="20"/>
                <w:color w:val="auto"/>
              </w:rPr>
            </w:pPr>
            <w:r>
              <w:rPr>
                <w:rFonts w:ascii="Times New Roman" w:cs="Times New Roman" w:eastAsia="Times New Roman" w:hAnsi="Times New Roman"/>
                <w:sz w:val="14"/>
                <w:szCs w:val="14"/>
                <w:b w:val="1"/>
                <w:bCs w:val="1"/>
                <w:color w:val="auto"/>
              </w:rPr>
              <w:t>(312) 386-8200</w:t>
            </w:r>
          </w:p>
        </w:tc>
        <w:tc>
          <w:tcPr>
            <w:tcW w:w="2100" w:type="dxa"/>
            <w:vAlign w:val="bottom"/>
          </w:tcPr>
          <w:p>
            <w:pPr>
              <w:spacing w:after="0"/>
              <w:rPr>
                <w:sz w:val="24"/>
                <w:szCs w:val="24"/>
                <w:color w:val="auto"/>
              </w:rPr>
            </w:pPr>
          </w:p>
        </w:tc>
      </w:tr>
      <w:tr>
        <w:trPr>
          <w:trHeight w:val="184"/>
        </w:trPr>
        <w:tc>
          <w:tcPr>
            <w:tcW w:w="8260" w:type="dxa"/>
            <w:vAlign w:val="bottom"/>
          </w:tcPr>
          <w:p>
            <w:pPr>
              <w:jc w:val="center"/>
              <w:ind w:left="2669"/>
              <w:spacing w:after="0"/>
              <w:rPr>
                <w:sz w:val="20"/>
                <w:szCs w:val="20"/>
                <w:color w:val="auto"/>
              </w:rPr>
            </w:pPr>
            <w:r>
              <w:rPr>
                <w:rFonts w:ascii="Times New Roman" w:cs="Times New Roman" w:eastAsia="Times New Roman" w:hAnsi="Times New Roman"/>
                <w:sz w:val="14"/>
                <w:szCs w:val="14"/>
                <w:color w:val="auto"/>
              </w:rPr>
              <w:t>(Telephone number, including area code, of agent for service)</w:t>
            </w:r>
          </w:p>
        </w:tc>
        <w:tc>
          <w:tcPr>
            <w:tcW w:w="2100" w:type="dxa"/>
            <w:vAlign w:val="bottom"/>
          </w:tcPr>
          <w:p>
            <w:pPr>
              <w:spacing w:after="0"/>
              <w:rPr>
                <w:sz w:val="16"/>
                <w:szCs w:val="16"/>
                <w:color w:val="auto"/>
              </w:rPr>
            </w:pPr>
          </w:p>
        </w:tc>
      </w:tr>
    </w:tbl>
    <w:p>
      <w:pPr>
        <w:spacing w:after="0" w:line="200" w:lineRule="exact"/>
        <w:rPr>
          <w:sz w:val="24"/>
          <w:szCs w:val="24"/>
          <w:color w:val="auto"/>
        </w:rPr>
      </w:pPr>
    </w:p>
    <w:p>
      <w:pPr>
        <w:spacing w:after="0" w:line="348" w:lineRule="exact"/>
        <w:rPr>
          <w:sz w:val="24"/>
          <w:szCs w:val="24"/>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ectPr>
          <w:pgSz w:w="11900" w:h="16838" w:orient="portrait"/>
          <w:cols w:equalWidth="0" w:num="1">
            <w:col w:w="11280"/>
          </w:cols>
          <w:pgMar w:left="300" w:top="1407" w:right="3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0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0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4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0" w:lineRule="exact"/>
        <w:rPr>
          <w:sz w:val="20"/>
          <w:szCs w:val="20"/>
          <w:color w:val="auto"/>
        </w:rPr>
      </w:pPr>
    </w:p>
    <w:p>
      <w:pPr>
        <w:ind w:right="1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180"/>
          </w:cols>
          <w:pgMar w:left="300" w:top="1144"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This Registration Statement on Form S-8 is being filed by GoHealth, Inc. (the “Company”) with the Securities and Exchange Commission (the “Commission”) for the purpose of registering an additional 1,347,861 shares of the Company’s Class A Common Stock, par value $0.0001 per share (“Common Stock”), issuable under the following employee benefit plans: (i) the Company’s Amended and Restated 2020 Incentive Award Plan, which, as a result of the operation of an automatic annual increase provision therein, added 1,123,218 shares of Common Stock, and (ii) the Company’s 2020 Employee Stock Purchase Plan, which, as a result of the operation of an automatic annual increase provision therein, added 96,508 shares of Common Stock.</w:t>
      </w:r>
    </w:p>
    <w:p>
      <w:pPr>
        <w:spacing w:after="0" w:line="162" w:lineRule="exact"/>
        <w:rPr>
          <w:sz w:val="20"/>
          <w:szCs w:val="20"/>
          <w:color w:val="auto"/>
        </w:rPr>
      </w:pPr>
    </w:p>
    <w:p>
      <w:pPr>
        <w:ind w:right="120"/>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Instruction E of Form S-8, the contents of the Registration Statements on Form S-8 filed with the Commission on </w:t>
      </w:r>
      <w:hyperlink r:id="rId8">
        <w:r>
          <w:rPr>
            <w:rFonts w:ascii="Times New Roman" w:cs="Times New Roman" w:eastAsia="Times New Roman" w:hAnsi="Times New Roman"/>
            <w:sz w:val="14"/>
            <w:szCs w:val="14"/>
            <w:u w:val="single" w:color="auto"/>
            <w:color w:val="0000FF"/>
          </w:rPr>
          <w:t>July 15, 2020</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333-239879), </w:t>
      </w:r>
      <w:hyperlink r:id="rId9">
        <w:r>
          <w:rPr>
            <w:rFonts w:ascii="Times New Roman" w:cs="Times New Roman" w:eastAsia="Times New Roman" w:hAnsi="Times New Roman"/>
            <w:sz w:val="14"/>
            <w:szCs w:val="14"/>
            <w:u w:val="single" w:color="auto"/>
            <w:color w:val="0000FF"/>
          </w:rPr>
          <w:t>February 10, 2021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333-252962), </w:t>
      </w:r>
      <w:hyperlink r:id="rId10">
        <w:r>
          <w:rPr>
            <w:rFonts w:ascii="Times New Roman" w:cs="Times New Roman" w:eastAsia="Times New Roman" w:hAnsi="Times New Roman"/>
            <w:sz w:val="14"/>
            <w:szCs w:val="14"/>
            <w:u w:val="single" w:color="auto"/>
            <w:color w:val="0000FF"/>
          </w:rPr>
          <w:t>March 23,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333-263787), </w:t>
      </w:r>
      <w:hyperlink r:id="rId11">
        <w:r>
          <w:rPr>
            <w:rFonts w:ascii="Times New Roman" w:cs="Times New Roman" w:eastAsia="Times New Roman" w:hAnsi="Times New Roman"/>
            <w:sz w:val="14"/>
            <w:szCs w:val="14"/>
            <w:u w:val="single" w:color="auto"/>
            <w:color w:val="0000FF"/>
          </w:rPr>
          <w:t>June 6, 2022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 No. 333-265442), and </w:t>
      </w:r>
      <w:hyperlink r:id="rId12">
        <w:r>
          <w:rPr>
            <w:rFonts w:ascii="Times New Roman" w:cs="Times New Roman" w:eastAsia="Times New Roman" w:hAnsi="Times New Roman"/>
            <w:sz w:val="14"/>
            <w:szCs w:val="14"/>
            <w:u w:val="single" w:color="auto"/>
            <w:color w:val="0000FF"/>
          </w:rPr>
          <w:t>January 13,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highlight w:val="white"/>
        </w:rPr>
        <w:t>(File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No. 333-269223)</w:t>
      </w:r>
      <w:r>
        <w:rPr>
          <w:rFonts w:ascii="Times New Roman" w:cs="Times New Roman" w:eastAsia="Times New Roman" w:hAnsi="Times New Roman"/>
          <w:sz w:val="14"/>
          <w:szCs w:val="14"/>
          <w:color w:val="auto"/>
        </w:rPr>
        <w:t xml:space="preserve"> are incorporated by reference herein; except for Items 3 and 8 which are being updated by this Registration Statement.</w:t>
      </w:r>
    </w:p>
    <w:p>
      <w:pPr>
        <w:spacing w:after="0" w:line="161"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17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Incorporation of Documents by Reference.</w:t>
      </w:r>
    </w:p>
    <w:p>
      <w:pPr>
        <w:spacing w:after="0" w:line="191" w:lineRule="exact"/>
        <w:rPr>
          <w:rFonts w:ascii="Times New Roman" w:cs="Times New Roman" w:eastAsia="Times New Roman" w:hAnsi="Times New Roman"/>
          <w:sz w:val="14"/>
          <w:szCs w:val="14"/>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The following documents, which have been filed with the Commission by the Company are incorporated in this Registration Statement by reference (excluding any portions of such documents that have been “furnished” but not “filed” for purposes of the Securities Exchange Act of 1934, as amended (the “Exchange Act”)):</w:t>
      </w:r>
    </w:p>
    <w:p>
      <w:pPr>
        <w:spacing w:after="0" w:line="14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Form 10-K for the fiscal year ended December 31, 2023, filed with the Commission on </w:t>
      </w:r>
      <w:hyperlink r:id="rId13">
        <w:r>
          <w:rPr>
            <w:rFonts w:ascii="Times New Roman" w:cs="Times New Roman" w:eastAsia="Times New Roman" w:hAnsi="Times New Roman"/>
            <w:sz w:val="14"/>
            <w:szCs w:val="14"/>
            <w:u w:val="single" w:color="auto"/>
            <w:color w:val="0000FF"/>
          </w:rPr>
          <w:t>March 14, 2024</w:t>
        </w:r>
      </w:hyperlink>
      <w:r>
        <w:rPr>
          <w:rFonts w:ascii="Times New Roman" w:cs="Times New Roman" w:eastAsia="Times New Roman" w:hAnsi="Times New Roman"/>
          <w:sz w:val="14"/>
          <w:szCs w:val="14"/>
          <w:color w:val="auto"/>
        </w:rPr>
        <w:t>; and</w:t>
      </w:r>
    </w:p>
    <w:p>
      <w:pPr>
        <w:spacing w:after="0" w:line="189" w:lineRule="exact"/>
        <w:rPr>
          <w:rFonts w:ascii="Times New Roman" w:cs="Times New Roman" w:eastAsia="Times New Roman" w:hAnsi="Times New Roman"/>
          <w:sz w:val="14"/>
          <w:szCs w:val="14"/>
          <w:color w:val="auto"/>
        </w:rPr>
      </w:pPr>
    </w:p>
    <w:p>
      <w:pPr>
        <w:ind w:left="520" w:right="100" w:hanging="260"/>
        <w:spacing w:after="0" w:line="271"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Company’s Common Stock contained in the Company’s Registration Statement on Form 8-A dated </w:t>
      </w:r>
      <w:hyperlink r:id="rId14">
        <w:r>
          <w:rPr>
            <w:rFonts w:ascii="Times New Roman" w:cs="Times New Roman" w:eastAsia="Times New Roman" w:hAnsi="Times New Roman"/>
            <w:sz w:val="14"/>
            <w:szCs w:val="14"/>
            <w:u w:val="single" w:color="auto"/>
            <w:color w:val="0000FF"/>
          </w:rPr>
          <w:t>July 15, 2020</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 No. 001-39390) filed under the Exchange Act, including any amendment or report filed for the purpose of updating such description.</w:t>
      </w:r>
    </w:p>
    <w:p>
      <w:pPr>
        <w:spacing w:after="0" w:line="146" w:lineRule="exact"/>
        <w:rPr>
          <w:rFonts w:ascii="Times New Roman" w:cs="Times New Roman" w:eastAsia="Times New Roman" w:hAnsi="Times New Roman"/>
          <w:sz w:val="14"/>
          <w:szCs w:val="14"/>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All documents subsequently filed by the Company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respective dates of filing of such documents (such documents, and the documents enumerated above, being hereinafter referred to as “Incorporated Documents”).</w:t>
      </w:r>
    </w:p>
    <w:p>
      <w:pPr>
        <w:spacing w:after="0" w:line="152" w:lineRule="exact"/>
        <w:rPr>
          <w:rFonts w:ascii="Times New Roman" w:cs="Times New Roman" w:eastAsia="Times New Roman" w:hAnsi="Times New Roman"/>
          <w:sz w:val="14"/>
          <w:szCs w:val="14"/>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55"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Exhibits.</w:t>
      </w:r>
    </w:p>
    <w:p>
      <w:pPr>
        <w:spacing w:after="0" w:line="191"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on the accompanying Index to Exhibits are filed as part hereof, or incorporated by reference into, this Registration Statement. See Exhibit Index below.</w:t>
      </w:r>
    </w:p>
    <w:p>
      <w:pPr>
        <w:sectPr>
          <w:pgSz w:w="11900" w:h="16838" w:orient="portrait"/>
          <w:cols w:equalWidth="0" w:num="1">
            <w:col w:w="11280"/>
          </w:cols>
          <w:pgMar w:left="300" w:top="116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3"/>
        </w:trPr>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160" w:type="dxa"/>
            <w:vAlign w:val="bottom"/>
            <w:gridSpan w:val="10"/>
          </w:tcPr>
          <w:p>
            <w:pPr>
              <w:ind w:left="8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2"/>
        </w:trPr>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1"/>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gridSpan w:val="16"/>
          </w:tcPr>
          <w:p>
            <w:pPr>
              <w:spacing w:after="0"/>
              <w:rPr>
                <w:rFonts w:ascii="Times New Roman" w:cs="Times New Roman" w:eastAsia="Times New Roman" w:hAnsi="Times New Roman"/>
                <w:sz w:val="14"/>
                <w:szCs w:val="14"/>
                <w:color w:val="3051F2"/>
              </w:rPr>
            </w:pPr>
            <w:hyperlink r:id="rId15">
              <w:r>
                <w:rPr>
                  <w:rFonts w:ascii="Times New Roman" w:cs="Times New Roman" w:eastAsia="Times New Roman" w:hAnsi="Times New Roman"/>
                  <w:sz w:val="14"/>
                  <w:szCs w:val="14"/>
                  <w:color w:val="3051F2"/>
                </w:rPr>
                <w:t>Amended and Restated Certificate of Incorporation of GoHealth, Inc. (incorporated by reference to Exhibit 3.1 to the Company’s Quarterly Report on Form 10-Q</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3051F2"/>
              <w:bottom w:val="single" w:sz="8" w:color="3051F2"/>
            </w:tcBorders>
            <w:gridSpan w:val="9"/>
          </w:tcPr>
          <w:p>
            <w:pPr>
              <w:spacing w:after="0" w:line="139" w:lineRule="exact"/>
              <w:rPr>
                <w:rFonts w:ascii="Times New Roman" w:cs="Times New Roman" w:eastAsia="Times New Roman" w:hAnsi="Times New Roman"/>
                <w:sz w:val="14"/>
                <w:szCs w:val="14"/>
                <w:color w:val="3051F2"/>
              </w:rPr>
            </w:pPr>
            <w:hyperlink r:id="rId15">
              <w:r>
                <w:rPr>
                  <w:rFonts w:ascii="Times New Roman" w:cs="Times New Roman" w:eastAsia="Times New Roman" w:hAnsi="Times New Roman"/>
                  <w:sz w:val="14"/>
                  <w:szCs w:val="14"/>
                  <w:color w:val="3051F2"/>
                </w:rPr>
                <w:t>(File No. 001-39390), filed on August 20, 2020 with the Commission)</w:t>
              </w:r>
            </w:hyperlink>
          </w:p>
        </w:tc>
        <w:tc>
          <w:tcPr>
            <w:tcW w:w="5160" w:type="dxa"/>
            <w:vAlign w:val="bottom"/>
            <w:tcBorders>
              <w:top w:val="single" w:sz="8" w:color="3051F2"/>
            </w:tcBorders>
            <w:gridSpan w:val="4"/>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rFonts w:ascii="Times New Roman" w:cs="Times New Roman" w:eastAsia="Times New Roman" w:hAnsi="Times New Roman"/>
                <w:sz w:val="14"/>
                <w:szCs w:val="14"/>
                <w:color w:val="3051F2"/>
              </w:rPr>
            </w:pPr>
            <w:hyperlink r:id="rId16">
              <w:r>
                <w:rPr>
                  <w:rFonts w:ascii="Times New Roman" w:cs="Times New Roman" w:eastAsia="Times New Roman" w:hAnsi="Times New Roman"/>
                  <w:sz w:val="14"/>
                  <w:szCs w:val="14"/>
                  <w:color w:val="3051F2"/>
                </w:rPr>
                <w:t>Certificate of Amendment to Amended and Restated Certificate of Incorporation of GoHealth, Inc. (incorporated by reference to Exhibit 3.1 to the Company’s</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3051F2"/>
            </w:tcBorders>
            <w:gridSpan w:val="11"/>
          </w:tcPr>
          <w:p>
            <w:pPr>
              <w:spacing w:after="0" w:line="139" w:lineRule="exact"/>
              <w:rPr>
                <w:rFonts w:ascii="Times New Roman" w:cs="Times New Roman" w:eastAsia="Times New Roman" w:hAnsi="Times New Roman"/>
                <w:sz w:val="14"/>
                <w:szCs w:val="14"/>
                <w:color w:val="3051F2"/>
              </w:rPr>
            </w:pPr>
            <w:hyperlink r:id="rId16">
              <w:r>
                <w:rPr>
                  <w:rFonts w:ascii="Times New Roman" w:cs="Times New Roman" w:eastAsia="Times New Roman" w:hAnsi="Times New Roman"/>
                  <w:sz w:val="14"/>
                  <w:szCs w:val="14"/>
                  <w:color w:val="3051F2"/>
                </w:rPr>
                <w:t>Current Report on Form 8-K (File No. 001-39390), filed on November 18, 2022 with the Commission)</w:t>
              </w:r>
            </w:hyperlink>
          </w:p>
        </w:tc>
        <w:tc>
          <w:tcPr>
            <w:tcW w:w="1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520" w:type="dxa"/>
            <w:vAlign w:val="bottom"/>
            <w:gridSpan w:val="2"/>
            <w:shd w:val="clear" w:color="auto" w:fill="3051F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rFonts w:ascii="Times New Roman" w:cs="Times New Roman" w:eastAsia="Times New Roman" w:hAnsi="Times New Roman"/>
                <w:sz w:val="14"/>
                <w:szCs w:val="14"/>
                <w:color w:val="3051F2"/>
              </w:rPr>
            </w:pPr>
            <w:hyperlink r:id="rId17">
              <w:r>
                <w:rPr>
                  <w:rFonts w:ascii="Times New Roman" w:cs="Times New Roman" w:eastAsia="Times New Roman" w:hAnsi="Times New Roman"/>
                  <w:sz w:val="14"/>
                  <w:szCs w:val="14"/>
                  <w:color w:val="3051F2"/>
                </w:rPr>
                <w:t>Amended and Restated Bylaws of GoHealth, Inc. (incorporated by reference to Exhibit 3.2 to the Quarterly Report on Form 10-Q (File No. 001-39390), filed on</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80" w:type="dxa"/>
            <w:vAlign w:val="bottom"/>
            <w:tcBorders>
              <w:top w:val="single" w:sz="8" w:color="3051F2"/>
            </w:tcBorders>
            <w:gridSpan w:val="12"/>
          </w:tcPr>
          <w:p>
            <w:pPr>
              <w:spacing w:after="0" w:line="139" w:lineRule="exact"/>
              <w:rPr>
                <w:rFonts w:ascii="Times New Roman" w:cs="Times New Roman" w:eastAsia="Times New Roman" w:hAnsi="Times New Roman"/>
                <w:sz w:val="14"/>
                <w:szCs w:val="14"/>
                <w:color w:val="3051F2"/>
              </w:rPr>
            </w:pPr>
            <w:hyperlink r:id="rId17">
              <w:r>
                <w:rPr>
                  <w:rFonts w:ascii="Times New Roman" w:cs="Times New Roman" w:eastAsia="Times New Roman" w:hAnsi="Times New Roman"/>
                  <w:sz w:val="14"/>
                  <w:szCs w:val="14"/>
                  <w:color w:val="3051F2"/>
                </w:rPr>
                <w:t>August 20, 2020 with the Commission)</w:t>
              </w:r>
            </w:hyperlink>
          </w:p>
        </w:tc>
        <w:tc>
          <w:tcPr>
            <w:tcW w:w="2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4"/>
                <w:szCs w:val="14"/>
                <w:color w:val="3051F2"/>
              </w:rPr>
              <w:t>Opinion of Sidley Austin LLP</w:t>
            </w:r>
          </w:p>
        </w:tc>
        <w:tc>
          <w:tcPr>
            <w:tcW w:w="7160" w:type="dxa"/>
            <w:vAlign w:val="bottom"/>
            <w:gridSpan w:val="10"/>
          </w:tcPr>
          <w:p>
            <w:pPr>
              <w:spacing w:after="0"/>
              <w:rPr>
                <w:sz w:val="19"/>
                <w:szCs w:val="19"/>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78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4"/>
                <w:szCs w:val="14"/>
                <w:color w:val="3051F2"/>
              </w:rPr>
              <w:t>Consent of Ernst &amp; Young LLP</w:t>
            </w: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860" w:type="dxa"/>
            <w:vAlign w:val="bottom"/>
            <w:gridSpan w:val="2"/>
            <w:shd w:val="clear" w:color="auto" w:fill="3051F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4"/>
                <w:szCs w:val="14"/>
                <w:color w:val="3051F2"/>
              </w:rPr>
              <w:t>Consent of Sidley Austin LLP (included in Exhibit 5.1)</w:t>
            </w:r>
          </w:p>
        </w:tc>
        <w:tc>
          <w:tcPr>
            <w:tcW w:w="6240" w:type="dxa"/>
            <w:vAlign w:val="bottom"/>
            <w:gridSpan w:val="9"/>
          </w:tcPr>
          <w:p>
            <w:pPr>
              <w:spacing w:after="0"/>
              <w:rPr>
                <w:sz w:val="19"/>
                <w:szCs w:val="19"/>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0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4"/>
                <w:szCs w:val="14"/>
                <w:color w:val="3051F2"/>
              </w:rPr>
              <w:t>Power of Attorney (included on the signature page hereto)</w:t>
            </w:r>
          </w:p>
        </w:tc>
        <w:tc>
          <w:tcPr>
            <w:tcW w:w="6080" w:type="dxa"/>
            <w:vAlign w:val="bottom"/>
            <w:gridSpan w:val="8"/>
          </w:tcPr>
          <w:p>
            <w:pPr>
              <w:spacing w:after="0"/>
              <w:rPr>
                <w:sz w:val="19"/>
                <w:szCs w:val="19"/>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rFonts w:ascii="Times New Roman" w:cs="Times New Roman" w:eastAsia="Times New Roman" w:hAnsi="Times New Roman"/>
                <w:sz w:val="14"/>
                <w:szCs w:val="14"/>
                <w:color w:val="3051F2"/>
              </w:rPr>
            </w:pPr>
            <w:hyperlink r:id="rId18">
              <w:r>
                <w:rPr>
                  <w:rFonts w:ascii="Times New Roman" w:cs="Times New Roman" w:eastAsia="Times New Roman" w:hAnsi="Times New Roman"/>
                  <w:sz w:val="14"/>
                  <w:szCs w:val="14"/>
                  <w:color w:val="3051F2"/>
                </w:rPr>
                <w:t>GoHealth, Inc. Amended and Restated 2020 Incentive Award Plan (incorporated by reference to Appendix A to the Company’s Definitive Proxy Statement, filed on</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3051F2"/>
              <w:bottom w:val="single" w:sz="8" w:color="3051F2"/>
            </w:tcBorders>
            <w:gridSpan w:val="4"/>
          </w:tcPr>
          <w:p>
            <w:pPr>
              <w:spacing w:after="0" w:line="139" w:lineRule="exact"/>
              <w:rPr>
                <w:rFonts w:ascii="Times New Roman" w:cs="Times New Roman" w:eastAsia="Times New Roman" w:hAnsi="Times New Roman"/>
                <w:sz w:val="14"/>
                <w:szCs w:val="14"/>
                <w:color w:val="3051F2"/>
              </w:rPr>
            </w:pPr>
            <w:hyperlink r:id="rId18">
              <w:r>
                <w:rPr>
                  <w:rFonts w:ascii="Times New Roman" w:cs="Times New Roman" w:eastAsia="Times New Roman" w:hAnsi="Times New Roman"/>
                  <w:sz w:val="14"/>
                  <w:szCs w:val="14"/>
                  <w:color w:val="3051F2"/>
                </w:rPr>
                <w:t>April 13, 2022 with the Commission).</w:t>
              </w:r>
            </w:hyperlink>
          </w:p>
        </w:tc>
        <w:tc>
          <w:tcPr>
            <w:tcW w:w="7120" w:type="dxa"/>
            <w:vAlign w:val="bottom"/>
            <w:tcBorders>
              <w:top w:val="single" w:sz="8" w:color="3051F2"/>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rFonts w:ascii="Times New Roman" w:cs="Times New Roman" w:eastAsia="Times New Roman" w:hAnsi="Times New Roman"/>
                <w:sz w:val="14"/>
                <w:szCs w:val="14"/>
                <w:color w:val="3051F2"/>
              </w:rPr>
            </w:pPr>
            <w:hyperlink r:id="rId19">
              <w:r>
                <w:rPr>
                  <w:rFonts w:ascii="Times New Roman" w:cs="Times New Roman" w:eastAsia="Times New Roman" w:hAnsi="Times New Roman"/>
                  <w:sz w:val="14"/>
                  <w:szCs w:val="14"/>
                  <w:color w:val="3051F2"/>
                </w:rPr>
                <w:t>GoHealth, Inc. 2020 Employee Stock Purchase Plan (incorporated by reference to Exhibit 10.7 to the Company’s Registration Statement (File No. 333-239287), filed</w:t>
              </w:r>
            </w:hyperlink>
          </w:p>
        </w:tc>
      </w:tr>
      <w:tr>
        <w:trPr>
          <w:trHeight w:val="13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tcBorders>
              <w:top w:val="single" w:sz="8" w:color="3051F2"/>
              <w:bottom w:val="single" w:sz="8" w:color="3051F2"/>
            </w:tcBorders>
            <w:gridSpan w:val="5"/>
          </w:tcPr>
          <w:p>
            <w:pPr>
              <w:spacing w:after="0" w:line="139" w:lineRule="exact"/>
              <w:rPr>
                <w:rFonts w:ascii="Times New Roman" w:cs="Times New Roman" w:eastAsia="Times New Roman" w:hAnsi="Times New Roman"/>
                <w:sz w:val="14"/>
                <w:szCs w:val="14"/>
                <w:color w:val="3051F2"/>
              </w:rPr>
            </w:pPr>
            <w:hyperlink r:id="rId19">
              <w:r>
                <w:rPr>
                  <w:rFonts w:ascii="Times New Roman" w:cs="Times New Roman" w:eastAsia="Times New Roman" w:hAnsi="Times New Roman"/>
                  <w:sz w:val="14"/>
                  <w:szCs w:val="14"/>
                  <w:color w:val="3051F2"/>
                </w:rPr>
                <w:t>on July 8, 2020 with the Commission).</w:t>
              </w:r>
            </w:hyperlink>
          </w:p>
        </w:tc>
        <w:tc>
          <w:tcPr>
            <w:tcW w:w="7160" w:type="dxa"/>
            <w:vAlign w:val="bottom"/>
            <w:tcBorders>
              <w:top w:val="single" w:sz="8" w:color="3051F2"/>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6"/>
          </w:tcPr>
          <w:p>
            <w:pPr>
              <w:spacing w:after="0"/>
              <w:rPr>
                <w:sz w:val="20"/>
                <w:szCs w:val="20"/>
                <w:color w:val="auto"/>
              </w:rPr>
            </w:pPr>
            <w:r>
              <w:rPr>
                <w:rFonts w:ascii="Times New Roman" w:cs="Times New Roman" w:eastAsia="Times New Roman" w:hAnsi="Times New Roman"/>
                <w:sz w:val="14"/>
                <w:szCs w:val="14"/>
                <w:color w:val="3051F2"/>
              </w:rPr>
              <w:t>Filing Fee Table</w:t>
            </w:r>
          </w:p>
        </w:tc>
      </w:tr>
      <w:tr>
        <w:trPr>
          <w:trHeight w:val="20"/>
        </w:trPr>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3051F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w:t>
      </w:r>
    </w:p>
    <w:p>
      <w:pPr>
        <w:spacing w:after="0"/>
        <w:rPr>
          <w:sz w:val="20"/>
          <w:szCs w:val="20"/>
          <w:color w:val="auto"/>
        </w:rPr>
      </w:pPr>
      <w:r>
        <w:rPr>
          <w:rFonts w:ascii="Times New Roman" w:cs="Times New Roman" w:eastAsia="Times New Roman" w:hAnsi="Times New Roman"/>
          <w:sz w:val="14"/>
          <w:szCs w:val="14"/>
          <w:color w:val="auto"/>
        </w:rPr>
        <w:t>* Filed herewith.</w:t>
      </w:r>
    </w:p>
    <w:p>
      <w:pPr>
        <w:sectPr>
          <w:pgSz w:w="11900" w:h="16838" w:orient="portrait"/>
          <w:cols w:equalWidth="0" w:num="1">
            <w:col w:w="11280"/>
          </w:cols>
          <w:pgMar w:left="300" w:top="1133"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March 20, 2024.</w:t>
      </w:r>
    </w:p>
    <w:p>
      <w:pPr>
        <w:spacing w:after="0" w:line="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GOHEALTH, INC.</w:t>
      </w:r>
    </w:p>
    <w:p>
      <w:pPr>
        <w:spacing w:after="0" w:line="200" w:lineRule="exact"/>
        <w:rPr>
          <w:sz w:val="20"/>
          <w:szCs w:val="20"/>
          <w:color w:val="auto"/>
        </w:rPr>
      </w:pPr>
    </w:p>
    <w:p>
      <w:pPr>
        <w:spacing w:after="0" w:line="267" w:lineRule="exact"/>
        <w:rPr>
          <w:sz w:val="20"/>
          <w:szCs w:val="20"/>
          <w:color w:val="auto"/>
        </w:rPr>
      </w:pPr>
    </w:p>
    <w:p>
      <w:pPr>
        <w:ind w:left="7060"/>
        <w:spacing w:after="0"/>
        <w:tabs>
          <w:tab w:leader="none" w:pos="78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28575</wp:posOffset>
            </wp:positionV>
            <wp:extent cx="21691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Vijay Kotte</w:t>
      </w:r>
    </w:p>
    <w:p>
      <w:pPr>
        <w:spacing w:after="0" w:line="4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131" w:right="319" w:bottom="1440" w:gutter="0" w:footer="0" w:header="0"/>
        </w:sectPr>
      </w:pPr>
    </w:p>
    <w:bookmarkStart w:id="5" w:name="page6"/>
    <w:bookmarkEnd w:id="5"/>
    <w:p>
      <w:pPr>
        <w:spacing w:after="0" w:line="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91"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Each of the undersigned officers and directors of GoHealth, Inc. hereby constitutes and appoints Vijay Kotte and Jason Schulz,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230" w:lineRule="exact"/>
        <w:rPr>
          <w:sz w:val="20"/>
          <w:szCs w:val="20"/>
          <w:color w:val="auto"/>
        </w:rPr>
      </w:pPr>
    </w:p>
    <w:p>
      <w:pPr>
        <w:ind w:left="2660"/>
        <w:spacing w:after="0"/>
        <w:tabs>
          <w:tab w:leader="none" w:pos="7480" w:val="left"/>
          <w:tab w:leader="none" w:pos="101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ectPr>
          <w:pgSz w:w="11900" w:h="16838" w:orient="portrait"/>
          <w:cols w:equalWidth="0" w:num="1">
            <w:col w:w="11280"/>
          </w:cols>
          <w:pgMar w:left="300" w:top="1440"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Vijay Kotte</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Schulz</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Clinton P. Jones</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Brandon M. Cruz</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Joseph G. Flanagan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David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Fisher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Jeremy W. Gelber</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Karolina Hanna Hilu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7388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37388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Karolina Hanna Hilu</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Chief Executive Officer and Director (Principal</w:t>
      </w:r>
      <w:r>
        <w:rPr>
          <w:sz w:val="20"/>
          <w:szCs w:val="20"/>
          <w:color w:val="auto"/>
        </w:rPr>
        <w:tab/>
      </w:r>
      <w:r>
        <w:rPr>
          <w:rFonts w:ascii="Times New Roman" w:cs="Times New Roman" w:eastAsia="Times New Roman" w:hAnsi="Times New Roman"/>
          <w:sz w:val="14"/>
          <w:szCs w:val="14"/>
          <w:color w:val="auto"/>
        </w:rPr>
        <w:t>March 20, 2024</w:t>
      </w:r>
    </w:p>
    <w:p>
      <w:pPr>
        <w:spacing w:after="0" w:line="14"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3"/>
          <w:szCs w:val="13"/>
          <w:color w:val="auto"/>
        </w:rPr>
        <w:t>Executive Officer)</w:t>
      </w:r>
    </w:p>
    <w:p>
      <w:pPr>
        <w:spacing w:after="0" w:line="200" w:lineRule="exact"/>
        <w:rPr>
          <w:sz w:val="20"/>
          <w:szCs w:val="20"/>
          <w:color w:val="auto"/>
        </w:rPr>
      </w:pPr>
    </w:p>
    <w:p>
      <w:pPr>
        <w:spacing w:after="0" w:line="260"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Chief Financial Officer (Principal Financial Officer and</w:t>
      </w:r>
      <w:r>
        <w:rPr>
          <w:sz w:val="20"/>
          <w:szCs w:val="20"/>
          <w:color w:val="auto"/>
        </w:rPr>
        <w:tab/>
      </w:r>
      <w:r>
        <w:rPr>
          <w:rFonts w:ascii="Times New Roman" w:cs="Times New Roman" w:eastAsia="Times New Roman" w:hAnsi="Times New Roman"/>
          <w:sz w:val="14"/>
          <w:szCs w:val="14"/>
          <w:color w:val="auto"/>
        </w:rPr>
        <w:t>March 20, 2024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200" w:lineRule="exact"/>
        <w:rPr>
          <w:sz w:val="20"/>
          <w:szCs w:val="20"/>
          <w:color w:val="auto"/>
        </w:rPr>
      </w:pPr>
    </w:p>
    <w:p>
      <w:pPr>
        <w:spacing w:after="0" w:line="249"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pacing w:after="0" w:line="200" w:lineRule="exact"/>
        <w:rPr>
          <w:sz w:val="20"/>
          <w:szCs w:val="20"/>
          <w:color w:val="auto"/>
        </w:rPr>
      </w:pPr>
    </w:p>
    <w:p>
      <w:pPr>
        <w:spacing w:after="0" w:line="265"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pacing w:after="0" w:line="200" w:lineRule="exact"/>
        <w:rPr>
          <w:sz w:val="20"/>
          <w:szCs w:val="20"/>
          <w:color w:val="auto"/>
        </w:rPr>
      </w:pPr>
    </w:p>
    <w:p>
      <w:pPr>
        <w:spacing w:after="0" w:line="223"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pacing w:after="0" w:line="200" w:lineRule="exact"/>
        <w:rPr>
          <w:sz w:val="20"/>
          <w:szCs w:val="20"/>
          <w:color w:val="auto"/>
        </w:rPr>
      </w:pPr>
    </w:p>
    <w:p>
      <w:pPr>
        <w:spacing w:after="0" w:line="265"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pacing w:after="0" w:line="200" w:lineRule="exact"/>
        <w:rPr>
          <w:sz w:val="20"/>
          <w:szCs w:val="20"/>
          <w:color w:val="auto"/>
        </w:rPr>
      </w:pPr>
    </w:p>
    <w:p>
      <w:pPr>
        <w:spacing w:after="0" w:line="265"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14"/>
          <w:szCs w:val="14"/>
          <w:color w:val="auto"/>
        </w:rPr>
        <w:t>Director</w:t>
      </w:r>
      <w:r>
        <w:rPr>
          <w:sz w:val="20"/>
          <w:szCs w:val="20"/>
          <w:color w:val="auto"/>
        </w:rPr>
        <w:tab/>
      </w:r>
      <w:r>
        <w:rPr>
          <w:rFonts w:ascii="Times New Roman" w:cs="Times New Roman" w:eastAsia="Times New Roman" w:hAnsi="Times New Roman"/>
          <w:sz w:val="14"/>
          <w:szCs w:val="14"/>
          <w:color w:val="auto"/>
        </w:rPr>
        <w:t>March 20, 2024</w:t>
      </w:r>
    </w:p>
    <w:p>
      <w:pPr>
        <w:sectPr>
          <w:pgSz w:w="11900" w:h="16838" w:orient="portrait"/>
          <w:cols w:equalWidth="0" w:num="2">
            <w:col w:w="5280" w:space="720"/>
            <w:col w:w="5280"/>
          </w:cols>
          <w:pgMar w:left="300" w:top="1440"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5"/>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Litchford</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600" w:type="dxa"/>
            <w:vAlign w:val="bottom"/>
          </w:tcPr>
          <w:p>
            <w:pPr>
              <w:ind w:left="1700"/>
              <w:spacing w:after="0"/>
              <w:rPr>
                <w:sz w:val="20"/>
                <w:szCs w:val="20"/>
                <w:color w:val="auto"/>
              </w:rPr>
            </w:pPr>
            <w:r>
              <w:rPr>
                <w:rFonts w:ascii="Times New Roman" w:cs="Times New Roman" w:eastAsia="Times New Roman" w:hAnsi="Times New Roman"/>
                <w:sz w:val="14"/>
                <w:szCs w:val="14"/>
                <w:color w:val="auto"/>
                <w:w w:val="98"/>
              </w:rPr>
              <w:t>March 20, 2024</w:t>
            </w:r>
          </w:p>
        </w:tc>
      </w:tr>
      <w:tr>
        <w:trPr>
          <w:trHeight w:val="175"/>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Litchford</w:t>
            </w:r>
          </w:p>
        </w:tc>
        <w:tc>
          <w:tcPr>
            <w:tcW w:w="228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431"/>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Alexander E. Timm</w:t>
            </w:r>
          </w:p>
        </w:tc>
        <w:tc>
          <w:tcPr>
            <w:tcW w:w="2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w:t>
            </w:r>
          </w:p>
        </w:tc>
        <w:tc>
          <w:tcPr>
            <w:tcW w:w="2600" w:type="dxa"/>
            <w:vAlign w:val="bottom"/>
          </w:tcPr>
          <w:p>
            <w:pPr>
              <w:ind w:left="1700"/>
              <w:spacing w:after="0"/>
              <w:rPr>
                <w:sz w:val="20"/>
                <w:szCs w:val="20"/>
                <w:color w:val="auto"/>
              </w:rPr>
            </w:pPr>
            <w:r>
              <w:rPr>
                <w:rFonts w:ascii="Times New Roman" w:cs="Times New Roman" w:eastAsia="Times New Roman" w:hAnsi="Times New Roman"/>
                <w:sz w:val="14"/>
                <w:szCs w:val="14"/>
                <w:color w:val="auto"/>
                <w:w w:val="98"/>
              </w:rPr>
              <w:t>March 20, 2024</w:t>
            </w:r>
          </w:p>
        </w:tc>
      </w:tr>
      <w:tr>
        <w:trPr>
          <w:trHeight w:val="175"/>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Alexander E. Timm</w:t>
            </w:r>
          </w:p>
        </w:tc>
        <w:tc>
          <w:tcPr>
            <w:tcW w:w="2280" w:type="dxa"/>
            <w:vAlign w:val="bottom"/>
          </w:tcPr>
          <w:p>
            <w:pPr>
              <w:spacing w:after="0"/>
              <w:rPr>
                <w:sz w:val="15"/>
                <w:szCs w:val="15"/>
                <w:color w:val="auto"/>
              </w:rPr>
            </w:pPr>
          </w:p>
        </w:tc>
        <w:tc>
          <w:tcPr>
            <w:tcW w:w="2600" w:type="dxa"/>
            <w:vAlign w:val="bottom"/>
          </w:tcPr>
          <w:p>
            <w:pPr>
              <w:spacing w:after="0"/>
              <w:rPr>
                <w:sz w:val="15"/>
                <w:szCs w:val="15"/>
                <w:color w:val="auto"/>
              </w:rPr>
            </w:pPr>
          </w:p>
        </w:tc>
      </w:tr>
    </w:tbl>
    <w:p>
      <w:pPr>
        <w:sectPr>
          <w:pgSz w:w="11900" w:h="16838" w:orient="portrait"/>
          <w:cols w:equalWidth="0" w:num="1">
            <w:col w:w="10780"/>
          </w:cols>
          <w:pgMar w:left="300" w:top="1387" w:right="81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0" Type="http://schemas.openxmlformats.org/officeDocument/2006/relationships/image" Target="media/image1.png"/><Relationship Id="rId21" Type="http://schemas.openxmlformats.org/officeDocument/2006/relationships/image" Target="media/image2.pn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8" Type="http://schemas.openxmlformats.org/officeDocument/2006/relationships/hyperlink" Target="https://www.sec.gov/Archives/edgar/data/1808220/000119312520193438/d16231ds8.htm" TargetMode="External"/><Relationship Id="rId9" Type="http://schemas.openxmlformats.org/officeDocument/2006/relationships/hyperlink" Target="https://www.sec.gov/Archives/edgar/data/1808220/000119312521036470/d86815ds8.htm" TargetMode="External"/><Relationship Id="rId10" Type="http://schemas.openxmlformats.org/officeDocument/2006/relationships/hyperlink" Target="https://www.sec.gov/Archives/edgar/data/1808220/000119312522082736/d271011ds8.htm" TargetMode="External"/><Relationship Id="rId11" Type="http://schemas.openxmlformats.org/officeDocument/2006/relationships/hyperlink" Target="https://www.sec.gov/Archives/edgar/data/1808220/000119312522168376/d365724ds8.htm" TargetMode="External"/><Relationship Id="rId12" Type="http://schemas.openxmlformats.org/officeDocument/2006/relationships/hyperlink" Target="https://www.sec.gov/Archives/edgar/data/1808220/000180822023000014/s-811323.htm" TargetMode="External"/><Relationship Id="rId13" Type="http://schemas.openxmlformats.org/officeDocument/2006/relationships/hyperlink" Target="https://www.sec.gov/ix?doc=/Archives/edgar/data/1808220/000180822024000017/goco-20231231.htm" TargetMode="External"/><Relationship Id="rId14" Type="http://schemas.openxmlformats.org/officeDocument/2006/relationships/hyperlink" Target="https://www.sec.gov/Archives/edgar/data/1808220/000119312520193017/d940619d8a12b.htm" TargetMode="External"/><Relationship Id="rId15" Type="http://schemas.openxmlformats.org/officeDocument/2006/relationships/hyperlink" Target="https://www.sec.gov/Archives/edgar/data/1808220/000119312520224832/d935246dex31.htm" TargetMode="External"/><Relationship Id="rId16" Type="http://schemas.openxmlformats.org/officeDocument/2006/relationships/hyperlink" Target="https://www.sec.gov/Archives/edgar/data/1808220/000119312522288595/d341111dex31.htm" TargetMode="External"/><Relationship Id="rId17" Type="http://schemas.openxmlformats.org/officeDocument/2006/relationships/hyperlink" Target="https://www.sec.gov/Archives/edgar/data/1808220/000119312520224832/d935246dex32.htm" TargetMode="External"/><Relationship Id="rId18" Type="http://schemas.openxmlformats.org/officeDocument/2006/relationships/hyperlink" Target="https://www.sec.gov/Archives/edgar/data/1808220/000114036122014395/ny20002306x1_def14a.htm#tAPPA" TargetMode="External"/><Relationship Id="rId19" Type="http://schemas.openxmlformats.org/officeDocument/2006/relationships/hyperlink" Target="https://www.sec.gov/Archives/edgar/data/1808220/000119312520189225/d7971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2024-03-20T16:23:46Z</dcterms:created>
  <dcterms:modified xsi:type="dcterms:W3CDTF">2024-03-20T16:23:46Z</dcterms:modified>
</cp:coreProperties>
</file>