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June 15, 2020</w:t>
      </w:r>
    </w:p>
    <w:p>
      <w:pPr>
        <w:jc w:val="center"/>
        <w:ind w:right="-159"/>
        <w:spacing w:after="0" w:line="222" w:lineRule="auto"/>
        <w:rPr>
          <w:sz w:val="20"/>
          <w:szCs w:val="20"/>
          <w:color w:val="auto"/>
        </w:rPr>
      </w:pPr>
      <w:r>
        <w:rPr>
          <w:rFonts w:ascii="Arial" w:cs="Arial" w:eastAsia="Arial" w:hAnsi="Arial"/>
          <w:sz w:val="14"/>
          <w:szCs w:val="14"/>
          <w:b w:val="1"/>
          <w:bCs w:val="1"/>
          <w:color w:val="auto"/>
        </w:rPr>
        <w:t>pursuant to the Jumpstart Our Business Startups Act of 2012</w:t>
      </w: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113665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Amendment No. 1</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Confidential Submission 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115570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9"/>
          <w:szCs w:val="39"/>
          <w:b w:val="1"/>
          <w:bCs w:val="1"/>
          <w:color w:val="auto"/>
        </w:rPr>
        <w:t>GoHealth, Inc.</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0"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1"/>
              </w:rPr>
              <w:t>Delaware</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6411</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85-0563805</w:t>
            </w:r>
          </w:p>
        </w:tc>
      </w:tr>
      <w:tr>
        <w:trPr>
          <w:trHeight w:val="147"/>
        </w:trPr>
        <w:tc>
          <w:tcPr>
            <w:tcW w:w="2820" w:type="dxa"/>
            <w:vAlign w:val="bottom"/>
          </w:tcPr>
          <w:p>
            <w:pPr>
              <w:jc w:val="center"/>
              <w:ind w:right="869"/>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2180" w:type="dxa"/>
            <w:vAlign w:val="bottom"/>
          </w:tcPr>
          <w:p>
            <w:pPr>
              <w:jc w:val="center"/>
              <w:ind w:left="96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Classification Code Number)</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214 West Huron St.</w:t>
      </w:r>
    </w:p>
    <w:p>
      <w:pPr>
        <w:jc w:val="center"/>
        <w:ind w:right="-159"/>
        <w:spacing w:after="0" w:line="222"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Bradley Burd</w:t>
      </w:r>
    </w:p>
    <w:p>
      <w:pPr>
        <w:jc w:val="center"/>
        <w:ind w:right="-159"/>
        <w:spacing w:after="0" w:line="222" w:lineRule="auto"/>
        <w:rPr>
          <w:sz w:val="20"/>
          <w:szCs w:val="20"/>
          <w:color w:val="auto"/>
        </w:rPr>
      </w:pPr>
      <w:r>
        <w:rPr>
          <w:rFonts w:ascii="Arial" w:cs="Arial" w:eastAsia="Arial" w:hAnsi="Arial"/>
          <w:sz w:val="14"/>
          <w:szCs w:val="14"/>
          <w:b w:val="1"/>
          <w:bCs w:val="1"/>
          <w:color w:val="auto"/>
        </w:rPr>
        <w:t>General Counsel</w:t>
      </w:r>
    </w:p>
    <w:p>
      <w:pPr>
        <w:jc w:val="center"/>
        <w:ind w:right="-159"/>
        <w:spacing w:after="0" w:line="219" w:lineRule="auto"/>
        <w:rPr>
          <w:sz w:val="20"/>
          <w:szCs w:val="20"/>
          <w:color w:val="auto"/>
        </w:rPr>
      </w:pPr>
      <w:r>
        <w:rPr>
          <w:rFonts w:ascii="Arial" w:cs="Arial" w:eastAsia="Arial" w:hAnsi="Arial"/>
          <w:sz w:val="14"/>
          <w:szCs w:val="14"/>
          <w:b w:val="1"/>
          <w:bCs w:val="1"/>
          <w:color w:val="auto"/>
        </w:rPr>
        <w:t>214 West Huron St.</w:t>
      </w:r>
    </w:p>
    <w:p>
      <w:pPr>
        <w:jc w:val="center"/>
        <w:ind w:right="-159"/>
        <w:spacing w:after="0" w:line="220"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3620" w:type="dxa"/>
            <w:vAlign w:val="bottom"/>
          </w:tcPr>
          <w:p>
            <w:pPr>
              <w:ind w:left="1420"/>
              <w:spacing w:after="0"/>
              <w:rPr>
                <w:sz w:val="20"/>
                <w:szCs w:val="20"/>
                <w:color w:val="auto"/>
              </w:rPr>
            </w:pPr>
            <w:r>
              <w:rPr>
                <w:rFonts w:ascii="Arial" w:cs="Arial" w:eastAsia="Arial" w:hAnsi="Arial"/>
                <w:sz w:val="14"/>
                <w:szCs w:val="14"/>
                <w:b w:val="1"/>
                <w:bCs w:val="1"/>
                <w:i w:val="1"/>
                <w:iCs w:val="1"/>
                <w:color w:val="auto"/>
              </w:rPr>
              <w:t>Copies to:</w:t>
            </w:r>
          </w:p>
        </w:tc>
        <w:tc>
          <w:tcPr>
            <w:tcW w:w="2660" w:type="dxa"/>
            <w:vAlign w:val="bottom"/>
          </w:tcPr>
          <w:p>
            <w:pPr>
              <w:spacing w:after="0"/>
              <w:rPr>
                <w:sz w:val="15"/>
                <w:szCs w:val="15"/>
                <w:color w:val="auto"/>
              </w:rPr>
            </w:pPr>
          </w:p>
        </w:tc>
      </w:tr>
      <w:tr>
        <w:trPr>
          <w:trHeight w:val="176"/>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2"/>
              </w:rPr>
              <w:t>Ian D. Schuman,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5"/>
              </w:rPr>
              <w:t>Bradley Burd</w:t>
            </w:r>
          </w:p>
        </w:tc>
        <w:tc>
          <w:tcPr>
            <w:tcW w:w="2660" w:type="dxa"/>
            <w:vAlign w:val="bottom"/>
          </w:tcPr>
          <w:p>
            <w:pPr>
              <w:jc w:val="center"/>
              <w:ind w:left="889"/>
              <w:spacing w:after="0"/>
              <w:rPr>
                <w:sz w:val="20"/>
                <w:szCs w:val="20"/>
                <w:color w:val="auto"/>
              </w:rPr>
            </w:pPr>
            <w:r>
              <w:rPr>
                <w:rFonts w:ascii="Arial" w:cs="Arial" w:eastAsia="Arial" w:hAnsi="Arial"/>
                <w:sz w:val="14"/>
                <w:szCs w:val="14"/>
                <w:b w:val="1"/>
                <w:bCs w:val="1"/>
                <w:color w:val="auto"/>
                <w:w w:val="94"/>
              </w:rPr>
              <w:t>Samir A. Gandhi,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88"/>
              </w:rPr>
              <w:t>Stelios G. Saffos,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General Counsel</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David Ni,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3"/>
              </w:rPr>
              <w:t>Ryan K. deFord,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GoHealth, Inc.</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Sidley Austin LLP</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7"/>
              </w:rPr>
              <w:t>Latham &amp; Watkins LLP</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214 West Huron St.</w:t>
            </w:r>
          </w:p>
        </w:tc>
        <w:tc>
          <w:tcPr>
            <w:tcW w:w="2660" w:type="dxa"/>
            <w:vAlign w:val="bottom"/>
          </w:tcPr>
          <w:p>
            <w:pPr>
              <w:jc w:val="center"/>
              <w:ind w:left="889"/>
              <w:spacing w:after="0" w:line="147" w:lineRule="exact"/>
              <w:rPr>
                <w:sz w:val="20"/>
                <w:szCs w:val="20"/>
                <w:color w:val="auto"/>
              </w:rPr>
            </w:pPr>
            <w:r>
              <w:rPr>
                <w:rFonts w:ascii="Arial" w:cs="Arial" w:eastAsia="Arial" w:hAnsi="Arial"/>
                <w:sz w:val="14"/>
                <w:szCs w:val="14"/>
                <w:b w:val="1"/>
                <w:bCs w:val="1"/>
                <w:color w:val="auto"/>
                <w:w w:val="91"/>
              </w:rPr>
              <w:t>787 7th Avenue</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2"/>
              </w:rPr>
              <w:t>885 Third Avenue</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Chicago, Illinois 60654</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New York, New York 10019</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4"/>
              </w:rPr>
              <w:t>New York, New York 10022</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Telephone: (312) 386-8200</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1"/>
              </w:rPr>
              <w:t>Telephone: (212) 839-5300</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1"/>
              </w:rPr>
              <w:t>Telephone: (212) 906-1200</w:t>
            </w:r>
          </w:p>
        </w:tc>
        <w:tc>
          <w:tcPr>
            <w:tcW w:w="3620" w:type="dxa"/>
            <w:vAlign w:val="bottom"/>
          </w:tcPr>
          <w:p>
            <w:pPr>
              <w:spacing w:after="0"/>
              <w:rPr>
                <w:sz w:val="12"/>
                <w:szCs w:val="12"/>
                <w:color w:val="auto"/>
              </w:rPr>
            </w:pP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3"/>
              </w:rPr>
              <w:t>Fax: (212) 839-5599</w:t>
            </w:r>
          </w:p>
        </w:tc>
      </w:tr>
      <w:tr>
        <w:trPr>
          <w:trHeight w:val="185"/>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3"/>
              </w:rPr>
              <w:t>Fax: (212) 751-4864</w:t>
            </w:r>
          </w:p>
        </w:tc>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6" w:lineRule="exact"/>
        <w:rPr>
          <w:sz w:val="24"/>
          <w:szCs w:val="24"/>
          <w:color w:val="auto"/>
        </w:rPr>
      </w:pPr>
    </w:p>
    <w:p>
      <w:pPr>
        <w:jc w:val="center"/>
        <w:ind w:left="480" w:right="80"/>
        <w:spacing w:after="0" w:line="251"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1" w:lineRule="exact"/>
        <w:rPr>
          <w:sz w:val="24"/>
          <w:szCs w:val="24"/>
          <w:color w:val="auto"/>
        </w:rPr>
      </w:pPr>
    </w:p>
    <w:p>
      <w:pPr>
        <w:ind w:left="1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left="160" w:right="140"/>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2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40" w:type="dxa"/>
            <w:vAlign w:val="bottom"/>
          </w:tcPr>
          <w:p>
            <w:pPr>
              <w:ind w:left="342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99695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CALCULATION OF REGISTRATION FEE</w:t>
      </w:r>
    </w:p>
    <w:p>
      <w:pPr>
        <w:spacing w:after="0" w:line="5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60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60" w:type="dxa"/>
            <w:vAlign w:val="bottom"/>
            <w:tcBorders>
              <w:right w:val="single" w:sz="8" w:color="auto"/>
            </w:tcBorders>
            <w:vMerge w:val="restart"/>
          </w:tcPr>
          <w:p>
            <w:pPr>
              <w:jc w:val="center"/>
              <w:ind w:right="1569"/>
              <w:spacing w:after="0"/>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5"/>
              </w:rPr>
              <w:t>Maximum</w:t>
            </w:r>
          </w:p>
        </w:tc>
        <w:tc>
          <w:tcPr>
            <w:tcW w:w="16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60" w:type="dxa"/>
            <w:vAlign w:val="bottom"/>
            <w:tcBorders>
              <w:bottom w:val="single" w:sz="8" w:color="auto"/>
              <w:right w:val="single" w:sz="8" w:color="auto"/>
            </w:tcBorders>
          </w:tcPr>
          <w:p>
            <w:pPr>
              <w:jc w:val="center"/>
              <w:ind w:right="1569"/>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color w:val="auto"/>
              </w:rPr>
              <w:t>Class A common stock, $</w:t>
            </w:r>
          </w:p>
        </w:tc>
        <w:tc>
          <w:tcPr>
            <w:tcW w:w="6060" w:type="dxa"/>
            <w:vAlign w:val="bottom"/>
            <w:tcBorders>
              <w:bottom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color w:val="auto"/>
              </w:rPr>
              <w:t>par value per share</w:t>
            </w:r>
          </w:p>
        </w:tc>
        <w:tc>
          <w:tcPr>
            <w:tcW w:w="1620" w:type="dxa"/>
            <w:vAlign w:val="bottom"/>
            <w:tcBorders>
              <w:bottom w:val="single" w:sz="8" w:color="auto"/>
              <w:right w:val="single" w:sz="8" w:color="auto"/>
            </w:tcBorders>
          </w:tcPr>
          <w:p>
            <w:pPr>
              <w:jc w:val="right"/>
              <w:ind w:right="811"/>
              <w:spacing w:after="0" w:line="141"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789"/>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33"/>
        <w:spacing w:after="0" w:line="22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600" w:right="220" w:hanging="433"/>
        <w:spacing w:after="0" w:line="235"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may be sold if the option to purchase additional shares of Class A common stock granted by the Registrant to the underwriters is executed.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109855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7" w:lineRule="exact"/>
        <w:rPr>
          <w:sz w:val="24"/>
          <w:szCs w:val="24"/>
          <w:color w:val="auto"/>
        </w:rPr>
      </w:pPr>
    </w:p>
    <w:p>
      <w:pPr>
        <w:ind w:left="160" w:right="120"/>
        <w:spacing w:after="0" w:line="29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80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8" w:lineRule="exact"/>
        <w:rPr>
          <w:sz w:val="20"/>
          <w:szCs w:val="20"/>
          <w:color w:val="auto"/>
        </w:rPr>
      </w:pPr>
    </w:p>
    <w:tbl>
      <w:tblPr>
        <w:tblLayout w:type="fixed"/>
        <w:tblInd w:w="4100" w:type="dxa"/>
        <w:tblCellMar>
          <w:top w:w="0" w:type="dxa"/>
          <w:left w:w="0" w:type="dxa"/>
          <w:bottom w:w="0" w:type="dxa"/>
          <w:right w:w="0" w:type="dxa"/>
        </w:tblCellMar>
      </w:tblPr>
      <w:tr>
        <w:trPr>
          <w:trHeight w:val="209"/>
        </w:trPr>
        <w:tc>
          <w:tcPr>
            <w:tcW w:w="2280" w:type="dxa"/>
            <w:vAlign w:val="bottom"/>
          </w:tcPr>
          <w:p>
            <w:pPr>
              <w:spacing w:after="0"/>
              <w:rPr>
                <w:sz w:val="20"/>
                <w:szCs w:val="20"/>
                <w:color w:val="auto"/>
              </w:rPr>
            </w:pPr>
            <w:r>
              <w:rPr>
                <w:rFonts w:ascii="Arial" w:cs="Arial" w:eastAsia="Arial" w:hAnsi="Arial"/>
                <w:sz w:val="16"/>
                <w:szCs w:val="16"/>
                <w:b w:val="1"/>
                <w:bCs w:val="1"/>
                <w:color w:val="FF4338"/>
              </w:rPr>
              <w:t>Subject to completion, dated</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FF4338"/>
              </w:rPr>
              <w:t>, 2020.</w:t>
            </w:r>
          </w:p>
        </w:tc>
      </w:tr>
    </w:tbl>
    <w:p>
      <w:pPr>
        <w:spacing w:after="0" w:line="54"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71755</wp:posOffset>
            </wp:positionV>
            <wp:extent cx="2658110" cy="586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37"/>
          <w:szCs w:val="37"/>
          <w:b w:val="1"/>
          <w:bCs w:val="1"/>
          <w:color w:val="auto"/>
        </w:rPr>
        <w:t>GoHealth, Inc.</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149860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6" w:lineRule="exact"/>
        <w:rPr>
          <w:sz w:val="20"/>
          <w:szCs w:val="20"/>
          <w:color w:val="auto"/>
        </w:rPr>
      </w:pPr>
    </w:p>
    <w:p>
      <w:pPr>
        <w:ind w:left="160"/>
        <w:spacing w:after="0"/>
        <w:tabs>
          <w:tab w:leader="none" w:pos="7240" w:val="left"/>
        </w:tabs>
        <w:rPr>
          <w:sz w:val="20"/>
          <w:szCs w:val="20"/>
          <w:color w:val="auto"/>
        </w:rPr>
      </w:pPr>
      <w:r>
        <w:rPr>
          <w:rFonts w:ascii="Arial" w:cs="Arial" w:eastAsia="Arial" w:hAnsi="Arial"/>
          <w:sz w:val="16"/>
          <w:szCs w:val="16"/>
          <w:color w:val="auto"/>
        </w:rPr>
        <w:t>This is an initial public offering of shares of Class A common stock of GoHealth, Inc. We are selling</w:t>
      </w:r>
      <w:r>
        <w:rPr>
          <w:sz w:val="20"/>
          <w:szCs w:val="20"/>
          <w:color w:val="auto"/>
        </w:rPr>
        <w:tab/>
      </w:r>
      <w:r>
        <w:rPr>
          <w:rFonts w:ascii="Arial" w:cs="Arial" w:eastAsia="Arial" w:hAnsi="Arial"/>
          <w:sz w:val="14"/>
          <w:szCs w:val="14"/>
          <w:color w:val="auto"/>
        </w:rPr>
        <w:t>shares of Class A common stock.</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of Class A</w:t>
      </w:r>
    </w:p>
    <w:p>
      <w:pPr>
        <w:spacing w:after="0" w:line="33" w:lineRule="exact"/>
        <w:rPr>
          <w:sz w:val="20"/>
          <w:szCs w:val="20"/>
          <w:color w:val="auto"/>
        </w:rPr>
      </w:pPr>
    </w:p>
    <w:p>
      <w:pPr>
        <w:ind w:left="160"/>
        <w:spacing w:after="0"/>
        <w:tabs>
          <w:tab w:leader="none" w:pos="2900" w:val="left"/>
          <w:tab w:leader="none" w:pos="3900" w:val="left"/>
        </w:tabs>
        <w:rPr>
          <w:sz w:val="20"/>
          <w:szCs w:val="20"/>
          <w:color w:val="auto"/>
        </w:rPr>
      </w:pPr>
      <w:r>
        <w:rPr>
          <w:rFonts w:ascii="Arial" w:cs="Arial" w:eastAsia="Arial" w:hAnsi="Arial"/>
          <w:sz w:val="16"/>
          <w:szCs w:val="16"/>
          <w:color w:val="auto"/>
        </w:rPr>
        <w:t>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4"/>
          <w:szCs w:val="14"/>
          <w:color w:val="auto"/>
        </w:rPr>
        <w:t>. We have applied to list our Class A common stock on The Nasdaq Global Market under the symbol “GHTH.”</w:t>
      </w:r>
    </w:p>
    <w:p>
      <w:pPr>
        <w:spacing w:after="0" w:line="92" w:lineRule="exact"/>
        <w:rPr>
          <w:sz w:val="20"/>
          <w:szCs w:val="20"/>
          <w:color w:val="auto"/>
        </w:rPr>
      </w:pPr>
    </w:p>
    <w:p>
      <w:pPr>
        <w:ind w:left="160" w:right="120"/>
        <w:spacing w:after="0" w:line="290" w:lineRule="auto"/>
        <w:rPr>
          <w:sz w:val="20"/>
          <w:szCs w:val="20"/>
          <w:color w:val="auto"/>
        </w:rPr>
      </w:pPr>
      <w:r>
        <w:rPr>
          <w:rFonts w:ascii="Arial" w:cs="Arial" w:eastAsia="Arial" w:hAnsi="Arial"/>
          <w:sz w:val="15"/>
          <w:szCs w:val="15"/>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by the Continuing Equity Owners (as defined below), which will represent in the aggregate approximately % of the voting power of our outstanding common stock after this offering (or approximately % if the underwriters exercise in full their option to purchase additional shares).</w:t>
      </w:r>
    </w:p>
    <w:p>
      <w:pPr>
        <w:spacing w:after="0" w:line="28" w:lineRule="exact"/>
        <w:rPr>
          <w:sz w:val="20"/>
          <w:szCs w:val="20"/>
          <w:color w:val="auto"/>
        </w:rPr>
      </w:pPr>
    </w:p>
    <w:p>
      <w:pPr>
        <w:ind w:left="160" w:right="220"/>
        <w:spacing w:after="0" w:line="290" w:lineRule="auto"/>
        <w:rPr>
          <w:sz w:val="20"/>
          <w:szCs w:val="20"/>
          <w:color w:val="auto"/>
        </w:rPr>
      </w:pPr>
      <w:r>
        <w:rPr>
          <w:rFonts w:ascii="Arial" w:cs="Arial" w:eastAsia="Arial" w:hAnsi="Arial"/>
          <w:sz w:val="15"/>
          <w:szCs w:val="15"/>
          <w:color w:val="auto"/>
        </w:rPr>
        <w:t>We will be a holding company, and upon consummation of this offering and the application of proceeds therefrom, our principal asset will consist of LLC Interests (as defined below) we acquire directly from GoHealth Holdings, LLC and indirectly from certain of the Continuing Equity Owners and the Blocker Shareholders with the proceeds from this offering, collectively representing an aggregate % economic interest in GoHealth Holdings, LLC. Of the remaining % economic interest in GoHealth Holdings, LLC, % will be owned by the Continuing Equity Owners (excluding Centerbridge Capital Partners III, L.P.) through their ownership of LLC Interests and % will be owned by Centerbridge Capital Partners III, L.P., our majority owner through their ownership of LLC Interests.</w:t>
      </w:r>
    </w:p>
    <w:p>
      <w:pPr>
        <w:spacing w:after="0" w:line="28" w:lineRule="exact"/>
        <w:rPr>
          <w:sz w:val="20"/>
          <w:szCs w:val="20"/>
          <w:color w:val="auto"/>
        </w:rPr>
      </w:pPr>
    </w:p>
    <w:p>
      <w:pPr>
        <w:ind w:left="160" w:right="240"/>
        <w:spacing w:after="0" w:line="324" w:lineRule="auto"/>
        <w:rPr>
          <w:sz w:val="20"/>
          <w:szCs w:val="20"/>
          <w:color w:val="auto"/>
        </w:rPr>
      </w:pPr>
      <w:r>
        <w:rPr>
          <w:rFonts w:ascii="Arial" w:cs="Arial" w:eastAsia="Arial" w:hAnsi="Arial"/>
          <w:sz w:val="15"/>
          <w:szCs w:val="15"/>
          <w:color w:val="auto"/>
        </w:rPr>
        <w:t>GoHealth, Inc. will be the sole managing member of GoHealth Holdings, LLC. We will operate and control all of the business and affairs of GoHealth Holdings, LLC and its direct and indirect subsidiaries and, through GoHealth Holdings, LLC and its direct and indirect subsidiaries, conduct our business.</w:t>
      </w:r>
    </w:p>
    <w:p>
      <w:pPr>
        <w:spacing w:after="0" w:line="16" w:lineRule="exact"/>
        <w:rPr>
          <w:sz w:val="20"/>
          <w:szCs w:val="20"/>
          <w:color w:val="auto"/>
        </w:rPr>
      </w:pPr>
    </w:p>
    <w:p>
      <w:pPr>
        <w:ind w:left="160" w:right="120"/>
        <w:spacing w:after="0" w:line="289" w:lineRule="auto"/>
        <w:rPr>
          <w:sz w:val="20"/>
          <w:szCs w:val="20"/>
          <w:color w:val="auto"/>
        </w:rPr>
      </w:pPr>
      <w:r>
        <w:rPr>
          <w:rFonts w:ascii="Arial" w:cs="Arial" w:eastAsia="Arial" w:hAnsi="Arial"/>
          <w:sz w:val="16"/>
          <w:szCs w:val="16"/>
          <w:color w:val="auto"/>
        </w:rPr>
        <w:t>Following this offering, we will be a “controlled company” within the meaning of the Nasdaq rules. See “Our Organizational Structure” and “Management—Controlled Company Exception.”</w:t>
      </w:r>
    </w:p>
    <w:p>
      <w:pPr>
        <w:spacing w:after="0" w:line="25" w:lineRule="exact"/>
        <w:rPr>
          <w:sz w:val="20"/>
          <w:szCs w:val="20"/>
          <w:color w:val="auto"/>
        </w:rPr>
      </w:pPr>
    </w:p>
    <w:p>
      <w:pPr>
        <w:ind w:left="160" w:right="540"/>
        <w:spacing w:after="0" w:line="364"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69850</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1" w:lineRule="exact"/>
        <w:rPr>
          <w:sz w:val="20"/>
          <w:szCs w:val="20"/>
          <w:color w:val="auto"/>
        </w:rPr>
      </w:pPr>
    </w:p>
    <w:p>
      <w:pPr>
        <w:ind w:left="160" w:right="2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41">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31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102235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7" w:lineRule="exact"/>
        <w:rPr>
          <w:sz w:val="20"/>
          <w:szCs w:val="20"/>
          <w:color w:val="auto"/>
        </w:rPr>
      </w:pPr>
    </w:p>
    <w:p>
      <w:pPr>
        <w:ind w:left="160" w:right="16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104775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20" w:type="dxa"/>
            <w:vAlign w:val="bottom"/>
          </w:tcPr>
          <w:p>
            <w:pPr>
              <w:jc w:val="right"/>
              <w:ind w:right="126"/>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4"/>
                <w:szCs w:val="1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5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rPr>
                <w:sz w:val="20"/>
                <w:szCs w:val="20"/>
                <w:color w:val="auto"/>
              </w:rPr>
            </w:pPr>
            <w:r>
              <w:rPr>
                <w:rFonts w:ascii="Arial" w:cs="Arial" w:eastAsia="Arial" w:hAnsi="Arial"/>
                <w:sz w:val="16"/>
                <w:szCs w:val="16"/>
                <w:color w:val="auto"/>
              </w:rPr>
              <w:t>Underwriting discount(1)</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GoHealth, Inc.</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7"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in connection with this offering. See “Underwriting.”</w:t>
      </w:r>
    </w:p>
    <w:p>
      <w:pPr>
        <w:sectPr>
          <w:pgSz w:w="11900" w:h="16838" w:orient="portrait"/>
          <w:cols w:equalWidth="0" w:num="1">
            <w:col w:w="11080"/>
          </w:cols>
          <w:pgMar w:left="320" w:top="456" w:right="499" w:bottom="1440" w:gutter="0" w:footer="0" w:header="0"/>
        </w:sectPr>
      </w:pPr>
    </w:p>
    <w:p>
      <w:pPr>
        <w:spacing w:after="0" w:line="83" w:lineRule="exact"/>
        <w:rPr>
          <w:sz w:val="20"/>
          <w:szCs w:val="20"/>
          <w:color w:val="auto"/>
        </w:rPr>
      </w:pPr>
    </w:p>
    <w:p>
      <w:pPr>
        <w:ind w:left="160"/>
        <w:spacing w:after="0" w:line="358" w:lineRule="auto"/>
        <w:rPr>
          <w:sz w:val="20"/>
          <w:szCs w:val="20"/>
          <w:color w:val="auto"/>
        </w:rPr>
      </w:pPr>
      <w:r>
        <w:rPr>
          <w:rFonts w:ascii="Arial" w:cs="Arial" w:eastAsia="Arial" w:hAnsi="Arial"/>
          <w:sz w:val="14"/>
          <w:szCs w:val="14"/>
          <w:color w:val="auto"/>
        </w:rPr>
        <w:t>The underwriters have the option to purchase up to an additional discount within 30 days of the date of this prospectus.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shares of Class A common stock from us at the initial price to public less the underwriting</w:t>
      </w:r>
    </w:p>
    <w:p>
      <w:pPr>
        <w:spacing w:after="0" w:line="320" w:lineRule="exact"/>
        <w:rPr>
          <w:sz w:val="20"/>
          <w:szCs w:val="20"/>
          <w:color w:val="auto"/>
        </w:rPr>
      </w:pPr>
    </w:p>
    <w:p>
      <w:pPr>
        <w:sectPr>
          <w:pgSz w:w="11900" w:h="16838" w:orient="portrait"/>
          <w:cols w:equalWidth="0" w:num="2">
            <w:col w:w="4320" w:space="640"/>
            <w:col w:w="612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150495</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2020.</w:t>
      </w:r>
    </w:p>
    <w:p>
      <w:pPr>
        <w:spacing w:after="0" w:line="200" w:lineRule="exact"/>
        <w:rPr>
          <w:sz w:val="20"/>
          <w:szCs w:val="20"/>
          <w:color w:val="auto"/>
        </w:rPr>
      </w:pPr>
    </w:p>
    <w:p>
      <w:pPr>
        <w:sectPr>
          <w:pgSz w:w="11900" w:h="16838" w:orient="portrait"/>
          <w:cols w:equalWidth="0" w:num="2">
            <w:col w:w="7640" w:space="640"/>
            <w:col w:w="2800"/>
          </w:cols>
          <w:pgMar w:left="320" w:top="456" w:right="499" w:bottom="1440" w:gutter="0" w:footer="0" w:header="0"/>
          <w:type w:val="continuous"/>
        </w:sectPr>
      </w:pPr>
    </w:p>
    <w:p>
      <w:pPr>
        <w:spacing w:after="0" w:line="14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Morgan Stanley</w:t>
      </w:r>
    </w:p>
    <w:p>
      <w:pPr>
        <w:spacing w:after="0" w:line="106" w:lineRule="exact"/>
        <w:rPr>
          <w:sz w:val="20"/>
          <w:szCs w:val="20"/>
          <w:color w:val="auto"/>
        </w:rPr>
      </w:pPr>
    </w:p>
    <w:p>
      <w:pPr>
        <w:sectPr>
          <w:pgSz w:w="11900" w:h="16838" w:orient="portrait"/>
          <w:cols w:equalWidth="0" w:num="3">
            <w:col w:w="4920" w:space="720"/>
            <w:col w:w="3000" w:space="720"/>
            <w:col w:w="1720"/>
          </w:cols>
          <w:pgMar w:left="320" w:top="456" w:right="499" w:bottom="1440" w:gutter="0" w:footer="0" w:header="0"/>
          <w:type w:val="continuous"/>
        </w:sectPr>
      </w:pPr>
    </w:p>
    <w:p>
      <w:pPr>
        <w:ind w:left="4500"/>
        <w:spacing w:after="0"/>
        <w:rPr>
          <w:sz w:val="20"/>
          <w:szCs w:val="20"/>
          <w:color w:val="auto"/>
        </w:rPr>
      </w:pPr>
      <w:r>
        <w:rPr>
          <w:rFonts w:ascii="Arial" w:cs="Arial" w:eastAsia="Arial" w:hAnsi="Arial"/>
          <w:sz w:val="13"/>
          <w:szCs w:val="13"/>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2020.</w:t>
      </w:r>
    </w:p>
    <w:p>
      <w:pPr>
        <w:sectPr>
          <w:pgSz w:w="11900" w:h="16838" w:orient="portrait"/>
          <w:cols w:equalWidth="0" w:num="2">
            <w:col w:w="5660" w:space="640"/>
            <w:col w:w="4780"/>
          </w:cols>
          <w:pgMar w:left="320" w:top="456" w:right="49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37785" cy="6657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37785" cy="66579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202565</wp:posOffset>
            </wp:positionV>
            <wp:extent cx="5434965" cy="638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34965" cy="638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0" w:right="320" w:hanging="433"/>
        <w:spacing w:after="0" w:line="228" w:lineRule="auto"/>
        <w:tabs>
          <w:tab w:leader="none" w:pos="600" w:val="left"/>
        </w:tabs>
        <w:numPr>
          <w:ilvl w:val="0"/>
          <w:numId w:val="3"/>
        </w:numPr>
        <w:rPr>
          <w:rFonts w:ascii="Arial" w:cs="Arial" w:eastAsia="Arial" w:hAnsi="Arial"/>
          <w:sz w:val="14"/>
          <w:szCs w:val="14"/>
          <w:color w:val="143DAF"/>
        </w:rPr>
      </w:pPr>
      <w:r>
        <w:rPr>
          <w:rFonts w:ascii="Arial" w:cs="Arial" w:eastAsia="Arial" w:hAnsi="Arial"/>
          <w:sz w:val="14"/>
          <w:szCs w:val="14"/>
          <w:color w:val="143DAF"/>
        </w:rPr>
        <w:t>See footnote 1 to “Prospectus Summary—Summary Historical and Pro Forma Condensed Consolidated Financial and Other Data” for information regarding our use of pro forma financial information.</w:t>
      </w:r>
    </w:p>
    <w:p>
      <w:pPr>
        <w:ind w:left="600" w:hanging="433"/>
        <w:spacing w:after="0" w:line="236" w:lineRule="auto"/>
        <w:tabs>
          <w:tab w:leader="none" w:pos="600" w:val="left"/>
        </w:tabs>
        <w:numPr>
          <w:ilvl w:val="0"/>
          <w:numId w:val="3"/>
        </w:numPr>
        <w:rPr>
          <w:rFonts w:ascii="Arial" w:cs="Arial" w:eastAsia="Arial" w:hAnsi="Arial"/>
          <w:sz w:val="13"/>
          <w:szCs w:val="13"/>
          <w:color w:val="143DAF"/>
        </w:rPr>
      </w:pPr>
      <w:r>
        <w:rPr>
          <w:rFonts w:ascii="Arial" w:cs="Arial" w:eastAsia="Arial" w:hAnsi="Arial"/>
          <w:sz w:val="13"/>
          <w:szCs w:val="13"/>
          <w:color w:val="143DAF"/>
        </w:rPr>
        <w:t>See “Prospectus Summary—Summary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ind w:left="600" w:hanging="433"/>
        <w:spacing w:after="0"/>
        <w:tabs>
          <w:tab w:leader="none" w:pos="600" w:val="left"/>
        </w:tabs>
        <w:numPr>
          <w:ilvl w:val="0"/>
          <w:numId w:val="3"/>
        </w:numPr>
        <w:rPr>
          <w:rFonts w:ascii="Arial" w:cs="Arial" w:eastAsia="Arial" w:hAnsi="Arial"/>
          <w:sz w:val="14"/>
          <w:szCs w:val="14"/>
          <w:color w:val="143DAF"/>
        </w:rPr>
      </w:pPr>
      <w:r>
        <w:rPr>
          <w:rFonts w:ascii="Arial" w:cs="Arial" w:eastAsia="Arial" w:hAnsi="Arial"/>
          <w:sz w:val="14"/>
          <w:szCs w:val="14"/>
          <w:color w:val="143DAF"/>
        </w:rPr>
        <w:t>See “Basis of Presentation—Key Terms and Performance Indicators Used in this Prospectus; Non-GAAP Financial Measures” for a definition of LTV/CAC.</w:t>
      </w:r>
    </w:p>
    <w:p>
      <w:pPr>
        <w:sectPr>
          <w:pgSz w:w="11900" w:h="16838" w:orient="portrait"/>
          <w:cols w:equalWidth="0" w:num="1">
            <w:col w:w="11060"/>
          </w:cols>
          <w:pgMar w:left="320" w:top="45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508"/>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42"/>
        </w:trPr>
        <w:tc>
          <w:tcPr>
            <w:tcW w:w="10120" w:type="dxa"/>
            <w:vAlign w:val="bottom"/>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CAUTIONARY NOTE REGARDING FORWARD-LOOKING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OUR ORGANIZATIONAL STRUCTURE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CAPITALIZATION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DIVIDEND POLICY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DILUTION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SELECTED HISTORICAL CONDENSED CONSOLIDATED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UNAUDITED PRO FORMA CONDENSED CONSOLIDATED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MANAGEMENT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CERTAIN RELATIONSHIPS AND RELATED PARTY TRANSACTIONS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PRINCIPAL STOCKHOLDERS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DESCRIPTION OF CAPITAL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DESCRIPTION OF INDEBTEDNESS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SHARES ELIGIBLE FOR FUTURE SALE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MATERIAL U.S. FEDERAL INCOME TAX CONSIDERATIONS TO NON-U.S. HOLDERS OF CLASS A COMMON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UNDERWRITING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LEGAL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EXPERTS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WHERE YOU CAN FIND MORE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7"/>
        </w:trPr>
        <w:tc>
          <w:tcPr>
            <w:tcW w:w="10120" w:type="dxa"/>
            <w:vAlign w:val="bottom"/>
          </w:tcPr>
          <w:p>
            <w:pPr>
              <w:ind w:left="16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INDEX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160"/>
        <w:spacing w:after="0" w:line="267"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79" w:lineRule="exact"/>
        <w:rPr>
          <w:sz w:val="20"/>
          <w:szCs w:val="20"/>
          <w:color w:val="auto"/>
        </w:rPr>
      </w:pPr>
    </w:p>
    <w:p>
      <w:pPr>
        <w:ind w:left="160" w:right="300"/>
        <w:spacing w:after="0" w:line="284" w:lineRule="auto"/>
        <w:rPr>
          <w:sz w:val="20"/>
          <w:szCs w:val="20"/>
          <w:color w:val="auto"/>
        </w:rPr>
      </w:pPr>
      <w:r>
        <w:rPr>
          <w:rFonts w:ascii="Arial" w:cs="Arial" w:eastAsia="Arial" w:hAnsi="Arial"/>
          <w:sz w:val="17"/>
          <w:szCs w:val="17"/>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20" w:top="456"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w:t>
      </w:r>
    </w:p>
    <w:p>
      <w:pPr>
        <w:spacing w:after="0" w:line="118" w:lineRule="exact"/>
        <w:rPr>
          <w:sz w:val="20"/>
          <w:szCs w:val="20"/>
          <w:color w:val="auto"/>
        </w:rPr>
      </w:pPr>
    </w:p>
    <w:p>
      <w:pPr>
        <w:jc w:val="both"/>
        <w:ind w:left="160" w:right="560"/>
        <w:spacing w:after="0" w:line="255"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“Our Organizational Structure” for a diagram depicting our organizational structure after giving effect to the Transactions, including this offering.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this prospectus, unless the context otherwise requires:</w:t>
      </w:r>
    </w:p>
    <w:p>
      <w:pPr>
        <w:spacing w:after="0" w:line="127" w:lineRule="exact"/>
        <w:rPr>
          <w:sz w:val="20"/>
          <w:szCs w:val="20"/>
          <w:color w:val="auto"/>
        </w:rPr>
      </w:pPr>
    </w:p>
    <w:p>
      <w:pPr>
        <w:ind w:left="1140" w:right="180" w:hanging="438"/>
        <w:spacing w:after="0" w:line="29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this offering, to GoHealth, Inc., and, unless otherwise stated, all of its direct and indirect subsidiaries, including GoHealth Holdings, LLC (formerly known as Blizzard Parent, LLC), and (2) prior to the completion of the Transactions, including this offering, to GoHealth Holdings, LLC and, unless otherwise stated, all of its direct and indirect subsidiaries, or, as applicable, the Predecessor.</w:t>
      </w:r>
    </w:p>
    <w:p>
      <w:pPr>
        <w:spacing w:after="0" w:line="65" w:lineRule="exact"/>
        <w:rPr>
          <w:rFonts w:ascii="Arial" w:cs="Arial" w:eastAsia="Arial" w:hAnsi="Arial"/>
          <w:sz w:val="16"/>
          <w:szCs w:val="16"/>
          <w:color w:val="auto"/>
        </w:rPr>
      </w:pPr>
    </w:p>
    <w:p>
      <w:pPr>
        <w:ind w:left="1140" w:right="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an entity affiliated with Centerbridge that is an indirect owner of LLC Interests in GoHealth Holdings, LLC prior to the Transactions and is taxable as a corporation for U.S. federal income tax purposes.</w:t>
      </w:r>
    </w:p>
    <w:p>
      <w:pPr>
        <w:spacing w:after="0" w:line="80" w:lineRule="exact"/>
        <w:rPr>
          <w:rFonts w:ascii="Arial" w:cs="Arial" w:eastAsia="Arial" w:hAnsi="Arial"/>
          <w:sz w:val="18"/>
          <w:szCs w:val="18"/>
          <w:color w:val="auto"/>
        </w:rPr>
      </w:pPr>
    </w:p>
    <w:p>
      <w:pPr>
        <w:ind w:left="1140" w:right="24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Shareholders</w:t>
      </w:r>
      <w:r>
        <w:rPr>
          <w:rFonts w:ascii="Arial" w:cs="Arial" w:eastAsia="Arial" w:hAnsi="Arial"/>
          <w:sz w:val="18"/>
          <w:szCs w:val="18"/>
          <w:color w:val="auto"/>
        </w:rPr>
        <w:t>” refer to entities affiliated with Centerbridge, the owners of the Blocker Company prior to the Transactions, who will exchange their interests in the Blocker Company for shares of our Class A common stock and cash in connection with the consummation of the Transactions.</w:t>
      </w:r>
    </w:p>
    <w:p>
      <w:pPr>
        <w:spacing w:after="0" w:line="92" w:lineRule="exact"/>
        <w:rPr>
          <w:rFonts w:ascii="Arial" w:cs="Arial" w:eastAsia="Arial" w:hAnsi="Arial"/>
          <w:sz w:val="18"/>
          <w:szCs w:val="18"/>
          <w:color w:val="auto"/>
        </w:rPr>
      </w:pPr>
    </w:p>
    <w:p>
      <w:pPr>
        <w:ind w:left="1140" w:right="360" w:hanging="438"/>
        <w:spacing w:after="0" w:line="30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“Centerbridge” </w:t>
      </w:r>
      <w:r>
        <w:rPr>
          <w:rFonts w:ascii="Arial" w:cs="Arial" w:eastAsia="Arial" w:hAnsi="Arial"/>
          <w:sz w:val="16"/>
          <w:szCs w:val="16"/>
          <w:color w:val="auto"/>
        </w:rPr>
        <w:t>refers to Centerbridge Capital Partners III, L.P., our majority owner and a Delaware limited partnership, certain funds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56"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“Continuing Equity Owners” </w:t>
      </w:r>
      <w:r>
        <w:rPr>
          <w:rFonts w:ascii="Arial" w:cs="Arial" w:eastAsia="Arial" w:hAnsi="Arial"/>
          <w:sz w:val="18"/>
          <w:szCs w:val="18"/>
          <w:color w:val="auto"/>
        </w:rPr>
        <w:t>refer collectively to holders of LLC Interests and our Class B common stock immediately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including Centerbridge, Norwest, our Founders and certain executive officers, employees and other minority investors and their respective permitted transferees who may, following the consummation of this offering, exchange at each of their respective options, in whole or in part from time to time, their LLC Interests (along with an equal number of shares of Class B common stock (and such shares shall be immediately cancelled)) for, at our election (determined solely by our independent directors (within the meaning of the Nasdaq rules) who are disinterested), cash or newly-issued shares of our Class A common stock as described in “Certain Relationships and Related Party Transactions—GoHealth Holdings, LLC Agreement—Agreement in Effect Upon Consummation of the Transactions.”</w:t>
      </w:r>
    </w:p>
    <w:p>
      <w:pPr>
        <w:spacing w:after="0" w:line="100"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Founders</w:t>
      </w:r>
      <w:r>
        <w:rPr>
          <w:rFonts w:ascii="Arial" w:cs="Arial" w:eastAsia="Arial" w:hAnsi="Arial"/>
          <w:sz w:val="18"/>
          <w:szCs w:val="18"/>
          <w:color w:val="auto"/>
        </w:rPr>
        <w:t>” refer to Brandon M. Cruz, our Co-Founder and Chief Strategy Officer and Special Advisor to the Executive Team, and Clinton P. Jones, our Co-Founder and Chief Executive Officer.</w:t>
      </w:r>
    </w:p>
    <w:p>
      <w:pPr>
        <w:spacing w:after="0" w:line="80" w:lineRule="exact"/>
        <w:rPr>
          <w:rFonts w:ascii="Arial" w:cs="Arial" w:eastAsia="Arial" w:hAnsi="Arial"/>
          <w:sz w:val="18"/>
          <w:szCs w:val="18"/>
          <w:color w:val="auto"/>
        </w:rPr>
      </w:pPr>
    </w:p>
    <w:p>
      <w:pPr>
        <w:ind w:left="1140" w:right="2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“GoHealth Holdings, LLC Agreement” </w:t>
      </w:r>
      <w:r>
        <w:rPr>
          <w:rFonts w:ascii="Arial" w:cs="Arial" w:eastAsia="Arial" w:hAnsi="Arial"/>
          <w:sz w:val="18"/>
          <w:szCs w:val="18"/>
          <w:color w:val="auto"/>
        </w:rPr>
        <w:t>refers to GoHealth Holdings, LLC’s amended and restated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become effective substantially concurrently with or prior to the consummation of this offering.</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common units of GoHealth Holdings, LLC, including those that we purchase with a portion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this offering.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Norwest</w:t>
      </w:r>
      <w:r>
        <w:rPr>
          <w:rFonts w:ascii="Arial" w:cs="Arial" w:eastAsia="Arial" w:hAnsi="Arial"/>
          <w:sz w:val="18"/>
          <w:szCs w:val="18"/>
          <w:color w:val="auto"/>
        </w:rPr>
        <w:t>” refers to Norwest Equity Partners and certain funds affiliated with Norwest Equity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38" w:lineRule="exact"/>
        <w:rPr>
          <w:rFonts w:ascii="Arial" w:cs="Arial" w:eastAsia="Arial" w:hAnsi="Arial"/>
          <w:sz w:val="17"/>
          <w:szCs w:val="17"/>
          <w:color w:val="auto"/>
        </w:rPr>
      </w:pPr>
    </w:p>
    <w:p>
      <w:pPr>
        <w:ind w:left="1140" w:right="56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“Original Equity Owners” </w:t>
      </w:r>
      <w:r>
        <w:rPr>
          <w:rFonts w:ascii="Arial" w:cs="Arial" w:eastAsia="Arial" w:hAnsi="Arial"/>
          <w:sz w:val="18"/>
          <w:szCs w:val="18"/>
          <w:color w:val="auto"/>
        </w:rPr>
        <w:t>refer to the owners of LLC Interests in GoHealth Holdings, LLC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which include Centerbridge, Norwest, our Founders and certain executive officers, employees and other minority investors.</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 to the organizational transactions and this offering, and the application of the net proceeds therefrom.</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GoHealth, Inc. will be a holding company and the sole managing member of GoHealth Holdings, LLC, and upon consummation of the Transactions, its principal asset will consist of LLC Interests.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GoHealth Holdings, LLC is the accounting predecessor of GoHealth, Inc. for financial reporting purposes. GoHealth, Inc. will be the audited financial reporting entity following this offering. Accordingly, this prospectus contains the following historical financial statements:</w:t>
      </w:r>
    </w:p>
    <w:p>
      <w:pPr>
        <w:spacing w:after="0" w:line="58" w:lineRule="exact"/>
        <w:rPr>
          <w:sz w:val="20"/>
          <w:szCs w:val="20"/>
          <w:color w:val="auto"/>
        </w:rPr>
      </w:pPr>
    </w:p>
    <w:p>
      <w:pPr>
        <w:ind w:left="1140" w:right="10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Inc. </w:t>
      </w:r>
      <w:r>
        <w:rPr>
          <w:rFonts w:ascii="Arial" w:cs="Arial" w:eastAsia="Arial" w:hAnsi="Arial"/>
          <w:sz w:val="18"/>
          <w:szCs w:val="18"/>
          <w:color w:val="auto"/>
        </w:rPr>
        <w:t>Other than the inception balance sheet, dated as of March 27, 2020, the historical financial information of GoHealth,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included in this prospectus as it is a newly incorporated entity, has no business transactions or activities to date and had no assets or liabilities during the periods presented in this prospectus.</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Holdings, LLC. </w:t>
      </w:r>
      <w:r>
        <w:rPr>
          <w:rFonts w:ascii="Arial" w:cs="Arial" w:eastAsia="Arial" w:hAnsi="Arial"/>
          <w:sz w:val="18"/>
          <w:szCs w:val="18"/>
          <w:color w:val="auto"/>
        </w:rPr>
        <w:t>Because GoHealth, Inc. will have no interest in any operations other than those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 the historical consolidated financial information included in this prospectus is that of GoHealth Holdings, LLC and its subsidiaries.</w:t>
      </w:r>
    </w:p>
    <w:p>
      <w:pPr>
        <w:spacing w:after="0" w:line="186"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On September 13, 2019, Centerbridge, indirectly through a subsidiary of GoHealth Holdings, LLC (formerly known as Blizzard Parent, LLC), an entity formed in contemplation of the acquisition, acquired a 100% interest in Norvax. We refer to this transaction as the “Centerbridge Acquisition.” As a result of the Centerbridge Acquisition, this prospectus presents certain financial information for two periods, the Predecessor and Successor periods, which relate to the period preceding the Centerbridge Acquisition on September 13, 2019 and the period succeeding the Centerbridge Acquisition, respectively. References to the “Successor 2019 Period” refer to the period from September 13, 2019 through December 31, 2019, and references to the “Predecessor 2019 Period” refer to the period from January 1, 2019 through September 12, 2019. Financial information in the Predecessor 2019 Period principally relates to Norvax and its subsidiaries.</w:t>
      </w:r>
    </w:p>
    <w:p>
      <w:pPr>
        <w:spacing w:after="0" w:line="178"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Except as noted in this prospectus, the unaudited pro forma financial information of GoHealth, Inc. presented in this prospectus has been derived from the application of pro forma adjustments to the historical consolidated financial statements of GoHealth Holdings, LLC and its subsidiaries included elsewhere in this prospectus. These pro forma adjustments give effect to the Centerbridge Acquisition and the Transactions as described in “Our Organizational Structure,” including the consummation of this offering, as if all such transactions had occurred on January 1, 2019 in the case of the unaudited pro forma condensed consolidated statements of operations data, and as of March 31, 2020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2019” refer to the pro forma financial information presented in the “Unaudited Pro Forma Condensed Consolidated Financial Information” for the year ended December 31, 2019.</w:t>
      </w:r>
    </w:p>
    <w:p>
      <w:pPr>
        <w:spacing w:after="0" w:line="18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6"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Throughout this prospectus, we use a number of key terms and provide a number of key performance indicators used by management. These key performance indicators are discussed in more detail in the section entitled “Management’s Discussion and Analysis of Financial Condition and Results of Operations—Key Business and Operating Metrics by Segment.” We define these terms and key performance indicators as follows:</w:t>
      </w:r>
    </w:p>
    <w:p>
      <w:pPr>
        <w:spacing w:after="0" w:line="56" w:lineRule="exact"/>
        <w:rPr>
          <w:sz w:val="20"/>
          <w:szCs w:val="20"/>
          <w:color w:val="auto"/>
        </w:rPr>
      </w:pPr>
    </w:p>
    <w:p>
      <w:pPr>
        <w:ind w:left="1140" w:hanging="438"/>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38" w:lineRule="exact"/>
        <w:rPr>
          <w:rFonts w:ascii="Arial" w:cs="Arial" w:eastAsia="Arial" w:hAnsi="Arial"/>
          <w:sz w:val="17"/>
          <w:szCs w:val="17"/>
          <w:color w:val="auto"/>
        </w:rPr>
      </w:pPr>
    </w:p>
    <w:p>
      <w:pPr>
        <w:ind w:left="1140" w:right="54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represents EBITDA as further adjusted for share-based compensation, change in fair value of earnout liability, Centerbridge Acquisition costs and severance costs.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margin</w:t>
      </w:r>
      <w:r>
        <w:rPr>
          <w:rFonts w:ascii="Arial" w:cs="Arial" w:eastAsia="Arial" w:hAnsi="Arial"/>
          <w:sz w:val="18"/>
          <w:szCs w:val="18"/>
          <w:color w:val="auto"/>
        </w:rPr>
        <w:t>” refers to Adjusted EBITDA divided by net revenues.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Consumer interactions</w:t>
      </w:r>
      <w:r>
        <w:rPr>
          <w:rFonts w:ascii="Arial" w:cs="Arial" w:eastAsia="Arial" w:hAnsi="Arial"/>
          <w:sz w:val="18"/>
          <w:szCs w:val="18"/>
          <w:color w:val="auto"/>
        </w:rPr>
        <w:t>” refer to the number of times a consumer calls us or visits us online.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Consumer lead</w:t>
      </w:r>
      <w:r>
        <w:rPr>
          <w:rFonts w:ascii="Arial" w:cs="Arial" w:eastAsia="Arial" w:hAnsi="Arial"/>
          <w:sz w:val="16"/>
          <w:szCs w:val="16"/>
          <w:color w:val="auto"/>
        </w:rPr>
        <w:t>” refers to a consumer for which we have collected some personally identifiable information related to health insurance.</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50" w:lineRule="exact"/>
        <w:rPr>
          <w:rFonts w:ascii="Arial" w:cs="Arial" w:eastAsia="Arial" w:hAnsi="Arial"/>
          <w:sz w:val="16"/>
          <w:szCs w:val="16"/>
          <w:color w:val="auto"/>
        </w:rPr>
      </w:pPr>
    </w:p>
    <w:p>
      <w:pPr>
        <w:ind w:left="1140" w:right="32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Impressions</w:t>
      </w:r>
      <w:r>
        <w:rPr>
          <w:rFonts w:ascii="Arial" w:cs="Arial" w:eastAsia="Arial" w:hAnsi="Arial"/>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80" w:lineRule="exact"/>
        <w:rPr>
          <w:rFonts w:ascii="Arial" w:cs="Arial" w:eastAsia="Arial" w:hAnsi="Arial"/>
          <w:sz w:val="18"/>
          <w:szCs w:val="18"/>
          <w:color w:val="auto"/>
        </w:rPr>
      </w:pPr>
    </w:p>
    <w:p>
      <w:pPr>
        <w:ind w:left="1140" w:hanging="438"/>
        <w:spacing w:after="0" w:line="275"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80" w:lineRule="exact"/>
        <w:rPr>
          <w:rFonts w:ascii="Arial" w:cs="Arial" w:eastAsia="Arial" w:hAnsi="Arial"/>
          <w:sz w:val="17"/>
          <w:szCs w:val="17"/>
          <w:color w:val="auto"/>
        </w:rPr>
      </w:pPr>
    </w:p>
    <w:p>
      <w:pPr>
        <w:ind w:left="1140" w:right="60" w:hanging="438"/>
        <w:spacing w:after="0" w:line="270"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LTV/CAC</w:t>
      </w:r>
      <w:r>
        <w:rPr>
          <w:rFonts w:ascii="Arial" w:cs="Arial" w:eastAsia="Arial" w:hAnsi="Arial"/>
          <w:sz w:val="17"/>
          <w:szCs w:val="17"/>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84" w:lineRule="exact"/>
        <w:rPr>
          <w:rFonts w:ascii="Arial" w:cs="Arial" w:eastAsia="Arial" w:hAnsi="Arial"/>
          <w:sz w:val="17"/>
          <w:szCs w:val="17"/>
          <w:color w:val="auto"/>
        </w:rPr>
      </w:pPr>
    </w:p>
    <w:p>
      <w:pPr>
        <w:ind w:left="1140" w:right="20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prospect</w:t>
      </w:r>
      <w:r>
        <w:rPr>
          <w:rFonts w:ascii="Arial" w:cs="Arial" w:eastAsia="Arial" w:hAnsi="Arial"/>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Submitted Policies</w:t>
      </w:r>
      <w:r>
        <w:rPr>
          <w:rFonts w:ascii="Arial" w:cs="Arial" w:eastAsia="Arial" w:hAnsi="Arial"/>
          <w:sz w:val="18"/>
          <w:szCs w:val="18"/>
          <w:color w:val="auto"/>
        </w:rPr>
        <w:t>” refer to completed applications that, with respect to each such application, the consumer has authorized us to submit to the carrier.</w:t>
      </w:r>
    </w:p>
    <w:p>
      <w:pPr>
        <w:spacing w:after="0" w:line="175"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We use non-GAAP financial measures, such as EBITDA, Adjusted EBITDA and Adjusted EBITDA margin, to supplement financial information presented in accordance with generally accepted accounting principles in the United States, or GAAP. We believe that excluding certain items from our GAAP results allows management to better understand our consolidated financial performance from period to period and better project our future</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6"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 See “Prospectus Summary—Summary Historical and Pro Forma Condensed Consolidated Financial and Other Data” and “Management’s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2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40"/>
          </w:cols>
          <w:pgMar w:left="320" w:top="456"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included elsewhere in this prospectus. This summary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78"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55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58553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March 31, 2020 compared to $7.1 million for the three months ended March 31, 2019 and by 386.8% to $169.9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178"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73"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4"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33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4331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73" w:lineRule="exact"/>
        <w:rPr>
          <w:sz w:val="20"/>
          <w:szCs w:val="20"/>
          <w:color w:val="auto"/>
        </w:rPr>
      </w:pPr>
    </w:p>
    <w:p>
      <w:pPr>
        <w:ind w:left="340" w:right="80"/>
        <w:spacing w:after="0" w:line="251" w:lineRule="auto"/>
        <w:rPr>
          <w:sz w:val="20"/>
          <w:szCs w:val="20"/>
          <w:color w:val="auto"/>
        </w:rPr>
      </w:pPr>
      <w:r>
        <w:rPr>
          <w:rFonts w:ascii="Arial" w:cs="Arial" w:eastAsia="Arial" w:hAnsi="Arial"/>
          <w:sz w:val="18"/>
          <w:szCs w:val="18"/>
          <w:color w:val="auto"/>
        </w:rPr>
        <w:t>The differentiated value of our data science-driven, fully-integrated platform has facilitated our rapid growth.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$169.9 million for the Pro Forma Fiscal Year 2019 from $34.9 million for the year ended December 31, 2018. Net loss was $937 thousand for the three months ended March 31, 2020 compared to net income of $5.0 million for the three months ended March 31, 2019 and net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00"/>
        <w:spacing w:after="0" w:line="285" w:lineRule="auto"/>
        <w:rPr>
          <w:sz w:val="20"/>
          <w:szCs w:val="20"/>
          <w:color w:val="auto"/>
        </w:rPr>
      </w:pPr>
      <w:r>
        <w:rPr>
          <w:rFonts w:ascii="Arial" w:cs="Arial" w:eastAsia="Arial" w:hAnsi="Arial"/>
          <w:sz w:val="16"/>
          <w:szCs w:val="16"/>
          <w:color w:val="auto"/>
        </w:rPr>
        <w:t>was $29.5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122,400 Medicare policies for the three months ended March 31, 2020, as compared to over 43,200 Medicare policies the three months ended March 31, 2019 and over 427,000 Medicare policies for the year ended December 31, 2019, as compared to over 118,000 Medicare policies for the year ended December 31, 2018. See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92" w:lineRule="exact"/>
        <w:rPr>
          <w:sz w:val="20"/>
          <w:szCs w:val="20"/>
          <w:color w:val="auto"/>
        </w:rPr>
      </w:pPr>
    </w:p>
    <w:p>
      <w:pPr>
        <w:jc w:val="both"/>
        <w:ind w:left="1280" w:right="1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280" w:right="5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end-to-end 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ind w:left="12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280" w:right="1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jc w:val="both"/>
        <w:ind w:left="1280" w:right="10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280" w:right="520" w:hanging="410"/>
        <w:spacing w:after="0" w:line="271"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340" w:right="560"/>
        <w:spacing w:after="0" w:line="271" w:lineRule="auto"/>
        <w:rPr>
          <w:sz w:val="20"/>
          <w:szCs w:val="20"/>
          <w:color w:val="auto"/>
        </w:rPr>
      </w:pPr>
      <w:r>
        <w:rPr>
          <w:rFonts w:ascii="Arial" w:cs="Arial" w:eastAsia="Arial" w:hAnsi="Arial"/>
          <w:sz w:val="18"/>
          <w:szCs w:val="18"/>
          <w:color w:val="auto"/>
        </w:rPr>
        <w:t>We believe the key components of our platform are difficult to replicate for field-based agents, carrier-employed agents, and other digital or telesales competitors, making us increasingly valuable to carriers and consumers. 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72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90"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280" w:right="300" w:hanging="410"/>
        <w:spacing w:after="0" w:line="307"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Internal</w:t>
      </w:r>
      <w:r>
        <w:rPr>
          <w:rFonts w:ascii="Arial" w:cs="Arial" w:eastAsia="Arial" w:hAnsi="Arial"/>
          <w:sz w:val="16"/>
          <w:szCs w:val="16"/>
          <w:color w:val="auto"/>
        </w:rPr>
        <w:t>. The internal segments primarily consist of sales of products and plans by GoHealth-employed agents offering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w:t>
      </w:r>
    </w:p>
    <w:p>
      <w:pPr>
        <w:spacing w:after="0" w:line="56" w:lineRule="exact"/>
        <w:rPr>
          <w:rFonts w:ascii="Arial" w:cs="Arial" w:eastAsia="Arial" w:hAnsi="Arial"/>
          <w:sz w:val="16"/>
          <w:szCs w:val="16"/>
          <w:color w:val="auto"/>
        </w:rPr>
      </w:pPr>
    </w:p>
    <w:p>
      <w:pPr>
        <w:ind w:left="1280" w:right="300" w:hanging="410"/>
        <w:spacing w:after="0" w:line="255"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External</w:t>
      </w:r>
      <w:r>
        <w:rPr>
          <w:rFonts w:ascii="Arial" w:cs="Arial" w:eastAsia="Arial" w:hAnsi="Arial"/>
          <w:sz w:val="18"/>
          <w:szCs w:val="18"/>
          <w:color w:val="auto"/>
        </w:rPr>
        <w:t>. The external segments represent sales of products and plans under GoHealth’s carrier contracts using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0"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4" w:lineRule="exact"/>
        <w:rPr>
          <w:sz w:val="20"/>
          <w:szCs w:val="20"/>
          <w:color w:val="auto"/>
        </w:rPr>
      </w:pPr>
    </w:p>
    <w:p>
      <w:pPr>
        <w:ind w:left="340" w:right="160"/>
        <w:spacing w:after="0" w:line="272" w:lineRule="auto"/>
        <w:rPr>
          <w:sz w:val="20"/>
          <w:szCs w:val="20"/>
          <w:color w:val="auto"/>
        </w:rPr>
      </w:pPr>
      <w:r>
        <w:rPr>
          <w:rFonts w:ascii="Arial" w:cs="Arial" w:eastAsia="Arial" w:hAnsi="Arial"/>
          <w:sz w:val="17"/>
          <w:szCs w:val="17"/>
          <w:color w:val="auto"/>
        </w:rPr>
        <w:t>The IFP and Other segments focus on sales of individual and family plans (which include fixed indemnity and major medical products),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76" w:lineRule="exact"/>
        <w:rPr>
          <w:sz w:val="20"/>
          <w:szCs w:val="20"/>
          <w:color w:val="auto"/>
        </w:rPr>
      </w:pPr>
    </w:p>
    <w:p>
      <w:pPr>
        <w:ind w:left="340" w:right="120"/>
        <w:spacing w:after="0" w:line="271" w:lineRule="auto"/>
        <w:rPr>
          <w:sz w:val="20"/>
          <w:szCs w:val="20"/>
          <w:color w:val="auto"/>
        </w:rPr>
      </w:pPr>
      <w:r>
        <w:rPr>
          <w:rFonts w:ascii="Arial" w:cs="Arial" w:eastAsia="Arial" w:hAnsi="Arial"/>
          <w:sz w:val="18"/>
          <w:szCs w:val="18"/>
          <w:color w:val="auto"/>
        </w:rPr>
        <w:t>For the three months ended March 31, 2020, the Medicare segments represented 88.1% of total revenues compared to 59.7% of total revenues for the three months ended March 31, 2019 and the IFP and Other segments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320" w:top="456"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00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47002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 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122,400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21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82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4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760" w:right="140" w:hanging="412"/>
        <w:spacing w:after="0" w:line="25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2020, an increase of over 124% from a rate of 7.7% in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340" w:right="60"/>
        <w:spacing w:after="0" w:line="283" w:lineRule="auto"/>
        <w:rPr>
          <w:sz w:val="20"/>
          <w:szCs w:val="20"/>
          <w:color w:val="auto"/>
        </w:rPr>
      </w:pPr>
      <w:r>
        <w:rPr>
          <w:rFonts w:ascii="Arial" w:cs="Arial" w:eastAsia="Arial" w:hAnsi="Arial"/>
          <w:sz w:val="16"/>
          <w:szCs w:val="16"/>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Best-in-Class Medicare LTV/CAC Ratio Driven by Proprietary Technology, Business Processes, Data and Highly Skilled Agents</w:t>
      </w:r>
    </w:p>
    <w:p>
      <w:pPr>
        <w:spacing w:after="0" w:line="125"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6"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8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340" w:right="20"/>
        <w:spacing w:after="0" w:line="283" w:lineRule="auto"/>
        <w:rPr>
          <w:sz w:val="20"/>
          <w:szCs w:val="20"/>
          <w:color w:val="auto"/>
        </w:rPr>
      </w:pPr>
      <w:r>
        <w:rPr>
          <w:rFonts w:ascii="Arial" w:cs="Arial" w:eastAsia="Arial" w:hAnsi="Arial"/>
          <w:sz w:val="16"/>
          <w:szCs w:val="16"/>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Continue to Increase Our Profitability By Using our Data to Improve our Technology, Business Processes, and Agent Performance</w:t>
      </w:r>
    </w:p>
    <w:p>
      <w:pPr>
        <w:spacing w:after="0" w:line="137" w:lineRule="exact"/>
        <w:rPr>
          <w:sz w:val="20"/>
          <w:szCs w:val="20"/>
          <w:color w:val="auto"/>
        </w:rPr>
      </w:pPr>
    </w:p>
    <w:p>
      <w:pPr>
        <w:ind w:left="340" w:right="2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280" w:right="4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280" w:right="12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LeadScore and Call Routing Technologies</w:t>
      </w:r>
      <w:r>
        <w:rPr>
          <w:rFonts w:ascii="Arial" w:cs="Arial" w:eastAsia="Arial" w:hAnsi="Arial"/>
          <w:sz w:val="18"/>
          <w:szCs w:val="18"/>
          <w:color w:val="auto"/>
        </w:rPr>
        <w:t>. We are improving our LeadScore and call-routing technologies,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business intelligence and analytics staffing to direct qualified prospects to agents or DIY channels that are most likely to result in such qualified prospects enrolling in the health insurance plan that best meets their needs while remaining economically attractive for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6"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20"/>
        <w:spacing w:after="0" w:line="293" w:lineRule="auto"/>
        <w:rPr>
          <w:sz w:val="20"/>
          <w:szCs w:val="20"/>
          <w:color w:val="auto"/>
        </w:rPr>
      </w:pPr>
      <w:r>
        <w:rPr>
          <w:rFonts w:ascii="Arial" w:cs="Arial" w:eastAsia="Arial" w:hAnsi="Arial"/>
          <w:sz w:val="16"/>
          <w:szCs w:val="16"/>
          <w:color w:val="auto"/>
        </w:rPr>
        <w:t>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67" w:lineRule="exact"/>
        <w:rPr>
          <w:sz w:val="20"/>
          <w:szCs w:val="20"/>
          <w:color w:val="auto"/>
        </w:rPr>
      </w:pPr>
    </w:p>
    <w:p>
      <w:pPr>
        <w:ind w:left="1280" w:right="20" w:hanging="410"/>
        <w:spacing w:after="0" w:line="269"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Recruiting and Training of Agents</w:t>
      </w:r>
      <w:r>
        <w:rPr>
          <w:rFonts w:ascii="Arial" w:cs="Arial" w:eastAsia="Arial" w:hAnsi="Arial"/>
          <w:sz w:val="17"/>
          <w:szCs w:val="17"/>
          <w:color w:val="auto"/>
        </w:rPr>
        <w:t>. We are improving the recruiting and training of our agents to match the profiles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highest performing agents.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Our Founders and management team built our Marketplace technology over a 19-year period of continuous investment and growth. We have developed relationships with over 80 carriers and offer a wide variety of 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8"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340" w:right="34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138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62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Centerbridge</w:t>
      </w:r>
    </w:p>
    <w:p>
      <w:pPr>
        <w:spacing w:after="0" w:line="118" w:lineRule="exact"/>
        <w:rPr>
          <w:sz w:val="20"/>
          <w:szCs w:val="20"/>
          <w:color w:val="auto"/>
        </w:rPr>
      </w:pPr>
    </w:p>
    <w:p>
      <w:pPr>
        <w:ind w:left="340" w:right="480"/>
        <w:spacing w:after="0" w:line="271" w:lineRule="auto"/>
        <w:rPr>
          <w:sz w:val="20"/>
          <w:szCs w:val="20"/>
          <w:color w:val="auto"/>
        </w:rPr>
      </w:pPr>
      <w:r>
        <w:rPr>
          <w:rFonts w:ascii="Arial" w:cs="Arial" w:eastAsia="Arial" w:hAnsi="Arial"/>
          <w:sz w:val="18"/>
          <w:szCs w:val="18"/>
          <w:color w:val="auto"/>
        </w:rPr>
        <w:t>On September 13, 2019, Centerbridge, indirectly through a subsidiary of GoHealth Holdings, LLC, acquired a 100% interest in Norvax, the predecessor company. Centerbridge is a global private investment firm with over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00"/>
          </w:cols>
          <w:pgMar w:left="320" w:top="456" w:right="7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6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6365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440"/>
        <w:spacing w:after="0" w:line="259" w:lineRule="auto"/>
        <w:rPr>
          <w:sz w:val="20"/>
          <w:szCs w:val="20"/>
          <w:color w:val="auto"/>
        </w:rPr>
      </w:pPr>
      <w:r>
        <w:rPr>
          <w:rFonts w:ascii="Arial" w:cs="Arial" w:eastAsia="Arial" w:hAnsi="Arial"/>
          <w:sz w:val="18"/>
          <w:szCs w:val="18"/>
          <w:color w:val="auto"/>
        </w:rPr>
        <w:t>$25 billion in assets under management and offices in New York and London. The firm manages capital through varied investment funds and special purpose partnerships. For additional information regarding Centerbridge’s ownership in us before and after the Transactions, see “— Summary of the Transactions” and “Principal Stockholders.”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18"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pacing w:after="0" w:line="56" w:lineRule="exact"/>
        <w:rPr>
          <w:sz w:val="20"/>
          <w:szCs w:val="20"/>
          <w:color w:val="auto"/>
        </w:rPr>
      </w:pPr>
    </w:p>
    <w:p>
      <w:pPr>
        <w:ind w:left="1280" w:hanging="410"/>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comply with the numerous, complex and frequently changing laws regulating the marketing and sale of Medicare plans;</w:t>
      </w:r>
    </w:p>
    <w:p>
      <w:pPr>
        <w:spacing w:after="0" w:line="150" w:lineRule="exact"/>
        <w:rPr>
          <w:rFonts w:ascii="Arial" w:cs="Arial" w:eastAsia="Arial" w:hAnsi="Arial"/>
          <w:sz w:val="16"/>
          <w:szCs w:val="16"/>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technology system failures or capacity constraints interrupting our operations;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280" w:right="540" w:hanging="410"/>
        <w:spacing w:after="0" w:line="271"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significant influence Centerbridge will have over us after the Transactions, including control over decisions that require the approval of stockholders.</w:t>
      </w:r>
    </w:p>
    <w:p>
      <w:pPr>
        <w:spacing w:after="0" w:line="175"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matters set forth under the heading “Risk Factors.”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Transactions</w:t>
      </w:r>
    </w:p>
    <w:p>
      <w:pPr>
        <w:spacing w:after="0" w:line="118"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GoHealth, Inc., a Delaware corporation, was formed on March 27, 2020 and is the issuer of the Class A common stock offered by this prospectus. Prior to this offering, all of our business operations have been conducted through GoHealth Holdings, LLC and its direct and indirect subsidiaries. Prior to the Transactions, we expect there will initially be one holder of common stock of GoHealth, Inc. We will consummate the following organizational transactions in connection with this offering:</w:t>
      </w:r>
    </w:p>
    <w:p>
      <w:pPr>
        <w:spacing w:after="0" w:line="97" w:lineRule="exact"/>
        <w:rPr>
          <w:sz w:val="20"/>
          <w:szCs w:val="20"/>
          <w:color w:val="auto"/>
        </w:rPr>
      </w:pPr>
    </w:p>
    <w:p>
      <w:pPr>
        <w:ind w:left="1280" w:right="60" w:hanging="410"/>
        <w:spacing w:after="0" w:line="287"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w:t>
      </w:r>
    </w:p>
    <w:p>
      <w:pPr>
        <w:spacing w:after="0" w:line="1" w:lineRule="exact"/>
        <w:rPr>
          <w:sz w:val="20"/>
          <w:szCs w:val="20"/>
          <w:color w:val="auto"/>
        </w:rPr>
      </w:pPr>
    </w:p>
    <w:p>
      <w:pPr>
        <w:ind w:left="1280" w:right="280"/>
        <w:spacing w:after="0" w:line="279" w:lineRule="auto"/>
        <w:rPr>
          <w:sz w:val="20"/>
          <w:szCs w:val="20"/>
          <w:color w:val="auto"/>
        </w:rPr>
      </w:pPr>
      <w:r>
        <w:rPr>
          <w:rFonts w:ascii="Arial" w:cs="Arial" w:eastAsia="Arial" w:hAnsi="Arial"/>
          <w:sz w:val="16"/>
          <w:szCs w:val="16"/>
          <w:color w:val="auto"/>
        </w:rPr>
        <w:t>ownership interests in GoHealth Holdings, LLC (including profits interests awarded under the existing limited liability company agreement of GoHealth Holdings, LLC (and corresponding profits interests issued under the existing limited liability agreement of</w:t>
      </w:r>
    </w:p>
    <w:p>
      <w:pPr>
        <w:ind w:left="1280" w:right="120"/>
        <w:spacing w:after="0" w:line="274" w:lineRule="auto"/>
        <w:rPr>
          <w:sz w:val="20"/>
          <w:szCs w:val="20"/>
          <w:color w:val="auto"/>
        </w:rPr>
      </w:pPr>
      <w:r>
        <w:rPr>
          <w:rFonts w:ascii="Arial" w:cs="Arial" w:eastAsia="Arial" w:hAnsi="Arial"/>
          <w:sz w:val="17"/>
          <w:szCs w:val="17"/>
          <w:color w:val="auto"/>
        </w:rPr>
        <w:t>Blizzard Management 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6"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873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787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410"/>
        <w:spacing w:after="0" w:line="252"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 (2)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100"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acquire, by means of one or more mergers, the Blocker Company (the “Blocker Merger”) and will issue to the Blocker</w:t>
      </w:r>
    </w:p>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46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6200" w:type="dxa"/>
            <w:vAlign w:val="bottom"/>
          </w:tcPr>
          <w:p>
            <w:pPr>
              <w:ind w:left="40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1980" w:type="dxa"/>
            <w:vAlign w:val="bottom"/>
          </w:tcPr>
          <w:p>
            <w:pPr>
              <w:ind w:left="460"/>
              <w:spacing w:after="0"/>
              <w:rPr>
                <w:sz w:val="20"/>
                <w:szCs w:val="20"/>
                <w:color w:val="auto"/>
              </w:rPr>
            </w:pPr>
            <w:r>
              <w:rPr>
                <w:rFonts w:ascii="Arial" w:cs="Arial" w:eastAsia="Arial" w:hAnsi="Arial"/>
                <w:sz w:val="18"/>
                <w:szCs w:val="18"/>
                <w:color w:val="auto"/>
                <w:w w:val="90"/>
              </w:rPr>
              <w:t>million (based on the</w:t>
            </w:r>
          </w:p>
        </w:tc>
      </w:tr>
      <w:tr>
        <w:trPr>
          <w:trHeight w:val="214"/>
        </w:trPr>
        <w:tc>
          <w:tcPr>
            <w:tcW w:w="240" w:type="dxa"/>
            <w:vAlign w:val="bottom"/>
          </w:tcPr>
          <w:p>
            <w:pPr>
              <w:spacing w:after="0"/>
              <w:rPr>
                <w:sz w:val="18"/>
                <w:szCs w:val="18"/>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midpoint of the estimated price range set forth on the cover page of this prospectus) in cash to Blocker Shareholders as partial</w:t>
            </w:r>
          </w:p>
        </w:tc>
      </w:tr>
      <w:tr>
        <w:trPr>
          <w:trHeight w:val="227"/>
        </w:trPr>
        <w:tc>
          <w:tcPr>
            <w:tcW w:w="240" w:type="dxa"/>
            <w:vAlign w:val="bottom"/>
          </w:tcPr>
          <w:p>
            <w:pPr>
              <w:spacing w:after="0"/>
              <w:rPr>
                <w:sz w:val="19"/>
                <w:szCs w:val="19"/>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consideration in the Blocker Merger;</w:t>
            </w:r>
          </w:p>
        </w:tc>
        <w:tc>
          <w:tcPr>
            <w:tcW w:w="198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8180" w:type="dxa"/>
            <w:vAlign w:val="bottom"/>
            <w:gridSpan w:val="2"/>
          </w:tcPr>
          <w:p>
            <w:pPr>
              <w:ind w:left="360"/>
              <w:spacing w:after="0"/>
              <w:rPr>
                <w:sz w:val="20"/>
                <w:szCs w:val="20"/>
                <w:color w:val="auto"/>
              </w:rPr>
            </w:pPr>
            <w:r>
              <w:rPr>
                <w:rFonts w:ascii="Arial" w:cs="Arial" w:eastAsia="Arial" w:hAnsi="Arial"/>
                <w:sz w:val="18"/>
                <w:szCs w:val="18"/>
                <w:color w:val="auto"/>
                <w:w w:val="91"/>
              </w:rPr>
              <w:t>shares of our Class B common stock to the Continuing Equity Owners, which is equal to the number of LLC</w:t>
            </w:r>
          </w:p>
        </w:tc>
      </w:tr>
      <w:tr>
        <w:trPr>
          <w:trHeight w:val="227"/>
        </w:trPr>
        <w:tc>
          <w:tcPr>
            <w:tcW w:w="240" w:type="dxa"/>
            <w:vAlign w:val="bottom"/>
          </w:tcPr>
          <w:p>
            <w:pPr>
              <w:spacing w:after="0"/>
              <w:rPr>
                <w:sz w:val="19"/>
                <w:szCs w:val="19"/>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Interests held by such Continuing Equity Owners, for nominal consideration;</w:t>
            </w:r>
          </w:p>
        </w:tc>
        <w:tc>
          <w:tcPr>
            <w:tcW w:w="198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6200" w:type="dxa"/>
            <w:vAlign w:val="bottom"/>
          </w:tcPr>
          <w:p>
            <w:pPr>
              <w:ind w:left="360"/>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1980" w:type="dxa"/>
            <w:vAlign w:val="bottom"/>
          </w:tcPr>
          <w:p>
            <w:pPr>
              <w:ind w:left="80"/>
              <w:spacing w:after="0"/>
              <w:rPr>
                <w:sz w:val="20"/>
                <w:szCs w:val="20"/>
                <w:color w:val="auto"/>
              </w:rPr>
            </w:pPr>
            <w:r>
              <w:rPr>
                <w:rFonts w:ascii="Arial" w:cs="Arial" w:eastAsia="Arial" w:hAnsi="Arial"/>
                <w:sz w:val="18"/>
                <w:szCs w:val="18"/>
                <w:color w:val="auto"/>
                <w:w w:val="93"/>
              </w:rPr>
              <w:t>shares if the underwriters</w:t>
            </w:r>
          </w:p>
        </w:tc>
      </w:tr>
      <w:tr>
        <w:trPr>
          <w:trHeight w:val="227"/>
        </w:trPr>
        <w:tc>
          <w:tcPr>
            <w:tcW w:w="240" w:type="dxa"/>
            <w:vAlign w:val="bottom"/>
          </w:tcPr>
          <w:p>
            <w:pPr>
              <w:spacing w:after="0"/>
              <w:rPr>
                <w:sz w:val="19"/>
                <w:szCs w:val="19"/>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1"/>
              </w:rPr>
              <w:t>exercise in full their option to purchase additional shares of Class A common stock) in exchange for net proceeds of approximately</w:t>
            </w:r>
          </w:p>
        </w:tc>
      </w:tr>
    </w:tbl>
    <w:p>
      <w:pPr>
        <w:ind w:left="1900" w:hanging="629"/>
        <w:spacing w:after="0"/>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6"/>
          <w:szCs w:val="16"/>
          <w:color w:val="auto"/>
        </w:rPr>
        <w:t>million if the underwriters exercise in full their option to purchase additional shares of</w:t>
      </w:r>
    </w:p>
    <w:p>
      <w:pPr>
        <w:sectPr>
          <w:pgSz w:w="11900" w:h="16838" w:orient="portrait"/>
          <w:cols w:equalWidth="0" w:num="1">
            <w:col w:w="10880"/>
          </w:cols>
          <w:pgMar w:left="320" w:top="456" w:right="699" w:bottom="1440" w:gutter="0" w:footer="0" w:header="0"/>
        </w:sectPr>
      </w:pPr>
    </w:p>
    <w:p>
      <w:pPr>
        <w:spacing w:after="0" w:line="7" w:lineRule="exact"/>
        <w:rPr>
          <w:sz w:val="20"/>
          <w:szCs w:val="20"/>
          <w:color w:val="auto"/>
        </w:rPr>
      </w:pPr>
    </w:p>
    <w:p>
      <w:pPr>
        <w:ind w:left="1280" w:right="220"/>
        <w:spacing w:after="0" w:line="252" w:lineRule="auto"/>
        <w:rPr>
          <w:sz w:val="20"/>
          <w:szCs w:val="20"/>
          <w:color w:val="auto"/>
        </w:rPr>
      </w:pPr>
      <w:r>
        <w:rPr>
          <w:rFonts w:ascii="Arial" w:cs="Arial" w:eastAsia="Arial" w:hAnsi="Arial"/>
          <w:sz w:val="18"/>
          <w:szCs w:val="18"/>
          <w:color w:val="auto"/>
        </w:rPr>
        <w:t>Class A common stock) based upon an assumed initial public offering price of $ per share (which is the midpoint of the estimated price range set forth on the cover page of this prospectus), less the underwriting discount and estimated offering expenses payable by us;</w:t>
      </w:r>
    </w:p>
    <w:p>
      <w:pPr>
        <w:sectPr>
          <w:pgSz w:w="11900" w:h="16838" w:orient="portrait"/>
          <w:cols w:equalWidth="0" w:num="1">
            <w:col w:w="10880"/>
          </w:cols>
          <w:pgMar w:left="320" w:top="456" w:right="699" w:bottom="1440" w:gutter="0" w:footer="0" w:header="0"/>
          <w:type w:val="continuous"/>
        </w:sectPr>
      </w:pP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use the net proceeds from this offering to (i) purchase newly-issued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 million in cash to the Blocker Shareholders as partial consideration in the Blocker Merger;</w:t>
      </w:r>
    </w:p>
    <w:p>
      <w:pPr>
        <w:spacing w:after="0" w:line="99" w:lineRule="exact"/>
        <w:rPr>
          <w:sz w:val="20"/>
          <w:szCs w:val="20"/>
          <w:color w:val="auto"/>
        </w:rPr>
      </w:pPr>
    </w:p>
    <w:p>
      <w:pPr>
        <w:sectPr>
          <w:pgSz w:w="11900" w:h="16838" w:orient="portrait"/>
          <w:cols w:equalWidth="0" w:num="2">
            <w:col w:w="940" w:space="340"/>
            <w:col w:w="9600"/>
          </w:cols>
          <w:pgMar w:left="320" w:top="456" w:right="699" w:bottom="1440" w:gutter="0" w:footer="0" w:header="0"/>
          <w:type w:val="continuous"/>
        </w:sectPr>
      </w:pPr>
    </w:p>
    <w:p>
      <w:pPr>
        <w:ind w:left="1280" w:hanging="410"/>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to (i) partially redeem</w:t>
      </w:r>
    </w:p>
    <w:p>
      <w:pPr>
        <w:spacing w:after="0" w:line="43" w:lineRule="exact"/>
        <w:rPr>
          <w:sz w:val="20"/>
          <w:szCs w:val="20"/>
          <w:color w:val="auto"/>
        </w:rPr>
      </w:pPr>
    </w:p>
    <w:p>
      <w:pPr>
        <w:ind w:left="1280" w:right="320"/>
        <w:spacing w:after="0" w:line="318" w:lineRule="auto"/>
        <w:rPr>
          <w:sz w:val="20"/>
          <w:szCs w:val="20"/>
          <w:color w:val="auto"/>
        </w:rPr>
      </w:pPr>
      <w:r>
        <w:rPr>
          <w:rFonts w:ascii="Arial" w:cs="Arial" w:eastAsia="Arial" w:hAnsi="Arial"/>
          <w:sz w:val="16"/>
          <w:szCs w:val="16"/>
          <w:color w:val="auto"/>
        </w:rPr>
        <w:t>certain of the LLC Interests held by the Continuing Equity Owners, (ii) repay $ million of borrowings under the Term Loan Facility and (iii) if any proceeds remain, for general corporate purposes, in each case, as described under “Use of Proceeds;” and</w:t>
      </w:r>
    </w:p>
    <w:p>
      <w:pPr>
        <w:spacing w:after="0" w:line="48" w:lineRule="exact"/>
        <w:rPr>
          <w:sz w:val="20"/>
          <w:szCs w:val="20"/>
          <w:color w:val="auto"/>
        </w:rPr>
      </w:pPr>
    </w:p>
    <w:p>
      <w:pPr>
        <w:ind w:left="1280" w:right="180" w:hanging="410"/>
        <w:spacing w:after="0" w:line="297" w:lineRule="auto"/>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GoHealth, Inc. will enter into (1) the Stockholders Agreement with Centerbridge and our Founders,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27" w:lineRule="exact"/>
        <w:rPr>
          <w:sz w:val="20"/>
          <w:szCs w:val="20"/>
          <w:color w:val="auto"/>
        </w:rPr>
      </w:pPr>
    </w:p>
    <w:p>
      <w:pPr>
        <w:ind w:left="1280" w:right="440" w:hanging="410"/>
        <w:spacing w:after="0" w:line="301"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58" w:lineRule="exact"/>
        <w:rPr>
          <w:rFonts w:ascii="Arial" w:cs="Arial" w:eastAsia="Arial" w:hAnsi="Arial"/>
          <w:sz w:val="17"/>
          <w:szCs w:val="17"/>
          <w:color w:val="auto"/>
        </w:rPr>
      </w:pPr>
    </w:p>
    <w:p>
      <w:pPr>
        <w:ind w:left="1280" w:right="18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456" w:right="6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84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60845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320" w:type="dxa"/>
            <w:vAlign w:val="bottom"/>
          </w:tcPr>
          <w:p>
            <w:pPr>
              <w:spacing w:after="0"/>
              <w:rPr>
                <w:sz w:val="18"/>
                <w:szCs w:val="18"/>
                <w:color w:val="auto"/>
              </w:rPr>
            </w:pPr>
          </w:p>
        </w:tc>
        <w:tc>
          <w:tcPr>
            <w:tcW w:w="5200" w:type="dxa"/>
            <w:vAlign w:val="bottom"/>
            <w:gridSpan w:val="4"/>
          </w:tcPr>
          <w:p>
            <w:pPr>
              <w:ind w:left="20"/>
              <w:spacing w:after="0"/>
              <w:rPr>
                <w:sz w:val="20"/>
                <w:szCs w:val="20"/>
                <w:color w:val="auto"/>
              </w:rPr>
            </w:pPr>
            <w:r>
              <w:rPr>
                <w:rFonts w:ascii="Arial" w:cs="Arial" w:eastAsia="Arial" w:hAnsi="Arial"/>
                <w:sz w:val="18"/>
                <w:szCs w:val="18"/>
                <w:color w:val="auto"/>
                <w:w w:val="93"/>
              </w:rPr>
              <w:t>LLC Interests of GoHealth Holdings, LLC, representing approximately</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240" w:type="dxa"/>
            <w:vAlign w:val="bottom"/>
          </w:tcPr>
          <w:p>
            <w:pPr>
              <w:spacing w:after="0"/>
              <w:rPr>
                <w:sz w:val="18"/>
                <w:szCs w:val="18"/>
                <w:color w:val="auto"/>
              </w:rPr>
            </w:pPr>
          </w:p>
        </w:tc>
        <w:tc>
          <w:tcPr>
            <w:tcW w:w="4220" w:type="dxa"/>
            <w:vAlign w:val="bottom"/>
            <w:gridSpan w:val="6"/>
          </w:tcPr>
          <w:p>
            <w:pPr>
              <w:ind w:left="180"/>
              <w:spacing w:after="0"/>
              <w:rPr>
                <w:sz w:val="20"/>
                <w:szCs w:val="20"/>
                <w:color w:val="auto"/>
              </w:rPr>
            </w:pPr>
            <w:r>
              <w:rPr>
                <w:rFonts w:ascii="Arial" w:cs="Arial" w:eastAsia="Arial" w:hAnsi="Arial"/>
                <w:sz w:val="18"/>
                <w:szCs w:val="18"/>
                <w:color w:val="auto"/>
                <w:w w:val="92"/>
              </w:rPr>
              <w:t>of the economic interest in GoHealth Holdings, LLC (or</w:t>
            </w:r>
          </w:p>
        </w:tc>
        <w:tc>
          <w:tcPr>
            <w:tcW w:w="5540" w:type="dxa"/>
            <w:vAlign w:val="bottom"/>
            <w:gridSpan w:val="5"/>
          </w:tcPr>
          <w:p>
            <w:pPr>
              <w:jc w:val="right"/>
              <w:ind w:right="231"/>
              <w:spacing w:after="0"/>
              <w:rPr>
                <w:sz w:val="20"/>
                <w:szCs w:val="20"/>
                <w:color w:val="auto"/>
              </w:rPr>
            </w:pPr>
            <w:r>
              <w:rPr>
                <w:rFonts w:ascii="Arial" w:cs="Arial" w:eastAsia="Arial" w:hAnsi="Arial"/>
                <w:sz w:val="18"/>
                <w:szCs w:val="18"/>
                <w:color w:val="auto"/>
              </w:rPr>
              <w:t>LLC Interests, representing approximately  % of the economic</w:t>
            </w:r>
          </w:p>
        </w:tc>
      </w:tr>
      <w:tr>
        <w:trPr>
          <w:trHeight w:val="214"/>
        </w:trPr>
        <w:tc>
          <w:tcPr>
            <w:tcW w:w="240" w:type="dxa"/>
            <w:vAlign w:val="bottom"/>
          </w:tcPr>
          <w:p>
            <w:pPr>
              <w:spacing w:after="0"/>
              <w:rPr>
                <w:sz w:val="18"/>
                <w:szCs w:val="18"/>
                <w:color w:val="auto"/>
              </w:rPr>
            </w:pPr>
          </w:p>
        </w:tc>
        <w:tc>
          <w:tcPr>
            <w:tcW w:w="9760" w:type="dxa"/>
            <w:vAlign w:val="bottom"/>
            <w:gridSpan w:val="11"/>
          </w:tcPr>
          <w:p>
            <w:pPr>
              <w:ind w:left="180"/>
              <w:spacing w:after="0"/>
              <w:rPr>
                <w:sz w:val="20"/>
                <w:szCs w:val="20"/>
                <w:color w:val="auto"/>
              </w:rPr>
            </w:pPr>
            <w:r>
              <w:rPr>
                <w:rFonts w:ascii="Arial" w:cs="Arial" w:eastAsia="Arial" w:hAnsi="Arial"/>
                <w:sz w:val="18"/>
                <w:szCs w:val="18"/>
                <w:color w:val="auto"/>
                <w:w w:val="91"/>
              </w:rPr>
              <w:t>interest in GoHealth Holdings, LLC if the underwriters exercise in full their option to purchase additional shares of Class A common</w:t>
            </w:r>
          </w:p>
        </w:tc>
      </w:tr>
      <w:tr>
        <w:trPr>
          <w:trHeight w:val="227"/>
        </w:trPr>
        <w:tc>
          <w:tcPr>
            <w:tcW w:w="24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gridSpan w:val="7"/>
          </w:tcPr>
          <w:p>
            <w:pPr>
              <w:ind w:left="180"/>
              <w:spacing w:after="0"/>
              <w:rPr>
                <w:sz w:val="20"/>
                <w:szCs w:val="20"/>
                <w:color w:val="auto"/>
              </w:rPr>
            </w:pPr>
            <w:r>
              <w:rPr>
                <w:rFonts w:ascii="Arial" w:cs="Arial" w:eastAsia="Arial" w:hAnsi="Arial"/>
                <w:sz w:val="18"/>
                <w:szCs w:val="18"/>
                <w:color w:val="auto"/>
                <w:w w:val="98"/>
              </w:rPr>
              <w:t>the Continuing Equity Owners (excluding Centerbridge) will own (1)</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LLC Interests of GoHealth Holdings, LLC,</w:t>
            </w:r>
          </w:p>
        </w:tc>
        <w:tc>
          <w:tcPr>
            <w:tcW w:w="340" w:type="dxa"/>
            <w:vAlign w:val="bottom"/>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3"/>
              </w:rPr>
              <w:t>representing approximately</w:t>
            </w:r>
          </w:p>
        </w:tc>
        <w:tc>
          <w:tcPr>
            <w:tcW w:w="4680" w:type="dxa"/>
            <w:vAlign w:val="bottom"/>
            <w:gridSpan w:val="5"/>
          </w:tcPr>
          <w:p>
            <w:pPr>
              <w:ind w:left="80"/>
              <w:spacing w:after="0"/>
              <w:rPr>
                <w:sz w:val="20"/>
                <w:szCs w:val="20"/>
                <w:color w:val="auto"/>
              </w:rPr>
            </w:pPr>
            <w:r>
              <w:rPr>
                <w:rFonts w:ascii="Arial" w:cs="Arial" w:eastAsia="Arial" w:hAnsi="Arial"/>
                <w:sz w:val="18"/>
                <w:szCs w:val="18"/>
                <w:color w:val="auto"/>
              </w:rPr>
              <w:t>% of the economic interest in GoHealth Holdings, LLC (or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LLC Interests, representing</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3"/>
              </w:rPr>
              <w:t>% of the economic interest in GoHealth Holdings, LLC if the underwriters exercise in full their option to purchase</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89"/>
              </w:rPr>
              <w:t>additional shares of Class A common stock) and (2)</w:t>
            </w:r>
          </w:p>
        </w:tc>
        <w:tc>
          <w:tcPr>
            <w:tcW w:w="320" w:type="dxa"/>
            <w:vAlign w:val="bottom"/>
          </w:tcPr>
          <w:p>
            <w:pPr>
              <w:spacing w:after="0"/>
              <w:rPr>
                <w:sz w:val="18"/>
                <w:szCs w:val="18"/>
                <w:color w:val="auto"/>
              </w:rPr>
            </w:pPr>
          </w:p>
        </w:tc>
        <w:tc>
          <w:tcPr>
            <w:tcW w:w="5200" w:type="dxa"/>
            <w:vAlign w:val="bottom"/>
            <w:gridSpan w:val="4"/>
          </w:tcPr>
          <w:p>
            <w:pPr>
              <w:ind w:left="360"/>
              <w:spacing w:after="0"/>
              <w:rPr>
                <w:sz w:val="20"/>
                <w:szCs w:val="20"/>
                <w:color w:val="auto"/>
              </w:rPr>
            </w:pPr>
            <w:r>
              <w:rPr>
                <w:rFonts w:ascii="Arial" w:cs="Arial" w:eastAsia="Arial" w:hAnsi="Arial"/>
                <w:sz w:val="18"/>
                <w:szCs w:val="18"/>
                <w:color w:val="auto"/>
                <w:w w:val="94"/>
              </w:rPr>
              <w:t>shares of Class B common stock of GoHealth, Inc., representing</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w w:val="91"/>
              </w:rPr>
              <w:t>% of the combined voting power of all of GoHealth, Inc.’s common stock (or</w:t>
            </w:r>
          </w:p>
        </w:tc>
        <w:tc>
          <w:tcPr>
            <w:tcW w:w="2860" w:type="dxa"/>
            <w:vAlign w:val="bottom"/>
            <w:gridSpan w:val="3"/>
          </w:tcPr>
          <w:p>
            <w:pPr>
              <w:jc w:val="right"/>
              <w:ind w:right="171"/>
              <w:spacing w:after="0"/>
              <w:rPr>
                <w:sz w:val="20"/>
                <w:szCs w:val="20"/>
                <w:color w:val="auto"/>
              </w:rPr>
            </w:pPr>
            <w:r>
              <w:rPr>
                <w:rFonts w:ascii="Arial" w:cs="Arial" w:eastAsia="Arial" w:hAnsi="Arial"/>
                <w:sz w:val="18"/>
                <w:szCs w:val="18"/>
                <w:color w:val="auto"/>
              </w:rPr>
              <w:t>shares of Class B common</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0"/>
              </w:rPr>
              <w:t>stock of GoHealth, Inc., representing approximately</w:t>
            </w:r>
          </w:p>
        </w:tc>
        <w:tc>
          <w:tcPr>
            <w:tcW w:w="5860" w:type="dxa"/>
            <w:vAlign w:val="bottom"/>
            <w:gridSpan w:val="6"/>
          </w:tcPr>
          <w:p>
            <w:pPr>
              <w:jc w:val="right"/>
              <w:ind w:right="11"/>
              <w:spacing w:after="0"/>
              <w:rPr>
                <w:sz w:val="20"/>
                <w:szCs w:val="20"/>
                <w:color w:val="auto"/>
              </w:rPr>
            </w:pPr>
            <w:r>
              <w:rPr>
                <w:rFonts w:ascii="Arial" w:cs="Arial" w:eastAsia="Arial" w:hAnsi="Arial"/>
                <w:sz w:val="18"/>
                <w:szCs w:val="18"/>
                <w:color w:val="auto"/>
                <w:w w:val="92"/>
              </w:rPr>
              <w:t>% if the underwriters exercise in full their option to purchase additional shares</w:t>
            </w:r>
          </w:p>
        </w:tc>
      </w:tr>
      <w:tr>
        <w:trPr>
          <w:trHeight w:val="227"/>
        </w:trPr>
        <w:tc>
          <w:tcPr>
            <w:tcW w:w="240" w:type="dxa"/>
            <w:vAlign w:val="bottom"/>
          </w:tcPr>
          <w:p>
            <w:pPr>
              <w:spacing w:after="0"/>
              <w:rPr>
                <w:sz w:val="19"/>
                <w:szCs w:val="19"/>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4"/>
              </w:rPr>
              <w:t>of Class A common stock);</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w w:val="92"/>
              </w:rPr>
              <w:t>Centerbridge (directly or indirectly, including through the Blocker Shareholders) will own (1)</w:t>
            </w:r>
          </w:p>
        </w:tc>
        <w:tc>
          <w:tcPr>
            <w:tcW w:w="2860" w:type="dxa"/>
            <w:vAlign w:val="bottom"/>
            <w:gridSpan w:val="3"/>
          </w:tcPr>
          <w:p>
            <w:pPr>
              <w:jc w:val="right"/>
              <w:ind w:right="151"/>
              <w:spacing w:after="0"/>
              <w:rPr>
                <w:sz w:val="20"/>
                <w:szCs w:val="20"/>
                <w:color w:val="auto"/>
              </w:rPr>
            </w:pPr>
            <w:r>
              <w:rPr>
                <w:rFonts w:ascii="Arial" w:cs="Arial" w:eastAsia="Arial" w:hAnsi="Arial"/>
                <w:sz w:val="18"/>
                <w:szCs w:val="18"/>
                <w:color w:val="auto"/>
              </w:rPr>
              <w:t>shares of Class A common</w:t>
            </w: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6"/>
              </w:rPr>
              <w:t>stock of GoHealth, Inc. (or</w:t>
            </w:r>
          </w:p>
        </w:tc>
        <w:tc>
          <w:tcPr>
            <w:tcW w:w="7540" w:type="dxa"/>
            <w:vAlign w:val="bottom"/>
            <w:gridSpan w:val="8"/>
          </w:tcPr>
          <w:p>
            <w:pPr>
              <w:jc w:val="right"/>
              <w:spacing w:after="0"/>
              <w:rPr>
                <w:sz w:val="20"/>
                <w:szCs w:val="20"/>
                <w:color w:val="auto"/>
              </w:rPr>
            </w:pPr>
            <w:r>
              <w:rPr>
                <w:rFonts w:ascii="Arial" w:cs="Arial" w:eastAsia="Arial" w:hAnsi="Arial"/>
                <w:sz w:val="18"/>
                <w:szCs w:val="18"/>
                <w:color w:val="auto"/>
                <w:w w:val="98"/>
              </w:rPr>
              <w:t>shares of Class A common stock of GoHealth, Inc. if the underwriters exercise in full their option</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1"/>
              </w:rPr>
              <w:t>to purchase additional shares of Class A common stock), representing approximately  % of the combined voting power of all of</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2"/>
              </w:rPr>
              <w:t>GoHealth, Inc.’s common stock and approximately</w:t>
            </w:r>
          </w:p>
        </w:tc>
        <w:tc>
          <w:tcPr>
            <w:tcW w:w="5520" w:type="dxa"/>
            <w:vAlign w:val="bottom"/>
            <w:gridSpan w:val="5"/>
          </w:tcPr>
          <w:p>
            <w:pPr>
              <w:ind w:left="80"/>
              <w:spacing w:after="0"/>
              <w:rPr>
                <w:sz w:val="20"/>
                <w:szCs w:val="20"/>
                <w:color w:val="auto"/>
              </w:rPr>
            </w:pPr>
            <w:r>
              <w:rPr>
                <w:rFonts w:ascii="Arial" w:cs="Arial" w:eastAsia="Arial" w:hAnsi="Arial"/>
                <w:sz w:val="18"/>
                <w:szCs w:val="18"/>
                <w:color w:val="auto"/>
                <w:w w:val="94"/>
              </w:rPr>
              <w:t>% of the economic interest in GoHealth, Inc. (or approximately  % of the</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2"/>
              </w:rPr>
              <w:t>combined voting power and approximately</w:t>
            </w:r>
          </w:p>
        </w:tc>
        <w:tc>
          <w:tcPr>
            <w:tcW w:w="6440" w:type="dxa"/>
            <w:vAlign w:val="bottom"/>
            <w:gridSpan w:val="7"/>
          </w:tcPr>
          <w:p>
            <w:pPr>
              <w:jc w:val="right"/>
              <w:ind w:right="151"/>
              <w:spacing w:after="0"/>
              <w:rPr>
                <w:sz w:val="20"/>
                <w:szCs w:val="20"/>
                <w:color w:val="auto"/>
              </w:rPr>
            </w:pPr>
            <w:r>
              <w:rPr>
                <w:rFonts w:ascii="Arial" w:cs="Arial" w:eastAsia="Arial" w:hAnsi="Arial"/>
                <w:sz w:val="18"/>
                <w:szCs w:val="18"/>
                <w:color w:val="auto"/>
                <w:w w:val="91"/>
              </w:rPr>
              <w:t>% of the economic interest if the underwriters exercise in full their option to purchase</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4"/>
              </w:rPr>
              <w:t>additional shares of Class A common stock), (2) directly and indirectly through GoHealth, Inc.’s ownership of LLC Interests,</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3"/>
              </w:rPr>
              <w:t>% of the economic interest in GoHealth Holdings, LLC (or approximately  % of the economic interest in GoHealth</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5"/>
              </w:rPr>
              <w:t>Holdings, LLC if the underwriters exercise in full their option to purchase additional shares of Class A common stock) and</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(3)</w:t>
            </w:r>
          </w:p>
        </w:tc>
        <w:tc>
          <w:tcPr>
            <w:tcW w:w="6020" w:type="dxa"/>
            <w:vAlign w:val="bottom"/>
            <w:gridSpan w:val="7"/>
          </w:tcPr>
          <w:p>
            <w:pPr>
              <w:ind w:left="220"/>
              <w:spacing w:after="0"/>
              <w:rPr>
                <w:sz w:val="20"/>
                <w:szCs w:val="20"/>
                <w:color w:val="auto"/>
              </w:rPr>
            </w:pPr>
            <w:r>
              <w:rPr>
                <w:rFonts w:ascii="Arial" w:cs="Arial" w:eastAsia="Arial" w:hAnsi="Arial"/>
                <w:sz w:val="18"/>
                <w:szCs w:val="18"/>
                <w:color w:val="auto"/>
                <w:w w:val="91"/>
              </w:rPr>
              <w:t>shares of Class B common stock of GoHealth, Inc., representing approximately</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w w:val="92"/>
              </w:rPr>
              <w:t>% of the combined voting power of all</w:t>
            </w: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of GoHealth, Inc.’s common stock (or</w:t>
            </w:r>
          </w:p>
        </w:tc>
        <w:tc>
          <w:tcPr>
            <w:tcW w:w="6100" w:type="dxa"/>
            <w:vAlign w:val="bottom"/>
            <w:gridSpan w:val="6"/>
          </w:tcPr>
          <w:p>
            <w:pPr>
              <w:ind w:left="280"/>
              <w:spacing w:after="0"/>
              <w:rPr>
                <w:sz w:val="20"/>
                <w:szCs w:val="20"/>
                <w:color w:val="auto"/>
              </w:rPr>
            </w:pPr>
            <w:r>
              <w:rPr>
                <w:rFonts w:ascii="Arial" w:cs="Arial" w:eastAsia="Arial" w:hAnsi="Arial"/>
                <w:sz w:val="18"/>
                <w:szCs w:val="18"/>
                <w:color w:val="auto"/>
                <w:w w:val="92"/>
              </w:rPr>
              <w:t>shares of Class B common stock of GoHealth, Inc., representing approximately</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 if</w:t>
            </w:r>
          </w:p>
        </w:tc>
      </w:tr>
      <w:tr>
        <w:trPr>
          <w:trHeight w:val="227"/>
        </w:trPr>
        <w:tc>
          <w:tcPr>
            <w:tcW w:w="240" w:type="dxa"/>
            <w:vAlign w:val="bottom"/>
          </w:tcPr>
          <w:p>
            <w:pPr>
              <w:spacing w:after="0"/>
              <w:rPr>
                <w:sz w:val="19"/>
                <w:szCs w:val="19"/>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8"/>
              </w:rPr>
              <w:t>the underwriters exercise in full their option to purchase additional shares of Class A common stock); and</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4"/>
              </w:rPr>
              <w:t>the purchasers in this offering will own (1)</w:t>
            </w:r>
          </w:p>
        </w:tc>
        <w:tc>
          <w:tcPr>
            <w:tcW w:w="580" w:type="dxa"/>
            <w:vAlign w:val="bottom"/>
          </w:tcPr>
          <w:p>
            <w:pPr>
              <w:spacing w:after="0"/>
              <w:rPr>
                <w:sz w:val="24"/>
                <w:szCs w:val="24"/>
                <w:color w:val="auto"/>
              </w:rPr>
            </w:pPr>
          </w:p>
        </w:tc>
        <w:tc>
          <w:tcPr>
            <w:tcW w:w="4500" w:type="dxa"/>
            <w:vAlign w:val="bottom"/>
            <w:gridSpan w:val="4"/>
          </w:tcPr>
          <w:p>
            <w:pPr>
              <w:ind w:left="40"/>
              <w:spacing w:after="0"/>
              <w:rPr>
                <w:sz w:val="20"/>
                <w:szCs w:val="20"/>
                <w:color w:val="auto"/>
              </w:rPr>
            </w:pPr>
            <w:r>
              <w:rPr>
                <w:rFonts w:ascii="Arial" w:cs="Arial" w:eastAsia="Arial" w:hAnsi="Arial"/>
                <w:sz w:val="18"/>
                <w:szCs w:val="18"/>
                <w:color w:val="auto"/>
              </w:rPr>
              <w:t>shares of Class A common stock of GoHealth, Inc. (or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3"/>
              </w:rPr>
              <w:t>shares of Class A</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0"/>
              </w:rPr>
              <w:t>common stock of GoHealth, Inc. if the underwriters exercise in full their option to purchase additional shares of Class A common</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1"/>
              </w:rPr>
              <w:t>stock), representing approximately  % of the combined voting power of all of GoHealth, Inc.’s common stock and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140" w:type="dxa"/>
            <w:vAlign w:val="bottom"/>
            <w:gridSpan w:val="8"/>
          </w:tcPr>
          <w:p>
            <w:pPr>
              <w:ind w:left="100"/>
              <w:spacing w:after="0"/>
              <w:rPr>
                <w:sz w:val="20"/>
                <w:szCs w:val="20"/>
                <w:color w:val="auto"/>
              </w:rPr>
            </w:pPr>
            <w:r>
              <w:rPr>
                <w:rFonts w:ascii="Arial" w:cs="Arial" w:eastAsia="Arial" w:hAnsi="Arial"/>
                <w:sz w:val="18"/>
                <w:szCs w:val="18"/>
                <w:color w:val="auto"/>
              </w:rPr>
              <w:t>% of the economic interest in GoHealth, Inc. (or approximately  % of the combined voting power and</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2"/>
              </w:rPr>
              <w:t>% of the economic interest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and (2) through GoHealth, Inc.’s ownership of LLC Interests, indirectly will hold approximately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89"/>
              </w:rPr>
              <w:t>% of the economic</w:t>
            </w:r>
          </w:p>
        </w:tc>
      </w:tr>
      <w:tr>
        <w:trPr>
          <w:trHeight w:val="214"/>
        </w:trPr>
        <w:tc>
          <w:tcPr>
            <w:tcW w:w="240" w:type="dxa"/>
            <w:vAlign w:val="bottom"/>
          </w:tcPr>
          <w:p>
            <w:pPr>
              <w:spacing w:after="0"/>
              <w:rPr>
                <w:sz w:val="18"/>
                <w:szCs w:val="18"/>
                <w:color w:val="auto"/>
              </w:rPr>
            </w:pPr>
          </w:p>
        </w:tc>
        <w:tc>
          <w:tcPr>
            <w:tcW w:w="4220" w:type="dxa"/>
            <w:vAlign w:val="bottom"/>
            <w:gridSpan w:val="6"/>
          </w:tcPr>
          <w:p>
            <w:pPr>
              <w:ind w:left="180"/>
              <w:spacing w:after="0"/>
              <w:rPr>
                <w:sz w:val="20"/>
                <w:szCs w:val="20"/>
                <w:color w:val="auto"/>
              </w:rPr>
            </w:pPr>
            <w:r>
              <w:rPr>
                <w:rFonts w:ascii="Arial" w:cs="Arial" w:eastAsia="Arial" w:hAnsi="Arial"/>
                <w:sz w:val="18"/>
                <w:szCs w:val="18"/>
                <w:color w:val="auto"/>
                <w:w w:val="95"/>
              </w:rPr>
              <w:t>interest in GoHealth Holdings, LLC (or approximately</w:t>
            </w:r>
          </w:p>
        </w:tc>
        <w:tc>
          <w:tcPr>
            <w:tcW w:w="5540" w:type="dxa"/>
            <w:vAlign w:val="bottom"/>
            <w:gridSpan w:val="5"/>
          </w:tcPr>
          <w:p>
            <w:pPr>
              <w:ind w:left="20"/>
              <w:spacing w:after="0"/>
              <w:rPr>
                <w:sz w:val="20"/>
                <w:szCs w:val="20"/>
                <w:color w:val="auto"/>
              </w:rPr>
            </w:pPr>
            <w:r>
              <w:rPr>
                <w:rFonts w:ascii="Arial" w:cs="Arial" w:eastAsia="Arial" w:hAnsi="Arial"/>
                <w:sz w:val="18"/>
                <w:szCs w:val="18"/>
                <w:color w:val="auto"/>
                <w:w w:val="95"/>
              </w:rPr>
              <w:t>% of the economic interest in GoHealth Holdings, LLC if the underwriters</w:t>
            </w:r>
          </w:p>
        </w:tc>
      </w:tr>
      <w:tr>
        <w:trPr>
          <w:trHeight w:val="227"/>
        </w:trPr>
        <w:tc>
          <w:tcPr>
            <w:tcW w:w="240" w:type="dxa"/>
            <w:vAlign w:val="bottom"/>
          </w:tcPr>
          <w:p>
            <w:pPr>
              <w:spacing w:after="0"/>
              <w:rPr>
                <w:sz w:val="19"/>
                <w:szCs w:val="19"/>
                <w:color w:val="auto"/>
              </w:rPr>
            </w:pP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rPr>
              <w:t>exercise in full their option to purchase additional shares of Class A common stock).</w:t>
            </w: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1" w:lineRule="exact"/>
        <w:rPr>
          <w:sz w:val="20"/>
          <w:szCs w:val="20"/>
          <w:color w:val="auto"/>
        </w:rPr>
      </w:pPr>
    </w:p>
    <w:p>
      <w:pPr>
        <w:ind w:left="340" w:right="6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will vary depending 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6"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711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1711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 For more information regarding the impact of the initial offering price on the share information included throughout this prospectus, see “—The Offering.”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Transactions and our structure, see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6"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64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67640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Structure</w:t>
      </w:r>
    </w:p>
    <w:p>
      <w:pPr>
        <w:spacing w:after="0" w:line="11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tabs>
          <w:tab w:leader="none" w:pos="740" w:val="left"/>
          <w:tab w:leader="none" w:pos="444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221"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 xml:space="preserve">GoHealth, Inc., the issuer of the Class A common stock in this offering, was incorporated as a Delaware corporation on March 27, 2020. Our corporate headquarters are located at 214 West Huron Street, Chicago, Illinois 60654. Our telephone number is (312) 386-8200. Our principal website address is </w:t>
      </w:r>
      <w:r>
        <w:rPr>
          <w:rFonts w:ascii="Arial" w:cs="Arial" w:eastAsia="Arial" w:hAnsi="Arial"/>
          <w:sz w:val="18"/>
          <w:szCs w:val="18"/>
          <w:i w:val="1"/>
          <w:iCs w:val="1"/>
          <w:color w:val="auto"/>
        </w:rPr>
        <w:t>www.gohealth.com</w:t>
      </w:r>
      <w:r>
        <w:rPr>
          <w:rFonts w:ascii="Arial" w:cs="Arial" w:eastAsia="Arial" w:hAnsi="Arial"/>
          <w:sz w:val="18"/>
          <w:szCs w:val="18"/>
          <w:color w:val="auto"/>
        </w:rPr>
        <w:t>. The information on any of our websites is deemed not to be incorporated in this prospectus or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80"/>
          </w:cols>
          <w:pgMar w:left="320" w:top="456" w:right="7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42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47428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20"/>
        <w:spacing w:after="0" w:line="259" w:lineRule="auto"/>
        <w:rPr>
          <w:sz w:val="20"/>
          <w:szCs w:val="20"/>
          <w:color w:val="auto"/>
        </w:rPr>
      </w:pPr>
      <w:r>
        <w:rPr>
          <w:rFonts w:ascii="Arial" w:cs="Arial" w:eastAsia="Arial" w:hAnsi="Arial"/>
          <w:sz w:val="18"/>
          <w:szCs w:val="18"/>
          <w:color w:val="auto"/>
        </w:rPr>
        <w:t>After giving effect to the Transactions, including this offering, GoHealth, Inc. will be a holding company whose principal asset will consist of % of the outstanding LLC Interests of GoHealth Holdings, LLC (or % if the underwriters exercise in full their option to purchase additional shares of our Class A common stock).</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2" w:lineRule="exact"/>
        <w:rPr>
          <w:sz w:val="20"/>
          <w:szCs w:val="20"/>
          <w:color w:val="auto"/>
        </w:rPr>
      </w:pPr>
    </w:p>
    <w:p>
      <w:pPr>
        <w:ind w:left="1280" w:right="580" w:hanging="410"/>
        <w:spacing w:after="0" w:line="301"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Arial" w:cs="Arial" w:eastAsia="Arial" w:hAnsi="Arial"/>
          <w:sz w:val="17"/>
          <w:szCs w:val="17"/>
          <w:color w:val="auto"/>
        </w:rPr>
      </w:pPr>
    </w:p>
    <w:p>
      <w:pPr>
        <w:ind w:left="1280" w:right="34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80" w:lineRule="exact"/>
        <w:rPr>
          <w:rFonts w:ascii="Arial" w:cs="Arial" w:eastAsia="Arial" w:hAnsi="Arial"/>
          <w:sz w:val="18"/>
          <w:szCs w:val="18"/>
          <w:color w:val="auto"/>
        </w:rPr>
      </w:pPr>
    </w:p>
    <w:p>
      <w:pPr>
        <w:ind w:left="1280" w:right="24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80" w:lineRule="exact"/>
        <w:rPr>
          <w:rFonts w:ascii="Arial" w:cs="Arial" w:eastAsia="Arial" w:hAnsi="Arial"/>
          <w:sz w:val="18"/>
          <w:szCs w:val="18"/>
          <w:color w:val="auto"/>
        </w:rPr>
      </w:pPr>
    </w:p>
    <w:p>
      <w:pPr>
        <w:ind w:left="1280" w:right="90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80" w:lineRule="exact"/>
        <w:rPr>
          <w:rFonts w:ascii="Arial" w:cs="Arial" w:eastAsia="Arial" w:hAnsi="Arial"/>
          <w:sz w:val="18"/>
          <w:szCs w:val="18"/>
          <w:color w:val="auto"/>
        </w:rPr>
      </w:pPr>
    </w:p>
    <w:p>
      <w:pPr>
        <w:ind w:left="1280" w:right="420" w:hanging="410"/>
        <w:spacing w:after="0" w:line="335" w:lineRule="auto"/>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28"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including in this prospectus.</w:t>
      </w:r>
    </w:p>
    <w:p>
      <w:pPr>
        <w:spacing w:after="0" w:line="164" w:lineRule="exact"/>
        <w:rPr>
          <w:sz w:val="20"/>
          <w:szCs w:val="20"/>
          <w:color w:val="auto"/>
        </w:rPr>
      </w:pPr>
    </w:p>
    <w:p>
      <w:pPr>
        <w:jc w:val="both"/>
        <w:ind w:left="340" w:right="180"/>
        <w:spacing w:after="0" w:line="307" w:lineRule="auto"/>
        <w:rPr>
          <w:sz w:val="20"/>
          <w:szCs w:val="20"/>
          <w:color w:val="auto"/>
        </w:rPr>
      </w:pPr>
      <w:r>
        <w:rPr>
          <w:rFonts w:ascii="Arial" w:cs="Arial" w:eastAsia="Arial" w:hAnsi="Arial"/>
          <w:sz w:val="16"/>
          <w:szCs w:val="16"/>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6"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GoHealth, Inc.</w:t>
      </w:r>
    </w:p>
    <w:p>
      <w:pPr>
        <w:spacing w:after="0" w:line="261" w:lineRule="exact"/>
        <w:rPr>
          <w:sz w:val="20"/>
          <w:szCs w:val="20"/>
          <w:color w:val="auto"/>
        </w:rPr>
      </w:pPr>
    </w:p>
    <w:p>
      <w:pPr>
        <w:ind w:left="340"/>
        <w:spacing w:after="0"/>
        <w:tabs>
          <w:tab w:leader="none" w:pos="5040" w:val="left"/>
          <w:tab w:leader="none" w:pos="650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purchase additional shares).</w:t>
      </w:r>
    </w:p>
    <w:p>
      <w:pPr>
        <w:spacing w:after="0" w:line="235" w:lineRule="exact"/>
        <w:rPr>
          <w:sz w:val="20"/>
          <w:szCs w:val="20"/>
          <w:color w:val="auto"/>
        </w:rPr>
      </w:pPr>
    </w:p>
    <w:p>
      <w:pPr>
        <w:ind w:left="340"/>
        <w:spacing w:after="0"/>
        <w:tabs>
          <w:tab w:leader="none" w:pos="5080" w:val="left"/>
        </w:tabs>
        <w:rPr>
          <w:sz w:val="20"/>
          <w:szCs w:val="20"/>
          <w:color w:val="auto"/>
        </w:rPr>
      </w:pPr>
      <w:r>
        <w:rPr>
          <w:rFonts w:ascii="Arial" w:cs="Arial" w:eastAsia="Arial" w:hAnsi="Arial"/>
          <w:sz w:val="18"/>
          <w:szCs w:val="18"/>
          <w:color w:val="auto"/>
        </w:rPr>
        <w:t>Underwriters’ option to purchase additional shares of</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Class A common stock from us</w:t>
      </w:r>
    </w:p>
    <w:p>
      <w:pPr>
        <w:spacing w:after="0" w:line="248" w:lineRule="exact"/>
        <w:rPr>
          <w:sz w:val="20"/>
          <w:szCs w:val="20"/>
          <w:color w:val="auto"/>
        </w:rPr>
      </w:pPr>
    </w:p>
    <w:p>
      <w:pPr>
        <w:ind w:left="340"/>
        <w:spacing w:after="0"/>
        <w:tabs>
          <w:tab w:leader="none" w:pos="5040" w:val="left"/>
          <w:tab w:leader="none" w:pos="7760" w:val="left"/>
        </w:tabs>
        <w:rPr>
          <w:sz w:val="20"/>
          <w:szCs w:val="20"/>
          <w:color w:val="auto"/>
        </w:rPr>
      </w:pPr>
      <w:r>
        <w:rPr>
          <w:rFonts w:ascii="Arial" w:cs="Arial" w:eastAsia="Arial" w:hAnsi="Arial"/>
          <w:sz w:val="18"/>
          <w:szCs w:val="18"/>
          <w:color w:val="auto"/>
        </w:rPr>
        <w:t>Shares of Class A common stock to be outstanding</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left="420"/>
        <w:spacing w:after="0"/>
        <w:tabs>
          <w:tab w:leader="none" w:pos="4320" w:val="left"/>
          <w:tab w:leader="none" w:pos="7600" w:val="left"/>
          <w:tab w:leader="none" w:pos="103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8"/>
          <w:szCs w:val="18"/>
          <w:color w:val="auto"/>
        </w:rPr>
        <w:t>GoHealth, Inc.’s common stock (or</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20"/>
        <w:spacing w:after="0" w:line="250" w:lineRule="auto"/>
        <w:rPr>
          <w:sz w:val="20"/>
          <w:szCs w:val="20"/>
          <w:color w:val="auto"/>
        </w:rPr>
      </w:pPr>
      <w:r>
        <w:rPr>
          <w:rFonts w:ascii="Arial" w:cs="Arial" w:eastAsia="Arial" w:hAnsi="Arial"/>
          <w:sz w:val="18"/>
          <w:szCs w:val="18"/>
          <w:color w:val="auto"/>
        </w:rPr>
        <w:t>the combined voting power of all of GoHealth, Inc.’s common stock if the underwriters exercise in full their option to purchase additional shares of Class A common stock), % of the economic interest in GoHealth, Inc. and % of the indirect economic interest in GoHealth Holdings, LLC.</w:t>
      </w:r>
    </w:p>
    <w:p>
      <w:pPr>
        <w:sectPr>
          <w:pgSz w:w="11900" w:h="16838" w:orient="portrait"/>
          <w:cols w:equalWidth="0" w:num="1">
            <w:col w:w="10860"/>
          </w:cols>
          <w:pgMar w:left="320" w:top="456" w:right="719" w:bottom="1440" w:gutter="0" w:footer="0" w:header="0"/>
        </w:sectPr>
      </w:pPr>
    </w:p>
    <w:p>
      <w:pPr>
        <w:spacing w:after="0" w:line="221"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spacing w:after="0"/>
        <w:tabs>
          <w:tab w:leader="none" w:pos="3420" w:val="left"/>
        </w:tabs>
        <w:rPr>
          <w:sz w:val="20"/>
          <w:szCs w:val="20"/>
          <w:color w:val="auto"/>
        </w:rPr>
      </w:pP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GoHealth, Inc.’s common stock (or shares, representing approximately % of the combined voting power of all of GoHealth, Inc.’s common stock if the underwriters exercise in full their option to purchase additional shares of Class A common stock) and no economic interest in GoHealth, Inc.</w:t>
      </w:r>
    </w:p>
    <w:p>
      <w:pPr>
        <w:spacing w:after="0" w:line="200" w:lineRule="exact"/>
        <w:rPr>
          <w:sz w:val="20"/>
          <w:szCs w:val="20"/>
          <w:color w:val="auto"/>
        </w:rPr>
      </w:pPr>
    </w:p>
    <w:p>
      <w:pPr>
        <w:sectPr>
          <w:pgSz w:w="11900" w:h="16838" w:orient="portrait"/>
          <w:cols w:equalWidth="0" w:num="2">
            <w:col w:w="3980" w:space="360"/>
            <w:col w:w="6520"/>
          </w:cols>
          <w:pgMar w:left="320" w:top="456" w:right="719" w:bottom="1440" w:gutter="0" w:footer="0" w:header="0"/>
          <w:type w:val="continuous"/>
        </w:sectPr>
      </w:pPr>
    </w:p>
    <w:p>
      <w:pPr>
        <w:spacing w:after="0" w:line="21" w:lineRule="exact"/>
        <w:rPr>
          <w:sz w:val="20"/>
          <w:szCs w:val="20"/>
          <w:color w:val="auto"/>
        </w:rPr>
      </w:pPr>
    </w:p>
    <w:p>
      <w:pPr>
        <w:ind w:left="340"/>
        <w:spacing w:after="0"/>
        <w:tabs>
          <w:tab w:leader="none" w:pos="5040" w:val="left"/>
          <w:tab w:leader="none" w:pos="8300" w:val="left"/>
        </w:tabs>
        <w:rPr>
          <w:sz w:val="20"/>
          <w:szCs w:val="20"/>
          <w:color w:val="auto"/>
        </w:rPr>
      </w:pPr>
      <w:r>
        <w:rPr>
          <w:rFonts w:ascii="Arial" w:cs="Arial" w:eastAsia="Arial" w:hAnsi="Arial"/>
          <w:sz w:val="18"/>
          <w:szCs w:val="18"/>
          <w:color w:val="auto"/>
        </w:rPr>
        <w:t>LLC Interests to be held by us immediately after this</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ind w:left="420"/>
        <w:spacing w:after="0"/>
        <w:tabs>
          <w:tab w:leader="none" w:pos="4320" w:val="left"/>
          <w:tab w:leader="none" w:pos="7160" w:val="left"/>
          <w:tab w:leader="none" w:pos="104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GoHealth Holdings, LLC (or</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00"/>
        <w:spacing w:after="0" w:line="256" w:lineRule="auto"/>
        <w:rPr>
          <w:sz w:val="20"/>
          <w:szCs w:val="20"/>
          <w:color w:val="auto"/>
        </w:rPr>
      </w:pPr>
      <w:r>
        <w:rPr>
          <w:rFonts w:ascii="Arial" w:cs="Arial" w:eastAsia="Arial" w:hAnsi="Arial"/>
          <w:sz w:val="18"/>
          <w:szCs w:val="18"/>
          <w:color w:val="auto"/>
        </w:rPr>
        <w:t>the economic interest in GoHealth Holdings, LLC if the underwriters exercise in full their option to purchase additional shares of Class A common stock).</w:t>
      </w:r>
    </w:p>
    <w:p>
      <w:pPr>
        <w:sectPr>
          <w:pgSz w:w="11900" w:h="16838" w:orient="portrait"/>
          <w:cols w:equalWidth="0" w:num="1">
            <w:col w:w="10860"/>
          </w:cols>
          <w:pgMar w:left="320" w:top="456" w:right="719" w:bottom="1440" w:gutter="0" w:footer="0" w:header="0"/>
          <w:type w:val="continuous"/>
        </w:sectPr>
      </w:pPr>
    </w:p>
    <w:p>
      <w:pPr>
        <w:spacing w:after="0" w:line="214" w:lineRule="exact"/>
        <w:rPr>
          <w:sz w:val="20"/>
          <w:szCs w:val="20"/>
          <w:color w:val="auto"/>
        </w:rPr>
      </w:pPr>
    </w:p>
    <w:p>
      <w:pPr>
        <w:ind w:left="420" w:hanging="77"/>
        <w:spacing w:after="0" w:line="259" w:lineRule="auto"/>
        <w:rPr>
          <w:sz w:val="20"/>
          <w:szCs w:val="20"/>
          <w:color w:val="auto"/>
        </w:rPr>
      </w:pPr>
      <w:r>
        <w:rPr>
          <w:rFonts w:ascii="Arial" w:cs="Arial" w:eastAsia="Arial" w:hAnsi="Arial"/>
          <w:sz w:val="18"/>
          <w:szCs w:val="18"/>
          <w:color w:val="auto"/>
        </w:rPr>
        <w:t>LLC Interests to be held directly by the Continuing Equity Owners (excluding Centerbridge) immediately after this offering</w:t>
      </w:r>
    </w:p>
    <w:p>
      <w:pPr>
        <w:spacing w:after="0" w:line="200" w:lineRule="exact"/>
        <w:rPr>
          <w:sz w:val="20"/>
          <w:szCs w:val="20"/>
          <w:color w:val="auto"/>
        </w:rPr>
      </w:pPr>
    </w:p>
    <w:p>
      <w:pPr>
        <w:spacing w:after="0" w:line="227" w:lineRule="exact"/>
        <w:rPr>
          <w:sz w:val="20"/>
          <w:szCs w:val="20"/>
          <w:color w:val="auto"/>
        </w:rPr>
      </w:pPr>
    </w:p>
    <w:p>
      <w:pPr>
        <w:ind w:left="420" w:right="60" w:hanging="77"/>
        <w:spacing w:after="0" w:line="271" w:lineRule="auto"/>
        <w:rPr>
          <w:sz w:val="20"/>
          <w:szCs w:val="20"/>
          <w:color w:val="auto"/>
        </w:rPr>
      </w:pPr>
      <w:r>
        <w:rPr>
          <w:rFonts w:ascii="Arial" w:cs="Arial" w:eastAsia="Arial" w:hAnsi="Arial"/>
          <w:sz w:val="18"/>
          <w:szCs w:val="18"/>
          <w:color w:val="auto"/>
        </w:rPr>
        <w:t>LLC Interests to be held by Centerbridge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right="420" w:hanging="77"/>
        <w:spacing w:after="0" w:line="271"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amended and restated certificate of incorporation and the GoHealth Holdings, LLC Agreement will require that we and GoHealth Holdings, LLC at all times maintain a one-to-one ratio between the number of shares of Class A common stock issued by us and the number of LLC Interests owned by us, except as otherwise determined by us.</w:t>
      </w:r>
    </w:p>
    <w:p>
      <w:pPr>
        <w:spacing w:after="0" w:line="200" w:lineRule="exact"/>
        <w:rPr>
          <w:sz w:val="20"/>
          <w:szCs w:val="20"/>
          <w:color w:val="auto"/>
        </w:rPr>
      </w:pPr>
    </w:p>
    <w:p>
      <w:pPr>
        <w:sectPr>
          <w:pgSz w:w="11900" w:h="16838" w:orient="portrait"/>
          <w:cols w:equalWidth="0" w:num="2">
            <w:col w:w="4280" w:space="60"/>
            <w:col w:w="6520"/>
          </w:cols>
          <w:pgMar w:left="320" w:top="456" w:right="719" w:bottom="1440" w:gutter="0" w:footer="0" w:header="0"/>
          <w:type w:val="continuous"/>
        </w:sect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860"/>
          </w:cols>
          <w:pgMar w:left="320" w:top="456" w:right="71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634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4200" cy="56343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Ratio of shares of Class B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Our amended and restated certificate of incorporation and the GoHealth Holdings, LLC Agreement will require that we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Immediately after the Transactions, the Continuing Equity Owners will together own 100% of the outstanding shares of our Class B common stock.</w:t>
      </w:r>
    </w:p>
    <w:p>
      <w:pPr>
        <w:spacing w:after="0" w:line="200"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100" w:type="dxa"/>
            <w:vAlign w:val="bottom"/>
          </w:tcPr>
          <w:p>
            <w:pPr>
              <w:ind w:left="180"/>
              <w:spacing w:after="0"/>
              <w:rPr>
                <w:sz w:val="20"/>
                <w:szCs w:val="20"/>
                <w:color w:val="auto"/>
              </w:rPr>
            </w:pPr>
            <w:r>
              <w:rPr>
                <w:rFonts w:ascii="Arial" w:cs="Arial" w:eastAsia="Arial" w:hAnsi="Arial"/>
                <w:sz w:val="18"/>
                <w:szCs w:val="18"/>
                <w:color w:val="auto"/>
                <w:w w:val="91"/>
              </w:rPr>
              <w:t>Permitted holders of shares of Class B common stock</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Only the Continuing Equity Owners and the permitted transferees of Class B common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described in this prospectus will be permitted to hold shares of our Class B</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common stock. Shares of Class B common stock are transferable for shares of Class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common stock only together with an equal number of LLC Interests. See “Certain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Relationships and Related Party Transactions—GoHealth Holdings, LLC Agreement—</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Agreement in Effect Upon Consummation of the Transactions.”</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6820" w:type="dxa"/>
            <w:vAlign w:val="bottom"/>
          </w:tcPr>
          <w:p>
            <w:pPr>
              <w:ind w:left="80"/>
              <w:spacing w:after="0"/>
              <w:rPr>
                <w:sz w:val="20"/>
                <w:szCs w:val="20"/>
                <w:color w:val="auto"/>
              </w:rPr>
            </w:pPr>
            <w:r>
              <w:rPr>
                <w:rFonts w:ascii="Arial" w:cs="Arial" w:eastAsia="Arial" w:hAnsi="Arial"/>
                <w:sz w:val="18"/>
                <w:szCs w:val="18"/>
                <w:color w:val="auto"/>
                <w:w w:val="95"/>
              </w:rPr>
              <w:t>Holders of shares of our Class A common stock and our Class B common stock will vote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together as a single class on all matters presented to stockholders for their vote or approval,</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except as otherwise required by law or our amended and restated certificate of</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incorporation. Each share of our Class A common stock entitles its holders to one vote per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share and each share of our Class B common stock entitles its holders to one vote per share</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4"/>
              </w:rPr>
              <w:t>on all matters presented to our stockholders generally. See “Description of Capital Stock.”</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The Continuing Equity Owners may, subject to certain exceptions, from time to time at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each of their options require GoHealth Holdings, LLC to redeem all or a portion of their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LLC Interests in exchange for, at our election (determined solely by our independent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directors (within the meaning of the Nasdaq rules) who are disinterested), newly-issued</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shares of our Class A common stock on a one-for-one basis or a cash payment equal to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2"/>
              </w:rPr>
              <w:t>volume weighted average market price of one share of our Class A common stock for each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LLC Interest so redeemed, in each case, in accordance with the terms of the GoHealth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Holdings, LLC Agreement; provided that, at our election (determined solely by our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independent directors (within the meaning of the Nasdaq rules) who are disinterested), we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may effect a direct exchange by GoHealth, Inc. of such Class A common stock or such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cash, as applicable, for such LLC Interests. The Continuing Equity Owners may, subject to</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2"/>
              </w:rPr>
              <w:t>certain exceptions, exercise such redemption right for as long as their LLC Interests remain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outstanding. See “Certain Relationships and Related Party Transactions—GoHealth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Holdings, LLC Agreement—Agreement in Effect Upon Consummation of the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Transactions.” Simultaneously with the payment of cash or shares of Class A common</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applicable, in connection with a redemption or exchange of LLC</w:t>
            </w:r>
          </w:p>
        </w:tc>
      </w:tr>
      <w:tr>
        <w:trPr>
          <w:trHeight w:val="239"/>
        </w:trPr>
        <w:tc>
          <w:tcPr>
            <w:tcW w:w="410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r>
      <w:tr>
        <w:trPr>
          <w:trHeight w:val="597"/>
        </w:trPr>
        <w:tc>
          <w:tcPr>
            <w:tcW w:w="4100" w:type="dxa"/>
            <w:vAlign w:val="bottom"/>
          </w:tcPr>
          <w:p>
            <w:pPr>
              <w:spacing w:after="0"/>
              <w:rPr>
                <w:sz w:val="24"/>
                <w:szCs w:val="24"/>
                <w:color w:val="auto"/>
              </w:rPr>
            </w:pPr>
          </w:p>
        </w:tc>
        <w:tc>
          <w:tcPr>
            <w:tcW w:w="6820" w:type="dxa"/>
            <w:vAlign w:val="bottom"/>
          </w:tcPr>
          <w:p>
            <w:pPr>
              <w:ind w:left="12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080"/>
          </w:cols>
          <w:pgMar w:left="320" w:top="456"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61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5761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200"/>
        <w:spacing w:after="0" w:line="253" w:lineRule="auto"/>
        <w:rPr>
          <w:sz w:val="20"/>
          <w:szCs w:val="20"/>
          <w:color w:val="auto"/>
        </w:rPr>
      </w:pPr>
      <w:r>
        <w:rPr>
          <w:rFonts w:ascii="Arial" w:cs="Arial" w:eastAsia="Arial" w:hAnsi="Arial"/>
          <w:sz w:val="18"/>
          <w:szCs w:val="18"/>
          <w:color w:val="auto"/>
        </w:rPr>
        <w:t>Interests pursuant to the terms of the GoHealth Holdings, LLC Agreement, a number of shares of our Class B common stock registered in the name of the redeeming or exchanging Continuing Equity Owner will automatically be transferred to the Company and will be cancelled for no consideration on a one-for-one basis with the number of LLC Interests so redeemed or exchanged.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7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760" w:type="dxa"/>
            <w:vAlign w:val="bottom"/>
            <w:gridSpan w:val="4"/>
          </w:tcPr>
          <w:p>
            <w:pPr>
              <w:ind w:left="1420"/>
              <w:spacing w:after="0"/>
              <w:rPr>
                <w:sz w:val="20"/>
                <w:szCs w:val="20"/>
                <w:color w:val="auto"/>
              </w:rPr>
            </w:pPr>
            <w:r>
              <w:rPr>
                <w:rFonts w:ascii="Arial" w:cs="Arial" w:eastAsia="Arial" w:hAnsi="Arial"/>
                <w:sz w:val="18"/>
                <w:szCs w:val="18"/>
                <w:color w:val="auto"/>
                <w:w w:val="96"/>
              </w:rPr>
              <w:t>We estimate, based upon an assumed initial public offering price of $</w:t>
            </w:r>
          </w:p>
        </w:tc>
        <w:tc>
          <w:tcPr>
            <w:tcW w:w="1400" w:type="dxa"/>
            <w:vAlign w:val="bottom"/>
          </w:tcPr>
          <w:p>
            <w:pPr>
              <w:ind w:left="180"/>
              <w:spacing w:after="0"/>
              <w:rPr>
                <w:sz w:val="20"/>
                <w:szCs w:val="20"/>
                <w:color w:val="auto"/>
              </w:rPr>
            </w:pPr>
            <w:r>
              <w:rPr>
                <w:rFonts w:ascii="Arial" w:cs="Arial" w:eastAsia="Arial" w:hAnsi="Arial"/>
                <w:sz w:val="18"/>
                <w:szCs w:val="18"/>
                <w:color w:val="auto"/>
              </w:rPr>
              <w:t>per share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9"/>
              </w:rPr>
              <w:t>(which is the midpoint of the estimated price range set forth on the cover page of this</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prospectus), that we will receive net proceeds from this offering of approximately</w:t>
            </w:r>
          </w:p>
        </w:tc>
      </w:tr>
      <w:tr>
        <w:trPr>
          <w:trHeight w:val="214"/>
        </w:trPr>
        <w:tc>
          <w:tcPr>
            <w:tcW w:w="2760" w:type="dxa"/>
            <w:vAlign w:val="bottom"/>
          </w:tcPr>
          <w:p>
            <w:pPr>
              <w:spacing w:after="0"/>
              <w:rPr>
                <w:sz w:val="18"/>
                <w:szCs w:val="18"/>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1"/>
              <w:spacing w:after="0"/>
              <w:rPr>
                <w:sz w:val="20"/>
                <w:szCs w:val="20"/>
                <w:color w:val="auto"/>
              </w:rPr>
            </w:pPr>
            <w:r>
              <w:rPr>
                <w:rFonts w:ascii="Arial" w:cs="Arial" w:eastAsia="Arial" w:hAnsi="Arial"/>
                <w:sz w:val="18"/>
                <w:szCs w:val="18"/>
                <w:color w:val="auto"/>
              </w:rPr>
              <w:t>million (or $</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million if the underwriters exercise in full their option to</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7"/>
              </w:rPr>
              <w:t>purchase additional shares of Class A common stock), after deducting the underwriting</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1"/>
              </w:rPr>
              <w:t>discount and estimated offering expenses payable by us. We intend to use the net proceeds</w:t>
            </w:r>
          </w:p>
        </w:tc>
      </w:tr>
      <w:tr>
        <w:trPr>
          <w:trHeight w:val="214"/>
        </w:trPr>
        <w:tc>
          <w:tcPr>
            <w:tcW w:w="2760" w:type="dxa"/>
            <w:vAlign w:val="bottom"/>
          </w:tcPr>
          <w:p>
            <w:pPr>
              <w:spacing w:after="0"/>
              <w:rPr>
                <w:sz w:val="18"/>
                <w:szCs w:val="18"/>
                <w:color w:val="auto"/>
              </w:rPr>
            </w:pPr>
          </w:p>
        </w:tc>
        <w:tc>
          <w:tcPr>
            <w:tcW w:w="4280" w:type="dxa"/>
            <w:vAlign w:val="bottom"/>
            <w:gridSpan w:val="3"/>
          </w:tcPr>
          <w:p>
            <w:pPr>
              <w:ind w:left="1420"/>
              <w:spacing w:after="0"/>
              <w:rPr>
                <w:sz w:val="20"/>
                <w:szCs w:val="20"/>
                <w:color w:val="auto"/>
              </w:rPr>
            </w:pPr>
            <w:r>
              <w:rPr>
                <w:rFonts w:ascii="Arial" w:cs="Arial" w:eastAsia="Arial" w:hAnsi="Arial"/>
                <w:sz w:val="18"/>
                <w:szCs w:val="18"/>
                <w:color w:val="auto"/>
              </w:rPr>
              <w:t>from this offering to (i) purchase</w:t>
            </w:r>
          </w:p>
        </w:tc>
        <w:tc>
          <w:tcPr>
            <w:tcW w:w="2480" w:type="dxa"/>
            <w:vAlign w:val="bottom"/>
          </w:tcPr>
          <w:p>
            <w:pPr>
              <w:ind w:left="60"/>
              <w:spacing w:after="0"/>
              <w:rPr>
                <w:sz w:val="20"/>
                <w:szCs w:val="20"/>
                <w:color w:val="auto"/>
              </w:rPr>
            </w:pPr>
            <w:r>
              <w:rPr>
                <w:rFonts w:ascii="Arial" w:cs="Arial" w:eastAsia="Arial" w:hAnsi="Arial"/>
                <w:sz w:val="18"/>
                <w:szCs w:val="18"/>
                <w:color w:val="auto"/>
                <w:w w:val="98"/>
              </w:rPr>
              <w:t>newly-issued LLC Interests (or</w:t>
            </w:r>
          </w:p>
        </w:tc>
        <w:tc>
          <w:tcPr>
            <w:tcW w:w="1400" w:type="dxa"/>
            <w:vAlign w:val="bottom"/>
          </w:tcPr>
          <w:p>
            <w:pPr>
              <w:ind w:left="380"/>
              <w:spacing w:after="0"/>
              <w:rPr>
                <w:sz w:val="20"/>
                <w:szCs w:val="20"/>
                <w:color w:val="auto"/>
              </w:rPr>
            </w:pPr>
            <w:r>
              <w:rPr>
                <w:rFonts w:ascii="Arial" w:cs="Arial" w:eastAsia="Arial" w:hAnsi="Arial"/>
                <w:sz w:val="18"/>
                <w:szCs w:val="18"/>
                <w:color w:val="auto"/>
              </w:rPr>
              <w:t>LLC</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7"/>
              </w:rPr>
              <w:t>Interests if the underwriters exercise in full their option to purchase additional shares of</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5"/>
              </w:rPr>
              <w:t>Class A common stock) directly from GoHealth Holdings, LLC at a price per unit equal to</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5"/>
              </w:rPr>
              <w:t>the initial public offering price per share of Class A common stock in this offering less the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underwriting discount and estimated offering expenses payable by us and (ii) pay $</w:t>
            </w:r>
          </w:p>
        </w:tc>
      </w:tr>
      <w:tr>
        <w:trPr>
          <w:trHeight w:val="214"/>
        </w:trPr>
        <w:tc>
          <w:tcPr>
            <w:tcW w:w="2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20" w:type="dxa"/>
            <w:vAlign w:val="bottom"/>
            <w:gridSpan w:val="4"/>
          </w:tcPr>
          <w:p>
            <w:pPr>
              <w:ind w:left="220"/>
              <w:spacing w:after="0"/>
              <w:rPr>
                <w:sz w:val="20"/>
                <w:szCs w:val="20"/>
                <w:color w:val="auto"/>
              </w:rPr>
            </w:pPr>
            <w:r>
              <w:rPr>
                <w:rFonts w:ascii="Arial" w:cs="Arial" w:eastAsia="Arial" w:hAnsi="Arial"/>
                <w:sz w:val="18"/>
                <w:szCs w:val="18"/>
                <w:color w:val="auto"/>
                <w:w w:val="95"/>
              </w:rPr>
              <w:t>million in cash to the Blocker Shareholders as partial consideration in the Blocker</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8"/>
              </w:rPr>
              <w:t>Merger. GoHealth Holdings, LLC intends to use the net proceeds from the sale of LLC</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6"/>
              </w:rPr>
              <w:t>Interests to GoHealth, Inc. to (i) partially redeem certain of the LLC Interests held by the</w:t>
            </w:r>
          </w:p>
        </w:tc>
      </w:tr>
      <w:tr>
        <w:trPr>
          <w:trHeight w:val="214"/>
        </w:trPr>
        <w:tc>
          <w:tcPr>
            <w:tcW w:w="2760" w:type="dxa"/>
            <w:vAlign w:val="bottom"/>
          </w:tcPr>
          <w:p>
            <w:pPr>
              <w:spacing w:after="0"/>
              <w:rPr>
                <w:sz w:val="18"/>
                <w:szCs w:val="18"/>
                <w:color w:val="auto"/>
              </w:rPr>
            </w:pPr>
          </w:p>
        </w:tc>
        <w:tc>
          <w:tcPr>
            <w:tcW w:w="4280" w:type="dxa"/>
            <w:vAlign w:val="bottom"/>
            <w:gridSpan w:val="3"/>
          </w:tcPr>
          <w:p>
            <w:pPr>
              <w:ind w:left="1420"/>
              <w:spacing w:after="0"/>
              <w:rPr>
                <w:sz w:val="20"/>
                <w:szCs w:val="20"/>
                <w:color w:val="auto"/>
              </w:rPr>
            </w:pPr>
            <w:r>
              <w:rPr>
                <w:rFonts w:ascii="Arial" w:cs="Arial" w:eastAsia="Arial" w:hAnsi="Arial"/>
                <w:sz w:val="18"/>
                <w:szCs w:val="18"/>
                <w:color w:val="auto"/>
                <w:w w:val="93"/>
              </w:rPr>
              <w:t>Continuing Equity Owners, (ii) repay $</w:t>
            </w:r>
          </w:p>
        </w:tc>
        <w:tc>
          <w:tcPr>
            <w:tcW w:w="3880" w:type="dxa"/>
            <w:vAlign w:val="bottom"/>
            <w:gridSpan w:val="2"/>
          </w:tcPr>
          <w:p>
            <w:pPr>
              <w:ind w:left="520"/>
              <w:spacing w:after="0"/>
              <w:rPr>
                <w:sz w:val="20"/>
                <w:szCs w:val="20"/>
                <w:color w:val="auto"/>
              </w:rPr>
            </w:pPr>
            <w:r>
              <w:rPr>
                <w:rFonts w:ascii="Arial" w:cs="Arial" w:eastAsia="Arial" w:hAnsi="Arial"/>
                <w:sz w:val="18"/>
                <w:szCs w:val="18"/>
                <w:color w:val="auto"/>
                <w:w w:val="99"/>
              </w:rPr>
              <w:t>million of borrowings under the Term Loan</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Facility and (iii) if any proceeds remain, for general corporate purposes. GoHealth</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Holdings, LLC will bear or reimburse GoHealth, Inc. for all of the expenses of this</w:t>
            </w:r>
          </w:p>
        </w:tc>
      </w:tr>
      <w:tr>
        <w:trPr>
          <w:trHeight w:val="227"/>
        </w:trPr>
        <w:tc>
          <w:tcPr>
            <w:tcW w:w="2760" w:type="dxa"/>
            <w:vAlign w:val="bottom"/>
          </w:tcPr>
          <w:p>
            <w:pPr>
              <w:spacing w:after="0"/>
              <w:rPr>
                <w:sz w:val="19"/>
                <w:szCs w:val="19"/>
                <w:color w:val="auto"/>
              </w:rPr>
            </w:pPr>
          </w:p>
        </w:tc>
        <w:tc>
          <w:tcPr>
            <w:tcW w:w="4280" w:type="dxa"/>
            <w:vAlign w:val="bottom"/>
            <w:gridSpan w:val="3"/>
          </w:tcPr>
          <w:p>
            <w:pPr>
              <w:ind w:left="1420"/>
              <w:spacing w:after="0"/>
              <w:rPr>
                <w:sz w:val="20"/>
                <w:szCs w:val="20"/>
                <w:color w:val="auto"/>
              </w:rPr>
            </w:pPr>
            <w:r>
              <w:rPr>
                <w:rFonts w:ascii="Arial" w:cs="Arial" w:eastAsia="Arial" w:hAnsi="Arial"/>
                <w:sz w:val="18"/>
                <w:szCs w:val="18"/>
                <w:color w:val="auto"/>
              </w:rPr>
              <w:t>offering. See “Use of Proceeds.”</w:t>
            </w:r>
          </w:p>
        </w:tc>
        <w:tc>
          <w:tcPr>
            <w:tcW w:w="2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2"/>
        </w:trPr>
        <w:tc>
          <w:tcPr>
            <w:tcW w:w="276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We currently intend to retain all available funds and any future earnings to fund the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3"/>
              </w:rPr>
              <w:t>development and growth of our business and to repay indebtedness, and therefore, we do</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3"/>
              </w:rPr>
              <w:t>not anticipate declaring or paying any cash dividends on our Class A common stock in the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5"/>
              </w:rPr>
              <w:t>foreseeable future. Holders of our Class B common stock are not entitled to participate in</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3"/>
              </w:rPr>
              <w:t>any dividends declared by our board of directors. Because we are a holding company, our</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3"/>
              </w:rPr>
              <w:t>ability to pay cash dividends on our Class A common stock depends on our receipt of cash</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7"/>
              </w:rPr>
              <w:t>distributions from GoHealth Holdings, LLC and, through GoHealth Holdings, LLC, cash</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7"/>
              </w:rPr>
              <w:t>distributions and dividends from our other direct and indirect subsidiaries. Our ability to</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9"/>
              </w:rPr>
              <w:t>pay any cash dividends on our Class A common stock is limited by restrictions on the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9"/>
              </w:rPr>
              <w:t>ability of GoHealth Holdings, LLC and our other direct and indirect subsidiaries to pay</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dividends or make distributions under the terms of our Credit Facilities. Any future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rPr>
              <w:t>determination as to the declaration and payment of dividends, if any, will be at the</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4"/>
              </w:rPr>
              <w:t>discretion of our board of directors, subject to compliance with contractual restrictions and</w:t>
            </w:r>
          </w:p>
        </w:tc>
      </w:tr>
      <w:tr>
        <w:trPr>
          <w:trHeight w:val="214"/>
        </w:trPr>
        <w:tc>
          <w:tcPr>
            <w:tcW w:w="2760" w:type="dxa"/>
            <w:vAlign w:val="bottom"/>
          </w:tcPr>
          <w:p>
            <w:pPr>
              <w:spacing w:after="0"/>
              <w:rPr>
                <w:sz w:val="18"/>
                <w:szCs w:val="18"/>
                <w:color w:val="auto"/>
              </w:rPr>
            </w:pPr>
          </w:p>
        </w:tc>
        <w:tc>
          <w:tcPr>
            <w:tcW w:w="8160" w:type="dxa"/>
            <w:vAlign w:val="bottom"/>
            <w:gridSpan w:val="5"/>
          </w:tcPr>
          <w:p>
            <w:pPr>
              <w:ind w:left="1420"/>
              <w:spacing w:after="0"/>
              <w:rPr>
                <w:sz w:val="20"/>
                <w:szCs w:val="20"/>
                <w:color w:val="auto"/>
              </w:rPr>
            </w:pPr>
            <w:r>
              <w:rPr>
                <w:rFonts w:ascii="Arial" w:cs="Arial" w:eastAsia="Arial" w:hAnsi="Arial"/>
                <w:sz w:val="18"/>
                <w:szCs w:val="18"/>
                <w:color w:val="auto"/>
                <w:w w:val="97"/>
              </w:rPr>
              <w:t>covenants in the agreements governing our current and future indebtedness. Any such</w:t>
            </w:r>
          </w:p>
        </w:tc>
      </w:tr>
      <w:tr>
        <w:trPr>
          <w:trHeight w:val="227"/>
        </w:trPr>
        <w:tc>
          <w:tcPr>
            <w:tcW w:w="2760" w:type="dxa"/>
            <w:vAlign w:val="bottom"/>
          </w:tcPr>
          <w:p>
            <w:pPr>
              <w:spacing w:after="0"/>
              <w:rPr>
                <w:sz w:val="19"/>
                <w:szCs w:val="19"/>
                <w:color w:val="auto"/>
              </w:rPr>
            </w:pPr>
          </w:p>
        </w:tc>
        <w:tc>
          <w:tcPr>
            <w:tcW w:w="4280" w:type="dxa"/>
            <w:vAlign w:val="bottom"/>
            <w:gridSpan w:val="3"/>
          </w:tcPr>
          <w:p>
            <w:pPr>
              <w:ind w:left="1420"/>
              <w:spacing w:after="0"/>
              <w:rPr>
                <w:sz w:val="20"/>
                <w:szCs w:val="20"/>
                <w:color w:val="auto"/>
              </w:rPr>
            </w:pPr>
            <w:r>
              <w:rPr>
                <w:rFonts w:ascii="Arial" w:cs="Arial" w:eastAsia="Arial" w:hAnsi="Arial"/>
                <w:sz w:val="18"/>
                <w:szCs w:val="18"/>
                <w:color w:val="auto"/>
              </w:rPr>
              <w:t>determination will also depend</w:t>
            </w:r>
          </w:p>
        </w:tc>
        <w:tc>
          <w:tcPr>
            <w:tcW w:w="2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2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597"/>
        </w:trPr>
        <w:tc>
          <w:tcPr>
            <w:tcW w:w="2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jc w:val="right"/>
              <w:ind w:right="391"/>
              <w:spacing w:after="0"/>
              <w:rPr>
                <w:sz w:val="20"/>
                <w:szCs w:val="20"/>
                <w:color w:val="auto"/>
              </w:rPr>
            </w:pPr>
            <w:r>
              <w:rPr>
                <w:rFonts w:ascii="Arial" w:cs="Arial" w:eastAsia="Arial" w:hAnsi="Arial"/>
                <w:sz w:val="18"/>
                <w:szCs w:val="18"/>
                <w:color w:val="auto"/>
              </w:rPr>
              <w:t>22</w:t>
            </w:r>
          </w:p>
        </w:tc>
        <w:tc>
          <w:tcPr>
            <w:tcW w:w="1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26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56261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180"/>
        <w:spacing w:after="0" w:line="259" w:lineRule="auto"/>
        <w:rPr>
          <w:sz w:val="20"/>
          <w:szCs w:val="20"/>
          <w:color w:val="auto"/>
        </w:rPr>
      </w:pPr>
      <w:r>
        <w:rPr>
          <w:rFonts w:ascii="Arial" w:cs="Arial" w:eastAsia="Arial" w:hAnsi="Arial"/>
          <w:sz w:val="18"/>
          <w:szCs w:val="18"/>
          <w:color w:val="auto"/>
        </w:rPr>
        <w:t>upon our business prospects, results of operations, financial condition, cash requirements and availability, industry trends and other factors that our board of directors may deem relevant. See “Dividend Policy.”</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Controlled company exception</w:t>
            </w: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After the consummation of the Transactions, we will be considered a “controlled company”</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within the meaning of the listing rules of The Nasdaq Global Market, or the Nasdaq rules,</w:t>
            </w:r>
          </w:p>
        </w:tc>
      </w:tr>
      <w:tr>
        <w:trPr>
          <w:trHeight w:val="214"/>
        </w:trPr>
        <w:tc>
          <w:tcPr>
            <w:tcW w:w="3100" w:type="dxa"/>
            <w:vAlign w:val="bottom"/>
          </w:tcPr>
          <w:p>
            <w:pPr>
              <w:spacing w:after="0"/>
              <w:rPr>
                <w:sz w:val="18"/>
                <w:szCs w:val="18"/>
                <w:color w:val="auto"/>
              </w:rPr>
            </w:pPr>
          </w:p>
        </w:tc>
        <w:tc>
          <w:tcPr>
            <w:tcW w:w="1860" w:type="dxa"/>
            <w:vAlign w:val="bottom"/>
          </w:tcPr>
          <w:p>
            <w:pPr>
              <w:ind w:left="900"/>
              <w:spacing w:after="0"/>
              <w:rPr>
                <w:sz w:val="20"/>
                <w:szCs w:val="20"/>
                <w:color w:val="auto"/>
              </w:rPr>
            </w:pPr>
            <w:r>
              <w:rPr>
                <w:rFonts w:ascii="Arial" w:cs="Arial" w:eastAsia="Arial" w:hAnsi="Arial"/>
                <w:sz w:val="18"/>
                <w:szCs w:val="18"/>
                <w:color w:val="auto"/>
              </w:rPr>
              <w:t>as</w:t>
            </w:r>
          </w:p>
        </w:tc>
        <w:tc>
          <w:tcPr>
            <w:tcW w:w="5580" w:type="dxa"/>
            <w:vAlign w:val="bottom"/>
          </w:tcPr>
          <w:p>
            <w:pPr>
              <w:ind w:left="540"/>
              <w:spacing w:after="0"/>
              <w:rPr>
                <w:sz w:val="20"/>
                <w:szCs w:val="20"/>
                <w:color w:val="auto"/>
              </w:rPr>
            </w:pPr>
            <w:r>
              <w:rPr>
                <w:rFonts w:ascii="Arial" w:cs="Arial" w:eastAsia="Arial" w:hAnsi="Arial"/>
                <w:sz w:val="18"/>
                <w:szCs w:val="18"/>
                <w:color w:val="auto"/>
              </w:rPr>
              <w:t>will have more than 50% of the voting power for the election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directors. See “Principal Stockholders.” As a “controlled company,” we will not be subject</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to certain corporate governance requirements, including that: (1) a majority of our board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3"/>
              </w:rPr>
              <w:t>directors consists of “independent directors,” as defined under the Nasdaq rules; (2) we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have a nominating and corporate governance committee that is composed entirely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independent directors with a written charter addressing the committee’s purpose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7"/>
              </w:rPr>
              <w:t>responsibilities; (3) we have a compensation committee that is composed entirely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independent directors with a written charter addressing the committee’s purpose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responsibilities; and (4) we perform annual performance evaluations of the nominating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5"/>
              </w:rPr>
              <w:t>corporate governance and compensation committees. As a result, we may not have a</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8"/>
              </w:rPr>
              <w:t>majority of independent directors on our board of directors, an entirely independent</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nominating and corporate governance committee, an entirely independent compensation</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4"/>
              </w:rPr>
              <w:t>committee or perform annual performance evaluations of the nominating and corporate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89"/>
              </w:rPr>
              <w:t>governance and compensation committees unless and until such time as we are required to</w:t>
            </w:r>
          </w:p>
        </w:tc>
      </w:tr>
      <w:tr>
        <w:trPr>
          <w:trHeight w:val="227"/>
        </w:trPr>
        <w:tc>
          <w:tcPr>
            <w:tcW w:w="3100" w:type="dxa"/>
            <w:vAlign w:val="bottom"/>
          </w:tcPr>
          <w:p>
            <w:pPr>
              <w:spacing w:after="0"/>
              <w:rPr>
                <w:sz w:val="19"/>
                <w:szCs w:val="19"/>
                <w:color w:val="auto"/>
              </w:rPr>
            </w:pPr>
          </w:p>
        </w:tc>
        <w:tc>
          <w:tcPr>
            <w:tcW w:w="1860" w:type="dxa"/>
            <w:vAlign w:val="bottom"/>
          </w:tcPr>
          <w:p>
            <w:pPr>
              <w:ind w:left="900"/>
              <w:spacing w:after="0"/>
              <w:rPr>
                <w:sz w:val="20"/>
                <w:szCs w:val="20"/>
                <w:color w:val="auto"/>
              </w:rPr>
            </w:pPr>
            <w:r>
              <w:rPr>
                <w:rFonts w:ascii="Arial" w:cs="Arial" w:eastAsia="Arial" w:hAnsi="Arial"/>
                <w:sz w:val="18"/>
                <w:szCs w:val="18"/>
                <w:color w:val="auto"/>
              </w:rPr>
              <w:t>do so.</w:t>
            </w:r>
          </w:p>
        </w:tc>
        <w:tc>
          <w:tcPr>
            <w:tcW w:w="5580" w:type="dxa"/>
            <w:vAlign w:val="bottom"/>
          </w:tcPr>
          <w:p>
            <w:pPr>
              <w:spacing w:after="0"/>
              <w:rPr>
                <w:sz w:val="19"/>
                <w:szCs w:val="19"/>
                <w:color w:val="auto"/>
              </w:rPr>
            </w:pPr>
          </w:p>
        </w:tc>
      </w:tr>
      <w:tr>
        <w:trPr>
          <w:trHeight w:val="442"/>
        </w:trPr>
        <w:tc>
          <w:tcPr>
            <w:tcW w:w="31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rPr>
              <w:t>We will enter into a Tax Receivable Agreement with GoHealth Holdings, LLC, the</w:t>
            </w:r>
          </w:p>
        </w:tc>
      </w:tr>
      <w:tr>
        <w:trPr>
          <w:trHeight w:val="227"/>
        </w:trPr>
        <w:tc>
          <w:tcPr>
            <w:tcW w:w="3100" w:type="dxa"/>
            <w:vAlign w:val="bottom"/>
          </w:tcPr>
          <w:p>
            <w:pPr>
              <w:spacing w:after="0"/>
              <w:rPr>
                <w:sz w:val="19"/>
                <w:szCs w:val="19"/>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1"/>
              </w:rPr>
              <w:t>Continuing Equity Owners and the Blocker Shareholders that will provide for the payment</w:t>
            </w:r>
          </w:p>
        </w:tc>
      </w:tr>
    </w:tbl>
    <w:p>
      <w:pPr>
        <w:ind w:left="4340" w:right="40"/>
        <w:spacing w:after="0" w:line="264" w:lineRule="auto"/>
        <w:rPr>
          <w:sz w:val="20"/>
          <w:szCs w:val="20"/>
          <w:color w:val="auto"/>
        </w:rPr>
      </w:pPr>
      <w:r>
        <w:rPr>
          <w:rFonts w:ascii="Arial" w:cs="Arial" w:eastAsia="Arial" w:hAnsi="Arial"/>
          <w:sz w:val="17"/>
          <w:szCs w:val="17"/>
          <w:color w:val="auto"/>
        </w:rPr>
        <w:t>by GoHealth, Inc. to the Continuing Equity Owners and the Blocker Shareholders of 85% of the amount of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GoHealth, Inc.’s purchase of LLC Interests directly from GoHealth Holdings, LLC and the partial redemption of LLC Interests by GoHealth Holdings, LLC, as described under “Use of Proceeds,” (b) future redemptions or exchanges (or deemed exchanges in certain circumstances) of LLC Interests for Class A common stock or cash as described above under “—Redemption rights of holders of LLC Interests” and (c) certain distributions (or deemed distributions) by GoHealth Holdings, LLC; and (3) certain additional tax benefits arising from payments made under the Tax Receivable Agreement. See “Certain Relationships and Related Party Transactions—Tax Receivable Agreement” for a discussion of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320" w:top="456" w:right="6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6016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6016625"/>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Registration Rights Agreement, we will, subject to the terms and conditions thereof, agree to register the resale of the shares of our Class A common stock that are issuable to certain of the Continuing Equity Owners in connection with the Transactions. See “Certain Relationships and Related Party Transactions—Registration Rights Agreement” for a discussion of the Registration Rights Agreement.</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See “Risk Factors” beginning on page 31 and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Trading symbol</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Directed share program</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Class A common stock offered by this prospectus for sale to some of our directors, officers and employees through a directed share program, or Directed Share Program. If these persons purchase reserved shares,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See “Underwriting—Directed Share Program.”</w:t>
      </w:r>
    </w:p>
    <w:p>
      <w:pPr>
        <w:spacing w:after="0" w:line="166"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27" w:lineRule="exact"/>
        <w:rPr>
          <w:sz w:val="20"/>
          <w:szCs w:val="20"/>
          <w:color w:val="auto"/>
        </w:rPr>
      </w:pPr>
    </w:p>
    <w:p>
      <w:pPr>
        <w:ind w:left="1280" w:hanging="410"/>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gives effect to the amendment and restatement of the GoHealth Holdings, LLC Agreement that converts all existing ownership</w:t>
      </w:r>
    </w:p>
    <w:p>
      <w:pPr>
        <w:sectPr>
          <w:pgSz w:w="11900" w:h="16838" w:orient="portrait"/>
          <w:cols w:equalWidth="0" w:num="1">
            <w:col w:w="10860"/>
          </w:cols>
          <w:pgMar w:left="320" w:top="456" w:right="719" w:bottom="1440" w:gutter="0" w:footer="0" w:header="0"/>
          <w:type w:val="continuous"/>
        </w:sectPr>
      </w:pPr>
    </w:p>
    <w:p>
      <w:pPr>
        <w:spacing w:after="0" w:line="43" w:lineRule="exact"/>
        <w:rPr>
          <w:sz w:val="20"/>
          <w:szCs w:val="20"/>
          <w:color w:val="auto"/>
        </w:rPr>
      </w:pPr>
    </w:p>
    <w:p>
      <w:pPr>
        <w:ind w:left="1280" w:right="400"/>
        <w:spacing w:after="0" w:line="256" w:lineRule="auto"/>
        <w:rPr>
          <w:sz w:val="20"/>
          <w:szCs w:val="20"/>
          <w:color w:val="auto"/>
        </w:rPr>
      </w:pPr>
      <w:r>
        <w:rPr>
          <w:rFonts w:ascii="Arial" w:cs="Arial" w:eastAsia="Arial" w:hAnsi="Arial"/>
          <w:sz w:val="18"/>
          <w:szCs w:val="18"/>
          <w:color w:val="auto"/>
        </w:rPr>
        <w:t>interests in GoHealth Holdings, LLC into LLC Interests, as well as the filing of our amended and restated certificate of incorporation;</w:t>
      </w:r>
    </w:p>
    <w:p>
      <w:pPr>
        <w:sectPr>
          <w:pgSz w:w="11900" w:h="16838" w:orient="portrait"/>
          <w:cols w:equalWidth="0" w:num="1">
            <w:col w:w="10860"/>
          </w:cols>
          <w:pgMar w:left="320" w:top="456" w:right="719" w:bottom="1440" w:gutter="0" w:footer="0" w:header="0"/>
          <w:type w:val="continuous"/>
        </w:sectPr>
      </w:pPr>
    </w:p>
    <w:p>
      <w:pPr>
        <w:spacing w:after="0" w:line="94" w:lineRule="exact"/>
        <w:rPr>
          <w:sz w:val="20"/>
          <w:szCs w:val="20"/>
          <w:color w:val="auto"/>
        </w:rPr>
      </w:pPr>
    </w:p>
    <w:p>
      <w:pPr>
        <w:ind w:left="1280" w:hanging="41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27"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excludes</w:t>
            </w:r>
          </w:p>
        </w:tc>
        <w:tc>
          <w:tcPr>
            <w:tcW w:w="8300" w:type="dxa"/>
            <w:vAlign w:val="bottom"/>
            <w:gridSpan w:val="3"/>
          </w:tcPr>
          <w:p>
            <w:pPr>
              <w:jc w:val="center"/>
              <w:ind w:right="431"/>
              <w:spacing w:after="0"/>
              <w:rPr>
                <w:sz w:val="20"/>
                <w:szCs w:val="20"/>
                <w:color w:val="auto"/>
              </w:rPr>
            </w:pPr>
            <w:r>
              <w:rPr>
                <w:rFonts w:ascii="Arial" w:cs="Arial" w:eastAsia="Arial" w:hAnsi="Arial"/>
                <w:sz w:val="18"/>
                <w:szCs w:val="18"/>
                <w:color w:val="auto"/>
                <w:w w:val="89"/>
              </w:rPr>
              <w:t>shares of Class A common stock reserved for issuance under our 2020 Equity Plan, or 2020 Plan, including</w:t>
            </w:r>
          </w:p>
        </w:tc>
      </w:tr>
      <w:tr>
        <w:trPr>
          <w:trHeight w:val="214"/>
        </w:trPr>
        <w:tc>
          <w:tcPr>
            <w:tcW w:w="24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approximately</w:t>
            </w:r>
          </w:p>
        </w:tc>
        <w:tc>
          <w:tcPr>
            <w:tcW w:w="8300" w:type="dxa"/>
            <w:vAlign w:val="bottom"/>
            <w:gridSpan w:val="3"/>
          </w:tcPr>
          <w:p>
            <w:pPr>
              <w:ind w:left="480"/>
              <w:spacing w:after="0"/>
              <w:rPr>
                <w:sz w:val="20"/>
                <w:szCs w:val="20"/>
                <w:color w:val="auto"/>
              </w:rPr>
            </w:pPr>
            <w:r>
              <w:rPr>
                <w:rFonts w:ascii="Arial" w:cs="Arial" w:eastAsia="Arial" w:hAnsi="Arial"/>
                <w:sz w:val="18"/>
                <w:szCs w:val="18"/>
                <w:color w:val="auto"/>
                <w:w w:val="95"/>
              </w:rPr>
              <w:t>shares of Class A common stock issuable pursuant to stock options we intend to grant to certain of our</w:t>
            </w:r>
          </w:p>
        </w:tc>
      </w:tr>
      <w:tr>
        <w:trPr>
          <w:trHeight w:val="214"/>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Arial" w:cs="Arial" w:eastAsia="Arial" w:hAnsi="Arial"/>
                <w:sz w:val="18"/>
                <w:szCs w:val="18"/>
                <w:color w:val="auto"/>
                <w:w w:val="96"/>
              </w:rPr>
              <w:t>directors, executive officers and other employees in connection with this offering as described under the captions “Executive</w:t>
            </w:r>
          </w:p>
        </w:tc>
      </w:tr>
      <w:tr>
        <w:trPr>
          <w:trHeight w:val="227"/>
        </w:trPr>
        <w:tc>
          <w:tcPr>
            <w:tcW w:w="240" w:type="dxa"/>
            <w:vAlign w:val="bottom"/>
          </w:tcPr>
          <w:p>
            <w:pPr>
              <w:spacing w:after="0"/>
              <w:rPr>
                <w:sz w:val="19"/>
                <w:szCs w:val="19"/>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w w:val="92"/>
              </w:rPr>
              <w:t>Compensation—</w:t>
            </w:r>
          </w:p>
        </w:tc>
        <w:tc>
          <w:tcPr>
            <w:tcW w:w="3680" w:type="dxa"/>
            <w:vAlign w:val="bottom"/>
            <w:gridSpan w:val="2"/>
          </w:tcPr>
          <w:p>
            <w:pPr>
              <w:ind w:left="660"/>
              <w:spacing w:after="0"/>
              <w:rPr>
                <w:sz w:val="20"/>
                <w:szCs w:val="20"/>
                <w:color w:val="auto"/>
              </w:rPr>
            </w:pPr>
            <w:r>
              <w:rPr>
                <w:rFonts w:ascii="Arial" w:cs="Arial" w:eastAsia="Arial" w:hAnsi="Arial"/>
                <w:sz w:val="18"/>
                <w:szCs w:val="18"/>
                <w:color w:val="auto"/>
              </w:rPr>
              <w:t>” and “Executive Compensation—</w:t>
            </w:r>
          </w:p>
        </w:tc>
        <w:tc>
          <w:tcPr>
            <w:tcW w:w="4620" w:type="dxa"/>
            <w:vAlign w:val="bottom"/>
          </w:tcPr>
          <w:p>
            <w:pPr>
              <w:jc w:val="center"/>
              <w:ind w:right="4091"/>
              <w:spacing w:after="0"/>
              <w:rPr>
                <w:sz w:val="20"/>
                <w:szCs w:val="20"/>
                <w:color w:val="auto"/>
              </w:rPr>
            </w:pPr>
            <w:r>
              <w:rPr>
                <w:rFonts w:ascii="Arial" w:cs="Arial" w:eastAsia="Arial" w:hAnsi="Arial"/>
                <w:sz w:val="18"/>
                <w:szCs w:val="18"/>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assumes an initial public offering price of $</w:t>
            </w: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w w:val="89"/>
              </w:rPr>
              <w:t>per share of Class A common stock, which is the midpoint of the estimated price</w:t>
            </w:r>
          </w:p>
        </w:tc>
      </w:tr>
      <w:tr>
        <w:trPr>
          <w:trHeight w:val="227"/>
        </w:trPr>
        <w:tc>
          <w:tcPr>
            <w:tcW w:w="24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rPr>
              <w:t>range set forth on the cover page of this prospectus; and</w:t>
            </w:r>
          </w:p>
        </w:tc>
        <w:tc>
          <w:tcPr>
            <w:tcW w:w="4620" w:type="dxa"/>
            <w:vAlign w:val="bottom"/>
          </w:tcPr>
          <w:p>
            <w:pPr>
              <w:spacing w:after="0"/>
              <w:rPr>
                <w:sz w:val="19"/>
                <w:szCs w:val="19"/>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w w:val="91"/>
              </w:rPr>
              <w:t>assumes no exercise by the underwriters of their option to purchase</w:t>
            </w:r>
          </w:p>
        </w:tc>
        <w:tc>
          <w:tcPr>
            <w:tcW w:w="4620" w:type="dxa"/>
            <w:vAlign w:val="bottom"/>
          </w:tcPr>
          <w:p>
            <w:pPr>
              <w:ind w:left="560"/>
              <w:spacing w:after="0"/>
              <w:rPr>
                <w:sz w:val="20"/>
                <w:szCs w:val="20"/>
                <w:color w:val="auto"/>
              </w:rPr>
            </w:pPr>
            <w:r>
              <w:rPr>
                <w:rFonts w:ascii="Arial" w:cs="Arial" w:eastAsia="Arial" w:hAnsi="Arial"/>
                <w:sz w:val="18"/>
                <w:szCs w:val="18"/>
                <w:color w:val="auto"/>
                <w:w w:val="97"/>
              </w:rPr>
              <w:t>additional shares of Class A common stock from us.</w:t>
            </w:r>
          </w:p>
        </w:tc>
      </w:tr>
    </w:tbl>
    <w:p>
      <w:pPr>
        <w:spacing w:after="0" w:line="201"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320" w:top="456" w:right="7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4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4200" cy="64414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52" w:lineRule="auto"/>
        <w:rPr>
          <w:sz w:val="20"/>
          <w:szCs w:val="20"/>
          <w:color w:val="auto"/>
        </w:rPr>
      </w:pPr>
      <w:r>
        <w:rPr>
          <w:rFonts w:ascii="Arial" w:cs="Arial" w:eastAsia="Arial" w:hAnsi="Arial"/>
          <w:sz w:val="18"/>
          <w:szCs w:val="18"/>
          <w:color w:val="auto"/>
        </w:rPr>
        <w:t>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194"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For illustrative purposes only, the table below shows the number of shares of Class A common stock we are selling in this offering (assuming no exercise of the underwriters’ option to purchase additional shares of Class A common stock from us), along with the number of LLC Interests that GoHealth, Inc. will purchase directly from GoHealth Holdings, LLC and indirectly from certain of the Continuing Equity Owners (including the Blocker Shareholders) at various initial public offering prices:</w:t>
      </w:r>
    </w:p>
    <w:p>
      <w:pPr>
        <w:spacing w:after="0" w:line="195"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1460" w:type="dxa"/>
            <w:vAlign w:val="bottom"/>
            <w:vMerge w:val="restart"/>
          </w:tcPr>
          <w:p>
            <w:pPr>
              <w:jc w:val="center"/>
              <w:ind w:right="469"/>
              <w:spacing w:after="0"/>
              <w:rPr>
                <w:sz w:val="20"/>
                <w:szCs w:val="20"/>
                <w:color w:val="auto"/>
              </w:rPr>
            </w:pPr>
            <w:r>
              <w:rPr>
                <w:rFonts w:ascii="Arial" w:cs="Arial" w:eastAsia="Arial" w:hAnsi="Arial"/>
                <w:sz w:val="14"/>
                <w:szCs w:val="14"/>
                <w:b w:val="1"/>
                <w:bCs w:val="1"/>
                <w:color w:val="auto"/>
                <w:w w:val="85"/>
              </w:rPr>
              <w:t>Class A</w:t>
            </w:r>
          </w:p>
        </w:tc>
        <w:tc>
          <w:tcPr>
            <w:tcW w:w="1940" w:type="dxa"/>
            <w:vAlign w:val="bottom"/>
          </w:tcPr>
          <w:p>
            <w:pPr>
              <w:spacing w:after="0"/>
              <w:rPr>
                <w:sz w:val="14"/>
                <w:szCs w:val="14"/>
                <w:color w:val="auto"/>
              </w:rPr>
            </w:pP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6"/>
              </w:rPr>
              <w:t>LLC Interests</w:t>
            </w:r>
          </w:p>
        </w:tc>
        <w:tc>
          <w:tcPr>
            <w:tcW w:w="0" w:type="dxa"/>
            <w:vAlign w:val="bottom"/>
          </w:tcPr>
          <w:p>
            <w:pPr>
              <w:spacing w:after="0"/>
              <w:rPr>
                <w:sz w:val="1"/>
                <w:szCs w:val="1"/>
                <w:color w:val="auto"/>
              </w:rPr>
            </w:pPr>
          </w:p>
        </w:tc>
      </w:tr>
      <w:tr>
        <w:trPr>
          <w:trHeight w:val="147"/>
        </w:trPr>
        <w:tc>
          <w:tcPr>
            <w:tcW w:w="1460" w:type="dxa"/>
            <w:vAlign w:val="bottom"/>
            <w:vMerge w:val="continue"/>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LLC Interests</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held by Continuing</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1940" w:type="dxa"/>
            <w:vAlign w:val="bottom"/>
            <w:vMerge w:val="continue"/>
          </w:tcPr>
          <w:p>
            <w:pPr>
              <w:spacing w:after="0"/>
              <w:rPr>
                <w:sz w:val="12"/>
                <w:szCs w:val="12"/>
                <w:color w:val="auto"/>
              </w:rPr>
            </w:pP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Equity Owners and</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offered by</w:t>
            </w:r>
          </w:p>
        </w:tc>
        <w:tc>
          <w:tcPr>
            <w:tcW w:w="1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purchased by</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2"/>
              </w:rPr>
              <w:t>Indirectly Purchased by</w:t>
            </w:r>
          </w:p>
        </w:tc>
        <w:tc>
          <w:tcPr>
            <w:tcW w:w="0" w:type="dxa"/>
            <w:vAlign w:val="bottom"/>
          </w:tcPr>
          <w:p>
            <w:pPr>
              <w:spacing w:after="0"/>
              <w:rPr>
                <w:sz w:val="1"/>
                <w:szCs w:val="1"/>
                <w:color w:val="auto"/>
              </w:rPr>
            </w:pPr>
          </w:p>
        </w:tc>
      </w:tr>
      <w:tr>
        <w:trPr>
          <w:trHeight w:val="171"/>
        </w:trPr>
        <w:tc>
          <w:tcPr>
            <w:tcW w:w="1460" w:type="dxa"/>
            <w:vAlign w:val="bottom"/>
          </w:tcPr>
          <w:p>
            <w:pPr>
              <w:jc w:val="center"/>
              <w:ind w:right="449"/>
              <w:spacing w:after="0"/>
              <w:rPr>
                <w:sz w:val="20"/>
                <w:szCs w:val="20"/>
                <w:color w:val="auto"/>
              </w:rPr>
            </w:pPr>
            <w:r>
              <w:rPr>
                <w:rFonts w:ascii="Arial" w:cs="Arial" w:eastAsia="Arial" w:hAnsi="Arial"/>
                <w:sz w:val="14"/>
                <w:szCs w:val="14"/>
                <w:b w:val="1"/>
                <w:bCs w:val="1"/>
                <w:color w:val="auto"/>
                <w:w w:val="95"/>
              </w:rPr>
              <w:t>GoHealth, Inc.</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5"/>
              </w:rPr>
              <w:t>GoHealth, Inc.</w:t>
            </w:r>
          </w:p>
        </w:tc>
        <w:tc>
          <w:tcPr>
            <w:tcW w:w="0" w:type="dxa"/>
            <w:vAlign w:val="bottom"/>
          </w:tcPr>
          <w:p>
            <w:pPr>
              <w:spacing w:after="0"/>
              <w:rPr>
                <w:sz w:val="1"/>
                <w:szCs w:val="1"/>
                <w:color w:val="auto"/>
              </w:rPr>
            </w:pPr>
          </w:p>
        </w:tc>
      </w:tr>
    </w:tbl>
    <w:p>
      <w:pPr>
        <w:ind w:left="120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For illustrative purposes only, the table below shows the number of LLC Interests, shares of Class A common stock and Class B common stock outstanding after giving effect to the Transactions and this offering (assuming no exercise of the underwriters’ option to purchase additional shares of Class A common stock from us) at various initial public offering prices:</w:t>
      </w:r>
    </w:p>
    <w:p>
      <w:pPr>
        <w:spacing w:after="0" w:line="190"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6"/>
              </w:rPr>
              <w:t>LLC Interests</w:t>
            </w:r>
          </w:p>
        </w:tc>
        <w:tc>
          <w:tcPr>
            <w:tcW w:w="18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LLC Interests</w:t>
            </w:r>
          </w:p>
        </w:tc>
        <w:tc>
          <w:tcPr>
            <w:tcW w:w="1700" w:type="dxa"/>
            <w:vAlign w:val="bottom"/>
          </w:tcPr>
          <w:p>
            <w:pPr>
              <w:spacing w:after="0"/>
              <w:rPr>
                <w:sz w:val="14"/>
                <w:szCs w:val="14"/>
                <w:color w:val="auto"/>
              </w:rPr>
            </w:pPr>
          </w:p>
        </w:tc>
        <w:tc>
          <w:tcPr>
            <w:tcW w:w="920" w:type="dxa"/>
            <w:vAlign w:val="bottom"/>
            <w:vMerge w:val="restart"/>
          </w:tcPr>
          <w:p>
            <w:pPr>
              <w:jc w:val="center"/>
              <w:ind w:left="309"/>
              <w:spacing w:after="0"/>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3"/>
        </w:trPr>
        <w:tc>
          <w:tcPr>
            <w:tcW w:w="1960" w:type="dxa"/>
            <w:vAlign w:val="bottom"/>
          </w:tcPr>
          <w:p>
            <w:pPr>
              <w:jc w:val="center"/>
              <w:ind w:right="289"/>
              <w:spacing w:after="0" w:line="143" w:lineRule="exact"/>
              <w:rPr>
                <w:sz w:val="20"/>
                <w:szCs w:val="20"/>
                <w:color w:val="auto"/>
              </w:rPr>
            </w:pPr>
            <w:r>
              <w:rPr>
                <w:rFonts w:ascii="Arial" w:cs="Arial" w:eastAsia="Arial" w:hAnsi="Arial"/>
                <w:sz w:val="14"/>
                <w:szCs w:val="14"/>
                <w:b w:val="1"/>
                <w:bCs w:val="1"/>
                <w:color w:val="auto"/>
                <w:w w:val="91"/>
              </w:rPr>
              <w:t>held by Continuing</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LLC Interests held</w:t>
            </w:r>
          </w:p>
        </w:tc>
        <w:tc>
          <w:tcPr>
            <w:tcW w:w="1640" w:type="dxa"/>
            <w:vAlign w:val="bottom"/>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60" w:type="dxa"/>
            <w:vAlign w:val="bottom"/>
          </w:tcPr>
          <w:p>
            <w:pPr>
              <w:jc w:val="center"/>
              <w:ind w:right="28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880" w:type="dxa"/>
            <w:vAlign w:val="bottom"/>
            <w:vMerge w:val="continue"/>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held by</w:t>
            </w:r>
          </w:p>
        </w:tc>
        <w:tc>
          <w:tcPr>
            <w:tcW w:w="1700" w:type="dxa"/>
            <w:vAlign w:val="bottom"/>
            <w:vMerge w:val="continue"/>
          </w:tcPr>
          <w:p>
            <w:pPr>
              <w:spacing w:after="0"/>
              <w:rPr>
                <w:sz w:val="12"/>
                <w:szCs w:val="12"/>
                <w:color w:val="auto"/>
              </w:rPr>
            </w:pPr>
          </w:p>
        </w:tc>
        <w:tc>
          <w:tcPr>
            <w:tcW w:w="920" w:type="dxa"/>
            <w:vAlign w:val="bottom"/>
          </w:tcPr>
          <w:p>
            <w:pPr>
              <w:jc w:val="center"/>
              <w:ind w:left="289"/>
              <w:spacing w:after="0" w:line="147"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6"/>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3"/>
              </w:rPr>
              <w:t>Centerbridge)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by Centerbridge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92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For illustrative purposes only, the table below shows the combined voting power in GoHealth, Inc. and the combined direct or indirect (in the case of the Continuing Equity Owners and Centerbridge, through GoHealth, Inc.’s ownership of LLC Interests) economic interest in GoHealth Holdings, LLC of certain holders of shares of Class A common stock and Class B common stock after giving effect to the Transactions and this offering (assuming no exercise of the underwriters’ option to purchase additional shares of Class A common stock from us) at various initial public offering prices:</w:t>
      </w:r>
    </w:p>
    <w:p>
      <w:pPr>
        <w:spacing w:after="0" w:line="19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00" w:type="dxa"/>
            <w:vAlign w:val="bottom"/>
          </w:tcPr>
          <w:p>
            <w:pPr>
              <w:jc w:val="center"/>
              <w:ind w:right="1049"/>
              <w:spacing w:after="0"/>
              <w:rPr>
                <w:sz w:val="20"/>
                <w:szCs w:val="20"/>
                <w:color w:val="auto"/>
              </w:rPr>
            </w:pPr>
            <w:r>
              <w:rPr>
                <w:rFonts w:ascii="Arial" w:cs="Arial" w:eastAsia="Arial" w:hAnsi="Arial"/>
                <w:sz w:val="14"/>
                <w:szCs w:val="14"/>
                <w:b w:val="1"/>
                <w:bCs w:val="1"/>
                <w:color w:val="auto"/>
                <w:w w:val="91"/>
              </w:rPr>
              <w:t>Continuing</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right="829"/>
              <w:spacing w:after="0"/>
              <w:rPr>
                <w:sz w:val="20"/>
                <w:szCs w:val="20"/>
                <w:color w:val="auto"/>
              </w:rPr>
            </w:pPr>
            <w:r>
              <w:rPr>
                <w:rFonts w:ascii="Arial" w:cs="Arial" w:eastAsia="Arial" w:hAnsi="Arial"/>
                <w:sz w:val="14"/>
                <w:szCs w:val="14"/>
                <w:b w:val="1"/>
                <w:bCs w:val="1"/>
                <w:color w:val="auto"/>
                <w:w w:val="93"/>
              </w:rPr>
              <w:t>Investors</w:t>
            </w:r>
          </w:p>
        </w:tc>
        <w:tc>
          <w:tcPr>
            <w:tcW w:w="0" w:type="dxa"/>
            <w:vAlign w:val="bottom"/>
          </w:tcPr>
          <w:p>
            <w:pPr>
              <w:spacing w:after="0"/>
              <w:rPr>
                <w:sz w:val="1"/>
                <w:szCs w:val="1"/>
                <w:color w:val="auto"/>
              </w:rPr>
            </w:pPr>
          </w:p>
        </w:tc>
      </w:tr>
      <w:tr>
        <w:trPr>
          <w:trHeight w:val="147"/>
        </w:trPr>
        <w:tc>
          <w:tcPr>
            <w:tcW w:w="2820" w:type="dxa"/>
            <w:vAlign w:val="bottom"/>
            <w:gridSpan w:val="2"/>
          </w:tcPr>
          <w:p>
            <w:pPr>
              <w:jc w:val="center"/>
              <w:ind w:right="22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120" w:type="dxa"/>
            <w:vAlign w:val="bottom"/>
          </w:tcPr>
          <w:p>
            <w:pPr>
              <w:spacing w:after="0"/>
              <w:rPr>
                <w:sz w:val="12"/>
                <w:szCs w:val="12"/>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Centerbridge</w:t>
            </w:r>
          </w:p>
        </w:tc>
        <w:tc>
          <w:tcPr>
            <w:tcW w:w="1160" w:type="dxa"/>
            <w:vAlign w:val="bottom"/>
          </w:tcPr>
          <w:p>
            <w:pPr>
              <w:spacing w:after="0"/>
              <w:rPr>
                <w:sz w:val="12"/>
                <w:szCs w:val="12"/>
                <w:color w:val="auto"/>
              </w:rPr>
            </w:pP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2"/>
              </w:rPr>
              <w:t>in this</w:t>
            </w:r>
          </w:p>
        </w:tc>
        <w:tc>
          <w:tcPr>
            <w:tcW w:w="0" w:type="dxa"/>
            <w:vAlign w:val="bottom"/>
          </w:tcPr>
          <w:p>
            <w:pPr>
              <w:spacing w:after="0"/>
              <w:rPr>
                <w:sz w:val="1"/>
                <w:szCs w:val="1"/>
                <w:color w:val="auto"/>
              </w:rPr>
            </w:pPr>
          </w:p>
        </w:tc>
      </w:tr>
      <w:tr>
        <w:trPr>
          <w:trHeight w:val="147"/>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Voting Power</w:t>
            </w:r>
          </w:p>
        </w:tc>
        <w:tc>
          <w:tcPr>
            <w:tcW w:w="2000" w:type="dxa"/>
            <w:vAlign w:val="bottom"/>
          </w:tcPr>
          <w:p>
            <w:pPr>
              <w:jc w:val="center"/>
              <w:ind w:right="1069"/>
              <w:spacing w:after="0" w:line="147" w:lineRule="exact"/>
              <w:rPr>
                <w:sz w:val="20"/>
                <w:szCs w:val="20"/>
                <w:color w:val="auto"/>
              </w:rPr>
            </w:pPr>
            <w:r>
              <w:rPr>
                <w:rFonts w:ascii="Arial" w:cs="Arial" w:eastAsia="Arial" w:hAnsi="Arial"/>
                <w:sz w:val="14"/>
                <w:szCs w:val="14"/>
                <w:b w:val="1"/>
                <w:bCs w:val="1"/>
                <w:color w:val="auto"/>
                <w:w w:val="93"/>
              </w:rPr>
              <w:t>Centerbridge)</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Voting Power</w:t>
            </w:r>
          </w:p>
        </w:tc>
        <w:tc>
          <w:tcPr>
            <w:tcW w:w="1940" w:type="dxa"/>
            <w:vAlign w:val="bottom"/>
            <w:vMerge w:val="continue"/>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Voting Power</w:t>
            </w: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820" w:type="dxa"/>
            <w:vAlign w:val="bottom"/>
            <w:vMerge w:val="continue"/>
          </w:tcPr>
          <w:p>
            <w:pPr>
              <w:spacing w:after="0"/>
              <w:rPr>
                <w:sz w:val="14"/>
                <w:szCs w:val="14"/>
                <w:color w:val="auto"/>
              </w:rPr>
            </w:pPr>
          </w:p>
        </w:tc>
        <w:tc>
          <w:tcPr>
            <w:tcW w:w="2000" w:type="dxa"/>
            <w:vAlign w:val="bottom"/>
          </w:tcPr>
          <w:p>
            <w:pPr>
              <w:ind w:left="600"/>
              <w:spacing w:after="0"/>
              <w:rPr>
                <w:sz w:val="20"/>
                <w:szCs w:val="20"/>
                <w:color w:val="auto"/>
              </w:rPr>
            </w:pPr>
            <w:r>
              <w:rPr>
                <w:rFonts w:ascii="Arial" w:cs="Arial" w:eastAsia="Arial" w:hAnsi="Arial"/>
                <w:sz w:val="14"/>
                <w:szCs w:val="14"/>
                <w:b w:val="1"/>
                <w:bCs w:val="1"/>
                <w:color w:val="auto"/>
              </w:rPr>
              <w:t>Economic Interest</w:t>
            </w:r>
          </w:p>
        </w:tc>
        <w:tc>
          <w:tcPr>
            <w:tcW w:w="1120" w:type="dxa"/>
            <w:vAlign w:val="bottom"/>
            <w:vMerge w:val="continue"/>
          </w:tcPr>
          <w:p>
            <w:pPr>
              <w:spacing w:after="0"/>
              <w:rPr>
                <w:sz w:val="14"/>
                <w:szCs w:val="14"/>
                <w:color w:val="auto"/>
              </w:rPr>
            </w:pPr>
          </w:p>
        </w:tc>
        <w:tc>
          <w:tcPr>
            <w:tcW w:w="1940" w:type="dxa"/>
            <w:vAlign w:val="bottom"/>
          </w:tcPr>
          <w:p>
            <w:pPr>
              <w:ind w:left="540"/>
              <w:spacing w:after="0"/>
              <w:rPr>
                <w:sz w:val="20"/>
                <w:szCs w:val="20"/>
                <w:color w:val="auto"/>
              </w:rPr>
            </w:pPr>
            <w:r>
              <w:rPr>
                <w:rFonts w:ascii="Arial" w:cs="Arial" w:eastAsia="Arial" w:hAnsi="Arial"/>
                <w:sz w:val="14"/>
                <w:szCs w:val="14"/>
                <w:b w:val="1"/>
                <w:bCs w:val="1"/>
                <w:color w:val="auto"/>
              </w:rPr>
              <w:t>Economic Interest</w:t>
            </w:r>
          </w:p>
        </w:tc>
        <w:tc>
          <w:tcPr>
            <w:tcW w:w="1160" w:type="dxa"/>
            <w:vAlign w:val="bottom"/>
            <w:vMerge w:val="continue"/>
          </w:tcPr>
          <w:p>
            <w:pPr>
              <w:spacing w:after="0"/>
              <w:rPr>
                <w:sz w:val="14"/>
                <w:szCs w:val="14"/>
                <w:color w:val="auto"/>
              </w:rPr>
            </w:pPr>
          </w:p>
        </w:tc>
        <w:tc>
          <w:tcPr>
            <w:tcW w:w="1640" w:type="dxa"/>
            <w:vAlign w:val="bottom"/>
          </w:tcPr>
          <w:p>
            <w:pPr>
              <w:ind w:left="520"/>
              <w:spacing w:after="0"/>
              <w:rPr>
                <w:sz w:val="20"/>
                <w:szCs w:val="20"/>
                <w:color w:val="auto"/>
              </w:rPr>
            </w:pPr>
            <w:r>
              <w:rPr>
                <w:rFonts w:ascii="Arial" w:cs="Arial" w:eastAsia="Arial" w:hAnsi="Arial"/>
                <w:sz w:val="14"/>
                <w:szCs w:val="14"/>
                <w:b w:val="1"/>
                <w:bCs w:val="1"/>
                <w:color w:val="auto"/>
                <w:w w:val="90"/>
              </w:rPr>
              <w:t>Economic Interest</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320" w:top="456"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1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4200" cy="381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The following tables present the summary historical consolidated financial and other data for GoHealth Holdings, LLC and its subsidiaries and the summary pro forma condensed consolidated financial and other data for GoHealth, Inc. GoHealth Holdings, LLC is the predecessor of GoHealth, Inc. for financial reporting purposes. The summary consolidated statements of operations data and statements of cash flows data for the period from September 13, 2019 through December 31, 2019 (Successor), the period from January 1, 2019 through September 12, 2019 (Predecessor) and the year ended December 31, 2018 (Predecessor), and the summary consolidated balance sheet data as of December 31, 2019 are derived from the audited consolidated financial statements of GoHealth Holdings, LLC included elsewhere in this prospectus. The summary condensed consolidated statements of operations data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“Selected Historical Condensed Consolidated Financial Data,” “Management’s Discussion and Analysis of Financial Condition and Results of Operations” and the consolidated financial statements and the accompanying notes included elsewhere in this prospectus.</w:t>
      </w:r>
    </w:p>
    <w:p>
      <w:pPr>
        <w:spacing w:after="0" w:line="169" w:lineRule="exact"/>
        <w:rPr>
          <w:sz w:val="20"/>
          <w:szCs w:val="20"/>
          <w:color w:val="auto"/>
        </w:rPr>
      </w:pPr>
    </w:p>
    <w:p>
      <w:pPr>
        <w:ind w:left="340" w:right="60"/>
        <w:spacing w:after="0" w:line="284" w:lineRule="auto"/>
        <w:rPr>
          <w:sz w:val="20"/>
          <w:szCs w:val="20"/>
          <w:color w:val="auto"/>
        </w:rPr>
      </w:pPr>
      <w:r>
        <w:rPr>
          <w:rFonts w:ascii="Arial" w:cs="Arial" w:eastAsia="Arial" w:hAnsi="Arial"/>
          <w:sz w:val="16"/>
          <w:szCs w:val="16"/>
          <w:color w:val="auto"/>
        </w:rPr>
        <w:t>The summary unaudited pro forma condensed consolidated financial data of GoHealth, Inc. presented below have been derived from our unaudited pro forma condensed consolidated financial information included elsewhere in this prospectus. The summary unaudited pro forma condensed consolidated financial information as of and for the three months ended March 31, 2020, and for the Successor 2019 Period and Predecessor 2019 Period gives effect to the Centerbridge Acquisition and the Transactions, including the consummation of this offering and the use of proceeds therefrom, as described in “Our Organizational Structure” and “Use of Proceeds,” as if all such transactions had occurred on January 1, 2019 in the case of the unaudited pro forma condensed consolidated statements of operations data, and as of March 31, 2020, in the case of the unaudited pro forma condensed consolidated balance sheet data. The unaudited pro forma condensed consolidated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456" w:right="6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63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417" w:lineRule="auto"/>
        <w:rPr>
          <w:sz w:val="20"/>
          <w:szCs w:val="20"/>
          <w:color w:val="auto"/>
        </w:rPr>
      </w:pPr>
      <w:r>
        <w:rPr>
          <w:rFonts w:ascii="Arial" w:cs="Arial" w:eastAsia="Arial" w:hAnsi="Arial"/>
          <w:sz w:val="14"/>
          <w:szCs w:val="14"/>
          <w:color w:val="auto"/>
        </w:rPr>
        <w:t>The summary historical consolidated financial and other data of GoHealth, Inc. has not been presented because GoHealth, Inc. is a newly incorporated entity, has had no business transactions or activities to date and had no assets or liabilities during the periods presented in this section.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10"/>
            <w:vMerge w:val="restart"/>
          </w:tcPr>
          <w:p>
            <w:pPr>
              <w:jc w:val="right"/>
              <w:ind w:right="340"/>
              <w:spacing w:after="0"/>
              <w:rPr>
                <w:sz w:val="20"/>
                <w:szCs w:val="20"/>
                <w:color w:val="auto"/>
              </w:rPr>
            </w:pPr>
            <w:r>
              <w:rPr>
                <w:rFonts w:ascii="Arial" w:cs="Arial" w:eastAsia="Arial" w:hAnsi="Arial"/>
                <w:sz w:val="14"/>
                <w:szCs w:val="14"/>
                <w:b w:val="1"/>
                <w:bCs w:val="1"/>
                <w:color w:val="auto"/>
                <w:w w:val="97"/>
              </w:rPr>
              <w:t>Historical GoHealth Holdings, LLC</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Three</w:t>
            </w:r>
          </w:p>
        </w:tc>
        <w:tc>
          <w:tcPr>
            <w:tcW w:w="1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6"/>
          </w:tcPr>
          <w:p>
            <w:pPr>
              <w:jc w:val="center"/>
              <w:ind w:right="260"/>
              <w:spacing w:after="0" w:line="127" w:lineRule="exact"/>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91"/>
              </w:rPr>
              <w:t>Months Ended</w:t>
            </w: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840" w:type="dxa"/>
            <w:vAlign w:val="bottom"/>
          </w:tcPr>
          <w:p>
            <w:pP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21"/>
              <w:spacing w:after="0" w:line="118"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201"/>
              <w:spacing w:after="0" w:line="118"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gridSpan w:val="3"/>
          </w:tcPr>
          <w:p>
            <w:pPr>
              <w:jc w:val="right"/>
              <w:ind w:right="180"/>
              <w:spacing w:after="0" w:line="118" w:lineRule="exact"/>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10"/>
                <w:szCs w:val="10"/>
                <w:color w:val="auto"/>
              </w:rPr>
            </w:pPr>
          </w:p>
        </w:tc>
        <w:tc>
          <w:tcPr>
            <w:tcW w:w="8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0"/>
              <w:spacing w:after="0" w:line="118"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9"/>
              </w:rPr>
              <w:t>2020</w:t>
            </w:r>
          </w:p>
        </w:tc>
        <w:tc>
          <w:tcPr>
            <w:tcW w:w="102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60" w:type="dxa"/>
            <w:vAlign w:val="bottom"/>
          </w:tcPr>
          <w:p>
            <w:pPr>
              <w:spacing w:after="0"/>
              <w:rPr>
                <w:sz w:val="14"/>
                <w:szCs w:val="14"/>
                <w:color w:val="auto"/>
              </w:rPr>
            </w:pP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revenues: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112,510</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243,347</w:t>
            </w: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175,834</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65,144</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141,010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308,491</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231,010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Marketing and advertising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26,073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24,811</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care and enrollment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Technology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4,155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6,006</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w w:val="95"/>
              </w:rPr>
              <w:t>Change in fair value of contingent consideration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color w:val="auto"/>
              </w:rPr>
              <w:t>liability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70,700</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6,245</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135,183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284,393</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287,885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(56,875)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16,039</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(937)</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3"/>
              </w:rPr>
              <w:t>Less: Net loss attributable to non-controlling interests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5"/>
              </w:rPr>
              <w:t>Net income (loss) attributable to GoHealth Holdings,</w:t>
            </w: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LLC and subsidiaries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(937)</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 Forma Net Loss per Share Data:</w:t>
            </w: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Pro forma weighted average shares of Class 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2"/>
              </w:rPr>
              <w:t>Pro forma net loss available to Class A common stock</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6"/>
                <w:szCs w:val="16"/>
                <w:color w:val="auto"/>
              </w:rPr>
              <w:t>per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Diluted</w:t>
            </w: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9"/>
              </w:rPr>
              <w:t>Net cash (used in) provided by operating activities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23,587</w:t>
            </w:r>
          </w:p>
        </w:tc>
        <w:tc>
          <w:tcPr>
            <w:tcW w:w="14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(9,284)</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9,281</w:t>
            </w:r>
          </w:p>
        </w:tc>
        <w:tc>
          <w:tcPr>
            <w:tcW w:w="14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(810,010)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120,167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830,879</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(3,449)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456"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690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200" cy="65690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540" w:type="dxa"/>
            <w:vAlign w:val="bottom"/>
          </w:tcPr>
          <w:p>
            <w:pPr>
              <w:spacing w:after="0"/>
              <w:rPr>
                <w:sz w:val="14"/>
                <w:szCs w:val="14"/>
                <w:color w:val="auto"/>
              </w:rPr>
            </w:pPr>
          </w:p>
        </w:tc>
        <w:tc>
          <w:tcPr>
            <w:tcW w:w="2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Historical GoHealth</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540" w:type="dxa"/>
            <w:vAlign w:val="bottom"/>
          </w:tcPr>
          <w:p>
            <w:pPr>
              <w:spacing w:after="0"/>
              <w:rPr>
                <w:sz w:val="14"/>
                <w:szCs w:val="14"/>
                <w:color w:val="auto"/>
              </w:rPr>
            </w:pPr>
          </w:p>
        </w:tc>
        <w:tc>
          <w:tcPr>
            <w:tcW w:w="2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Holdings, LLC</w:t>
            </w: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gridSpan w:val="2"/>
          </w:tcPr>
          <w:p>
            <w:pPr>
              <w:jc w:val="center"/>
              <w:ind w:left="454"/>
              <w:spacing w:after="0" w:line="147" w:lineRule="exact"/>
              <w:rPr>
                <w:sz w:val="20"/>
                <w:szCs w:val="20"/>
                <w:color w:val="auto"/>
              </w:rPr>
            </w:pPr>
            <w:r>
              <w:rPr>
                <w:rFonts w:ascii="Arial" w:cs="Arial" w:eastAsia="Arial" w:hAnsi="Arial"/>
                <w:sz w:val="14"/>
                <w:szCs w:val="14"/>
                <w:b w:val="1"/>
                <w:bCs w:val="1"/>
                <w:color w:val="auto"/>
                <w:w w:val="96"/>
              </w:rPr>
              <w:t>2020</w:t>
            </w:r>
          </w:p>
        </w:tc>
        <w:tc>
          <w:tcPr>
            <w:tcW w:w="1360" w:type="dxa"/>
            <w:vAlign w:val="bottom"/>
            <w:gridSpan w:val="2"/>
          </w:tcPr>
          <w:p>
            <w:pPr>
              <w:jc w:val="center"/>
              <w:ind w:left="434"/>
              <w:spacing w:after="0" w:line="147"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60" w:type="dxa"/>
            <w:vAlign w:val="bottom"/>
            <w:gridSpan w:val="2"/>
          </w:tcPr>
          <w:p>
            <w:pPr>
              <w:jc w:val="center"/>
              <w:ind w:left="2280"/>
              <w:spacing w:after="0"/>
              <w:rPr>
                <w:sz w:val="20"/>
                <w:szCs w:val="20"/>
                <w:color w:val="auto"/>
              </w:rPr>
            </w:pPr>
            <w:r>
              <w:rPr>
                <w:rFonts w:ascii="Arial" w:cs="Arial" w:eastAsia="Arial" w:hAnsi="Arial"/>
                <w:sz w:val="14"/>
                <w:szCs w:val="14"/>
                <w:b w:val="1"/>
                <w:bCs w:val="1"/>
                <w:color w:val="auto"/>
                <w:w w:val="96"/>
              </w:rPr>
              <w:t>2020</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(Successor)</w:t>
            </w:r>
          </w:p>
        </w:tc>
        <w:tc>
          <w:tcPr>
            <w:tcW w:w="5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4"/>
        </w:trPr>
        <w:tc>
          <w:tcPr>
            <w:tcW w:w="45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Balance Sheet:</w:t>
            </w:r>
          </w:p>
        </w:tc>
        <w:tc>
          <w:tcPr>
            <w:tcW w:w="23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152,423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   12,276</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840,047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1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Pro Forma GoHealth,</w:t>
      </w:r>
    </w:p>
    <w:p>
      <w:pPr>
        <w:jc w:val="center"/>
        <w:ind w:left="140"/>
        <w:spacing w:after="0" w:line="232" w:lineRule="auto"/>
        <w:rPr>
          <w:sz w:val="20"/>
          <w:szCs w:val="20"/>
          <w:color w:val="auto"/>
        </w:rPr>
      </w:pPr>
      <w:r>
        <w:rPr>
          <w:rFonts w:ascii="Arial" w:cs="Arial" w:eastAsia="Arial" w:hAnsi="Arial"/>
          <w:sz w:val="14"/>
          <w:szCs w:val="14"/>
          <w:b w:val="1"/>
          <w:bCs w:val="1"/>
          <w:color w:val="auto"/>
        </w:rPr>
        <w:t>Inc.</w:t>
      </w:r>
    </w:p>
    <w:tbl>
      <w:tblPr>
        <w:tblLayout w:type="fixed"/>
        <w:tblInd w:w="360" w:type="dxa"/>
        <w:tblCellMar>
          <w:top w:w="0" w:type="dxa"/>
          <w:left w:w="0" w:type="dxa"/>
          <w:bottom w:w="0" w:type="dxa"/>
          <w:right w:w="0" w:type="dxa"/>
        </w:tblCellMar>
      </w:tblPr>
      <w:tr>
        <w:trPr>
          <w:trHeight w:val="118"/>
        </w:trPr>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Three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9"/>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6"/>
            <w:vMerge w:val="restart"/>
          </w:tcPr>
          <w:p>
            <w:pPr>
              <w:jc w:val="center"/>
              <w:ind w:left="235"/>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6"/>
                <w:szCs w:val="6"/>
                <w:color w:val="auto"/>
              </w:rPr>
            </w:pPr>
          </w:p>
        </w:tc>
        <w:tc>
          <w:tcPr>
            <w:tcW w:w="1080" w:type="dxa"/>
            <w:vAlign w:val="bottom"/>
            <w:gridSpan w:val="6"/>
            <w:vMerge w:val="restart"/>
          </w:tcPr>
          <w:p>
            <w:pPr>
              <w:jc w:val="right"/>
              <w:ind w:right="30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6"/>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080" w:type="dxa"/>
            <w:vAlign w:val="bottom"/>
            <w:gridSpan w:val="6"/>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7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w w:val="95"/>
              </w:rPr>
              <w:t>2019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Arial" w:cs="Arial" w:eastAsia="Arial" w:hAnsi="Arial"/>
                <w:sz w:val="18"/>
                <w:szCs w:val="18"/>
                <w:b w:val="1"/>
                <w:bCs w:val="1"/>
                <w:color w:val="auto"/>
                <w:w w:val="98"/>
              </w:rPr>
              <w:t>Selected Non-GAAP Financial Data:</w:t>
            </w: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EBITDA(2)</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29,965</w:t>
            </w:r>
          </w:p>
        </w:tc>
        <w:tc>
          <w:tcPr>
            <w:tcW w:w="20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Adjusted EBITDA(2)</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169,994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34,921</w:t>
            </w:r>
          </w:p>
        </w:tc>
        <w:tc>
          <w:tcPr>
            <w:tcW w:w="20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$ 130,465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Adjusted EBITDA margin(2)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44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7"/>
            <w:vMerge w:val="restart"/>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7"/>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4"/>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4"/>
            <w:vMerge w:val="restart"/>
          </w:tcPr>
          <w:p>
            <w:pPr>
              <w:jc w:val="right"/>
              <w:ind w:right="180"/>
              <w:spacing w:after="0" w:line="147" w:lineRule="exact"/>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2019 Period</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w w:val="94"/>
              </w:rPr>
              <w:t>LTV/CAC (Medicare—Internal segment)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2.7x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1.7x</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3.8x</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5.1x</w:t>
            </w: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Cost per Qualified Prospect (Medicare—Internal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segment)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Total Medicare Submitted Policies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43,283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427,697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268,882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Medicare—Internal Commissionable Approved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22,114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265,584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170,764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Medicare—External Commissionable Approved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20,319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120,676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2"/>
              </w:rPr>
              <w:t>LTV Per Approved Submission—Medicare Advantage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0"/>
              </w:rPr>
              <w:t>LTV Per Approved Submission—Medicare Supplement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8"/>
              </w:rPr>
              <w:t>LTV Per Approved Submission—Prescription Drug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Plans (Medicare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0" w:type="dxa"/>
            <w:vAlign w:val="bottom"/>
            <w:gridSpan w:val="4"/>
          </w:tcPr>
          <w:p>
            <w:pPr>
              <w:spacing w:after="0"/>
              <w:rPr>
                <w:sz w:val="20"/>
                <w:szCs w:val="20"/>
                <w:color w:val="auto"/>
              </w:rPr>
            </w:pPr>
            <w:r>
              <w:rPr>
                <w:rFonts w:ascii="Arial" w:cs="Arial" w:eastAsia="Arial" w:hAnsi="Arial"/>
                <w:sz w:val="18"/>
                <w:szCs w:val="18"/>
                <w:color w:val="auto"/>
                <w:w w:val="97"/>
              </w:rPr>
              <w:t>Total Submitted Policies (IFP and Other segments)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38,002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53,886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296,772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146,228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80" w:type="dxa"/>
            <w:vAlign w:val="bottom"/>
            <w:gridSpan w:val="2"/>
            <w:vMerge w:val="continue"/>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2019 Period</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gridSpan w:val="3"/>
          </w:tcPr>
          <w:p>
            <w:pPr>
              <w:jc w:val="right"/>
              <w:spacing w:after="0"/>
              <w:rPr>
                <w:sz w:val="20"/>
                <w:szCs w:val="20"/>
                <w:color w:val="auto"/>
              </w:rPr>
            </w:pPr>
            <w:r>
              <w:rPr>
                <w:rFonts w:ascii="Arial" w:cs="Arial" w:eastAsia="Arial" w:hAnsi="Arial"/>
                <w:sz w:val="18"/>
                <w:szCs w:val="18"/>
                <w:color w:val="auto"/>
                <w:w w:val="95"/>
              </w:rPr>
              <w:t>$ (52,742)</w:t>
            </w:r>
          </w:p>
        </w:tc>
        <w:tc>
          <w:tcPr>
            <w:tcW w:w="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34,544</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39,973</w:t>
            </w:r>
          </w:p>
        </w:tc>
        <w:tc>
          <w:tcPr>
            <w:tcW w:w="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34,863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6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Predecessor</w:t>
            </w:r>
          </w:p>
        </w:tc>
        <w:tc>
          <w:tcPr>
            <w:tcW w:w="2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2.7x</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2.7x</w:t>
            </w:r>
          </w:p>
        </w:tc>
        <w:tc>
          <w:tcPr>
            <w:tcW w:w="0" w:type="dxa"/>
            <w:vAlign w:val="bottom"/>
          </w:tcPr>
          <w:p>
            <w:pPr>
              <w:spacing w:after="0"/>
              <w:rPr>
                <w:sz w:val="1"/>
                <w:szCs w:val="1"/>
                <w:color w:val="auto"/>
              </w:rPr>
            </w:pPr>
          </w:p>
        </w:tc>
      </w:tr>
      <w:tr>
        <w:trPr>
          <w:trHeight w:val="415"/>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158,815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428"/>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428"/>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428"/>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428"/>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15"/>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150,544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207,695</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2">
            <w:col w:w="8560" w:space="220"/>
            <w:col w:w="2120"/>
          </w:cols>
          <w:pgMar w:left="320" w:top="456" w:right="679" w:bottom="1440" w:gutter="0" w:footer="0" w:header="0"/>
          <w:type w:val="continuous"/>
        </w:sectPr>
      </w:pPr>
    </w:p>
    <w:p>
      <w:pPr>
        <w:ind w:left="760" w:right="80" w:hanging="412"/>
        <w:spacing w:after="0" w:line="28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information presented for the Pro Forma Fiscal Year 2019 give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w:t>
      </w:r>
    </w:p>
    <w:p>
      <w:pPr>
        <w:jc w:val="both"/>
        <w:ind w:left="760" w:right="120" w:hanging="412"/>
        <w:spacing w:after="0" w:line="252"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456" w:right="6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409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0" cy="3409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right="200"/>
        <w:spacing w:after="0" w:line="335" w:lineRule="auto"/>
        <w:rPr>
          <w:sz w:val="20"/>
          <w:szCs w:val="20"/>
          <w:color w:val="auto"/>
        </w:rPr>
      </w:pPr>
      <w:r>
        <w:rPr>
          <w:rFonts w:ascii="Arial" w:cs="Arial" w:eastAsia="Arial" w:hAnsi="Arial"/>
          <w:sz w:val="16"/>
          <w:szCs w:val="16"/>
          <w:color w:val="auto"/>
        </w:rPr>
        <w:t>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21" w:lineRule="exact"/>
        <w:rPr>
          <w:sz w:val="20"/>
          <w:szCs w:val="20"/>
          <w:color w:val="auto"/>
        </w:rPr>
      </w:pPr>
    </w:p>
    <w:p>
      <w:pPr>
        <w:ind w:left="780" w:right="860"/>
        <w:spacing w:after="0" w:line="271" w:lineRule="auto"/>
        <w:rPr>
          <w:sz w:val="20"/>
          <w:szCs w:val="20"/>
          <w:color w:val="auto"/>
        </w:rPr>
      </w:pPr>
      <w:r>
        <w:rPr>
          <w:rFonts w:ascii="Arial" w:cs="Arial" w:eastAsia="Arial" w:hAnsi="Arial"/>
          <w:sz w:val="18"/>
          <w:szCs w:val="18"/>
          <w:color w:val="auto"/>
        </w:rPr>
        <w:t>Adjusted EBITDA represents EBITDA as further adjusted for share-based compensation, change in fair value of earnout liability, Centerbridge Acquisition costs and severance costs.</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Adjusted EBITDA margin represents Adjusted EBITDA divided by net revenues.</w:t>
      </w:r>
    </w:p>
    <w:p>
      <w:pPr>
        <w:spacing w:after="0" w:line="114" w:lineRule="exact"/>
        <w:rPr>
          <w:sz w:val="20"/>
          <w:szCs w:val="20"/>
          <w:color w:val="auto"/>
        </w:rPr>
      </w:pPr>
    </w:p>
    <w:p>
      <w:pPr>
        <w:ind w:left="780" w:right="20"/>
        <w:spacing w:after="0" w:line="267"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76"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below. We encourage you to review the reconciliations in conjunction with the presentation of the non-GAAP financial measures for each of the periods presented. In future periods, we may exclude such items, may incur income and expenses similar to these excluded items and include other expenses, costs and non-recurring items. The tables below provide reconciliations of EBITDA and Adjusted EBITDA to net income (loss) on a consolidated basis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320" w:top="456"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479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200" cy="44799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EBITDA and Adjusted EBITDA:</w:t>
      </w: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00" w:type="dxa"/>
            <w:vAlign w:val="bottom"/>
            <w:gridSpan w:val="4"/>
            <w:vMerge w:val="restart"/>
          </w:tcPr>
          <w:p>
            <w:pPr>
              <w:jc w:val="right"/>
              <w:ind w:right="61"/>
              <w:spacing w:after="0"/>
              <w:rPr>
                <w:sz w:val="20"/>
                <w:szCs w:val="20"/>
                <w:color w:val="auto"/>
              </w:rPr>
            </w:pPr>
            <w:r>
              <w:rPr>
                <w:rFonts w:ascii="Arial" w:cs="Arial" w:eastAsia="Arial" w:hAnsi="Arial"/>
                <w:sz w:val="14"/>
                <w:szCs w:val="14"/>
                <w:b w:val="1"/>
                <w:bCs w:val="1"/>
                <w:color w:val="auto"/>
              </w:rPr>
              <w:t>Pro Forma GoHealth, Inc.</w:t>
            </w: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60" w:type="dxa"/>
            <w:vAlign w:val="bottom"/>
            <w:gridSpan w:val="2"/>
          </w:tcPr>
          <w:p>
            <w:pPr>
              <w:jc w:val="center"/>
              <w:ind w:right="160"/>
              <w:spacing w:after="0" w:line="114" w:lineRule="exact"/>
              <w:rPr>
                <w:sz w:val="20"/>
                <w:szCs w:val="20"/>
                <w:color w:val="auto"/>
              </w:rPr>
            </w:pPr>
            <w:r>
              <w:rPr>
                <w:rFonts w:ascii="Arial" w:cs="Arial" w:eastAsia="Arial" w:hAnsi="Arial"/>
                <w:sz w:val="13"/>
                <w:szCs w:val="13"/>
                <w:b w:val="1"/>
                <w:bCs w:val="1"/>
                <w:color w:val="auto"/>
              </w:rPr>
              <w:t>Three Months</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540" w:type="dxa"/>
            <w:vAlign w:val="bottom"/>
          </w:tcPr>
          <w:p>
            <w:pPr>
              <w:jc w:val="right"/>
              <w:ind w:right="122"/>
              <w:spacing w:after="0" w:line="118"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0"/>
                <w:szCs w:val="10"/>
                <w:color w:val="auto"/>
              </w:rPr>
            </w:pPr>
          </w:p>
        </w:tc>
        <w:tc>
          <w:tcPr>
            <w:tcW w:w="840" w:type="dxa"/>
            <w:vAlign w:val="bottom"/>
            <w:tcBorders>
              <w:right w:val="single" w:sz="8" w:color="auto"/>
            </w:tcBorders>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10"/>
                <w:szCs w:val="10"/>
                <w:color w:val="auto"/>
              </w:rPr>
            </w:pPr>
          </w:p>
        </w:tc>
        <w:tc>
          <w:tcPr>
            <w:tcW w:w="64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9"/>
              </w:rPr>
              <w:t>(Predecessor)</w:t>
            </w:r>
          </w:p>
        </w:tc>
        <w:tc>
          <w:tcPr>
            <w:tcW w:w="0" w:type="dxa"/>
            <w:vAlign w:val="bottom"/>
          </w:tcPr>
          <w:p>
            <w:pPr>
              <w:spacing w:after="0"/>
              <w:rPr>
                <w:sz w:val="1"/>
                <w:szCs w:val="1"/>
                <w:color w:val="auto"/>
              </w:rPr>
            </w:pPr>
          </w:p>
        </w:tc>
      </w:tr>
      <w:tr>
        <w:trPr>
          <w:trHeight w:val="194"/>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(29,501)</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(57,063)</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27,172</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6,756</w:t>
            </w:r>
          </w:p>
        </w:tc>
        <w:tc>
          <w:tcPr>
            <w:tcW w:w="2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500"/>
              <w:spacing w:after="0"/>
              <w:rPr>
                <w:sz w:val="20"/>
                <w:szCs w:val="20"/>
                <w:color w:val="auto"/>
              </w:rPr>
            </w:pPr>
            <w:r>
              <w:rPr>
                <w:rFonts w:ascii="Arial" w:cs="Arial" w:eastAsia="Arial" w:hAnsi="Arial"/>
                <w:sz w:val="16"/>
                <w:szCs w:val="16"/>
                <w:color w:val="auto"/>
              </w:rPr>
              <w:t>expense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24,147</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1,538</w:t>
            </w:r>
          </w:p>
        </w:tc>
        <w:tc>
          <w:tcPr>
            <w:tcW w:w="16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28,738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4,247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29,965</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6,569</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(52,742)</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34,544</w:t>
            </w: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Share-based compensation(a)</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1,853</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479</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87,060</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contingent</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consideration liability(b)</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70,700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Centerbridge Acquisition costs(c)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4,908</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Severance costs(d)</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747</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20"/>
              <w:spacing w:after="0"/>
              <w:rPr>
                <w:sz w:val="20"/>
                <w:szCs w:val="20"/>
                <w:color w:val="auto"/>
              </w:rPr>
            </w:pPr>
            <w:r>
              <w:rPr>
                <w:rFonts w:ascii="Arial" w:cs="Arial" w:eastAsia="Arial" w:hAnsi="Arial"/>
                <w:sz w:val="16"/>
                <w:szCs w:val="16"/>
                <w:color w:val="auto"/>
              </w:rPr>
              <w:t>Adjusted EBITDA</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80" w:type="dxa"/>
            <w:vAlign w:val="bottom"/>
            <w:gridSpan w:val="2"/>
            <w:vMerge w:val="continue"/>
          </w:tcPr>
          <w:p>
            <w:pPr>
              <w:spacing w:after="0"/>
              <w:rPr>
                <w:sz w:val="17"/>
                <w:szCs w:val="17"/>
                <w:color w:val="auto"/>
              </w:rPr>
            </w:pP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169,994</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34,921</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7,135</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6"/>
              </w:rPr>
              <w:t>130,465</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39,973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34,863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8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80" w:right="20" w:hanging="517"/>
        <w:spacing w:after="0" w:line="251"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ind w:left="1280" w:hanging="517"/>
        <w:spacing w:after="0" w:line="262"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Represents the fair value of the earnout liability due to the predecessor owners of the Company arising from the Centerbridge Acquisition. Prior to the consummation of this offering, we intend to satisfy the earnout liability in full. The amount required to satisfy the earnout liability is currently unknown, but will be disclosed prior to the consummation of this offering.</w:t>
      </w:r>
    </w:p>
    <w:p>
      <w:pPr>
        <w:spacing w:after="0" w:line="1" w:lineRule="exact"/>
        <w:rPr>
          <w:rFonts w:ascii="Arial" w:cs="Arial" w:eastAsia="Arial" w:hAnsi="Arial"/>
          <w:sz w:val="17"/>
          <w:szCs w:val="17"/>
          <w:color w:val="auto"/>
        </w:rPr>
      </w:pPr>
    </w:p>
    <w:p>
      <w:pPr>
        <w:ind w:left="1280" w:hanging="517"/>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1280" w:hanging="517"/>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114" w:lineRule="exact"/>
        <w:rPr>
          <w:rFonts w:ascii="Arial" w:cs="Arial" w:eastAsia="Arial" w:hAnsi="Arial"/>
          <w:sz w:val="18"/>
          <w:szCs w:val="18"/>
          <w:color w:val="auto"/>
        </w:rPr>
      </w:pPr>
    </w:p>
    <w:p>
      <w:pPr>
        <w:ind w:left="760" w:right="180" w:hanging="412"/>
        <w:spacing w:after="0" w:line="27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definitions and further information about how we calculate other operating data, please see “Management’s Discussion and Analysis of Financial Condition and Results of Operations—Key Business and Operating Metrics by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320" w:top="456" w:right="6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160" w:right="600"/>
        <w:spacing w:after="0" w:line="398" w:lineRule="auto"/>
        <w:rPr>
          <w:sz w:val="20"/>
          <w:szCs w:val="20"/>
          <w:color w:val="auto"/>
        </w:rPr>
      </w:pPr>
      <w:r>
        <w:rPr>
          <w:rFonts w:ascii="Arial" w:cs="Arial" w:eastAsia="Arial" w:hAnsi="Arial"/>
          <w:sz w:val="14"/>
          <w:szCs w:val="14"/>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75"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93"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56"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80"/>
        <w:spacing w:after="0" w:line="301"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4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93"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90"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301"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Our failure to grow our customer base or retain our existing customers could adversely impact our business, operating results and financial condition.</w:t>
      </w:r>
    </w:p>
    <w:p>
      <w:pPr>
        <w:spacing w:after="0" w:line="68"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74"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90"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73" w:lineRule="exact"/>
        <w:rPr>
          <w:sz w:val="20"/>
          <w:szCs w:val="20"/>
          <w:color w:val="auto"/>
        </w:rPr>
      </w:pPr>
    </w:p>
    <w:p>
      <w:pPr>
        <w:ind w:left="160" w:right="140"/>
        <w:spacing w:after="0" w:line="398"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6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 Additionally, mergers among carriers or an acquisition of one carrier by another carrier may trigger changes to</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8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68"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be adversely impacted by factors that impact our estimate of LTV.</w:t>
      </w:r>
    </w:p>
    <w:p>
      <w:pPr>
        <w:spacing w:after="0" w:line="114"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 xml:space="preserve">As a result of the adoption of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7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94"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System failures or capacity constraints could harm our business, financial condition and operating results.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6"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86"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sell Medicare-related health insurance plans is largely dependent on our licensed health insurance agents.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4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3"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7"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76" w:lineRule="exact"/>
        <w:rPr>
          <w:sz w:val="20"/>
          <w:szCs w:val="20"/>
          <w:color w:val="auto"/>
        </w:rPr>
      </w:pPr>
    </w:p>
    <w:p>
      <w:pPr>
        <w:ind w:left="160" w:right="640"/>
        <w:spacing w:after="0" w:line="271" w:lineRule="auto"/>
        <w:rPr>
          <w:sz w:val="20"/>
          <w:szCs w:val="20"/>
          <w:color w:val="auto"/>
        </w:rPr>
      </w:pPr>
      <w:r>
        <w:rPr>
          <w:rFonts w:ascii="Arial" w:cs="Arial" w:eastAsia="Arial" w:hAnsi="Arial"/>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6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67"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9"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currently depend on a small group of carriers for a substantial portion of our revenue.</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and Anthem accounted for (i) approximately 42% and 32%, respectively, of net revenues for the three months ended March 31, 2020 and 28% and 15%, respectively, of net revenues for the three months ended March 31, 2019, approximately 40% and 20%, respectively, of net revenues for the Pro Forma Fiscal Year 2019 and 25% and 8%, respectively, of net revenues for the year ended December 31, 2018; (ii) approximately 47% and 38%, respectively, of Medicare—Internal segment revenue for the three months ended March 31, 2020, and 60% and 22%, respectively, of Medicare—Internal segment revenue for the three months ended March 31, 2019, approximately 51% and 23%, respectively, of Medicare—Internal segment revenue for the Pro Forma Fiscal Year 2019, and 63% and 15%, respectively, of Medicare—Internal segment revenue for the year ended December 31, 2018; and (iii) approximately 55% and 31%, respectively, of Medicare—External segment revenue for the three months ended March 31, 2020 and 36% and 27%, respectively, of Medicare— External segment revenue for the three months ended March 31, 2019,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37% and 29% of IFP and Other—Internal segment revenue for the three months ended March 31, 2020 and for the three months ended March 31, 2019, respectively, approximately 27% and 11% of IFP and Other— Internal segment revenue for the Pro Forma Fiscal Year 2019 and for the year ended December 31, 2018, respectively, and 55% and 37% of IFP and Other—External segment revenue for the three months ended March 31, 2020 and 2019, respectively, and 41% and 19% of IFP and Other—External segment revenue for the Pro Forma Fiscal Year 2019 and year ended December 31, 2018, respectively.</w:t>
      </w:r>
    </w:p>
    <w:p>
      <w:pPr>
        <w:spacing w:after="0" w:line="169" w:lineRule="exact"/>
        <w:rPr>
          <w:sz w:val="20"/>
          <w:szCs w:val="20"/>
          <w:color w:val="auto"/>
        </w:rPr>
      </w:pPr>
    </w:p>
    <w:p>
      <w:pPr>
        <w:ind w:left="160" w:right="320"/>
        <w:spacing w:after="0" w:line="297"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68" w:lineRule="exact"/>
        <w:rPr>
          <w:sz w:val="20"/>
          <w:szCs w:val="20"/>
          <w:color w:val="auto"/>
        </w:rPr>
      </w:pPr>
    </w:p>
    <w:p>
      <w:pPr>
        <w:ind w:left="160" w:right="500"/>
        <w:spacing w:after="0" w:line="270" w:lineRule="auto"/>
        <w:rPr>
          <w:sz w:val="20"/>
          <w:szCs w:val="20"/>
          <w:color w:val="auto"/>
        </w:rPr>
      </w:pPr>
      <w:r>
        <w:rPr>
          <w:rFonts w:ascii="Arial" w:cs="Arial" w:eastAsia="Arial" w:hAnsi="Arial"/>
          <w:sz w:val="17"/>
          <w:szCs w:val="17"/>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carriers to prepare accurate commission reports and send them to us in a timely manner.</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76"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of operations may fluctuate significantly due to seasonality.</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Pressure from existing and new competitors may adversely affect our business, operating results and financial condition.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competitors provide services designed to help customers shop for insurance. Some of these competitors include:</w:t>
      </w:r>
    </w:p>
    <w:p>
      <w:pPr>
        <w:spacing w:after="0" w:line="127" w:lineRule="exact"/>
        <w:rPr>
          <w:sz w:val="20"/>
          <w:szCs w:val="20"/>
          <w:color w:val="auto"/>
        </w:rPr>
      </w:pPr>
    </w:p>
    <w:p>
      <w:pPr>
        <w:ind w:left="1140" w:right="380" w:hanging="438"/>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that operate insurance search websites or websites that provide quote information or the opportunity to purchase insurance products online, including aggregators and lead generators;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that advertise primarily through the television;</w:t>
      </w:r>
    </w:p>
    <w:p>
      <w:pPr>
        <w:spacing w:after="0" w:line="127" w:lineRule="exact"/>
        <w:rPr>
          <w:rFonts w:ascii="Arial" w:cs="Arial" w:eastAsia="Arial" w:hAnsi="Arial"/>
          <w:sz w:val="18"/>
          <w:szCs w:val="18"/>
          <w:color w:val="auto"/>
        </w:rPr>
      </w:pPr>
    </w:p>
    <w:p>
      <w:pPr>
        <w:ind w:left="1140" w:right="940" w:hanging="438"/>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insurance carriers, including through the operation of their own websites, physical storefront operations and broker arrangements;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traditional insurance agents or brokers;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field marketing organizations.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successfully compete with government-run health insurance exchanges, our business may be harmed.</w:t>
      </w:r>
    </w:p>
    <w:p>
      <w:pPr>
        <w:spacing w:after="0" w:line="114"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68"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76" w:lineRule="exact"/>
        <w:rPr>
          <w:sz w:val="20"/>
          <w:szCs w:val="20"/>
          <w:color w:val="auto"/>
        </w:rPr>
      </w:pPr>
    </w:p>
    <w:p>
      <w:pPr>
        <w:ind w:left="1140" w:right="540" w:hanging="438"/>
        <w:spacing w:after="0" w:line="27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6"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65" w:lineRule="auto"/>
        <w:rPr>
          <w:sz w:val="20"/>
          <w:szCs w:val="20"/>
          <w:color w:val="auto"/>
        </w:rPr>
      </w:pPr>
      <w:r>
        <w:rPr>
          <w:rFonts w:ascii="Arial" w:cs="Arial" w:eastAsia="Arial" w:hAnsi="Arial"/>
          <w:sz w:val="17"/>
          <w:szCs w:val="17"/>
          <w:color w:val="auto"/>
        </w:rPr>
        <w:t>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93" w:lineRule="exact"/>
        <w:rPr>
          <w:sz w:val="20"/>
          <w:szCs w:val="20"/>
          <w:color w:val="auto"/>
        </w:rPr>
      </w:pPr>
    </w:p>
    <w:p>
      <w:pPr>
        <w:ind w:left="1140" w:right="20" w:hanging="438"/>
        <w:spacing w:after="0" w:line="270"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99" w:lineRule="exact"/>
        <w:rPr>
          <w:rFonts w:ascii="Arial" w:cs="Arial" w:eastAsia="Arial" w:hAnsi="Arial"/>
          <w:sz w:val="18"/>
          <w:szCs w:val="18"/>
          <w:color w:val="auto"/>
        </w:rPr>
      </w:pPr>
    </w:p>
    <w:p>
      <w:pPr>
        <w:ind w:left="1140" w:right="60" w:hanging="438"/>
        <w:spacing w:after="0" w:line="288"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72"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86" w:lineRule="exact"/>
        <w:rPr>
          <w:sz w:val="20"/>
          <w:szCs w:val="20"/>
          <w:color w:val="auto"/>
        </w:rPr>
      </w:pPr>
    </w:p>
    <w:p>
      <w:pPr>
        <w:jc w:val="both"/>
        <w:ind w:left="160" w:right="340"/>
        <w:spacing w:after="0" w:line="259"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79"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D-SNP, which could have a material adverse impact on our business, operating results and financial condition.</w:t>
      </w:r>
    </w:p>
    <w:p>
      <w:pPr>
        <w:spacing w:after="0" w:line="186" w:lineRule="exact"/>
        <w:rPr>
          <w:sz w:val="20"/>
          <w:szCs w:val="20"/>
          <w:color w:val="auto"/>
        </w:rPr>
      </w:pPr>
    </w:p>
    <w:p>
      <w:pPr>
        <w:jc w:val="both"/>
        <w:ind w:left="160" w:right="80"/>
        <w:spacing w:after="0" w:line="252"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100" w:lineRule="exact"/>
        <w:rPr>
          <w:sz w:val="20"/>
          <w:szCs w:val="20"/>
          <w:color w:val="auto"/>
        </w:rPr>
      </w:pPr>
    </w:p>
    <w:p>
      <w:pPr>
        <w:ind w:left="1140" w:hanging="438"/>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27"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sold;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1"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50"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80"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68"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83" w:lineRule="exact"/>
        <w:rPr>
          <w:sz w:val="20"/>
          <w:szCs w:val="20"/>
          <w:color w:val="auto"/>
        </w:rPr>
      </w:pPr>
    </w:p>
    <w:p>
      <w:pPr>
        <w:ind w:left="1140" w:right="260" w:hanging="438"/>
        <w:spacing w:after="0" w:line="255"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of, and changes to, the customer experience on our platform;</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variety, competitiveness and affordability of the health insurance plans that we offer;</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 failures or interruptions in the operation of our technology platform or call center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mix of customers who are referred to us through our direct, marketing partner and online advertising customer acquisition channels;</w:t>
      </w:r>
    </w:p>
    <w:p>
      <w:pPr>
        <w:spacing w:after="0" w:line="80"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carriers offering health insurance plans for which customers have expressed interest, and the degree to which our technology is integrated with those carriers;</w:t>
      </w:r>
    </w:p>
    <w:p>
      <w:pPr>
        <w:spacing w:after="0" w:line="80"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agents in assisting customers; and</w:t>
      </w:r>
    </w:p>
    <w:p>
      <w:pPr>
        <w:spacing w:after="0" w:line="127" w:lineRule="exact"/>
        <w:rPr>
          <w:rFonts w:ascii="Arial" w:cs="Arial" w:eastAsia="Arial" w:hAnsi="Arial"/>
          <w:sz w:val="18"/>
          <w:szCs w:val="18"/>
          <w:color w:val="auto"/>
        </w:rPr>
      </w:pPr>
    </w:p>
    <w:p>
      <w:pPr>
        <w:ind w:left="1140" w:right="4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enroll subsidy-eligible individuals in qualified health plans through government-run health insurance exchanges and the efficacy of the process we are required to use to do so.</w:t>
      </w:r>
    </w:p>
    <w:p>
      <w:pPr>
        <w:spacing w:after="0" w:line="17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receive commission payments from carriers over time, but incur significant upfront expenses to enroll customers.</w:t>
      </w:r>
    </w:p>
    <w:p>
      <w:pPr>
        <w:spacing w:after="0" w:line="11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268" w:lineRule="exact"/>
        <w:rPr>
          <w:sz w:val="20"/>
          <w:szCs w:val="20"/>
          <w:color w:val="auto"/>
        </w:rPr>
      </w:pPr>
    </w:p>
    <w:p>
      <w:pPr>
        <w:ind w:left="160" w:right="840"/>
        <w:spacing w:after="0" w:line="335"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7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87"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301"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7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Numerous federal, state and international laws and regulations govern the collection, use, disclosure, storage, processing, transmission and destruction of personal information, including individually identifiable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information. These laws and regulations, including their interpretation by governmental agencies and regulators, are subject to frequent change. These regulations could have a negative impact on our business, for example:</w:t>
      </w:r>
    </w:p>
    <w:p>
      <w:pPr>
        <w:spacing w:after="0" w:line="81" w:lineRule="exact"/>
        <w:rPr>
          <w:sz w:val="20"/>
          <w:szCs w:val="20"/>
          <w:color w:val="auto"/>
        </w:rPr>
      </w:pPr>
    </w:p>
    <w:p>
      <w:pPr>
        <w:ind w:left="1140" w:hanging="438"/>
        <w:spacing w:after="0" w:line="25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02" w:lineRule="exact"/>
        <w:rPr>
          <w:rFonts w:ascii="Arial" w:cs="Arial" w:eastAsia="Arial" w:hAnsi="Arial"/>
          <w:sz w:val="18"/>
          <w:szCs w:val="18"/>
          <w:color w:val="auto"/>
        </w:rPr>
      </w:pPr>
    </w:p>
    <w:p>
      <w:pPr>
        <w:ind w:left="1140" w:hanging="438"/>
        <w:spacing w:after="0" w:line="288"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2" w:lineRule="exact"/>
        <w:rPr>
          <w:rFonts w:ascii="Arial" w:cs="Arial" w:eastAsia="Arial" w:hAnsi="Arial"/>
          <w:sz w:val="16"/>
          <w:szCs w:val="16"/>
          <w:color w:val="auto"/>
        </w:rPr>
      </w:pPr>
    </w:p>
    <w:p>
      <w:pPr>
        <w:ind w:left="1140" w:right="12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individually identifiable information may apply, many of which are not preempted by HIPAA; and</w:t>
      </w:r>
    </w:p>
    <w:p>
      <w:pPr>
        <w:spacing w:after="0" w:line="8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6" w:lineRule="exact"/>
        <w:rPr>
          <w:sz w:val="20"/>
          <w:szCs w:val="20"/>
          <w:color w:val="auto"/>
        </w:rPr>
      </w:pPr>
    </w:p>
    <w:p>
      <w:pPr>
        <w:jc w:val="both"/>
        <w:ind w:left="160" w:right="80"/>
        <w:spacing w:after="0" w:line="282"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spacing w:after="0" w:line="2"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77"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9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9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9"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9"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7"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9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Risks from third-party products could adversely affect our businesses.</w:t>
      </w:r>
    </w:p>
    <w:p>
      <w:pPr>
        <w:spacing w:after="0" w:line="114"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66"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6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business depends on consumers’ provision of accurate information during the insurance shopping process. To the extent consumers provide us with inaccurate information, the quality of their insurance shopping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97"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could have an adverse effect on our business, operating results and financial condition.</w:t>
      </w:r>
    </w:p>
    <w:p>
      <w:pPr>
        <w:spacing w:after="0" w:line="6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March 31, 2020, 47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66"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76"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9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8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45"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3"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9"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20"/>
        <w:spacing w:after="0" w:line="301"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4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In late 2019, a novel strain of coronavirus, SARS-CoV-2, surfaced in China, which has now spread to the United States and almost every country in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80"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3"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78" w:lineRule="exact"/>
        <w:rPr>
          <w:sz w:val="20"/>
          <w:szCs w:val="20"/>
          <w:color w:val="auto"/>
        </w:rPr>
      </w:pPr>
    </w:p>
    <w:p>
      <w:pPr>
        <w:jc w:val="both"/>
        <w:ind w:left="160" w:right="20"/>
        <w:spacing w:after="0" w:line="284" w:lineRule="auto"/>
        <w:rPr>
          <w:sz w:val="20"/>
          <w:szCs w:val="20"/>
          <w:color w:val="auto"/>
        </w:rPr>
      </w:pPr>
      <w:r>
        <w:rPr>
          <w:rFonts w:ascii="Arial" w:cs="Arial" w:eastAsia="Arial" w:hAnsi="Arial"/>
          <w:sz w:val="16"/>
          <w:szCs w:val="16"/>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left="160" w:right="280"/>
        <w:spacing w:after="0" w:line="252" w:lineRule="auto"/>
        <w:rPr>
          <w:sz w:val="20"/>
          <w:szCs w:val="20"/>
          <w:color w:val="auto"/>
        </w:rPr>
      </w:pPr>
      <w:r>
        <w:rPr>
          <w:rFonts w:ascii="Arial" w:cs="Arial" w:eastAsia="Arial" w:hAnsi="Arial"/>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91"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6"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impacts to our business as a result of its global economic impact, including any recession that has occurred or may occur in the future.</w:t>
      </w:r>
    </w:p>
    <w:p>
      <w:pPr>
        <w:spacing w:after="0" w:line="221" w:lineRule="exact"/>
        <w:rPr>
          <w:sz w:val="20"/>
          <w:szCs w:val="20"/>
          <w:color w:val="auto"/>
        </w:rPr>
      </w:pPr>
    </w:p>
    <w:p>
      <w:pPr>
        <w:ind w:left="160" w:right="360"/>
        <w:spacing w:after="0" w:line="255"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90"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76"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68"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outsource our hosting infrastructure to Amazon Web Services and Rackspace (together,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4" w:lineRule="exact"/>
        <w:rPr>
          <w:sz w:val="20"/>
          <w:szCs w:val="20"/>
          <w:color w:val="auto"/>
        </w:rPr>
      </w:pPr>
    </w:p>
    <w:p>
      <w:pPr>
        <w:ind w:left="160" w:right="180"/>
        <w:spacing w:after="0" w:line="275" w:lineRule="auto"/>
        <w:rPr>
          <w:sz w:val="20"/>
          <w:szCs w:val="20"/>
          <w:color w:val="auto"/>
        </w:rPr>
      </w:pPr>
      <w:r>
        <w:rPr>
          <w:rFonts w:ascii="Arial" w:cs="Arial" w:eastAsia="Arial" w:hAnsi="Arial"/>
          <w:sz w:val="17"/>
          <w:szCs w:val="17"/>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auto"/>
        </w:rPr>
        <w:t>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8"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individuals or carriers opt for more traditional or alternative channels for the purchase and sale of health insurance, our business could be harmed.</w:t>
      </w:r>
    </w:p>
    <w:p>
      <w:pPr>
        <w:spacing w:after="0" w:line="68"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0" w:lineRule="exact"/>
        <w:rPr>
          <w:sz w:val="20"/>
          <w:szCs w:val="20"/>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growth of the Internet as a market for individual health insurance plans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individuals’ willingness and ability to conduct their own health insurance research;</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make the process of purchasing health insurance online an attractive alternative to traditional and new means of purchasing health insurance;</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and cost-effectively market our services as superior to traditional or alternative sources for health insurance to a sufficiently large number of individuals;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carriers’ willingness to use us and the Internet as a distribution channel for health insurance products and plans.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60"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68" w:lineRule="exact"/>
        <w:rPr>
          <w:sz w:val="20"/>
          <w:szCs w:val="20"/>
          <w:color w:val="auto"/>
        </w:rPr>
      </w:pPr>
    </w:p>
    <w:p>
      <w:pPr>
        <w:ind w:left="160" w:right="840"/>
        <w:spacing w:after="0" w:line="271" w:lineRule="auto"/>
        <w:rPr>
          <w:sz w:val="20"/>
          <w:szCs w:val="20"/>
          <w:color w:val="auto"/>
        </w:rPr>
      </w:pPr>
      <w:r>
        <w:rPr>
          <w:rFonts w:ascii="Arial" w:cs="Arial" w:eastAsia="Arial" w:hAnsi="Arial"/>
          <w:sz w:val="18"/>
          <w:szCs w:val="18"/>
          <w:color w:val="auto"/>
        </w:rPr>
        <w:t>A significant portion of our total assets consists of goodwill and intangible assets. Goodwill and intangible assets, net, together accounted for approximately 66.9% of total assets on our balance sheet as of March 31, 2020.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00"/>
        <w:spacing w:after="0" w:line="255" w:lineRule="auto"/>
        <w:rPr>
          <w:sz w:val="20"/>
          <w:szCs w:val="20"/>
          <w:color w:val="auto"/>
        </w:rPr>
      </w:pPr>
      <w:r>
        <w:rPr>
          <w:rFonts w:ascii="Arial" w:cs="Arial" w:eastAsia="Arial" w:hAnsi="Arial"/>
          <w:sz w:val="18"/>
          <w:szCs w:val="18"/>
          <w:color w:val="auto"/>
        </w:rPr>
        <w:t>evaluate goodwill and intangible assets for impairment annually at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lease accounting standards may materially and adversely affect us.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Beginning on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300"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manage future growth effectively, our business, operating results and financial condition would be harmed.</w:t>
      </w:r>
    </w:p>
    <w:p>
      <w:pPr>
        <w:spacing w:after="0" w:line="114"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maintain a high level of service, our business, operating results and financial condition may be harmed.</w:t>
      </w:r>
    </w:p>
    <w:p>
      <w:pPr>
        <w:spacing w:after="0" w:line="114"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One of the key attributes of our business is providing high quality service to our carriers and customers. We may be unable to sustain these levels of service, which would harm our reputation and our business. Alternatively,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301"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21"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Foreign Corrupt Practices Act, or 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Global economic conditions could materially and adversely affect our revenue and results of operations.</w:t>
      </w:r>
    </w:p>
    <w:p>
      <w:pPr>
        <w:spacing w:after="0" w:line="114"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3"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320" w:top="456"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25" w:lineRule="exact"/>
        <w:rPr>
          <w:sz w:val="20"/>
          <w:szCs w:val="20"/>
          <w:color w:val="auto"/>
        </w:rPr>
      </w:pPr>
    </w:p>
    <w:p>
      <w:pPr>
        <w:ind w:left="160" w:right="380"/>
        <w:spacing w:after="0" w:line="259" w:lineRule="auto"/>
        <w:rPr>
          <w:sz w:val="20"/>
          <w:szCs w:val="20"/>
          <w:color w:val="auto"/>
        </w:rPr>
      </w:pPr>
      <w:r>
        <w:rPr>
          <w:rFonts w:ascii="Arial" w:cs="Arial" w:eastAsia="Arial" w:hAnsi="Arial"/>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92" w:lineRule="exact"/>
        <w:rPr>
          <w:sz w:val="20"/>
          <w:szCs w:val="20"/>
          <w:color w:val="auto"/>
        </w:rPr>
      </w:pPr>
    </w:p>
    <w:p>
      <w:pPr>
        <w:ind w:left="1140" w:right="120" w:hanging="438"/>
        <w:spacing w:after="0" w:line="25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undertaken for strategic business purposes may negatively impact our results of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acquired businesses may have unexpected liabilities that we will be forced to assume;</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acquired businesses, products or technologies may not generate sufficient revenue to offset acquisition costs or to maintain our financial results; and</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acquisitions may involve the entry into geographic or business markets in which we have little or no prior experience, such as our acquisition of Creatix which had operations in Slovakia.</w:t>
      </w:r>
    </w:p>
    <w:p>
      <w:pPr>
        <w:spacing w:after="0" w:line="17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2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Our provision for income taxes is subject to volatility and could be adversely affected by a number of factors, including earnings differing materially from our projections, changes in the valuation of our deferred tax assets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86" w:lineRule="exact"/>
        <w:rPr>
          <w:sz w:val="20"/>
          <w:szCs w:val="20"/>
          <w:color w:val="auto"/>
        </w:rPr>
      </w:pPr>
    </w:p>
    <w:p>
      <w:pPr>
        <w:jc w:val="both"/>
        <w:ind w:left="160" w:right="80"/>
        <w:spacing w:after="0" w:line="284" w:lineRule="auto"/>
        <w:rPr>
          <w:sz w:val="20"/>
          <w:szCs w:val="20"/>
          <w:color w:val="auto"/>
        </w:rPr>
      </w:pPr>
      <w:r>
        <w:rPr>
          <w:rFonts w:ascii="Arial" w:cs="Arial" w:eastAsia="Arial" w:hAnsi="Arial"/>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w:t>
      </w:r>
    </w:p>
    <w:p>
      <w:pPr>
        <w:spacing w:after="0" w:line="2" w:lineRule="exact"/>
        <w:rPr>
          <w:sz w:val="20"/>
          <w:szCs w:val="20"/>
          <w:color w:val="auto"/>
        </w:rPr>
      </w:pPr>
    </w:p>
    <w:p>
      <w:pPr>
        <w:ind w:left="160" w:right="340"/>
        <w:spacing w:after="0" w:line="318" w:lineRule="auto"/>
        <w:rPr>
          <w:sz w:val="20"/>
          <w:szCs w:val="20"/>
          <w:color w:val="auto"/>
        </w:rPr>
      </w:pPr>
      <w:r>
        <w:rPr>
          <w:rFonts w:ascii="Arial" w:cs="Arial" w:eastAsia="Arial" w:hAnsi="Arial"/>
          <w:sz w:val="16"/>
          <w:szCs w:val="16"/>
          <w:color w:val="auto"/>
        </w:rPr>
        <w:t>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4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79"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80"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9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6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59"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69"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6"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our business and operating results.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85"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76"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8"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7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68"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total principal amount of debt outstanding under our Credit Facilities, excluding unamortized debt discount and deferred issuance costs, as of March 31, 2020 was $415.5 million, consisting of $298.5 million and $117.0 million outstanding under our Term Loan Facility and Incremental Term Loan Facility, respectively. Our indebtedness could have significant effects on our business, such as:</w:t>
      </w:r>
    </w:p>
    <w:p>
      <w:pPr>
        <w:spacing w:after="0" w:line="92" w:lineRule="exact"/>
        <w:rPr>
          <w:sz w:val="20"/>
          <w:szCs w:val="20"/>
          <w:color w:val="auto"/>
        </w:rPr>
      </w:pPr>
    </w:p>
    <w:p>
      <w:pPr>
        <w:ind w:left="1140" w:right="26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56"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Restrictions imposed by our Credit Facilities may materially limit our ability to operate our business and finance our future operations or capital needs.</w:t>
      </w:r>
    </w:p>
    <w:p>
      <w:pPr>
        <w:spacing w:after="0" w:line="6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81" w:lineRule="exact"/>
        <w:rPr>
          <w:sz w:val="20"/>
          <w:szCs w:val="20"/>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14"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6" w:right="5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right="360"/>
        <w:spacing w:after="0" w:line="307" w:lineRule="auto"/>
        <w:rPr>
          <w:sz w:val="20"/>
          <w:szCs w:val="20"/>
          <w:color w:val="auto"/>
        </w:rPr>
      </w:pPr>
      <w:r>
        <w:rPr>
          <w:rFonts w:ascii="Arial" w:cs="Arial" w:eastAsia="Arial" w:hAnsi="Arial"/>
          <w:sz w:val="16"/>
          <w:szCs w:val="16"/>
          <w:b w:val="1"/>
          <w:bCs w:val="1"/>
          <w:i w:val="1"/>
          <w:iCs w:val="1"/>
          <w:color w:val="auto"/>
        </w:rPr>
        <w:t>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43"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GoHealth Holdings, LLC will continue to be treated as a partnership for U.S. federal income tax purposes and, as such, generally will not be subject to any entity-level U.S. federal income tax. Instead, any taxable income of GoHealth Holdings, LLC will be allocated to holders of LLC Interests, including us. Accordingly, we will incur income taxes on our allocable share of any net taxable income of GoHealth Holdings, LLC. Under the terms of the GoHealth Holdings, LLC Agreement, GoHealth Holdings,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 GoHealth Holdings, LLC Agreement— Agreement in Effect Upon Consummation of the Transactions—Distributions.” In addition, if GoHealth Holdings, LLC does not have sufficient funds to make distributions, our ability to declare and pay cash dividends will also be restricted or impaired. See “—Risks Related to the Offering and Ownership of our Class A Common Stock” and “Dividend Policy.”</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6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the consummation of this offering, we will enter into a Tax Receivable Agreement with GoHealth Holdings, LLC and each of the Continuing Equity Owners and Blocker Shareholders. Under the Tax Receivable Agreement, we will be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Transactions—GoHealth Holdings, LLC Agreement— Agreement in Effect Upon Consummation of the Transactions—Common Unit Redemption Right,” and (c) certain distributions (or deemed distributions) by GoHealth Holdings, LLC; and (3) certain other tax benefits arising from payments under the Tax Receivable Agreement. We expect that the amount of the cash payments we will be required to make under the Tax Receivable Agreement will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7"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4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GoHealth Holdings, LLC and the Continuing Equity Owners and the Blocker Shareholders in connection with the completion of this offering and the Transactions, which will provide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 GoHealth Holdings, LLC Agreement—Agreement in Effect Upon Consummation of the Transactions— Common Unit Redemption Right” and (c) certain distributions (or deemed distributions) by GoHealth Holdings, LLC; and (3)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279" w:lineRule="exact"/>
        <w:rPr>
          <w:sz w:val="20"/>
          <w:szCs w:val="20"/>
          <w:color w:val="auto"/>
        </w:rPr>
      </w:pPr>
    </w:p>
    <w:p>
      <w:pPr>
        <w:ind w:left="160" w:right="60"/>
        <w:spacing w:after="0" w:line="335"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w:t>
      </w:r>
    </w:p>
    <w:p>
      <w:pPr>
        <w:spacing w:after="0" w:line="31" w:lineRule="exact"/>
        <w:rPr>
          <w:sz w:val="20"/>
          <w:szCs w:val="20"/>
          <w:color w:val="auto"/>
        </w:rPr>
      </w:pPr>
    </w:p>
    <w:p>
      <w:pPr>
        <w:ind w:left="160" w:right="100" w:firstLine="7"/>
        <w:spacing w:after="0" w:line="270" w:lineRule="auto"/>
        <w:tabs>
          <w:tab w:leader="none" w:pos="4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after the consummation of this offering,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Agreement to the extent our cash resources are insufficient to meet our obligations under the Tax Receivable Agreement as a result of timing discrepancies or otherwise.</w:t>
      </w:r>
    </w:p>
    <w:p>
      <w:pPr>
        <w:spacing w:after="0" w:line="281"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the Founders. The interests of Centerbridge or the Founders in any such challenge may differ from or conflict with our interests and your interests, and Centerbridge or the Founders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77"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8"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81" w:lineRule="exact"/>
        <w:rPr>
          <w:sz w:val="20"/>
          <w:szCs w:val="20"/>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81"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3" w:lineRule="exact"/>
        <w:rPr>
          <w:sz w:val="20"/>
          <w:szCs w:val="20"/>
          <w:color w:val="auto"/>
        </w:rPr>
      </w:pPr>
    </w:p>
    <w:p>
      <w:pPr>
        <w:ind w:left="160" w:right="100" w:firstLine="7"/>
        <w:spacing w:after="0" w:line="292" w:lineRule="auto"/>
        <w:tabs>
          <w:tab w:leader="none" w:pos="4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2"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and GoHealth Holdings, LLC intend to conduct our operations so that we will not be deemed an investment company. As the sole managing member of GoHealth Holdings, LLC, we will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93"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We and GoHealth Holdings,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The Continuing Equity Owners will continue to have significant influence over us after this offering, including control over decisions that require the approval of stockholders.</w:t>
      </w:r>
    </w:p>
    <w:p>
      <w:pPr>
        <w:spacing w:after="0" w:line="68"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Upon consummation of this offering, the Continuing Equity Owners will control, in the aggregate, approximately % of the voting power represented by all our outstanding classes of stock. In addition, certain of our directors, officers and employees have indicated an interest to purchase an aggregate of up to 5% of the Class A common stock in this offering at the initial public offering price in the Directed Share Program. If such directors, officers or employees purchase all shares they have indicated interests in purchasing under the Directed Share Program, our directors, officers, holders</w:t>
      </w:r>
    </w:p>
    <w:p>
      <w:pPr>
        <w:spacing w:after="0" w:line="1" w:lineRule="exact"/>
        <w:rPr>
          <w:sz w:val="20"/>
          <w:szCs w:val="20"/>
          <w:color w:val="auto"/>
        </w:rPr>
      </w:pPr>
    </w:p>
    <w:p>
      <w:pPr>
        <w:ind w:left="160" w:right="720"/>
        <w:spacing w:after="0" w:line="279" w:lineRule="auto"/>
        <w:rPr>
          <w:sz w:val="20"/>
          <w:szCs w:val="20"/>
          <w:color w:val="auto"/>
        </w:rPr>
      </w:pPr>
      <w:r>
        <w:rPr>
          <w:rFonts w:ascii="Arial" w:cs="Arial" w:eastAsia="Arial" w:hAnsi="Arial"/>
          <w:sz w:val="16"/>
          <w:szCs w:val="16"/>
          <w:color w:val="auto"/>
        </w:rPr>
        <w:t>of 5% or more of our capital stock and their respective affiliates will control, in the aggregate, approximately % of the voting power represented by all of our outstanding classes of stock upon consummation of this offering (based on the assumed initial public offering price of</w:t>
      </w:r>
    </w:p>
    <w:p>
      <w:pPr>
        <w:ind w:left="160" w:right="20" w:firstLine="7"/>
        <w:spacing w:after="0" w:line="249" w:lineRule="auto"/>
        <w:tabs>
          <w:tab w:leader="none" w:pos="7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share, the midpoint of the estimated price range set forth on the cover page of this prospectus and assuming no exercise of the underwriters’ option to purchase additional shares and no exercise of outstanding options). As a result, the Continuing Equity Owners will continue to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The directors the Continuing Equity Owners elect have the authority to incur additional debt, issue or repurchase stock, declare dividends and make other decisions that could be detrimental to stockholders.</w:t>
      </w:r>
    </w:p>
    <w:p>
      <w:pPr>
        <w:spacing w:after="0" w:line="175"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We expect that members of our board will continue to be appointed by and/or affiliated with the Continuing Equity Owners who will have the ability to appoint the majority of directors.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you disagree and that may be adverse to your interests.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Further,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See “—Our amended and restated certificate of incorporation provides that the doctrine of “corporate opportunity” will not apply with respect to any director or stockholder who is not employed by us or our subsidiaries.”</w:t>
      </w:r>
    </w:p>
    <w:p>
      <w:pPr>
        <w:spacing w:after="0" w:line="19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Centerbridge and its affiliates, a Continuing Equity Owner,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 See “Description of Capital Stock—Corporate Opportunity Doctrine.”</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14"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79" w:lineRule="exact"/>
        <w:rPr>
          <w:sz w:val="20"/>
          <w:szCs w:val="20"/>
          <w:color w:val="auto"/>
        </w:rPr>
      </w:pPr>
    </w:p>
    <w:p>
      <w:pPr>
        <w:ind w:left="160" w:right="280"/>
        <w:spacing w:after="0" w:line="272" w:lineRule="auto"/>
        <w:rPr>
          <w:sz w:val="20"/>
          <w:szCs w:val="20"/>
          <w:color w:val="auto"/>
        </w:rPr>
      </w:pPr>
      <w:r>
        <w:rPr>
          <w:rFonts w:ascii="Arial" w:cs="Arial" w:eastAsia="Arial" w:hAnsi="Arial"/>
          <w:sz w:val="17"/>
          <w:szCs w:val="17"/>
          <w:color w:val="auto"/>
        </w:rPr>
        <w:t>After the consummation of the Transactions, will have more than 50% of the voting power for the election of directors, and, as a result, we will be considered a “controlled company” within the meaning of the Nasdaq rules. As such, we will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76"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 directors consists of “independent directors,” as defined under the Nasdaq rules. In addition, we will not be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64" w:lineRule="exact"/>
        <w:rPr>
          <w:sz w:val="20"/>
          <w:szCs w:val="20"/>
          <w:color w:val="auto"/>
        </w:rPr>
      </w:pPr>
    </w:p>
    <w:p>
      <w:pPr>
        <w:ind w:left="160" w:right="620"/>
        <w:spacing w:after="0" w:line="259"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37"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97" w:lineRule="exact"/>
        <w:rPr>
          <w:sz w:val="20"/>
          <w:szCs w:val="20"/>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150" w:lineRule="exact"/>
        <w:rPr>
          <w:rFonts w:ascii="Arial" w:cs="Arial" w:eastAsia="Arial" w:hAnsi="Arial"/>
          <w:sz w:val="16"/>
          <w:szCs w:val="16"/>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7"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 and</w:t>
      </w:r>
    </w:p>
    <w:p>
      <w:pPr>
        <w:spacing w:after="0" w:line="80"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certain provisions of amended and restated certificate of incorporation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w:t>
      </w:r>
    </w:p>
    <w:p>
      <w:pPr>
        <w:spacing w:after="0" w:line="175"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 or more of our voting stock) for a period of three years following the date on which the stockholder became an “interested” stockholder is prohibited, subject to certain exceptions. See “Description of Capital Stock.”</w:t>
      </w:r>
    </w:p>
    <w:p>
      <w:pPr>
        <w:spacing w:after="0" w:line="281"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79"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92" w:lineRule="exact"/>
        <w:rPr>
          <w:sz w:val="20"/>
          <w:szCs w:val="20"/>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127" w:lineRule="exact"/>
        <w:rPr>
          <w:rFonts w:ascii="Arial" w:cs="Arial" w:eastAsia="Arial" w:hAnsi="Arial"/>
          <w:sz w:val="18"/>
          <w:szCs w:val="18"/>
          <w:color w:val="auto"/>
        </w:rPr>
      </w:pPr>
    </w:p>
    <w:p>
      <w:pPr>
        <w:ind w:left="1020" w:right="180" w:hanging="425"/>
        <w:spacing w:after="0" w:line="25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9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92"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150" w:lineRule="exact"/>
        <w:rPr>
          <w:rFonts w:ascii="Arial" w:cs="Arial" w:eastAsia="Arial" w:hAnsi="Arial"/>
          <w:sz w:val="16"/>
          <w:szCs w:val="16"/>
          <w:color w:val="auto"/>
        </w:rPr>
      </w:pPr>
    </w:p>
    <w:p>
      <w:pPr>
        <w:ind w:left="1020" w:right="12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80" w:lineRule="exact"/>
        <w:rPr>
          <w:rFonts w:ascii="Arial" w:cs="Arial" w:eastAsia="Arial" w:hAnsi="Arial"/>
          <w:sz w:val="18"/>
          <w:szCs w:val="18"/>
          <w:color w:val="auto"/>
        </w:rPr>
      </w:pPr>
    </w:p>
    <w:p>
      <w:pPr>
        <w:ind w:left="1020" w:right="10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80"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w:t>
      </w:r>
    </w:p>
    <w:p>
      <w:pPr>
        <w:spacing w:after="0" w:line="43" w:lineRule="exact"/>
        <w:rPr>
          <w:sz w:val="20"/>
          <w:szCs w:val="20"/>
          <w:color w:val="auto"/>
        </w:rPr>
      </w:pPr>
    </w:p>
    <w:p>
      <w:pPr>
        <w:jc w:val="both"/>
        <w:ind w:left="160" w:right="80" w:firstLine="7"/>
        <w:spacing w:after="0" w:line="270" w:lineRule="auto"/>
        <w:tabs>
          <w:tab w:leader="none" w:pos="4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320" w:top="456"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93"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1"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28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79"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290"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90"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79" w:lineRule="exact"/>
        <w:rPr>
          <w:sz w:val="20"/>
          <w:szCs w:val="20"/>
          <w:color w:val="auto"/>
        </w:rPr>
      </w:pPr>
    </w:p>
    <w:p>
      <w:pPr>
        <w:ind w:left="160" w:right="320"/>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8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68"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6"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operations and financial condition, which in return may adversely affect the trading price of shares of our Class A common stock.</w:t>
      </w:r>
    </w:p>
    <w:p>
      <w:pPr>
        <w:spacing w:after="0" w:line="328" w:lineRule="exact"/>
        <w:rPr>
          <w:sz w:val="20"/>
          <w:szCs w:val="20"/>
          <w:color w:val="auto"/>
        </w:rPr>
      </w:pPr>
    </w:p>
    <w:p>
      <w:pPr>
        <w:ind w:left="160" w:right="240"/>
        <w:spacing w:after="0" w:line="368" w:lineRule="auto"/>
        <w:rPr>
          <w:sz w:val="20"/>
          <w:szCs w:val="20"/>
          <w:color w:val="auto"/>
        </w:rPr>
      </w:pPr>
      <w:r>
        <w:rPr>
          <w:rFonts w:ascii="Arial" w:cs="Arial" w:eastAsia="Arial" w:hAnsi="Arial"/>
          <w:sz w:val="14"/>
          <w:szCs w:val="14"/>
          <w:b w:val="1"/>
          <w:bCs w:val="1"/>
          <w:i w:val="1"/>
          <w:iCs w:val="1"/>
          <w:color w:val="auto"/>
        </w:rPr>
        <w:t>As a public reporting company, we will be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Upon completion of this offering, we will become a public reporting company subject to the Nasdaq rules and the rules and regulations established from time to time by the SEC.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this offering.</w:t>
      </w:r>
    </w:p>
    <w:p>
      <w:pPr>
        <w:spacing w:after="0" w:line="17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Prior to this offering, we operated on a private basis. After this offering, we will be subject to the reporting requirements of the Exchange Act, the</w:t>
      </w:r>
    </w:p>
    <w:p>
      <w:pPr>
        <w:spacing w:after="0" w:line="31"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Sarbanes-Oxley Act, the Dodd-Frank Act, the listing requirements of the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6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Upon consummation of the Transactions, we will have outstanding a total of shares of Class A common stock. Of the outstanding shares, the shares sold in this offering (or shares if the underwriters exercise in full their option to purchase additional shares) will be freely</w:t>
      </w:r>
    </w:p>
    <w:p>
      <w:pPr>
        <w:spacing w:after="0" w:line="1" w:lineRule="exact"/>
        <w:rPr>
          <w:sz w:val="20"/>
          <w:szCs w:val="20"/>
          <w:color w:val="auto"/>
        </w:rPr>
      </w:pPr>
    </w:p>
    <w:p>
      <w:pPr>
        <w:ind w:left="160"/>
        <w:spacing w:after="0" w:line="292" w:lineRule="auto"/>
        <w:rPr>
          <w:sz w:val="20"/>
          <w:szCs w:val="20"/>
          <w:color w:val="auto"/>
        </w:rPr>
      </w:pPr>
      <w:r>
        <w:rPr>
          <w:rFonts w:ascii="Arial" w:cs="Arial" w:eastAsia="Arial" w:hAnsi="Arial"/>
          <w:sz w:val="16"/>
          <w:szCs w:val="16"/>
          <w:color w:val="auto"/>
        </w:rPr>
        <w:t>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62" w:lineRule="exact"/>
        <w:rPr>
          <w:sz w:val="20"/>
          <w:szCs w:val="20"/>
          <w:color w:val="auto"/>
        </w:rPr>
      </w:pPr>
    </w:p>
    <w:p>
      <w:pPr>
        <w:ind w:left="160" w:right="40"/>
        <w:spacing w:after="0" w:line="280" w:lineRule="auto"/>
        <w:rPr>
          <w:sz w:val="20"/>
          <w:szCs w:val="20"/>
          <w:color w:val="auto"/>
        </w:rPr>
      </w:pPr>
      <w:r>
        <w:rPr>
          <w:rFonts w:ascii="Arial" w:cs="Arial" w:eastAsia="Arial" w:hAnsi="Arial"/>
          <w:sz w:val="16"/>
          <w:szCs w:val="16"/>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w:t>
      </w:r>
    </w:p>
    <w:p>
      <w:pPr>
        <w:spacing w:after="0" w:line="6" w:lineRule="exact"/>
        <w:rPr>
          <w:sz w:val="20"/>
          <w:szCs w:val="20"/>
          <w:color w:val="auto"/>
        </w:rPr>
      </w:pPr>
    </w:p>
    <w:p>
      <w:pPr>
        <w:ind w:left="160" w:firstLine="7"/>
        <w:spacing w:after="0" w:line="252" w:lineRule="auto"/>
        <w:tabs>
          <w:tab w:leader="none" w:pos="4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 See “Underwriting.”</w:t>
      </w:r>
    </w:p>
    <w:p>
      <w:pPr>
        <w:spacing w:after="0" w:line="191" w:lineRule="exact"/>
        <w:rPr>
          <w:sz w:val="20"/>
          <w:szCs w:val="20"/>
          <w:color w:val="auto"/>
        </w:rPr>
      </w:pPr>
    </w:p>
    <w:p>
      <w:pPr>
        <w:ind w:left="160" w:right="60"/>
        <w:spacing w:after="0" w:line="281" w:lineRule="auto"/>
        <w:rPr>
          <w:sz w:val="20"/>
          <w:szCs w:val="20"/>
          <w:color w:val="auto"/>
        </w:rPr>
      </w:pPr>
      <w:r>
        <w:rPr>
          <w:rFonts w:ascii="Arial" w:cs="Arial" w:eastAsia="Arial" w:hAnsi="Arial"/>
          <w:sz w:val="17"/>
          <w:szCs w:val="17"/>
          <w:color w:val="auto"/>
        </w:rPr>
        <w:t>In addition, we have reserved shares of Class A common stock equal to % of the total number of outstanding LLC Interests following this offering for issuance under the 2020 Plan. Any Class A common stock that we issue under the 2020 Plan or other equity incentive plans that we may adopt in the future would dilute the percentage ownership held by the investors who purchase Class A common stock in this offering.</w:t>
      </w:r>
    </w:p>
    <w:p>
      <w:pPr>
        <w:spacing w:after="0" w:line="169" w:lineRule="exact"/>
        <w:rPr>
          <w:sz w:val="20"/>
          <w:szCs w:val="20"/>
          <w:color w:val="auto"/>
        </w:rPr>
      </w:pPr>
    </w:p>
    <w:p>
      <w:pPr>
        <w:ind w:left="160" w:right="60"/>
        <w:spacing w:after="0" w:line="281"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69"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68"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58" w:lineRule="exact"/>
        <w:rPr>
          <w:sz w:val="20"/>
          <w:szCs w:val="20"/>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27"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technology changes, changes in consumer behavior or changes in merchant relationships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merchants, affiliates or strategic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global payment companies;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80"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27"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75"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suffer immediate and substantial dilution of your investment.</w:t>
      </w:r>
    </w:p>
    <w:p>
      <w:pPr>
        <w:spacing w:after="0" w:line="137"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Therefore, if you purchase shares of our Class A common stock in this offering, you will pay a price per share that substantially exceeds</w:t>
      </w:r>
    </w:p>
    <w:p>
      <w:pPr>
        <w:spacing w:after="0" w:line="1" w:lineRule="exact"/>
        <w:rPr>
          <w:sz w:val="20"/>
          <w:szCs w:val="20"/>
          <w:color w:val="auto"/>
        </w:rPr>
      </w:pPr>
    </w:p>
    <w:p>
      <w:pPr>
        <w:ind w:left="160" w:right="200"/>
        <w:spacing w:after="0" w:line="268" w:lineRule="auto"/>
        <w:rPr>
          <w:sz w:val="20"/>
          <w:szCs w:val="20"/>
          <w:color w:val="auto"/>
        </w:rPr>
      </w:pPr>
      <w:r>
        <w:rPr>
          <w:rFonts w:ascii="Arial" w:cs="Arial" w:eastAsia="Arial" w:hAnsi="Arial"/>
          <w:sz w:val="17"/>
          <w:szCs w:val="17"/>
          <w:color w:val="auto"/>
        </w:rPr>
        <w:t>our pro forma net tangible book value per share after this offering. You will experience immediate dilution of $ per share, representing the difference between our pro forma net tangible book value per share after giving effect to this offering and the initial public offering price. In addition, investors who purchase Class A common stock from us in this offering will have contributed % of the aggregate price paid by all purchasers of our outstanding equity but will own only approximately % of our outstanding equity after this offering. See “Dilution” for more detail, including the calculation of the pro forma net tangible book value per share of our Class A common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320" w:top="456"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are not limited to, the following</w:t>
      </w:r>
    </w:p>
    <w:p>
      <w:pPr>
        <w:spacing w:after="0" w:line="81" w:lineRule="exact"/>
        <w:rPr>
          <w:sz w:val="20"/>
          <w:szCs w:val="20"/>
          <w:color w:val="auto"/>
        </w:rPr>
      </w:pPr>
    </w:p>
    <w:p>
      <w:pPr>
        <w:ind w:left="1140" w:hanging="438"/>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comply with the numerous, complex and frequently changing laws regulating the marketing and sale of Medicare plans;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significant influence Continuing Equity Owners will have over us after the Transactions, including control over decisions that require the approval of stockholders.</w:t>
      </w:r>
    </w:p>
    <w:p>
      <w:pPr>
        <w:spacing w:after="0" w:line="17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GoHealth, Inc., a Delaware corporation, was formed on March 27, 2020 and is the issuer of the Class A common stock offered by this prospectus. Prior to this offering and the Transactions (as defined below), all of our business operations have been conducted through GoHealth Holdings, LLC and its direct and indirect subsidiaries and the Original Equity Owners are the only owners of GoHealth Holdings, LLC. We will consummate the Transactions, excluding this offering, substantially concurrently with or prior to the consummation of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Existing Organization</w:t>
      </w:r>
    </w:p>
    <w:p>
      <w:pPr>
        <w:spacing w:after="0" w:line="118"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GoHealth Holdings, LLC is treated as a partnership for U.S. federal income tax purposes and, as such is generally not subject to any U.S. federal entity-level income taxes. Taxable income or loss of GoHealth Holdings, LLC is included in the U.S. federal income tax returns of GoHealth Holdings, LLC’s members. Prior to the consummation of this offering, the Original Equity Owners were the only members of GoHealth Holdings, LLC.</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w:t>
      </w:r>
    </w:p>
    <w:p>
      <w:pPr>
        <w:spacing w:after="0" w:line="118"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Prior to the Transactions, we expect there will initially be one holder of common stock of GoHealth, Inc. We will consummate the following organizational transactions in connection with this offering:</w:t>
      </w:r>
    </w:p>
    <w:p>
      <w:pPr>
        <w:spacing w:after="0" w:line="81" w:lineRule="exact"/>
        <w:rPr>
          <w:sz w:val="20"/>
          <w:szCs w:val="20"/>
          <w:color w:val="auto"/>
        </w:rPr>
      </w:pPr>
    </w:p>
    <w:p>
      <w:pPr>
        <w:ind w:left="1020" w:right="120" w:hanging="425"/>
        <w:spacing w:after="0" w:line="284"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interests awarded under the existing limited liability company agreement of</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GoHealth Holdings, LLC (and corresponding profits interests issued under the existing limited liability agreement of Blizzard Management</w:t>
      </w:r>
    </w:p>
    <w:p>
      <w:pPr>
        <w:spacing w:after="0" w:line="30" w:lineRule="exact"/>
        <w:rPr>
          <w:sz w:val="20"/>
          <w:szCs w:val="20"/>
          <w:color w:val="auto"/>
        </w:rPr>
      </w:pPr>
    </w:p>
    <w:p>
      <w:pPr>
        <w:ind w:left="1020" w:right="60"/>
        <w:spacing w:after="0" w:line="252" w:lineRule="auto"/>
        <w:rPr>
          <w:sz w:val="20"/>
          <w:szCs w:val="20"/>
          <w:color w:val="auto"/>
        </w:rPr>
      </w:pPr>
      <w:r>
        <w:rPr>
          <w:rFonts w:ascii="Arial" w:cs="Arial" w:eastAsia="Arial" w:hAnsi="Arial"/>
          <w:sz w:val="18"/>
          <w:szCs w:val="18"/>
          <w:color w:val="auto"/>
        </w:rPr>
        <w:t>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97" w:lineRule="exact"/>
        <w:rPr>
          <w:sz w:val="20"/>
          <w:szCs w:val="20"/>
          <w:color w:val="auto"/>
        </w:rPr>
      </w:pPr>
    </w:p>
    <w:p>
      <w:pPr>
        <w:jc w:val="both"/>
        <w:ind w:left="1020" w:right="80" w:hanging="425"/>
        <w:spacing w:after="0" w:line="287"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w:t>
      </w:r>
    </w:p>
    <w:p>
      <w:pPr>
        <w:ind w:left="1020" w:right="220"/>
        <w:spacing w:after="0" w:line="298" w:lineRule="auto"/>
        <w:rPr>
          <w:rFonts w:ascii="Arial" w:cs="Arial" w:eastAsia="Arial" w:hAnsi="Arial"/>
          <w:sz w:val="16"/>
          <w:szCs w:val="16"/>
          <w:color w:val="auto"/>
        </w:rPr>
      </w:pPr>
      <w:r>
        <w:rPr>
          <w:rFonts w:ascii="Arial" w:cs="Arial" w:eastAsia="Arial" w:hAnsi="Arial"/>
          <w:sz w:val="16"/>
          <w:szCs w:val="16"/>
          <w:color w:val="auto"/>
        </w:rPr>
        <w:t>(2)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64" w:lineRule="exact"/>
        <w:rPr>
          <w:rFonts w:ascii="Arial" w:cs="Arial" w:eastAsia="Arial" w:hAnsi="Arial"/>
          <w:sz w:val="16"/>
          <w:szCs w:val="16"/>
          <w:color w:val="auto"/>
        </w:rPr>
      </w:pPr>
    </w:p>
    <w:p>
      <w:pPr>
        <w:ind w:left="1020" w:hanging="42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w:t>
      </w:r>
    </w:p>
    <w:p>
      <w:pPr>
        <w:spacing w:after="0" w:line="1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5860" w:type="dxa"/>
            <w:vAlign w:val="bottom"/>
            <w:gridSpan w:val="3"/>
          </w:tcPr>
          <w:p>
            <w:pPr>
              <w:ind w:left="6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2540" w:type="dxa"/>
            <w:vAlign w:val="bottom"/>
          </w:tcPr>
          <w:p>
            <w:pPr>
              <w:jc w:val="right"/>
              <w:ind w:right="311"/>
              <w:spacing w:after="0"/>
              <w:rPr>
                <w:sz w:val="20"/>
                <w:szCs w:val="20"/>
                <w:color w:val="auto"/>
              </w:rPr>
            </w:pPr>
            <w:r>
              <w:rPr>
                <w:rFonts w:ascii="Arial" w:cs="Arial" w:eastAsia="Arial" w:hAnsi="Arial"/>
                <w:sz w:val="18"/>
                <w:szCs w:val="18"/>
                <w:color w:val="auto"/>
              </w:rPr>
              <w:t>million (based on the</w:t>
            </w:r>
          </w:p>
        </w:tc>
      </w:tr>
      <w:tr>
        <w:trPr>
          <w:trHeight w:val="214"/>
        </w:trPr>
        <w:tc>
          <w:tcPr>
            <w:tcW w:w="24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w w:val="89"/>
              </w:rPr>
              <w:t>midpoint of the estimated price range set forth on the cover page of this prospectus) in cash to Blocker Shareholders as partial consideration</w:t>
            </w:r>
          </w:p>
        </w:tc>
      </w:tr>
      <w:tr>
        <w:trPr>
          <w:trHeight w:val="227"/>
        </w:trPr>
        <w:tc>
          <w:tcPr>
            <w:tcW w:w="24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1"/>
              </w:rPr>
              <w:t>in the Blocker Merger;</w:t>
            </w: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8400" w:type="dxa"/>
            <w:vAlign w:val="bottom"/>
            <w:gridSpan w:val="4"/>
          </w:tcPr>
          <w:p>
            <w:pPr>
              <w:spacing w:after="0"/>
              <w:rPr>
                <w:sz w:val="20"/>
                <w:szCs w:val="20"/>
                <w:color w:val="auto"/>
              </w:rPr>
            </w:pPr>
            <w:r>
              <w:rPr>
                <w:rFonts w:ascii="Arial" w:cs="Arial" w:eastAsia="Arial" w:hAnsi="Arial"/>
                <w:sz w:val="18"/>
                <w:szCs w:val="18"/>
                <w:color w:val="auto"/>
                <w:w w:val="90"/>
              </w:rPr>
              <w:t>shares of our Class B common stock to the Continuing Equity Owners, which is equal to the number of LLC Interests</w:t>
            </w:r>
          </w:p>
        </w:tc>
      </w:tr>
      <w:tr>
        <w:trPr>
          <w:trHeight w:val="227"/>
        </w:trPr>
        <w:tc>
          <w:tcPr>
            <w:tcW w:w="240" w:type="dxa"/>
            <w:vAlign w:val="bottom"/>
          </w:tcPr>
          <w:p>
            <w:pPr>
              <w:spacing w:after="0"/>
              <w:rPr>
                <w:sz w:val="19"/>
                <w:szCs w:val="19"/>
                <w:color w:val="auto"/>
              </w:rPr>
            </w:pPr>
          </w:p>
        </w:tc>
        <w:tc>
          <w:tcPr>
            <w:tcW w:w="6260" w:type="dxa"/>
            <w:vAlign w:val="bottom"/>
            <w:gridSpan w:val="4"/>
          </w:tcPr>
          <w:p>
            <w:pPr>
              <w:ind w:left="180"/>
              <w:spacing w:after="0"/>
              <w:rPr>
                <w:sz w:val="20"/>
                <w:szCs w:val="20"/>
                <w:color w:val="auto"/>
              </w:rPr>
            </w:pPr>
            <w:r>
              <w:rPr>
                <w:rFonts w:ascii="Arial" w:cs="Arial" w:eastAsia="Arial" w:hAnsi="Arial"/>
                <w:sz w:val="18"/>
                <w:szCs w:val="18"/>
                <w:color w:val="auto"/>
              </w:rPr>
              <w:t>held by such Continuing Equity Owners, for nominal consideration;</w:t>
            </w: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5860" w:type="dxa"/>
            <w:vAlign w:val="bottom"/>
            <w:gridSpan w:val="3"/>
          </w:tcPr>
          <w:p>
            <w:pPr>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2540" w:type="dxa"/>
            <w:vAlign w:val="bottom"/>
          </w:tcPr>
          <w:p>
            <w:pPr>
              <w:jc w:val="right"/>
              <w:spacing w:after="0"/>
              <w:rPr>
                <w:sz w:val="20"/>
                <w:szCs w:val="20"/>
                <w:color w:val="auto"/>
              </w:rPr>
            </w:pPr>
            <w:r>
              <w:rPr>
                <w:rFonts w:ascii="Arial" w:cs="Arial" w:eastAsia="Arial" w:hAnsi="Arial"/>
                <w:sz w:val="18"/>
                <w:szCs w:val="18"/>
                <w:color w:val="auto"/>
                <w:w w:val="90"/>
              </w:rPr>
              <w:t>shares if the underwriters exercise</w:t>
            </w:r>
          </w:p>
        </w:tc>
      </w:tr>
      <w:tr>
        <w:trPr>
          <w:trHeight w:val="214"/>
        </w:trPr>
        <w:tc>
          <w:tcPr>
            <w:tcW w:w="24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rPr>
              <w:t>in full their option to purchase additional shares of Class A common stock) in exchange for net proceeds of approximately</w:t>
            </w:r>
          </w:p>
        </w:tc>
      </w:tr>
      <w:tr>
        <w:trPr>
          <w:trHeight w:val="214"/>
        </w:trPr>
        <w:tc>
          <w:tcPr>
            <w:tcW w:w="24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360"/>
              <w:spacing w:after="0"/>
              <w:rPr>
                <w:sz w:val="20"/>
                <w:szCs w:val="20"/>
                <w:color w:val="auto"/>
              </w:rPr>
            </w:pPr>
            <w:r>
              <w:rPr>
                <w:rFonts w:ascii="Arial" w:cs="Arial" w:eastAsia="Arial" w:hAnsi="Arial"/>
                <w:sz w:val="18"/>
                <w:szCs w:val="18"/>
                <w:color w:val="auto"/>
              </w:rPr>
              <w:t>million (or approximately $</w:t>
            </w:r>
          </w:p>
        </w:tc>
        <w:tc>
          <w:tcPr>
            <w:tcW w:w="6900" w:type="dxa"/>
            <w:vAlign w:val="bottom"/>
            <w:gridSpan w:val="3"/>
          </w:tcPr>
          <w:p>
            <w:pPr>
              <w:jc w:val="right"/>
              <w:ind w:right="311"/>
              <w:spacing w:after="0"/>
              <w:rPr>
                <w:sz w:val="20"/>
                <w:szCs w:val="20"/>
                <w:color w:val="auto"/>
              </w:rPr>
            </w:pPr>
            <w:r>
              <w:rPr>
                <w:rFonts w:ascii="Arial" w:cs="Arial" w:eastAsia="Arial" w:hAnsi="Arial"/>
                <w:sz w:val="18"/>
                <w:szCs w:val="18"/>
                <w:color w:val="auto"/>
                <w:w w:val="96"/>
              </w:rPr>
              <w:t>million if the underwriters exercise in full their option to purchase additional shares of</w:t>
            </w:r>
          </w:p>
        </w:tc>
      </w:tr>
      <w:tr>
        <w:trPr>
          <w:trHeight w:val="214"/>
        </w:trPr>
        <w:tc>
          <w:tcPr>
            <w:tcW w:w="240" w:type="dxa"/>
            <w:vAlign w:val="bottom"/>
          </w:tcPr>
          <w:p>
            <w:pPr>
              <w:spacing w:after="0"/>
              <w:rPr>
                <w:sz w:val="18"/>
                <w:szCs w:val="18"/>
                <w:color w:val="auto"/>
              </w:rPr>
            </w:pPr>
          </w:p>
        </w:tc>
        <w:tc>
          <w:tcPr>
            <w:tcW w:w="6260" w:type="dxa"/>
            <w:vAlign w:val="bottom"/>
            <w:gridSpan w:val="4"/>
          </w:tcPr>
          <w:p>
            <w:pPr>
              <w:ind w:left="180"/>
              <w:spacing w:after="0"/>
              <w:rPr>
                <w:sz w:val="20"/>
                <w:szCs w:val="20"/>
                <w:color w:val="auto"/>
              </w:rPr>
            </w:pPr>
            <w:r>
              <w:rPr>
                <w:rFonts w:ascii="Arial" w:cs="Arial" w:eastAsia="Arial" w:hAnsi="Arial"/>
                <w:sz w:val="18"/>
                <w:szCs w:val="18"/>
                <w:color w:val="auto"/>
                <w:w w:val="95"/>
              </w:rPr>
              <w:t>Class A common stock) based upon an assumed initial public offering price of $</w:t>
            </w:r>
          </w:p>
        </w:tc>
        <w:tc>
          <w:tcPr>
            <w:tcW w:w="3960" w:type="dxa"/>
            <w:vAlign w:val="bottom"/>
            <w:gridSpan w:val="2"/>
          </w:tcPr>
          <w:p>
            <w:pPr>
              <w:jc w:val="right"/>
              <w:ind w:right="31"/>
              <w:spacing w:after="0"/>
              <w:rPr>
                <w:sz w:val="20"/>
                <w:szCs w:val="20"/>
                <w:color w:val="auto"/>
              </w:rPr>
            </w:pPr>
            <w:r>
              <w:rPr>
                <w:rFonts w:ascii="Arial" w:cs="Arial" w:eastAsia="Arial" w:hAnsi="Arial"/>
                <w:sz w:val="18"/>
                <w:szCs w:val="18"/>
                <w:color w:val="auto"/>
                <w:w w:val="98"/>
              </w:rPr>
              <w:t>per share (which is the midpoint of the estimated</w:t>
            </w:r>
          </w:p>
        </w:tc>
      </w:tr>
      <w:tr>
        <w:trPr>
          <w:trHeight w:val="227"/>
        </w:trPr>
        <w:tc>
          <w:tcPr>
            <w:tcW w:w="240" w:type="dxa"/>
            <w:vAlign w:val="bottom"/>
          </w:tcPr>
          <w:p>
            <w:pPr>
              <w:spacing w:after="0"/>
              <w:rPr>
                <w:sz w:val="19"/>
                <w:szCs w:val="19"/>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w w:val="91"/>
              </w:rPr>
              <w:t>price range set forth on the cover page of this prospectus), less the underwriting discount and estimated offering expenses payable by us;</w:t>
            </w:r>
          </w:p>
        </w:tc>
      </w:tr>
      <w:tr>
        <w:trPr>
          <w:trHeight w:val="361"/>
        </w:trPr>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40" w:type="dxa"/>
            <w:vAlign w:val="bottom"/>
          </w:tcPr>
          <w:p>
            <w:pPr>
              <w:jc w:val="right"/>
              <w:ind w:right="1291"/>
              <w:spacing w:after="0"/>
              <w:rPr>
                <w:sz w:val="20"/>
                <w:szCs w:val="20"/>
                <w:color w:val="auto"/>
              </w:rPr>
            </w:pPr>
            <w:r>
              <w:rPr>
                <w:rFonts w:ascii="Arial" w:cs="Arial" w:eastAsia="Arial" w:hAnsi="Arial"/>
                <w:sz w:val="18"/>
                <w:szCs w:val="18"/>
                <w:color w:val="auto"/>
              </w:rPr>
              <w:t>78</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60"/>
          </w:cols>
          <w:pgMar w:left="320" w:top="456" w:right="519" w:bottom="1440" w:gutter="0" w:footer="0" w:header="0"/>
        </w:sect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use the net proceeds from this offering to (i) purchase newly-issued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 million in cash to the Blocker Shareholders as partial consideration in the Blocker Merger;</w:t>
      </w:r>
    </w:p>
    <w:p>
      <w:pPr>
        <w:spacing w:after="0" w:line="99" w:lineRule="exact"/>
        <w:rPr>
          <w:sz w:val="20"/>
          <w:szCs w:val="20"/>
          <w:color w:val="auto"/>
        </w:rPr>
      </w:pPr>
    </w:p>
    <w:p>
      <w:pPr>
        <w:sectPr>
          <w:pgSz w:w="11900" w:h="16838" w:orient="portrait"/>
          <w:cols w:equalWidth="0" w:num="2">
            <w:col w:w="660" w:space="360"/>
            <w:col w:w="10040"/>
          </w:cols>
          <w:pgMar w:left="320" w:top="456" w:right="519" w:bottom="1440" w:gutter="0" w:footer="0" w:header="0"/>
          <w:type w:val="continuous"/>
        </w:sectPr>
      </w:pPr>
    </w:p>
    <w:p>
      <w:pPr>
        <w:ind w:left="1020" w:hanging="425"/>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to (i) partially redeem certain of</w:t>
      </w:r>
    </w:p>
    <w:p>
      <w:pPr>
        <w:spacing w:after="0" w:line="43" w:lineRule="exact"/>
        <w:rPr>
          <w:sz w:val="20"/>
          <w:szCs w:val="20"/>
          <w:color w:val="auto"/>
        </w:rPr>
      </w:pPr>
    </w:p>
    <w:p>
      <w:pPr>
        <w:ind w:left="1020"/>
        <w:spacing w:after="0"/>
        <w:tabs>
          <w:tab w:leader="none" w:pos="6640" w:val="left"/>
        </w:tabs>
        <w:rPr>
          <w:sz w:val="20"/>
          <w:szCs w:val="20"/>
          <w:color w:val="auto"/>
        </w:rPr>
      </w:pPr>
      <w:r>
        <w:rPr>
          <w:rFonts w:ascii="Arial" w:cs="Arial" w:eastAsia="Arial" w:hAnsi="Arial"/>
          <w:sz w:val="18"/>
          <w:szCs w:val="18"/>
          <w:color w:val="auto"/>
        </w:rPr>
        <w:t>the LLC Interests held by the Continuing Equity Owners, (ii) repay $</w:t>
      </w:r>
      <w:r>
        <w:rPr>
          <w:sz w:val="20"/>
          <w:szCs w:val="20"/>
          <w:color w:val="auto"/>
        </w:rPr>
        <w:tab/>
      </w:r>
      <w:r>
        <w:rPr>
          <w:rFonts w:ascii="Arial" w:cs="Arial" w:eastAsia="Arial" w:hAnsi="Arial"/>
          <w:sz w:val="16"/>
          <w:szCs w:val="16"/>
          <w:color w:val="auto"/>
        </w:rPr>
        <w:t>million of borrowings under the Term Loan Facility and</w:t>
      </w:r>
    </w:p>
    <w:p>
      <w:pPr>
        <w:spacing w:after="0" w:line="7" w:lineRule="exact"/>
        <w:rPr>
          <w:sz w:val="20"/>
          <w:szCs w:val="20"/>
          <w:color w:val="auto"/>
        </w:rPr>
      </w:pPr>
    </w:p>
    <w:p>
      <w:pPr>
        <w:ind w:left="1340" w:hanging="317"/>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proceeds remain, for general corporate purposes, in each case, as described under “Use of Proceeds;” and</w:t>
      </w:r>
    </w:p>
    <w:p>
      <w:pPr>
        <w:spacing w:after="0" w:line="114" w:lineRule="exact"/>
        <w:rPr>
          <w:rFonts w:ascii="Arial" w:cs="Arial" w:eastAsia="Arial" w:hAnsi="Arial"/>
          <w:sz w:val="18"/>
          <w:szCs w:val="18"/>
          <w:color w:val="auto"/>
        </w:rPr>
      </w:pPr>
    </w:p>
    <w:p>
      <w:pPr>
        <w:ind w:left="1020" w:hanging="425"/>
        <w:spacing w:after="0" w:line="275"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our Founders,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31" w:lineRule="exact"/>
        <w:rPr>
          <w:sz w:val="20"/>
          <w:szCs w:val="20"/>
          <w:color w:val="auto"/>
        </w:rPr>
      </w:pPr>
    </w:p>
    <w:p>
      <w:pPr>
        <w:ind w:left="1020" w:right="12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80" w:lineRule="exact"/>
        <w:rPr>
          <w:rFonts w:ascii="Arial" w:cs="Arial" w:eastAsia="Arial" w:hAnsi="Arial"/>
          <w:sz w:val="18"/>
          <w:szCs w:val="18"/>
          <w:color w:val="auto"/>
        </w:rPr>
      </w:pPr>
    </w:p>
    <w:p>
      <w:pPr>
        <w:ind w:left="1020" w:right="60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1"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5480" w:type="dxa"/>
            <w:vAlign w:val="bottom"/>
            <w:gridSpan w:val="5"/>
          </w:tcPr>
          <w:p>
            <w:pPr>
              <w:jc w:val="right"/>
              <w:ind w:right="51"/>
              <w:spacing w:after="0"/>
              <w:rPr>
                <w:sz w:val="20"/>
                <w:szCs w:val="20"/>
                <w:color w:val="auto"/>
              </w:rPr>
            </w:pPr>
            <w:r>
              <w:rPr>
                <w:rFonts w:ascii="Arial" w:cs="Arial" w:eastAsia="Arial" w:hAnsi="Arial"/>
                <w:sz w:val="18"/>
                <w:szCs w:val="18"/>
                <w:color w:val="auto"/>
                <w:w w:val="96"/>
              </w:rPr>
              <w:t>LLC Interests of GoHealth Holdings, LLC, representing approximately</w:t>
            </w:r>
          </w:p>
        </w:tc>
        <w:tc>
          <w:tcPr>
            <w:tcW w:w="720" w:type="dxa"/>
            <w:vAlign w:val="bottom"/>
          </w:tcPr>
          <w:p>
            <w:pPr>
              <w:ind w:left="40"/>
              <w:spacing w:after="0"/>
              <w:rPr>
                <w:sz w:val="20"/>
                <w:szCs w:val="20"/>
                <w:color w:val="auto"/>
              </w:rPr>
            </w:pPr>
            <w:r>
              <w:rPr>
                <w:rFonts w:ascii="Arial" w:cs="Arial" w:eastAsia="Arial" w:hAnsi="Arial"/>
                <w:sz w:val="18"/>
                <w:szCs w:val="18"/>
                <w:color w:val="auto"/>
                <w:w w:val="99"/>
              </w:rPr>
              <w:t>% of the</w:t>
            </w:r>
          </w:p>
        </w:tc>
      </w:tr>
      <w:tr>
        <w:trPr>
          <w:trHeight w:val="214"/>
        </w:trPr>
        <w:tc>
          <w:tcPr>
            <w:tcW w:w="240" w:type="dxa"/>
            <w:vAlign w:val="bottom"/>
          </w:tcPr>
          <w:p>
            <w:pPr>
              <w:spacing w:after="0"/>
              <w:rPr>
                <w:sz w:val="18"/>
                <w:szCs w:val="18"/>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w w:val="98"/>
              </w:rPr>
              <w:t>economic interest in GoHealth Holdings, LLC (or</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w w:val="92"/>
              </w:rPr>
              <w:t>LLC Interests, representing approximately</w:t>
            </w:r>
          </w:p>
        </w:tc>
        <w:tc>
          <w:tcPr>
            <w:tcW w:w="2640" w:type="dxa"/>
            <w:vAlign w:val="bottom"/>
            <w:gridSpan w:val="3"/>
          </w:tcPr>
          <w:p>
            <w:pPr>
              <w:ind w:left="100"/>
              <w:spacing w:after="0"/>
              <w:rPr>
                <w:sz w:val="20"/>
                <w:szCs w:val="20"/>
                <w:color w:val="auto"/>
              </w:rPr>
            </w:pPr>
            <w:r>
              <w:rPr>
                <w:rFonts w:ascii="Arial" w:cs="Arial" w:eastAsia="Arial" w:hAnsi="Arial"/>
                <w:sz w:val="18"/>
                <w:szCs w:val="18"/>
                <w:color w:val="auto"/>
              </w:rPr>
              <w:t>% of the economic interest in</w:t>
            </w:r>
          </w:p>
        </w:tc>
      </w:tr>
      <w:tr>
        <w:trPr>
          <w:trHeight w:val="227"/>
        </w:trPr>
        <w:tc>
          <w:tcPr>
            <w:tcW w:w="240" w:type="dxa"/>
            <w:vAlign w:val="bottom"/>
          </w:tcPr>
          <w:p>
            <w:pPr>
              <w:spacing w:after="0"/>
              <w:rPr>
                <w:sz w:val="19"/>
                <w:szCs w:val="19"/>
                <w:color w:val="auto"/>
              </w:rPr>
            </w:pPr>
          </w:p>
        </w:tc>
        <w:tc>
          <w:tcPr>
            <w:tcW w:w="9480" w:type="dxa"/>
            <w:vAlign w:val="bottom"/>
            <w:gridSpan w:val="8"/>
          </w:tcPr>
          <w:p>
            <w:pPr>
              <w:ind w:left="180"/>
              <w:spacing w:after="0"/>
              <w:rPr>
                <w:sz w:val="20"/>
                <w:szCs w:val="20"/>
                <w:color w:val="auto"/>
              </w:rPr>
            </w:pPr>
            <w:r>
              <w:rPr>
                <w:rFonts w:ascii="Arial" w:cs="Arial" w:eastAsia="Arial" w:hAnsi="Arial"/>
                <w:sz w:val="18"/>
                <w:szCs w:val="18"/>
                <w:color w:val="auto"/>
                <w:w w:val="91"/>
              </w:rPr>
              <w:t>GoHealth Holdings, LLC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rPr>
              <w:t>the Continuing Equity Owners (excluding Centerbridge) will own (1)</w:t>
            </w:r>
          </w:p>
        </w:tc>
        <w:tc>
          <w:tcPr>
            <w:tcW w:w="4480" w:type="dxa"/>
            <w:vAlign w:val="bottom"/>
            <w:gridSpan w:val="4"/>
          </w:tcPr>
          <w:p>
            <w:pPr>
              <w:ind w:left="120"/>
              <w:spacing w:after="0"/>
              <w:rPr>
                <w:sz w:val="20"/>
                <w:szCs w:val="20"/>
                <w:color w:val="auto"/>
              </w:rPr>
            </w:pPr>
            <w:r>
              <w:rPr>
                <w:rFonts w:ascii="Arial" w:cs="Arial" w:eastAsia="Arial" w:hAnsi="Arial"/>
                <w:sz w:val="18"/>
                <w:szCs w:val="18"/>
                <w:color w:val="auto"/>
                <w:w w:val="99"/>
              </w:rPr>
              <w:t>LLC Interests of GoHealth Holdings, LLC, representing</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4420" w:type="dxa"/>
            <w:vAlign w:val="bottom"/>
            <w:gridSpan w:val="4"/>
          </w:tcPr>
          <w:p>
            <w:pPr>
              <w:ind w:left="100"/>
              <w:spacing w:after="0"/>
              <w:rPr>
                <w:sz w:val="20"/>
                <w:szCs w:val="20"/>
                <w:color w:val="auto"/>
              </w:rPr>
            </w:pPr>
            <w:r>
              <w:rPr>
                <w:rFonts w:ascii="Arial" w:cs="Arial" w:eastAsia="Arial" w:hAnsi="Arial"/>
                <w:sz w:val="18"/>
                <w:szCs w:val="18"/>
                <w:color w:val="auto"/>
                <w:w w:val="94"/>
              </w:rPr>
              <w:t>% of the economic interest in GoHealth Holdings, LLC (or</w:t>
            </w:r>
          </w:p>
        </w:tc>
        <w:tc>
          <w:tcPr>
            <w:tcW w:w="3760" w:type="dxa"/>
            <w:vAlign w:val="bottom"/>
            <w:gridSpan w:val="3"/>
          </w:tcPr>
          <w:p>
            <w:pPr>
              <w:jc w:val="right"/>
              <w:ind w:right="51"/>
              <w:spacing w:after="0"/>
              <w:rPr>
                <w:sz w:val="20"/>
                <w:szCs w:val="20"/>
                <w:color w:val="auto"/>
              </w:rPr>
            </w:pPr>
            <w:r>
              <w:rPr>
                <w:rFonts w:ascii="Arial" w:cs="Arial" w:eastAsia="Arial" w:hAnsi="Arial"/>
                <w:sz w:val="18"/>
                <w:szCs w:val="18"/>
                <w:color w:val="auto"/>
              </w:rPr>
              <w:t>LLC Interests, representing approximately</w:t>
            </w:r>
          </w:p>
        </w:tc>
        <w:tc>
          <w:tcPr>
            <w:tcW w:w="720" w:type="dxa"/>
            <w:vAlign w:val="bottom"/>
          </w:tcPr>
          <w:p>
            <w:pPr>
              <w:ind w:left="40"/>
              <w:spacing w:after="0"/>
              <w:rPr>
                <w:sz w:val="20"/>
                <w:szCs w:val="20"/>
                <w:color w:val="auto"/>
              </w:rPr>
            </w:pPr>
            <w:r>
              <w:rPr>
                <w:rFonts w:ascii="Arial" w:cs="Arial" w:eastAsia="Arial" w:hAnsi="Arial"/>
                <w:sz w:val="18"/>
                <w:szCs w:val="18"/>
                <w:color w:val="auto"/>
                <w:w w:val="99"/>
              </w:rPr>
              <w:t>% of the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economic interest in GoHealth Holdings, LLC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common stock) and (2)</w:t>
            </w:r>
          </w:p>
        </w:tc>
        <w:tc>
          <w:tcPr>
            <w:tcW w:w="6120" w:type="dxa"/>
            <w:vAlign w:val="bottom"/>
            <w:gridSpan w:val="5"/>
          </w:tcPr>
          <w:p>
            <w:pPr>
              <w:ind w:left="380"/>
              <w:spacing w:after="0"/>
              <w:rPr>
                <w:sz w:val="20"/>
                <w:szCs w:val="20"/>
                <w:color w:val="auto"/>
              </w:rPr>
            </w:pPr>
            <w:r>
              <w:rPr>
                <w:rFonts w:ascii="Arial" w:cs="Arial" w:eastAsia="Arial" w:hAnsi="Arial"/>
                <w:sz w:val="18"/>
                <w:szCs w:val="18"/>
                <w:color w:val="auto"/>
                <w:w w:val="90"/>
              </w:rPr>
              <w:t>shares of Class B common stock of GoHealth, Inc., representing approximately</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 of the combined</w:t>
            </w:r>
          </w:p>
        </w:tc>
      </w:tr>
      <w:tr>
        <w:trPr>
          <w:trHeight w:val="214"/>
        </w:trPr>
        <w:tc>
          <w:tcPr>
            <w:tcW w:w="240" w:type="dxa"/>
            <w:vAlign w:val="bottom"/>
          </w:tcPr>
          <w:p>
            <w:pPr>
              <w:spacing w:after="0"/>
              <w:rPr>
                <w:sz w:val="18"/>
                <w:szCs w:val="18"/>
                <w:color w:val="auto"/>
              </w:rPr>
            </w:pPr>
          </w:p>
        </w:tc>
        <w:tc>
          <w:tcPr>
            <w:tcW w:w="4620" w:type="dxa"/>
            <w:vAlign w:val="bottom"/>
            <w:gridSpan w:val="4"/>
          </w:tcPr>
          <w:p>
            <w:pPr>
              <w:ind w:left="180"/>
              <w:spacing w:after="0"/>
              <w:rPr>
                <w:sz w:val="20"/>
                <w:szCs w:val="20"/>
                <w:color w:val="auto"/>
              </w:rPr>
            </w:pPr>
            <w:r>
              <w:rPr>
                <w:rFonts w:ascii="Arial" w:cs="Arial" w:eastAsia="Arial" w:hAnsi="Arial"/>
                <w:sz w:val="18"/>
                <w:szCs w:val="18"/>
                <w:color w:val="auto"/>
                <w:w w:val="99"/>
              </w:rPr>
              <w:t>voting power of all of GoHealth, Inc.’s common stock (or</w:t>
            </w:r>
          </w:p>
        </w:tc>
        <w:tc>
          <w:tcPr>
            <w:tcW w:w="5580" w:type="dxa"/>
            <w:vAlign w:val="bottom"/>
            <w:gridSpan w:val="5"/>
          </w:tcPr>
          <w:p>
            <w:pPr>
              <w:jc w:val="center"/>
              <w:ind w:right="111"/>
              <w:spacing w:after="0"/>
              <w:rPr>
                <w:sz w:val="20"/>
                <w:szCs w:val="20"/>
                <w:color w:val="auto"/>
              </w:rPr>
            </w:pPr>
            <w:r>
              <w:rPr>
                <w:rFonts w:ascii="Arial" w:cs="Arial" w:eastAsia="Arial" w:hAnsi="Arial"/>
                <w:sz w:val="18"/>
                <w:szCs w:val="18"/>
                <w:color w:val="auto"/>
                <w:w w:val="89"/>
              </w:rPr>
              <w:t>shares of Class B common stock of GoHealth, Inc., representing</w:t>
            </w:r>
          </w:p>
        </w:tc>
      </w:tr>
      <w:tr>
        <w:trPr>
          <w:trHeight w:val="227"/>
        </w:trPr>
        <w:tc>
          <w:tcPr>
            <w:tcW w:w="240" w:type="dxa"/>
            <w:vAlign w:val="bottom"/>
          </w:tcPr>
          <w:p>
            <w:pPr>
              <w:spacing w:after="0"/>
              <w:rPr>
                <w:sz w:val="19"/>
                <w:szCs w:val="19"/>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180" w:type="dxa"/>
            <w:vAlign w:val="bottom"/>
            <w:gridSpan w:val="7"/>
          </w:tcPr>
          <w:p>
            <w:pPr>
              <w:ind w:left="100"/>
              <w:spacing w:after="0"/>
              <w:rPr>
                <w:sz w:val="20"/>
                <w:szCs w:val="20"/>
                <w:color w:val="auto"/>
              </w:rPr>
            </w:pPr>
            <w:r>
              <w:rPr>
                <w:rFonts w:ascii="Arial" w:cs="Arial" w:eastAsia="Arial" w:hAnsi="Arial"/>
                <w:sz w:val="18"/>
                <w:szCs w:val="18"/>
                <w:color w:val="auto"/>
                <w:w w:val="96"/>
              </w:rPr>
              <w:t>%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rPr>
              <w:t>Centerbridge (directly or indirectly, including through the Blocker Shareholders) will own (1)</w:t>
            </w: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0"/>
              </w:rPr>
              <w:t>shares of Class A common stock of</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GoHealth, Inc. (or</w:t>
            </w:r>
          </w:p>
        </w:tc>
        <w:tc>
          <w:tcPr>
            <w:tcW w:w="8020" w:type="dxa"/>
            <w:vAlign w:val="bottom"/>
            <w:gridSpan w:val="7"/>
          </w:tcPr>
          <w:p>
            <w:pPr>
              <w:ind w:left="20"/>
              <w:spacing w:after="0"/>
              <w:rPr>
                <w:sz w:val="20"/>
                <w:szCs w:val="20"/>
                <w:color w:val="auto"/>
              </w:rPr>
            </w:pPr>
            <w:r>
              <w:rPr>
                <w:rFonts w:ascii="Arial" w:cs="Arial" w:eastAsia="Arial" w:hAnsi="Arial"/>
                <w:sz w:val="18"/>
                <w:szCs w:val="18"/>
                <w:color w:val="auto"/>
                <w:w w:val="92"/>
              </w:rPr>
              <w:t>shares of Class A common stock of GoHealth, Inc. if the underwriters exercise in full their option to purchase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6"/>
              </w:rPr>
              <w:t>additional shares of Class A common stock), representing approximately  % of the combined voting power of all of GoHealth, Inc.’s</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and approximately  % of the economic interest in GoHealth, Inc. (or approximately  % of the combined voting power and</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900" w:type="dxa"/>
            <w:vAlign w:val="bottom"/>
            <w:gridSpan w:val="8"/>
          </w:tcPr>
          <w:p>
            <w:pPr>
              <w:ind w:left="100"/>
              <w:spacing w:after="0"/>
              <w:rPr>
                <w:sz w:val="20"/>
                <w:szCs w:val="20"/>
                <w:color w:val="auto"/>
              </w:rPr>
            </w:pPr>
            <w:r>
              <w:rPr>
                <w:rFonts w:ascii="Arial" w:cs="Arial" w:eastAsia="Arial" w:hAnsi="Arial"/>
                <w:sz w:val="18"/>
                <w:szCs w:val="18"/>
                <w:color w:val="auto"/>
                <w:w w:val="90"/>
              </w:rPr>
              <w:t>% of the economic interest if the underwriters exercise in full their option to purchase additional shares of Class A common</w:t>
            </w:r>
          </w:p>
        </w:tc>
      </w:tr>
      <w:tr>
        <w:trPr>
          <w:trHeight w:val="214"/>
        </w:trPr>
        <w:tc>
          <w:tcPr>
            <w:tcW w:w="240" w:type="dxa"/>
            <w:vAlign w:val="bottom"/>
          </w:tcPr>
          <w:p>
            <w:pPr>
              <w:spacing w:after="0"/>
              <w:rPr>
                <w:sz w:val="18"/>
                <w:szCs w:val="18"/>
                <w:color w:val="auto"/>
              </w:rPr>
            </w:pP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w w:val="92"/>
              </w:rPr>
              <w:t>stock), (2) directly and indirectly through GoHealth, Inc.’s ownership of LLC Interests, approximately</w:t>
            </w:r>
          </w:p>
        </w:tc>
        <w:tc>
          <w:tcPr>
            <w:tcW w:w="2640" w:type="dxa"/>
            <w:vAlign w:val="bottom"/>
            <w:gridSpan w:val="3"/>
          </w:tcPr>
          <w:p>
            <w:pPr>
              <w:ind w:left="100"/>
              <w:spacing w:after="0"/>
              <w:rPr>
                <w:sz w:val="20"/>
                <w:szCs w:val="20"/>
                <w:color w:val="auto"/>
              </w:rPr>
            </w:pPr>
            <w:r>
              <w:rPr>
                <w:rFonts w:ascii="Arial" w:cs="Arial" w:eastAsia="Arial" w:hAnsi="Arial"/>
                <w:sz w:val="18"/>
                <w:szCs w:val="18"/>
                <w:color w:val="auto"/>
              </w:rPr>
              <w:t>% of the economic interest in</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GoHealth Holdings, LLC (or approximately  % of the economic interest in GoHealth Holdings, LLC if the underwriters exercise in full</w:t>
            </w:r>
          </w:p>
        </w:tc>
      </w:tr>
      <w:tr>
        <w:trPr>
          <w:trHeight w:val="214"/>
        </w:trPr>
        <w:tc>
          <w:tcPr>
            <w:tcW w:w="240" w:type="dxa"/>
            <w:vAlign w:val="bottom"/>
          </w:tcPr>
          <w:p>
            <w:pPr>
              <w:spacing w:after="0"/>
              <w:rPr>
                <w:sz w:val="18"/>
                <w:szCs w:val="18"/>
                <w:color w:val="auto"/>
              </w:rPr>
            </w:pP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w w:val="91"/>
              </w:rPr>
              <w:t>their option to purchase additional shares of Class A common stock) and (3)</w:t>
            </w:r>
          </w:p>
        </w:tc>
        <w:tc>
          <w:tcPr>
            <w:tcW w:w="4480" w:type="dxa"/>
            <w:vAlign w:val="bottom"/>
            <w:gridSpan w:val="4"/>
          </w:tcPr>
          <w:p>
            <w:pPr>
              <w:ind w:left="600"/>
              <w:spacing w:after="0"/>
              <w:rPr>
                <w:sz w:val="20"/>
                <w:szCs w:val="20"/>
                <w:color w:val="auto"/>
              </w:rPr>
            </w:pPr>
            <w:r>
              <w:rPr>
                <w:rFonts w:ascii="Arial" w:cs="Arial" w:eastAsia="Arial" w:hAnsi="Arial"/>
                <w:sz w:val="18"/>
                <w:szCs w:val="18"/>
                <w:color w:val="auto"/>
                <w:w w:val="94"/>
              </w:rPr>
              <w:t>shares of Class B common stock of GoHealth, Inc.,</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w w:val="91"/>
              </w:rPr>
              <w:t>representing approximately</w:t>
            </w:r>
          </w:p>
        </w:tc>
        <w:tc>
          <w:tcPr>
            <w:tcW w:w="6120" w:type="dxa"/>
            <w:vAlign w:val="bottom"/>
            <w:gridSpan w:val="5"/>
          </w:tcPr>
          <w:p>
            <w:pPr>
              <w:ind w:left="140"/>
              <w:spacing w:after="0"/>
              <w:rPr>
                <w:sz w:val="20"/>
                <w:szCs w:val="20"/>
                <w:color w:val="auto"/>
              </w:rPr>
            </w:pPr>
            <w:r>
              <w:rPr>
                <w:rFonts w:ascii="Arial" w:cs="Arial" w:eastAsia="Arial" w:hAnsi="Arial"/>
                <w:sz w:val="18"/>
                <w:szCs w:val="18"/>
                <w:color w:val="auto"/>
                <w:w w:val="99"/>
              </w:rPr>
              <w:t>% of the combined voting power of all of GoHealth, Inc.’s common stock (or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shares of Class B</w:t>
            </w:r>
          </w:p>
        </w:tc>
      </w:tr>
      <w:tr>
        <w:trPr>
          <w:trHeight w:val="214"/>
        </w:trPr>
        <w:tc>
          <w:tcPr>
            <w:tcW w:w="240" w:type="dxa"/>
            <w:vAlign w:val="bottom"/>
          </w:tcPr>
          <w:p>
            <w:pPr>
              <w:spacing w:after="0"/>
              <w:rPr>
                <w:sz w:val="18"/>
                <w:szCs w:val="18"/>
                <w:color w:val="auto"/>
              </w:rPr>
            </w:pPr>
          </w:p>
        </w:tc>
        <w:tc>
          <w:tcPr>
            <w:tcW w:w="4620" w:type="dxa"/>
            <w:vAlign w:val="bottom"/>
            <w:gridSpan w:val="4"/>
          </w:tcPr>
          <w:p>
            <w:pPr>
              <w:ind w:left="180"/>
              <w:spacing w:after="0"/>
              <w:rPr>
                <w:sz w:val="20"/>
                <w:szCs w:val="20"/>
                <w:color w:val="auto"/>
              </w:rPr>
            </w:pPr>
            <w:r>
              <w:rPr>
                <w:rFonts w:ascii="Arial" w:cs="Arial" w:eastAsia="Arial" w:hAnsi="Arial"/>
                <w:sz w:val="18"/>
                <w:szCs w:val="18"/>
                <w:color w:val="auto"/>
                <w:w w:val="91"/>
              </w:rPr>
              <w:t>common stock of GoHealth, Inc., representing approximately</w:t>
            </w:r>
          </w:p>
        </w:tc>
        <w:tc>
          <w:tcPr>
            <w:tcW w:w="5580" w:type="dxa"/>
            <w:vAlign w:val="bottom"/>
            <w:gridSpan w:val="5"/>
          </w:tcPr>
          <w:p>
            <w:pPr>
              <w:jc w:val="center"/>
              <w:ind w:right="151"/>
              <w:spacing w:after="0"/>
              <w:rPr>
                <w:sz w:val="20"/>
                <w:szCs w:val="20"/>
                <w:color w:val="auto"/>
              </w:rPr>
            </w:pPr>
            <w:r>
              <w:rPr>
                <w:rFonts w:ascii="Arial" w:cs="Arial" w:eastAsia="Arial" w:hAnsi="Arial"/>
                <w:sz w:val="18"/>
                <w:szCs w:val="18"/>
                <w:color w:val="auto"/>
                <w:w w:val="91"/>
              </w:rPr>
              <w:t>% if the underwriters exercise in full their option to purchase additional</w:t>
            </w:r>
          </w:p>
        </w:tc>
      </w:tr>
      <w:tr>
        <w:trPr>
          <w:trHeight w:val="227"/>
        </w:trPr>
        <w:tc>
          <w:tcPr>
            <w:tcW w:w="240" w:type="dxa"/>
            <w:vAlign w:val="bottom"/>
          </w:tcPr>
          <w:p>
            <w:pPr>
              <w:spacing w:after="0"/>
              <w:rPr>
                <w:sz w:val="19"/>
                <w:szCs w:val="19"/>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shares of Class A common stock); and</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1"/>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ind w:right="751"/>
              <w:spacing w:after="0"/>
              <w:rPr>
                <w:sz w:val="20"/>
                <w:szCs w:val="20"/>
                <w:color w:val="auto"/>
              </w:rPr>
            </w:pPr>
            <w:r>
              <w:rPr>
                <w:rFonts w:ascii="Arial" w:cs="Arial" w:eastAsia="Arial" w:hAnsi="Arial"/>
                <w:sz w:val="18"/>
                <w:szCs w:val="18"/>
                <w:color w:val="auto"/>
              </w:rPr>
              <w:t>79</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40"/>
          </w:cols>
          <w:pgMar w:left="320" w:top="456" w:right="539" w:bottom="1440" w:gutter="0" w:footer="0" w:header="0"/>
        </w:sect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purchasers in this offering will own (1) shares of Class A common stock of GoHealth, Inc. (or shares of Class A common stock of GoHealth, Inc. if the underwriters exercise in full their option to purchase additional shares of Class A common stock), representing approximately % of the combined voting power of all of GoHealth, Inc.’s common stock and approximately % of the economic interest in GoHealth, Inc. (or approximately % of the combined voting power and approximately % of the economic interest if</w:t>
      </w:r>
    </w:p>
    <w:p>
      <w:pPr>
        <w:spacing w:after="0" w:line="2" w:lineRule="exact"/>
        <w:rPr>
          <w:sz w:val="20"/>
          <w:szCs w:val="20"/>
          <w:color w:val="auto"/>
        </w:rPr>
      </w:pPr>
    </w:p>
    <w:p>
      <w:pPr>
        <w:sectPr>
          <w:pgSz w:w="11900" w:h="16838" w:orient="portrait"/>
          <w:cols w:equalWidth="0" w:num="2">
            <w:col w:w="660" w:space="360"/>
            <w:col w:w="10020"/>
          </w:cols>
          <w:pgMar w:left="320" w:top="456" w:right="539" w:bottom="1440" w:gutter="0" w:footer="0" w:header="0"/>
          <w:type w:val="continuous"/>
        </w:sectPr>
      </w:pPr>
    </w:p>
    <w:p>
      <w:pPr>
        <w:ind w:left="1020" w:right="420"/>
        <w:spacing w:after="0" w:line="250" w:lineRule="auto"/>
        <w:rPr>
          <w:sz w:val="20"/>
          <w:szCs w:val="20"/>
          <w:color w:val="auto"/>
        </w:rPr>
      </w:pPr>
      <w:r>
        <w:rPr>
          <w:rFonts w:ascii="Arial" w:cs="Arial" w:eastAsia="Arial" w:hAnsi="Arial"/>
          <w:sz w:val="18"/>
          <w:szCs w:val="18"/>
          <w:color w:val="auto"/>
        </w:rPr>
        <w:t>the underwriters exercise in full their option to purchase additional shares of Class A common stock), and (2) through GoHealth, Inc.’s ownership of LLC Interests, indirectly will hold approximately % of the economic interest in GoHealth Holdings, LLC (or approximately % of the economic interest in GoHealth Holdings, LLC if the underwriters exercise in full their option to purchase additional shares of Class A common stock).</w:t>
      </w:r>
    </w:p>
    <w:p>
      <w:pPr>
        <w:spacing w:after="0" w:line="19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137160</wp:posOffset>
            </wp:positionV>
            <wp:extent cx="5452110" cy="5010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2110" cy="501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tabs>
          <w:tab w:leader="none" w:pos="580" w:val="left"/>
          <w:tab w:leader="none" w:pos="480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40"/>
          </w:cols>
          <w:pgMar w:left="320" w:top="456" w:right="5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among the Original Equity Owners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Incorporation of GoHealth, Inc.</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GoHealth, Inc., the issuer of the Class A common stock offered by this prospectus, was incorporated as a Delaware corporation on March 27, 2020. GoHealth, Inc. has not engaged in any material business or other activities except in connection with its formation and the Transactions. The amended and restated certificate of incorporation of GoHealth, Inc. that will become effective immediately prior to the consummation of this offering will, among other things, authorize two classes of common stock, Class A common stock and Class B common stock, each having the terms described in “Description of Capital Stock.”</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Reclassification and Amendment and Restatement of the GoHealth Holdings, LLC Agreement</w:t>
      </w:r>
    </w:p>
    <w:p>
      <w:pPr>
        <w:spacing w:after="0" w:line="11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Prior to or substantially concurrently with the consummation of this offering, the existing limited liability company agreement of GoHealth Holdings, LLC will be amended and restated to, among other things, recapitalize its capital structure by creating a single new class of units that we refer to as “common units” and provide for a right of redemption of common units in exchange for, at our election (determined solely by our independent directors (within the meaning of the Nasdaq rules), who are disinterested), shares of our Class A common stock or cash. See “Certain Relationships and Related Party Transactions—GoHealth Holdings, LLC Agreement.”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We estimate, based upon an assumed initial public offering price of $ per share (which is the midpoint of the estimated price range set forth on the cover page of this prospectus), that we will receive net proceeds from this offering of approximately $ million (or $ million if the underwriters exercise in full their option to purchase additional shares of Class A common stock), after deducting the underwriting discount and estimated offering expenses payable by us.</w:t>
      </w:r>
    </w:p>
    <w:p>
      <w:pPr>
        <w:spacing w:after="0" w:line="190" w:lineRule="exact"/>
        <w:rPr>
          <w:sz w:val="20"/>
          <w:szCs w:val="20"/>
          <w:color w:val="auto"/>
        </w:rPr>
      </w:pPr>
    </w:p>
    <w:p>
      <w:pPr>
        <w:ind w:left="160"/>
        <w:spacing w:after="0"/>
        <w:tabs>
          <w:tab w:leader="none" w:pos="5680" w:val="left"/>
          <w:tab w:leader="none" w:pos="8660" w:val="left"/>
        </w:tabs>
        <w:rPr>
          <w:sz w:val="20"/>
          <w:szCs w:val="20"/>
          <w:color w:val="auto"/>
        </w:rPr>
      </w:pPr>
      <w:r>
        <w:rPr>
          <w:rFonts w:ascii="Arial" w:cs="Arial" w:eastAsia="Arial" w:hAnsi="Arial"/>
          <w:sz w:val="18"/>
          <w:szCs w:val="18"/>
          <w:color w:val="auto"/>
        </w:rPr>
        <w:t>We intend to use the net proceeds from this offering to (i) purchase</w:t>
      </w:r>
      <w:r>
        <w:rPr>
          <w:sz w:val="20"/>
          <w:szCs w:val="20"/>
          <w:color w:val="auto"/>
        </w:rPr>
        <w:tab/>
      </w:r>
      <w:r>
        <w:rPr>
          <w:rFonts w:ascii="Arial" w:cs="Arial" w:eastAsia="Arial" w:hAnsi="Arial"/>
          <w:sz w:val="18"/>
          <w:szCs w:val="18"/>
          <w:color w:val="auto"/>
        </w:rPr>
        <w:t>newly-issued LLC Interests (or</w:t>
      </w:r>
      <w:r>
        <w:rPr>
          <w:sz w:val="20"/>
          <w:szCs w:val="20"/>
          <w:color w:val="auto"/>
        </w:rPr>
        <w:tab/>
      </w:r>
      <w:r>
        <w:rPr>
          <w:rFonts w:ascii="Arial" w:cs="Arial" w:eastAsia="Arial" w:hAnsi="Arial"/>
          <w:sz w:val="16"/>
          <w:szCs w:val="16"/>
          <w:color w:val="auto"/>
        </w:rPr>
        <w:t>LLC Interests if the underwriters</w:t>
      </w:r>
    </w:p>
    <w:p>
      <w:pPr>
        <w:spacing w:after="0" w:line="2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w:t>
      </w:r>
    </w:p>
    <w:p>
      <w:pPr>
        <w:ind w:left="160"/>
        <w:spacing w:after="0"/>
        <w:tabs>
          <w:tab w:leader="none" w:pos="2840" w:val="left"/>
        </w:tabs>
        <w:rPr>
          <w:sz w:val="20"/>
          <w:szCs w:val="20"/>
          <w:color w:val="auto"/>
        </w:rPr>
      </w:pPr>
      <w:r>
        <w:rPr>
          <w:rFonts w:ascii="Arial" w:cs="Arial" w:eastAsia="Arial" w:hAnsi="Arial"/>
          <w:sz w:val="18"/>
          <w:szCs w:val="18"/>
          <w:color w:val="auto"/>
        </w:rPr>
        <w:t>payable by us and (ii) pay $</w:t>
      </w:r>
      <w:r>
        <w:rPr>
          <w:sz w:val="20"/>
          <w:szCs w:val="20"/>
          <w:color w:val="auto"/>
        </w:rPr>
        <w:tab/>
      </w:r>
      <w:r>
        <w:rPr>
          <w:rFonts w:ascii="Arial" w:cs="Arial" w:eastAsia="Arial" w:hAnsi="Arial"/>
          <w:sz w:val="16"/>
          <w:szCs w:val="16"/>
          <w:color w:val="auto"/>
        </w:rPr>
        <w:t>million in cash to the Blocker Shareholders as partial consideration in the Blocker Merger.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GoHealth Holdings, LLC intends to use the net proceeds from the sale of LLC Interests to GoHealth, Inc. to (i) partially redeem certain of the LLC</w:t>
      </w:r>
    </w:p>
    <w:p>
      <w:pPr>
        <w:spacing w:after="0" w:line="31" w:lineRule="exact"/>
        <w:rPr>
          <w:sz w:val="20"/>
          <w:szCs w:val="20"/>
          <w:color w:val="auto"/>
        </w:rPr>
      </w:pPr>
    </w:p>
    <w:p>
      <w:pPr>
        <w:ind w:left="160" w:right="440"/>
        <w:spacing w:after="0" w:line="256" w:lineRule="auto"/>
        <w:rPr>
          <w:sz w:val="20"/>
          <w:szCs w:val="20"/>
          <w:color w:val="auto"/>
        </w:rPr>
      </w:pPr>
      <w:r>
        <w:rPr>
          <w:rFonts w:ascii="Arial" w:cs="Arial" w:eastAsia="Arial" w:hAnsi="Arial"/>
          <w:sz w:val="18"/>
          <w:szCs w:val="18"/>
          <w:color w:val="auto"/>
        </w:rPr>
        <w:t>Interests held by the Continuing Equity Owners, (ii) repay $ million of borrowings under the Term Loan Facility and (iii) if any proceeds remain, for general corporate purposes.</w:t>
      </w:r>
    </w:p>
    <w:p>
      <w:pPr>
        <w:spacing w:after="0" w:line="18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Term Loan Facility is scheduled to mature on September 13, 2025. Term loans and incremental term loans comprising each ABR borrowing accrue interest at the ABR plus an applicable rate equal to 5.50% per annum. Term loans and incremental term loans comprising each LIBO Rate borrowing bear interest at the LIBO Rate plus an applicable rate equal to 6.50% per annum. In 2019, borrowings under the Term Loan Facility were used to pay the acquisition consideration in connection with the Centerbridge Acquisition.</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Assuming no exercise of the underwriters’ option to purchase additional shares of Class A common stock, each $1.00 increase (decrease) in the assumed</w:t>
      </w:r>
    </w:p>
    <w:p>
      <w:pPr>
        <w:spacing w:after="0" w:line="66" w:lineRule="exact"/>
        <w:rPr>
          <w:sz w:val="20"/>
          <w:szCs w:val="20"/>
          <w:color w:val="auto"/>
        </w:rPr>
      </w:pPr>
    </w:p>
    <w:p>
      <w:pPr>
        <w:ind w:left="160" w:right="60"/>
        <w:spacing w:after="0" w:line="262" w:lineRule="auto"/>
        <w:rPr>
          <w:sz w:val="20"/>
          <w:szCs w:val="20"/>
          <w:color w:val="auto"/>
        </w:rPr>
      </w:pPr>
      <w:r>
        <w:rPr>
          <w:rFonts w:ascii="Arial" w:cs="Arial" w:eastAsia="Arial" w:hAnsi="Arial"/>
          <w:sz w:val="17"/>
          <w:szCs w:val="17"/>
          <w:color w:val="auto"/>
        </w:rPr>
        <w:t>initial public offering price of $ per share (which is the midpoint of the estimated price range set forth on the cover page of this prospectus) would increase (decrease) the net proceeds to us from this offering by approximately $ million and, in turn, the net proceeds received by GoHealth Holdings, LLC from the sale of LLC Interests to GoHealth, Inc. by $ million, assuming the number of shares offered, as set forth on</w:t>
      </w:r>
    </w:p>
    <w:p>
      <w:pPr>
        <w:spacing w:after="0" w:line="2" w:lineRule="exact"/>
        <w:rPr>
          <w:sz w:val="20"/>
          <w:szCs w:val="20"/>
          <w:color w:val="auto"/>
        </w:rPr>
      </w:pPr>
    </w:p>
    <w:p>
      <w:pPr>
        <w:ind w:left="160" w:right="280"/>
        <w:spacing w:after="0" w:line="478" w:lineRule="auto"/>
        <w:rPr>
          <w:sz w:val="20"/>
          <w:szCs w:val="20"/>
          <w:color w:val="auto"/>
        </w:rPr>
      </w:pPr>
      <w:r>
        <w:rPr>
          <w:rFonts w:ascii="Arial" w:cs="Arial" w:eastAsia="Arial" w:hAnsi="Arial"/>
          <w:sz w:val="14"/>
          <w:szCs w:val="14"/>
          <w:color w:val="auto"/>
        </w:rPr>
        <w:t>the cover page of this prospectus, remains the same, and after deducting the underwriting discount and estimated offering expenses payable by us. Each 1,000,000 share increase (decrease) in the number of shares offered by us in this offering would increase (decrease) the net proceeds to us from</w:t>
      </w:r>
    </w:p>
    <w:p>
      <w:pPr>
        <w:spacing w:after="0" w:line="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this offering by approximately $ million and, in turn, the net proceeds received by GoHealth Holdings, LLC from the sale of LLC Interests to GoHealth, Inc. by $ million, assuming that the price per share for the offering remains at $ (which is the midpoint of the estimated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price range set forth on the cover page of this prospectus), and after deducting the underwriting discount and estimated offering expenses payable by us.</w:t>
      </w:r>
    </w:p>
    <w:p>
      <w:pPr>
        <w:spacing w:after="0" w:line="231"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GoHealth Holdings, LLC will bear or reimburse GoHealth, Inc. for all of the expenses incurred in connection with the Transactions, including this offering.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cash and capitalization as of March 31, 2020, as follows:</w:t>
      </w:r>
    </w:p>
    <w:p>
      <w:pPr>
        <w:spacing w:after="0" w:line="127" w:lineRule="exact"/>
        <w:rPr>
          <w:sz w:val="20"/>
          <w:szCs w:val="20"/>
          <w:color w:val="auto"/>
        </w:rPr>
      </w:pPr>
    </w:p>
    <w:p>
      <w:pPr>
        <w:ind w:left="1140" w:hanging="438"/>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GoHealth Holdings, LLC and its subsidiaries on a historical basis;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GoHealth, Inc. and its subsidiaries on a pro forma basis to give effect to the Transactions, excluding this offering;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 GoHealth, Inc. and its subsidiaries on a pro forma as adjusted basis to give effect to the Transactions, including the sale of the shares of</w:t>
      </w:r>
    </w:p>
    <w:p>
      <w:pPr>
        <w:spacing w:after="0" w:line="43" w:lineRule="exact"/>
        <w:rPr>
          <w:sz w:val="20"/>
          <w:szCs w:val="20"/>
          <w:color w:val="auto"/>
        </w:rPr>
      </w:pPr>
    </w:p>
    <w:p>
      <w:pPr>
        <w:jc w:val="both"/>
        <w:ind w:left="1140" w:right="400"/>
        <w:spacing w:after="0" w:line="274" w:lineRule="auto"/>
        <w:rPr>
          <w:sz w:val="20"/>
          <w:szCs w:val="20"/>
          <w:color w:val="auto"/>
        </w:rPr>
      </w:pPr>
      <w:r>
        <w:rPr>
          <w:rFonts w:ascii="Arial" w:cs="Arial" w:eastAsia="Arial" w:hAnsi="Arial"/>
          <w:sz w:val="17"/>
          <w:szCs w:val="17"/>
          <w:color w:val="auto"/>
        </w:rPr>
        <w:t>Class A common stock in this offering at an assumed initial public offering price of $ per share (which is the midpoint of the estimated price range set forth on the cover page of this prospectus), after deducting the underwriting discount and estimated offering expenses payable by us, and the application of the net proceeds therefrom as described under “Use of Proceeds.”</w:t>
      </w:r>
    </w:p>
    <w:p>
      <w:pPr>
        <w:spacing w:after="0" w:line="17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For more information, please see “Our Organizational Structure,” “Use of Proceeds” and “Unaudited Pro Forma Condensed Consolidated Financial Information” included elsewhere in this prospectus. You should read this information in conjunction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As of March 31, 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18" w:lineRule="exact"/>
              <w:rPr>
                <w:sz w:val="20"/>
                <w:szCs w:val="20"/>
                <w:color w:val="auto"/>
              </w:rPr>
            </w:pPr>
            <w:r>
              <w:rPr>
                <w:rFonts w:ascii="Arial" w:cs="Arial" w:eastAsia="Arial" w:hAnsi="Arial"/>
                <w:sz w:val="13"/>
                <w:szCs w:val="13"/>
                <w:b w:val="1"/>
                <w:bCs w:val="1"/>
                <w:color w:val="auto"/>
              </w:rPr>
              <w:t>GoHealth</w:t>
            </w:r>
          </w:p>
        </w:tc>
        <w:tc>
          <w:tcPr>
            <w:tcW w:w="34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GoHealth, Inc.</w:t>
            </w:r>
          </w:p>
        </w:tc>
        <w:tc>
          <w:tcPr>
            <w:tcW w:w="120" w:type="dxa"/>
            <w:vAlign w:val="bottom"/>
          </w:tcPr>
          <w:p>
            <w:pPr>
              <w:spacing w:after="0"/>
              <w:rPr>
                <w:sz w:val="10"/>
                <w:szCs w:val="10"/>
                <w:color w:val="auto"/>
              </w:rPr>
            </w:pPr>
          </w:p>
        </w:tc>
        <w:tc>
          <w:tcPr>
            <w:tcW w:w="900" w:type="dxa"/>
            <w:vAlign w:val="bottom"/>
          </w:tcPr>
          <w:p>
            <w:pPr>
              <w:spacing w:after="0" w:line="118" w:lineRule="exact"/>
              <w:rPr>
                <w:sz w:val="20"/>
                <w:szCs w:val="20"/>
                <w:color w:val="auto"/>
              </w:rPr>
            </w:pPr>
            <w:r>
              <w:rPr>
                <w:rFonts w:ascii="Arial" w:cs="Arial" w:eastAsia="Arial" w:hAnsi="Arial"/>
                <w:sz w:val="13"/>
                <w:szCs w:val="13"/>
                <w:b w:val="1"/>
                <w:bCs w:val="1"/>
                <w:color w:val="auto"/>
              </w:rPr>
              <w:t>GoHealth, Inc.</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3"/>
              </w:rPr>
              <w:t>Holdings,</w:t>
            </w:r>
          </w:p>
        </w:tc>
        <w:tc>
          <w:tcPr>
            <w:tcW w:w="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0"/>
        </w:trPr>
        <w:tc>
          <w:tcPr>
            <w:tcW w:w="7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and share amounts)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LLC Historical</w:t>
            </w:r>
          </w:p>
        </w:tc>
        <w:tc>
          <w:tcPr>
            <w:tcW w:w="3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290,834</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Incremental Term Loan Facility(2)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110,988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401,822</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Members’/stockholders’ equity (deficit):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Preferred units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546,972</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Class A common units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Class B common units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103,593</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0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w w:val="99"/>
              </w:rPr>
              <w:t>Accumulated other comprehensive (loss) income</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260" w:type="dxa"/>
            <w:vAlign w:val="bottom"/>
            <w:gridSpan w:val="3"/>
          </w:tcPr>
          <w:p>
            <w:pPr>
              <w:ind w:left="700"/>
              <w:spacing w:after="0"/>
              <w:rPr>
                <w:sz w:val="20"/>
                <w:szCs w:val="20"/>
                <w:color w:val="auto"/>
              </w:rPr>
            </w:pPr>
            <w:r>
              <w:rPr>
                <w:rFonts w:ascii="Arial" w:cs="Arial" w:eastAsia="Arial" w:hAnsi="Arial"/>
                <w:sz w:val="18"/>
                <w:szCs w:val="18"/>
                <w:color w:val="auto"/>
              </w:rPr>
              <w:t>Retained earnings (deficit)</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260" w:type="dxa"/>
            <w:vAlign w:val="bottom"/>
            <w:gridSpan w:val="3"/>
          </w:tcPr>
          <w:p>
            <w:pPr>
              <w:ind w:left="700"/>
              <w:spacing w:after="0" w:line="200" w:lineRule="exact"/>
              <w:rPr>
                <w:sz w:val="20"/>
                <w:szCs w:val="20"/>
                <w:color w:val="auto"/>
              </w:rPr>
            </w:pPr>
            <w:r>
              <w:rPr>
                <w:rFonts w:ascii="Arial" w:cs="Arial" w:eastAsia="Arial" w:hAnsi="Arial"/>
                <w:sz w:val="18"/>
                <w:szCs w:val="18"/>
                <w:color w:val="auto"/>
                <w:w w:val="90"/>
              </w:rPr>
              <w:t>Class A common stock, par value $</w:t>
            </w:r>
          </w:p>
        </w:tc>
        <w:tc>
          <w:tcPr>
            <w:tcW w:w="1340" w:type="dxa"/>
            <w:vAlign w:val="bottom"/>
          </w:tcPr>
          <w:p>
            <w:pPr>
              <w:ind w:left="540"/>
              <w:spacing w:after="0" w:line="200" w:lineRule="exact"/>
              <w:rPr>
                <w:sz w:val="20"/>
                <w:szCs w:val="20"/>
                <w:color w:val="auto"/>
              </w:rPr>
            </w:pPr>
            <w:r>
              <w:rPr>
                <w:rFonts w:ascii="Arial" w:cs="Arial" w:eastAsia="Arial" w:hAnsi="Arial"/>
                <w:sz w:val="18"/>
                <w:szCs w:val="18"/>
                <w:color w:val="auto"/>
                <w:w w:val="96"/>
              </w:rPr>
              <w:t>per share;</w:t>
            </w:r>
          </w:p>
        </w:tc>
        <w:tc>
          <w:tcPr>
            <w:tcW w:w="1240" w:type="dxa"/>
            <w:vAlign w:val="bottom"/>
          </w:tcPr>
          <w:p>
            <w:pPr>
              <w:ind w:left="480"/>
              <w:spacing w:after="0" w:line="200" w:lineRule="exact"/>
              <w:rPr>
                <w:sz w:val="20"/>
                <w:szCs w:val="20"/>
                <w:color w:val="auto"/>
              </w:rPr>
            </w:pPr>
            <w:r>
              <w:rPr>
                <w:rFonts w:ascii="Arial" w:cs="Arial" w:eastAsia="Arial" w:hAnsi="Arial"/>
                <w:sz w:val="18"/>
                <w:szCs w:val="18"/>
                <w:color w:val="auto"/>
              </w:rPr>
              <w:t>shares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authorized,</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w w:val="95"/>
              </w:rPr>
              <w:t>shares issued and outstanding, pro forma; and</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authorized,</w:t>
            </w:r>
          </w:p>
        </w:tc>
        <w:tc>
          <w:tcPr>
            <w:tcW w:w="1200" w:type="dxa"/>
            <w:vAlign w:val="bottom"/>
          </w:tcPr>
          <w:p>
            <w:pPr>
              <w:ind w:left="200"/>
              <w:spacing w:after="0"/>
              <w:rPr>
                <w:sz w:val="20"/>
                <w:szCs w:val="20"/>
                <w:color w:val="auto"/>
              </w:rPr>
            </w:pPr>
            <w:r>
              <w:rPr>
                <w:rFonts w:ascii="Arial" w:cs="Arial" w:eastAsia="Arial" w:hAnsi="Arial"/>
                <w:sz w:val="18"/>
                <w:szCs w:val="18"/>
                <w:color w:val="auto"/>
              </w:rPr>
              <w:t>shares</w:t>
            </w: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issued and outstanding, pro forma as adjusted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326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w w:val="90"/>
              </w:rPr>
              <w:t>Class B common stock, par value $</w:t>
            </w:r>
          </w:p>
        </w:tc>
        <w:tc>
          <w:tcPr>
            <w:tcW w:w="13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6"/>
              </w:rPr>
              <w:t>per share;</w:t>
            </w:r>
          </w:p>
        </w:tc>
        <w:tc>
          <w:tcPr>
            <w:tcW w:w="124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shares</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pro forma;</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w:t>
            </w:r>
          </w:p>
        </w:tc>
        <w:tc>
          <w:tcPr>
            <w:tcW w:w="1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authorized,</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shares issued and outstanding,</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2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pro forma as adjusted</w:t>
            </w: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00" w:type="dxa"/>
            <w:vAlign w:val="bottom"/>
            <w:gridSpan w:val="4"/>
          </w:tcPr>
          <w:p>
            <w:pPr>
              <w:ind w:left="1060"/>
              <w:spacing w:after="0"/>
              <w:rPr>
                <w:sz w:val="20"/>
                <w:szCs w:val="20"/>
                <w:color w:val="auto"/>
              </w:rPr>
            </w:pPr>
            <w:r>
              <w:rPr>
                <w:rFonts w:ascii="Arial" w:cs="Arial" w:eastAsia="Arial" w:hAnsi="Arial"/>
                <w:sz w:val="18"/>
                <w:szCs w:val="18"/>
                <w:color w:val="auto"/>
              </w:rPr>
              <w:t>Total members’/stockholders’ equity (deficit)</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1,271,424</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“Description of Indebtedness” for a description of our currently outstanding indebtedness.</w:t>
      </w:r>
    </w:p>
    <w:p>
      <w:pPr>
        <w:spacing w:after="0" w:line="19" w:lineRule="exact"/>
        <w:rPr>
          <w:rFonts w:ascii="Arial" w:cs="Arial" w:eastAsia="Arial" w:hAnsi="Arial"/>
          <w:sz w:val="18"/>
          <w:szCs w:val="18"/>
          <w:color w:val="auto"/>
        </w:rPr>
      </w:pPr>
    </w:p>
    <w:p>
      <w:pPr>
        <w:ind w:left="600" w:right="200" w:hanging="433"/>
        <w:spacing w:after="0" w:line="256"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$8 million and $6 million of original issue discount and debt issuance costs related to the Term Loan Facility and Incremental Term Loan Facility, respectively.</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6000" w:val="left"/>
        </w:tabs>
        <w:rPr>
          <w:sz w:val="20"/>
          <w:szCs w:val="20"/>
          <w:color w:val="auto"/>
        </w:rPr>
      </w:pPr>
      <w:r>
        <w:rPr>
          <w:rFonts w:ascii="Arial" w:cs="Arial" w:eastAsia="Arial" w:hAnsi="Arial"/>
          <w:sz w:val="18"/>
          <w:szCs w:val="18"/>
          <w:color w:val="auto"/>
        </w:rPr>
        <w:t>Each $1.00 increase (decrease) in the assumed public offering price of $</w:t>
      </w:r>
      <w:r>
        <w:rPr>
          <w:sz w:val="20"/>
          <w:szCs w:val="20"/>
          <w:color w:val="auto"/>
        </w:rPr>
        <w:tab/>
      </w:r>
      <w:r>
        <w:rPr>
          <w:rFonts w:ascii="Arial" w:cs="Arial" w:eastAsia="Arial" w:hAnsi="Arial"/>
          <w:sz w:val="16"/>
          <w:szCs w:val="16"/>
          <w:color w:val="auto"/>
        </w:rPr>
        <w:t>per share, the midpoint of the estimated price range set forth on the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cover page of this prospectus, would increase (decrease) each of total indebtedness, additional paid-in capital and total members’ / stockholders’ equity</w:t>
      </w:r>
    </w:p>
    <w:p>
      <w:pPr>
        <w:spacing w:after="0" w:line="30"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1,000,000 share increase or decrease in the number of shares offered in this offering by us would increase or decrease each of total indebtedness,</w:t>
      </w:r>
    </w:p>
    <w:p>
      <w:pPr>
        <w:spacing w:after="0" w:line="43"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additional paid-in capital and total members’ / stockholders’ equity 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6"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Furthermore, because we are a holding company, our ability to pay cash dividends on our Class A common stock depends on our receipt of cash distributions from GoHealth Holdings, LLC and, through GoHealth Holdings, LLC, cash distributions and dividends from our other direct and indirect subsidiaries. Our ability to pay dividends may be restricted by the terms of any future credit agreement or any future debt or preferred equity securities of us or our subsidiaries. See “Description of Capital Stock,” “Description of Indebtedness” and “Management’s Discussion and Analysis of Financial Condition and Results of Operation—Liquidity and Capital Resources.”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8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 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4"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Immediately following this offering, we will be a holding company, and our principal asset will be the LLC Interests we purchase from GoHealth Holdings, LLC. If we decide to pay a dividend in the future, we would need to cause GoHealth Holdings, LLC to make distributions to us in an amount sufficient to cover such dividend. If GoHealth Holdings, LLC makes such distributions to us, the other holders of LLC Interests will be entitled to receive pro rata distributions. See “Risk Factors—Risks Related to Our Organizational Structure—Our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Continuing Equity Owners will own LLC Interests after the Transactions. Because the Continuing Equity Owners do not own any Class A common stock or have any right to receive distributions from GoHealth, Inc., we have presented dilution in pro forma net tangible book value per share both before and after this offering assuming that all of the holders of LLC Interests (other than GoHealth, Inc.) had their LLC Interests redeemed or exchanged for newly-issued shares of Class A common stock on a one-for-one basis (rather than for cash) and the automatic transfer to the Company and cancellation for no consideration of all of their shares of Class B common stock (which are not entitled to receive distributions or dividends, whether cash or stock from GoHealth,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94"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GoHealth Holdings, LLC’s pro forma net tangible book value as of March 31,</w:t>
      </w:r>
    </w:p>
    <w:p>
      <w:pPr>
        <w:spacing w:after="0" w:line="1" w:lineRule="exact"/>
        <w:rPr>
          <w:sz w:val="20"/>
          <w:szCs w:val="20"/>
          <w:color w:val="auto"/>
        </w:rPr>
      </w:pPr>
    </w:p>
    <w:p>
      <w:pPr>
        <w:ind w:left="160" w:right="60"/>
        <w:spacing w:after="0" w:line="298" w:lineRule="auto"/>
        <w:rPr>
          <w:sz w:val="20"/>
          <w:szCs w:val="20"/>
          <w:color w:val="auto"/>
        </w:rPr>
      </w:pPr>
      <w:r>
        <w:rPr>
          <w:rFonts w:ascii="Arial" w:cs="Arial" w:eastAsia="Arial" w:hAnsi="Arial"/>
          <w:sz w:val="16"/>
          <w:szCs w:val="16"/>
          <w:color w:val="auto"/>
        </w:rPr>
        <w:t>2020 prior to this offering and after giving effect to the other Transactions and the Assumed Redemption was a deficit of $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58"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28" w:lineRule="exact"/>
        <w:rPr>
          <w:sz w:val="20"/>
          <w:szCs w:val="20"/>
          <w:color w:val="auto"/>
        </w:rPr>
      </w:pPr>
    </w:p>
    <w:p>
      <w:pPr>
        <w:ind w:left="160" w:right="140"/>
        <w:spacing w:after="0" w:line="284" w:lineRule="auto"/>
        <w:rPr>
          <w:sz w:val="20"/>
          <w:szCs w:val="20"/>
          <w:color w:val="auto"/>
        </w:rPr>
      </w:pPr>
      <w:r>
        <w:rPr>
          <w:rFonts w:ascii="Arial" w:cs="Arial" w:eastAsia="Arial" w:hAnsi="Arial"/>
          <w:sz w:val="16"/>
          <w:szCs w:val="16"/>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forma net tangible book value as of March 31, 2020, after giving effect to this offering would have been approximately a deficit of $ million, or $ per share of Class A common stock. This amount represents an immediate increase in pro forma net tangible book value of $ per share to our existing stockholders and an immediate dilution in pro forma net tangible book value of approximately $ per share to new</w:t>
      </w:r>
    </w:p>
    <w:p>
      <w:pPr>
        <w:spacing w:after="0" w:line="2" w:lineRule="exact"/>
        <w:rPr>
          <w:sz w:val="20"/>
          <w:szCs w:val="20"/>
          <w:color w:val="auto"/>
        </w:rPr>
      </w:pPr>
    </w:p>
    <w:p>
      <w:pPr>
        <w:ind w:left="160" w:right="240"/>
        <w:spacing w:after="0" w:line="252" w:lineRule="auto"/>
        <w:rPr>
          <w:sz w:val="20"/>
          <w:szCs w:val="20"/>
          <w:color w:val="auto"/>
        </w:rPr>
      </w:pPr>
      <w:r>
        <w:rPr>
          <w:rFonts w:ascii="Arial" w:cs="Arial" w:eastAsia="Arial" w:hAnsi="Arial"/>
          <w:sz w:val="18"/>
          <w:szCs w:val="18"/>
          <w:color w:val="auto"/>
        </w:rPr>
        <w:t>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60" w:type="dxa"/>
            <w:vAlign w:val="bottom"/>
            <w:shd w:val="clear" w:color="auto" w:fill="CCEEFF"/>
          </w:tcPr>
          <w:p>
            <w:pPr>
              <w:spacing w:after="0"/>
              <w:rPr>
                <w:sz w:val="18"/>
                <w:szCs w:val="18"/>
                <w:color w:val="auto"/>
              </w:rPr>
            </w:pPr>
          </w:p>
        </w:tc>
        <w:tc>
          <w:tcPr>
            <w:tcW w:w="296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790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(deficit) per share as of March 31, 2020 before this offering</w:t>
            </w: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new investors in this offering</w:t>
            </w:r>
          </w:p>
        </w:tc>
        <w:tc>
          <w:tcPr>
            <w:tcW w:w="2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9"/>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6"/>
              </w:rPr>
              <w:t>Pro forma net tangible book value (deficit) per share after this offering</w:t>
            </w:r>
          </w:p>
        </w:tc>
        <w:tc>
          <w:tcPr>
            <w:tcW w:w="2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Dilution per share to new Class A common stock investors in this offering</w:t>
            </w:r>
          </w:p>
        </w:tc>
        <w:tc>
          <w:tcPr>
            <w:tcW w:w="2160" w:type="dxa"/>
            <w:vAlign w:val="bottom"/>
            <w:shd w:val="clear" w:color="auto" w:fill="CCEEFF"/>
          </w:tcPr>
          <w:p>
            <w:pPr>
              <w:spacing w:after="0"/>
              <w:rPr>
                <w:sz w:val="18"/>
                <w:szCs w:val="18"/>
                <w:color w:val="auto"/>
              </w:rPr>
            </w:pPr>
          </w:p>
        </w:tc>
        <w:tc>
          <w:tcPr>
            <w:tcW w:w="296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5180" w:type="dxa"/>
            <w:vAlign w:val="bottom"/>
            <w:gridSpan w:val="6"/>
          </w:tcPr>
          <w:p>
            <w:pPr>
              <w:spacing w:after="0"/>
              <w:rPr>
                <w:sz w:val="11"/>
                <w:szCs w:val="11"/>
                <w:color w:val="auto"/>
              </w:rPr>
            </w:pPr>
          </w:p>
        </w:tc>
      </w:tr>
      <w:tr>
        <w:trPr>
          <w:trHeight w:val="420"/>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A $1.00 increase (decrease) in the assumed initial public offering price of $</w:t>
            </w:r>
          </w:p>
        </w:tc>
        <w:tc>
          <w:tcPr>
            <w:tcW w:w="5180" w:type="dxa"/>
            <w:vAlign w:val="bottom"/>
            <w:gridSpan w:val="6"/>
          </w:tcPr>
          <w:p>
            <w:pPr>
              <w:ind w:left="340"/>
              <w:spacing w:after="0"/>
              <w:rPr>
                <w:sz w:val="20"/>
                <w:szCs w:val="20"/>
                <w:color w:val="auto"/>
              </w:rPr>
            </w:pPr>
            <w:r>
              <w:rPr>
                <w:rFonts w:ascii="Arial" w:cs="Arial" w:eastAsia="Arial" w:hAnsi="Arial"/>
                <w:sz w:val="18"/>
                <w:szCs w:val="18"/>
                <w:color w:val="auto"/>
                <w:w w:val="94"/>
              </w:rPr>
              <w:t>per share, which is the midpoint of the estimated price range set</w:t>
            </w:r>
          </w:p>
        </w:tc>
      </w:tr>
    </w:tbl>
    <w:p>
      <w:pPr>
        <w:ind w:left="160"/>
        <w:spacing w:after="0"/>
        <w:rPr>
          <w:sz w:val="20"/>
          <w:szCs w:val="20"/>
          <w:color w:val="auto"/>
        </w:rPr>
      </w:pPr>
      <w:r>
        <w:rPr>
          <w:rFonts w:ascii="Arial" w:cs="Arial" w:eastAsia="Arial" w:hAnsi="Arial"/>
          <w:sz w:val="16"/>
          <w:szCs w:val="16"/>
          <w:color w:val="auto"/>
        </w:rPr>
        <w:t>forth on the cover page of this prospectus, would increase the pro forma net tangible book value (deficit) per share after this offering by approximately</w:t>
      </w:r>
    </w:p>
    <w:p>
      <w:pPr>
        <w:spacing w:after="0" w:line="30"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 and dilution in pro forma net tangible book value (deficit) per share to new investors by approximately $ assuming that the number of shares offered by us, as set forth on the cover page of this prospectus, remains the same and after deducting the underwriting discount and estimated offering expenses payable by us.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 pro forma net tangible book value (deficit)</w:t>
      </w:r>
    </w:p>
    <w:p>
      <w:pPr>
        <w:spacing w:after="0" w:line="43" w:lineRule="exact"/>
        <w:rPr>
          <w:sz w:val="20"/>
          <w:szCs w:val="20"/>
          <w:color w:val="auto"/>
        </w:rPr>
      </w:pPr>
    </w:p>
    <w:p>
      <w:pPr>
        <w:ind w:left="160"/>
        <w:spacing w:after="0"/>
        <w:tabs>
          <w:tab w:leader="none" w:pos="2900" w:val="left"/>
        </w:tabs>
        <w:rPr>
          <w:sz w:val="20"/>
          <w:szCs w:val="20"/>
          <w:color w:val="auto"/>
        </w:rPr>
      </w:pPr>
      <w:r>
        <w:rPr>
          <w:rFonts w:ascii="Arial" w:cs="Arial" w:eastAsia="Arial" w:hAnsi="Arial"/>
          <w:sz w:val="18"/>
          <w:szCs w:val="18"/>
          <w:color w:val="auto"/>
        </w:rPr>
        <w:t>after the offering would be $</w:t>
      </w:r>
      <w:r>
        <w:rPr>
          <w:sz w:val="20"/>
          <w:szCs w:val="20"/>
          <w:color w:val="auto"/>
        </w:rPr>
        <w:tab/>
      </w:r>
      <w:r>
        <w:rPr>
          <w:rFonts w:ascii="Arial" w:cs="Arial" w:eastAsia="Arial" w:hAnsi="Arial"/>
          <w:sz w:val="16"/>
          <w:szCs w:val="16"/>
          <w:color w:val="auto"/>
        </w:rPr>
        <w:t>per share, the increase in pro forma net tangible book value per share to existing stockholders would be</w:t>
      </w:r>
    </w:p>
    <w:p>
      <w:pPr>
        <w:spacing w:after="0" w:line="7" w:lineRule="exact"/>
        <w:rPr>
          <w:sz w:val="20"/>
          <w:szCs w:val="20"/>
          <w:color w:val="auto"/>
        </w:rPr>
      </w:pPr>
    </w:p>
    <w:p>
      <w:pPr>
        <w:ind w:left="160"/>
        <w:spacing w:after="0"/>
        <w:tabs>
          <w:tab w:leader="none" w:pos="940" w:val="left"/>
          <w:tab w:leader="none" w:pos="8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and the dilution in pro forma net tangible book value to new investors would be $</w:t>
      </w:r>
      <w:r>
        <w:rPr>
          <w:sz w:val="20"/>
          <w:szCs w:val="20"/>
          <w:color w:val="auto"/>
        </w:rPr>
        <w:tab/>
      </w:r>
      <w:r>
        <w:rPr>
          <w:rFonts w:ascii="Arial" w:cs="Arial" w:eastAsia="Arial" w:hAnsi="Arial"/>
          <w:sz w:val="14"/>
          <w:szCs w:val="14"/>
          <w:color w:val="auto"/>
        </w:rPr>
        <w:t>per share, in each case assuming an</w:t>
      </w:r>
    </w:p>
    <w:p>
      <w:pPr>
        <w:spacing w:after="0" w:line="7" w:lineRule="exact"/>
        <w:rPr>
          <w:sz w:val="20"/>
          <w:szCs w:val="20"/>
          <w:color w:val="auto"/>
        </w:rPr>
      </w:pPr>
    </w:p>
    <w:p>
      <w:pPr>
        <w:ind w:left="160"/>
        <w:spacing w:after="0"/>
        <w:tabs>
          <w:tab w:leader="none" w:pos="310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w:t>
      </w:r>
    </w:p>
    <w:p>
      <w:pPr>
        <w:spacing w:after="0" w:line="208"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The following table summarizes, as of March 31, 2020, after giving effect to the Transactions (including this offering) and the Assumed Redemption, the number of shares of Class A common stock purchased from us, the total consideration paid, or to be paid, to us and the average price per share paid,</w:t>
      </w:r>
    </w:p>
    <w:p>
      <w:pPr>
        <w:spacing w:after="0" w:line="1" w:lineRule="exact"/>
        <w:rPr>
          <w:sz w:val="20"/>
          <w:szCs w:val="20"/>
          <w:color w:val="auto"/>
        </w:rPr>
      </w:pPr>
    </w:p>
    <w:p>
      <w:pPr>
        <w:jc w:val="both"/>
        <w:ind w:left="160" w:right="140"/>
        <w:spacing w:after="0" w:line="252" w:lineRule="auto"/>
        <w:rPr>
          <w:sz w:val="20"/>
          <w:szCs w:val="20"/>
          <w:color w:val="auto"/>
        </w:rPr>
      </w:pPr>
      <w:r>
        <w:rPr>
          <w:rFonts w:ascii="Arial" w:cs="Arial" w:eastAsia="Arial" w:hAnsi="Arial"/>
          <w:sz w:val="18"/>
          <w:szCs w:val="18"/>
          <w:color w:val="auto"/>
        </w:rPr>
        <w:t>or to be paid, by existing owners and by the new investors. The calculation below is based on an assumed initial public offering price of $ per share, which is the midpoint of the estimated price range set forth on the cover page of this prospectus, before deducting the underwriting discount and estimated offering expenses payable by us.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Purchased</w:t>
            </w: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140"/>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54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w w:val="93"/>
              </w:rPr>
              <w:t>Percent</w:t>
            </w:r>
          </w:p>
        </w:tc>
        <w:tc>
          <w:tcPr>
            <w:tcW w:w="580" w:type="dxa"/>
            <w:vAlign w:val="bottom"/>
          </w:tcPr>
          <w:p>
            <w:pPr>
              <w:spacing w:after="0"/>
              <w:rPr>
                <w:sz w:val="12"/>
                <w:szCs w:val="12"/>
                <w:color w:val="auto"/>
              </w:rPr>
            </w:pPr>
          </w:p>
        </w:tc>
        <w:tc>
          <w:tcPr>
            <w:tcW w:w="90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Per Share</w:t>
            </w:r>
          </w:p>
        </w:tc>
      </w:tr>
      <w:tr>
        <w:trPr>
          <w:trHeight w:val="207"/>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Equity Owners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New investors</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51"/>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5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5780" w:type="dxa"/>
            <w:vAlign w:val="bottom"/>
            <w:gridSpan w:val="2"/>
          </w:tcPr>
          <w:p>
            <w:pPr>
              <w:spacing w:after="0"/>
              <w:rPr>
                <w:sz w:val="20"/>
                <w:szCs w:val="20"/>
                <w:color w:val="auto"/>
              </w:rPr>
            </w:pPr>
            <w:r>
              <w:rPr>
                <w:rFonts w:ascii="Arial" w:cs="Arial" w:eastAsia="Arial" w:hAnsi="Arial"/>
                <w:sz w:val="18"/>
                <w:szCs w:val="18"/>
                <w:color w:val="auto"/>
                <w:w w:val="92"/>
              </w:rPr>
              <w:t>Each $1.00 increase (decrease) in the assumed initial public offering price of $</w:t>
            </w:r>
          </w:p>
        </w:tc>
        <w:tc>
          <w:tcPr>
            <w:tcW w:w="180" w:type="dxa"/>
            <w:vAlign w:val="bottom"/>
          </w:tcPr>
          <w:p>
            <w:pPr>
              <w:spacing w:after="0"/>
              <w:rPr>
                <w:sz w:val="24"/>
                <w:szCs w:val="24"/>
                <w:color w:val="auto"/>
              </w:rPr>
            </w:pPr>
          </w:p>
        </w:tc>
        <w:tc>
          <w:tcPr>
            <w:tcW w:w="4960" w:type="dxa"/>
            <w:vAlign w:val="bottom"/>
            <w:gridSpan w:val="10"/>
          </w:tcPr>
          <w:p>
            <w:pPr>
              <w:ind w:left="360"/>
              <w:spacing w:after="0"/>
              <w:rPr>
                <w:sz w:val="20"/>
                <w:szCs w:val="20"/>
                <w:color w:val="auto"/>
              </w:rPr>
            </w:pPr>
            <w:r>
              <w:rPr>
                <w:rFonts w:ascii="Arial" w:cs="Arial" w:eastAsia="Arial" w:hAnsi="Arial"/>
                <w:sz w:val="18"/>
                <w:szCs w:val="18"/>
                <w:color w:val="auto"/>
                <w:w w:val="89"/>
              </w:rPr>
              <w:t>per share would increase (decrease) the total consideration paid</w:t>
            </w: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w w:val="99"/>
              </w:rPr>
              <w:t>by new investors and the total consideration paid by all stockholders by $</w:t>
            </w:r>
          </w:p>
        </w:tc>
        <w:tc>
          <w:tcPr>
            <w:tcW w:w="5140" w:type="dxa"/>
            <w:vAlign w:val="bottom"/>
            <w:gridSpan w:val="11"/>
          </w:tcPr>
          <w:p>
            <w:pPr>
              <w:ind w:left="180"/>
              <w:spacing w:after="0"/>
              <w:rPr>
                <w:sz w:val="20"/>
                <w:szCs w:val="20"/>
                <w:color w:val="auto"/>
              </w:rPr>
            </w:pPr>
            <w:r>
              <w:rPr>
                <w:rFonts w:ascii="Arial" w:cs="Arial" w:eastAsia="Arial" w:hAnsi="Arial"/>
                <w:sz w:val="18"/>
                <w:szCs w:val="18"/>
                <w:color w:val="auto"/>
                <w:w w:val="94"/>
              </w:rPr>
              <w:t>million, assuming the number of shares offered by us remains the</w:t>
            </w:r>
          </w:p>
        </w:tc>
      </w:tr>
    </w:tbl>
    <w:p>
      <w:pPr>
        <w:ind w:left="160"/>
        <w:spacing w:after="0"/>
        <w:rPr>
          <w:sz w:val="20"/>
          <w:szCs w:val="20"/>
          <w:color w:val="auto"/>
        </w:rPr>
      </w:pPr>
      <w:r>
        <w:rPr>
          <w:rFonts w:ascii="Arial" w:cs="Arial" w:eastAsia="Arial" w:hAnsi="Arial"/>
          <w:sz w:val="18"/>
          <w:szCs w:val="18"/>
          <w:color w:val="auto"/>
        </w:rPr>
        <w:t>same and after deducting the underwriting discount but before estimated offering expenses.</w:t>
      </w:r>
    </w:p>
    <w:p>
      <w:pPr>
        <w:spacing w:after="0" w:line="208" w:lineRule="exact"/>
        <w:rPr>
          <w:sz w:val="20"/>
          <w:szCs w:val="20"/>
          <w:color w:val="auto"/>
        </w:rPr>
      </w:pPr>
    </w:p>
    <w:p>
      <w:pPr>
        <w:ind w:left="160" w:right="100"/>
        <w:spacing w:after="0" w:line="283"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GoHealth, Inc. The number of shares of our Class A common stock outstanding after this offering as shown in the tables above is based on the number of shares outstanding as of March 31, 2020, after giving effect to the</w:t>
      </w:r>
    </w:p>
    <w:p>
      <w:pPr>
        <w:spacing w:after="0" w:line="1" w:lineRule="exact"/>
        <w:rPr>
          <w:sz w:val="20"/>
          <w:szCs w:val="20"/>
          <w:color w:val="auto"/>
        </w:rPr>
      </w:pPr>
    </w:p>
    <w:p>
      <w:pPr>
        <w:ind w:left="160" w:right="20"/>
        <w:spacing w:after="0" w:line="248" w:lineRule="auto"/>
        <w:rPr>
          <w:sz w:val="20"/>
          <w:szCs w:val="20"/>
          <w:color w:val="auto"/>
        </w:rPr>
      </w:pPr>
      <w:r>
        <w:rPr>
          <w:rFonts w:ascii="Arial" w:cs="Arial" w:eastAsia="Arial" w:hAnsi="Arial"/>
          <w:sz w:val="18"/>
          <w:szCs w:val="18"/>
          <w:color w:val="auto"/>
        </w:rPr>
        <w:t>Transactions and the Assumed Redemption, and excludes shares of Class A common stock reserved for issuance under our 2020 Plan (as described in “Executive Compensation— ”), including approximately shares of Class A common stock issuable pursuant to</w:t>
      </w:r>
    </w:p>
    <w:p>
      <w:pPr>
        <w:ind w:left="160"/>
        <w:spacing w:after="0"/>
        <w:rPr>
          <w:sz w:val="20"/>
          <w:szCs w:val="20"/>
          <w:color w:val="auto"/>
        </w:rPr>
      </w:pPr>
      <w:r>
        <w:rPr>
          <w:rFonts w:ascii="Arial" w:cs="Arial" w:eastAsia="Arial" w:hAnsi="Arial"/>
          <w:sz w:val="16"/>
          <w:szCs w:val="16"/>
          <w:color w:val="auto"/>
        </w:rPr>
        <w:t>stock options we intend to grant to certain of our directors, executive officers and other employees, including certain of our named executive officers, in</w:t>
      </w:r>
    </w:p>
    <w:p>
      <w:pPr>
        <w:spacing w:after="0" w:line="30" w:lineRule="exact"/>
        <w:rPr>
          <w:sz w:val="20"/>
          <w:szCs w:val="20"/>
          <w:color w:val="auto"/>
        </w:rPr>
      </w:pPr>
    </w:p>
    <w:p>
      <w:pPr>
        <w:ind w:left="160"/>
        <w:spacing w:after="0"/>
        <w:tabs>
          <w:tab w:leader="none" w:pos="6880" w:val="left"/>
          <w:tab w:leader="none" w:pos="10820" w:val="left"/>
        </w:tabs>
        <w:rPr>
          <w:sz w:val="20"/>
          <w:szCs w:val="20"/>
          <w:color w:val="auto"/>
        </w:rPr>
      </w:pPr>
      <w:r>
        <w:rPr>
          <w:rFonts w:ascii="Arial" w:cs="Arial" w:eastAsia="Arial" w:hAnsi="Arial"/>
          <w:sz w:val="18"/>
          <w:szCs w:val="18"/>
          <w:color w:val="auto"/>
        </w:rPr>
        <w:t>connection with this offering as described in “Executive Compensation—</w:t>
      </w:r>
      <w:r>
        <w:rPr>
          <w:sz w:val="20"/>
          <w:szCs w:val="20"/>
          <w:color w:val="auto"/>
        </w:rPr>
        <w:tab/>
      </w:r>
      <w:r>
        <w:rPr>
          <w:rFonts w:ascii="Arial" w:cs="Arial" w:eastAsia="Arial" w:hAnsi="Arial"/>
          <w:sz w:val="18"/>
          <w:szCs w:val="18"/>
          <w:color w:val="auto"/>
        </w:rPr>
        <w:t>” and “Executive Compensation—</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the extent any of these outstanding options are exercised, there will be further dilution to new investors. To the extent all of such outstanding options</w:t>
      </w:r>
    </w:p>
    <w:p>
      <w:pPr>
        <w:spacing w:after="0" w:line="43" w:lineRule="exact"/>
        <w:rPr>
          <w:sz w:val="20"/>
          <w:szCs w:val="20"/>
          <w:color w:val="auto"/>
        </w:rPr>
      </w:pPr>
    </w:p>
    <w:p>
      <w:pPr>
        <w:ind w:left="160" w:right="400"/>
        <w:spacing w:after="0" w:line="256" w:lineRule="auto"/>
        <w:rPr>
          <w:sz w:val="20"/>
          <w:szCs w:val="20"/>
          <w:color w:val="auto"/>
        </w:rPr>
      </w:pPr>
      <w:r>
        <w:rPr>
          <w:rFonts w:ascii="Arial" w:cs="Arial" w:eastAsia="Arial" w:hAnsi="Arial"/>
          <w:sz w:val="18"/>
          <w:szCs w:val="18"/>
          <w:color w:val="auto"/>
        </w:rPr>
        <w:t>had been exercised as of March 31, 2020 the pro forma net tangible book value (deficit) per share after this offering would be $ , and total dilution per share to new investors would be $ .</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w:t>
      </w:r>
    </w:p>
    <w:p>
      <w:pPr>
        <w:sectPr>
          <w:pgSz w:w="11900" w:h="16838" w:orient="portrait"/>
          <w:cols w:equalWidth="0" w:num="1">
            <w:col w:w="11080"/>
          </w:cols>
          <w:pgMar w:left="320" w:top="456" w:right="499" w:bottom="1440" w:gutter="0" w:footer="0" w:header="0"/>
        </w:sectPr>
      </w:pPr>
    </w:p>
    <w:p>
      <w:pPr>
        <w:spacing w:after="0" w:line="1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percentage of shares of Class A common stock held by the Original Equity Owners will decrease to approximately number of shares of our Class A common stock outstanding after this offering; and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of the total</w:t>
      </w:r>
    </w:p>
    <w:p>
      <w:pPr>
        <w:spacing w:after="0" w:line="364" w:lineRule="exact"/>
        <w:rPr>
          <w:sz w:val="20"/>
          <w:szCs w:val="20"/>
          <w:color w:val="auto"/>
        </w:rPr>
      </w:pPr>
    </w:p>
    <w:p>
      <w:pPr>
        <w:sectPr>
          <w:pgSz w:w="11900" w:h="16838" w:orient="portrait"/>
          <w:cols w:equalWidth="0" w:num="3">
            <w:col w:w="760" w:space="380"/>
            <w:col w:w="8420" w:space="180"/>
            <w:col w:w="1340"/>
          </w:cols>
          <w:pgMar w:left="320" w:top="456" w:right="4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shares of our Class A</w:t>
      </w:r>
    </w:p>
    <w:p>
      <w:pPr>
        <w:spacing w:after="0" w:line="42" w:lineRule="exact"/>
        <w:rPr>
          <w:sz w:val="20"/>
          <w:szCs w:val="20"/>
          <w:color w:val="auto"/>
        </w:rPr>
      </w:pPr>
    </w:p>
    <w:p>
      <w:pPr>
        <w:sectPr>
          <w:pgSz w:w="11900" w:h="16838" w:orient="portrait"/>
          <w:cols w:equalWidth="0" w:num="4">
            <w:col w:w="760" w:space="380"/>
            <w:col w:w="4220" w:space="720"/>
            <w:col w:w="1300" w:space="180"/>
            <w:col w:w="3520"/>
          </w:cols>
          <w:pgMar w:left="320" w:top="456" w:right="49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common stock outstanding after this offering.</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80"/>
          </w:cols>
          <w:pgMar w:left="320" w:top="456" w:right="49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SELECTED HISTORICAL CONDENSED CONSOLIDATED FINANCIAL DATA</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following table presents the selected historical condensed consolidated financial data for GoHealth Holdings, LLC and its subsidiaries. GoHealth Holdings, LLC is the predecessor of the issuer, GoHealth, Inc., for financial reporting purposes. The selected consolidated statements of operations data and statements of cash flows data for the period from September 13, 2019 through December 31, 2019 (Successor), the period from January 1, 2019 through September 12, 2019 (Predecessor) and the year ended December 31, 2018 (Predecessor), and the selected consolidated balance sheet data as of December 31, 2019 and 2018 are derived from the audited consolidated financial statements of GoHealth Holdings, LLC included elsewhere in this prospectus. The selected condensed consolidated statements of operations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the accompanying notes included elsewhere in this prospectus.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The selected historical financial data of GoHealth, Inc. has not been presented because GoHealth, Inc. is a newly incorporated entity, has had no business transactions or activities to date and had no assets or liabilities during the periods presented in this section.</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3"/>
              </w:rPr>
              <w:t>Successor</w:t>
            </w:r>
          </w:p>
        </w:tc>
        <w:tc>
          <w:tcPr>
            <w:tcW w:w="16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70"/>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2019 Period</w:t>
            </w:r>
          </w:p>
        </w:tc>
        <w:tc>
          <w:tcPr>
            <w:tcW w:w="1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2019 Period</w:t>
            </w:r>
          </w:p>
        </w:tc>
        <w:tc>
          <w:tcPr>
            <w:tcW w:w="3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w w:val="89"/>
              </w:rPr>
              <w:t>112,510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51,215</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$ 243,347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175,834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17,874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65,144</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55,176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308,491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231,010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42,134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90,384</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26,073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11,411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44,356</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4,593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6,006</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40,312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10,491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13,674</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w w:val="95"/>
              </w:rPr>
              <w:t>Change in fair value of contingent consideration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70,700</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28,217</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6,245</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284,393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287,885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197,442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84"/>
              </w:rPr>
              <w:t>5,042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24,098</w:t>
            </w: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(56,875)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6,756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16,039</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15,995</w:t>
            </w: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(57,063)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Net income (loss) attributable to GoHealth Holdings, LLC and</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5,002</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15,995</w:t>
            </w:r>
          </w:p>
        </w:tc>
        <w:tc>
          <w:tcPr>
            <w:tcW w:w="16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(57,063)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23,587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(9,284)</w:t>
            </w: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9"/>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(810,010)</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w w:val="89"/>
              </w:rPr>
              <w:t>120,167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830,879</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6"/>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December 31, 2019</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0"/>
        </w:trPr>
        <w:tc>
          <w:tcPr>
            <w:tcW w:w="4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(Successor)</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0"/>
        </w:trPr>
        <w:tc>
          <w:tcPr>
            <w:tcW w:w="4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152,423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12,276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1,709,649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1,602,295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840,047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742,151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83,490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869,602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(186,653)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69"/>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5" w:lineRule="exact"/>
        <w:rPr>
          <w:sz w:val="20"/>
          <w:szCs w:val="20"/>
          <w:color w:val="auto"/>
        </w:rPr>
      </w:pPr>
    </w:p>
    <w:p>
      <w:pPr>
        <w:ind w:left="160" w:right="240"/>
        <w:spacing w:after="0" w:line="287" w:lineRule="auto"/>
        <w:rPr>
          <w:sz w:val="20"/>
          <w:szCs w:val="20"/>
          <w:color w:val="auto"/>
        </w:rPr>
      </w:pPr>
      <w:r>
        <w:rPr>
          <w:rFonts w:ascii="Arial" w:cs="Arial" w:eastAsia="Arial" w:hAnsi="Arial"/>
          <w:sz w:val="16"/>
          <w:szCs w:val="16"/>
          <w:color w:val="auto"/>
        </w:rPr>
        <w:t>The following unaudited pro forma condensed consolidated financial information reflects (i) the Centerbridge Acquisition and (ii) the impact of this offering, after giving effect to the Transactions discussed in “Our Organizational Structure.” Following the completion of the Transactions, GoHealth,</w:t>
      </w:r>
    </w:p>
    <w:p>
      <w:pPr>
        <w:spacing w:after="0" w:line="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Inc. will be a holding company whose principal asset will consist of % of the outstanding LLC Interests (or % of LLC Interests if the underwriters exercise in full their option to purchase additional shares of Class A common stock) that it acquires directly from GoHealth Holdings, LLC and indirectly from certain of the Continuing Equity Owners and the Blocker Shareholders in connection with this offering. The remaining LLC Interests will be held by the Continuing Equity Owners. GoHealth, Inc. will act as the sole managing member of GoHealth Holdings, LLC, will operate and control the business and affairs of GoHealth Holdings, LLC and its direct and indirect subsidiaries and, through GoHealth Holdings, LLC and its direct and indirect subsidiaries, conduct its business.</w:t>
      </w:r>
    </w:p>
    <w:p>
      <w:pPr>
        <w:spacing w:after="0" w:line="197" w:lineRule="exact"/>
        <w:rPr>
          <w:sz w:val="20"/>
          <w:szCs w:val="20"/>
          <w:color w:val="auto"/>
        </w:rPr>
      </w:pPr>
    </w:p>
    <w:p>
      <w:pPr>
        <w:jc w:val="both"/>
        <w:ind w:left="160" w:right="20"/>
        <w:spacing w:after="0" w:line="275" w:lineRule="auto"/>
        <w:rPr>
          <w:sz w:val="20"/>
          <w:szCs w:val="20"/>
          <w:color w:val="auto"/>
        </w:rPr>
      </w:pPr>
      <w:r>
        <w:rPr>
          <w:rFonts w:ascii="Arial" w:cs="Arial" w:eastAsia="Arial" w:hAnsi="Arial"/>
          <w:sz w:val="17"/>
          <w:szCs w:val="17"/>
          <w:color w:val="auto"/>
        </w:rPr>
        <w:t>The following unaudited pro forma condensed consolidated statements of operations for the year ended December 31, 2019 and the three months ended March 31, 2020 give effect to the Centerbridge Acquisition and the Transactions, including this offering, as if the same had occurred on January 1, 2019. The unaudited pro forma condensed consolidated balance sheet as of March 31, 2020 presents our unaudited pro forma balance sheet giving effect to the Transactions, including this offering, as if they had occurred as of March 31, 2020.</w:t>
      </w:r>
    </w:p>
    <w:p>
      <w:pPr>
        <w:spacing w:after="0" w:line="174"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have derived the unaudited pro forma condensed consolidated statement of operations and unaudited pro forma condensed consolidated balance sheet from the consolidated financial statements of GoHealth Holdings, LLC and its subsidiaries as of March 31, 2020 and for the Successor 2019 Period and Predecessor 2019 Period included elsewhere in this prospectus. The historical consolidated financial information of GoHealth Holdings, LLC has been adjusted in this unaudited pro forma condensed consolidated financial information to give effect to events that are directly attributable to the Centerbridge Acquisition and the Transactions, are factually supportable and, with respect to the condensed consolidated statement of operations, are expected to have a continuing impact on GoHealth, Inc. The unaudited pro forma condensed consolidated financial information reflects adjustments that are described in the accompanying notes and are based on available information and certain assumptions we believe are reasonable, but are subject to change.</w:t>
      </w:r>
    </w:p>
    <w:p>
      <w:pPr>
        <w:spacing w:after="0" w:line="180"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We refer to the adjustments related to the Centerbridge Acquisition, excluding the adjustments related to the Offering, as the “Pro Forma Centerbridge Acquisition Adjustments.” We refer to the adjustments related to the Transactions, including the impact of the Transactions described in “Our Organizational Structure,” but excluding the adjustments related to the Offering, as the Pro Forma Transaction Adjustments.</w:t>
      </w:r>
    </w:p>
    <w:p>
      <w:pPr>
        <w:spacing w:after="0" w:line="16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condensed consolidated financial information, and principally include the following:</w:t>
      </w:r>
    </w:p>
    <w:p>
      <w:pPr>
        <w:spacing w:after="0" w:line="81" w:lineRule="exact"/>
        <w:rPr>
          <w:sz w:val="20"/>
          <w:szCs w:val="20"/>
          <w:color w:val="auto"/>
        </w:rPr>
      </w:pPr>
    </w:p>
    <w:p>
      <w:pPr>
        <w:ind w:left="1140" w:right="140" w:hanging="438"/>
        <w:spacing w:after="0" w:line="259"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GoHealth Holdings, LLC to, among other things, appoint GoHealth, Inc. as the sole managing member of GoHealth Holdings, LLC and provide certain redemption rights to the Continuing Equity Owners;</w:t>
      </w:r>
    </w:p>
    <w:p>
      <w:pPr>
        <w:sectPr>
          <w:pgSz w:w="11900" w:h="16838" w:orient="portrait"/>
          <w:cols w:equalWidth="0" w:num="1">
            <w:col w:w="11080"/>
          </w:cols>
          <w:pgMar w:left="320" w:top="456" w:right="499" w:bottom="1440" w:gutter="0" w:footer="0" w:header="0"/>
        </w:sectPr>
      </w:pP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issuance of shares of our Class A common stock to the investors in this offering in exchange for net proceeds of approximately $ (based on an assumed initial public offering price of $ per share, the midpoint of the estimated price range set forth on the cover page of this prospectus), after deducting the underwriting discount but before estimated offering expenses payable by us;</w:t>
      </w:r>
    </w:p>
    <w:p>
      <w:pPr>
        <w:spacing w:after="0" w:line="97" w:lineRule="exact"/>
        <w:rPr>
          <w:sz w:val="20"/>
          <w:szCs w:val="20"/>
          <w:color w:val="auto"/>
        </w:rPr>
      </w:pPr>
    </w:p>
    <w:p>
      <w:pPr>
        <w:sectPr>
          <w:pgSz w:w="11900" w:h="16838" w:orient="portrait"/>
          <w:cols w:equalWidth="0" w:num="2">
            <w:col w:w="760" w:space="380"/>
            <w:col w:w="9940"/>
          </w:cols>
          <w:pgMar w:left="320" w:top="456" w:right="499" w:bottom="1440" w:gutter="0" w:footer="0" w:header="0"/>
          <w:type w:val="continuous"/>
        </w:sectPr>
      </w:pPr>
    </w:p>
    <w:p>
      <w:pPr>
        <w:ind w:left="1140" w:right="100" w:hanging="438"/>
        <w:spacing w:after="0" w:line="284" w:lineRule="auto"/>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payment of fees and expenses related to this offering and the application of the net proceeds from the sale of Class A common stock in this offering to purchase LLC Interests directly from GoHealth Holdings, LLC, at a purchase price per LLC Interest equal to the initial public offering price per share of Class A common stock less the underwriting discount and estimated offering expenses payable by us,</w:t>
      </w:r>
    </w:p>
    <w:p>
      <w:pPr>
        <w:spacing w:after="0" w:line="2" w:lineRule="exact"/>
        <w:rPr>
          <w:sz w:val="20"/>
          <w:szCs w:val="20"/>
          <w:color w:val="auto"/>
        </w:rPr>
      </w:pPr>
    </w:p>
    <w:p>
      <w:pPr>
        <w:ind w:left="1140"/>
        <w:spacing w:after="0"/>
        <w:tabs>
          <w:tab w:leader="none" w:pos="3940" w:val="left"/>
        </w:tabs>
        <w:rPr>
          <w:sz w:val="20"/>
          <w:szCs w:val="20"/>
          <w:color w:val="auto"/>
        </w:rPr>
      </w:pPr>
      <w:r>
        <w:rPr>
          <w:rFonts w:ascii="Arial" w:cs="Arial" w:eastAsia="Arial" w:hAnsi="Arial"/>
          <w:sz w:val="18"/>
          <w:szCs w:val="18"/>
          <w:color w:val="auto"/>
        </w:rPr>
        <w:t>with such LLC Interests representing</w:t>
      </w:r>
      <w:r>
        <w:rPr>
          <w:sz w:val="20"/>
          <w:szCs w:val="20"/>
          <w:color w:val="auto"/>
        </w:rPr>
        <w:tab/>
      </w:r>
      <w:r>
        <w:rPr>
          <w:rFonts w:ascii="Arial" w:cs="Arial" w:eastAsia="Arial" w:hAnsi="Arial"/>
          <w:sz w:val="16"/>
          <w:szCs w:val="16"/>
          <w:color w:val="auto"/>
        </w:rPr>
        <w:t>% of the outstanding LLC Interests; and</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application by GoHealth Holdings, LLC of the proceeds from the sale of LLC Interests to us as described under “Use of Proceeds.”</w:t>
      </w:r>
    </w:p>
    <w:p>
      <w:pPr>
        <w:spacing w:after="0" w:line="24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Except as otherwise indicated, the unaudited pro forma condensed consolidated financial information presented assumes no exercise by the underwriters of their option to purchase additional shares of Class A common stock in the offering.</w:t>
      </w:r>
    </w:p>
    <w:p>
      <w:pPr>
        <w:spacing w:after="0" w:line="17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9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The unaudited pro forma condensed consolidated financial information should not be relied upon as being indicative of our results of operations or financial condition had the Centerbridge Acquisition and the Transactions, including this offering, occurred on the dates assumed. The unaudited pro forma condensed consolidated financial information also does not project our results of operations or financial position for any future period or date. The unaudited pro forma condensed consolidated statement of operations and balance sheet should be read in conjunction with the “Risk Factors,” “Prospectus Summary—Summary Historical and Pro Forma Condensed Consolidated Financial and Other Data,” “Selected Historical Condensed Consolidated Financial Data,” “Management’s Discussion and Analysis of Financial Condition and Results of Operations” and our consolidated financial statements and related notes included elsewhere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 as of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Pro Forma</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GoHealth</w:t>
            </w: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Adjusted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16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Holdings, LLC</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5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60" w:type="dxa"/>
            <w:vAlign w:val="bottom"/>
          </w:tcPr>
          <w:p>
            <w:pPr>
              <w:ind w:left="340"/>
              <w:spacing w:after="0" w:line="200" w:lineRule="exact"/>
              <w:rPr>
                <w:sz w:val="20"/>
                <w:szCs w:val="20"/>
                <w:color w:val="auto"/>
              </w:rPr>
            </w:pPr>
            <w:r>
              <w:rPr>
                <w:rFonts w:ascii="Arial" w:cs="Arial" w:eastAsia="Arial" w:hAnsi="Arial"/>
                <w:sz w:val="18"/>
                <w:szCs w:val="18"/>
                <w:color w:val="auto"/>
                <w:w w:val="93"/>
              </w:rPr>
              <w:t>Accounts receivable, net of allowance for doubtful accounts of $651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gridSpan w:val="2"/>
          </w:tcPr>
          <w:p>
            <w:pPr>
              <w:jc w:val="right"/>
              <w:ind w:right="4591"/>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receivable—current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58,173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Commissions receivable—non-current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759,269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954</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GoHealth</w:t>
            </w:r>
          </w:p>
        </w:tc>
        <w:tc>
          <w:tcPr>
            <w:tcW w:w="1020" w:type="dxa"/>
            <w:vAlign w:val="bottom"/>
            <w:gridSpan w:val="2"/>
            <w:vMerge w:val="continue"/>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1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0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Offering</w:t>
            </w:r>
          </w:p>
        </w:tc>
        <w:tc>
          <w:tcPr>
            <w:tcW w:w="8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5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Transactions</w:t>
            </w: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11,740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payable—current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34,536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14,867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payable—non-current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113,516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397,652</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247,100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share liability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758,838</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Preferred Units – $1.00 par value; 541,263,042 units authorized, issued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at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546,972</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4"/>
              </w:rPr>
              <w:t>Class A Common units – $1.00 par value; 237,938,682 units authorized,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issued and outstanding at March 31, 2020</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219,139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Class B Common units – $1.00 par value; 108,727,667 units authorized,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4"/>
              </w:rPr>
              <w:t>Senior Preferred Earnout Units – no par value; none authorized, issued,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and outstanding at March 31, 2020</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Profits Units – no par value; 97,918,116 units authorized at March 31,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2020; 84,399,921 units issued at March 31, 2020; and none outstanding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3"/>
              </w:rPr>
              <w:t>Class A common stock – $   par value per share, shares authorized on a</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w w:val="95"/>
              </w:rPr>
              <w:t>pro forma basis, shares issued and outstanding on a pro forma basis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5780" w:type="dxa"/>
            <w:vAlign w:val="bottom"/>
            <w:gridSpan w:val="2"/>
          </w:tcPr>
          <w:p>
            <w:pPr>
              <w:jc w:val="right"/>
              <w:ind w:right="131"/>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GoHealth</w:t>
            </w:r>
          </w:p>
        </w:tc>
        <w:tc>
          <w:tcPr>
            <w:tcW w:w="1080" w:type="dxa"/>
            <w:vAlign w:val="bottom"/>
            <w:gridSpan w:val="2"/>
            <w:vMerge w:val="continue"/>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08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w w:val="91"/>
              </w:rPr>
              <w:t>Transactions</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55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Adjustments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Transactions</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ind w:left="340"/>
              <w:spacing w:after="0" w:line="180" w:lineRule="exact"/>
              <w:rPr>
                <w:sz w:val="20"/>
                <w:szCs w:val="20"/>
                <w:color w:val="auto"/>
              </w:rPr>
            </w:pPr>
            <w:r>
              <w:rPr>
                <w:rFonts w:ascii="Arial" w:cs="Arial" w:eastAsia="Arial" w:hAnsi="Arial"/>
                <w:sz w:val="18"/>
                <w:szCs w:val="18"/>
                <w:color w:val="auto"/>
                <w:w w:val="92"/>
              </w:rPr>
              <w:t>Class B common stock – $   par value per share, shares authorized on</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 pro forma basis, shares issued and outstanding on a pro forma</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basis</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gridSpan w:val="2"/>
          </w:tcPr>
          <w:p>
            <w:pPr>
              <w:spacing w:after="0"/>
              <w:rPr>
                <w:sz w:val="20"/>
                <w:szCs w:val="20"/>
                <w:color w:val="auto"/>
              </w:rPr>
            </w:pPr>
            <w:r>
              <w:rPr>
                <w:rFonts w:ascii="Arial" w:cs="Arial" w:eastAsia="Arial" w:hAnsi="Arial"/>
                <w:sz w:val="18"/>
                <w:szCs w:val="18"/>
                <w:color w:val="auto"/>
                <w:w w:val="98"/>
              </w:rPr>
              <w:t>Total members’/stockholders’ equity attributable to GoHealth Holdings,</w:t>
            </w: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LLC/GoHealth, Inc. (a)</w:t>
            </w:r>
          </w:p>
        </w:tc>
        <w:tc>
          <w:tcPr>
            <w:tcW w:w="1000" w:type="dxa"/>
            <w:vAlign w:val="bottom"/>
          </w:tcPr>
          <w:p>
            <w:pPr>
              <w:jc w:val="right"/>
              <w:spacing w:after="0"/>
              <w:rPr>
                <w:sz w:val="20"/>
                <w:szCs w:val="20"/>
                <w:color w:val="auto"/>
              </w:rPr>
            </w:pPr>
            <w:r>
              <w:rPr>
                <w:rFonts w:ascii="Arial" w:cs="Arial" w:eastAsia="Arial" w:hAnsi="Arial"/>
                <w:sz w:val="18"/>
                <w:szCs w:val="18"/>
                <w:color w:val="auto"/>
              </w:rPr>
              <w:t>869,602</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80" w:type="dxa"/>
            <w:vAlign w:val="bottom"/>
            <w:gridSpan w:val="2"/>
          </w:tcPr>
          <w:p>
            <w:pPr>
              <w:spacing w:after="0"/>
              <w:rPr>
                <w:sz w:val="20"/>
                <w:szCs w:val="20"/>
                <w:color w:val="auto"/>
              </w:rPr>
            </w:pPr>
            <w:r>
              <w:rPr>
                <w:rFonts w:ascii="Arial" w:cs="Arial" w:eastAsia="Arial" w:hAnsi="Arial"/>
                <w:sz w:val="18"/>
                <w:szCs w:val="18"/>
                <w:color w:val="auto"/>
              </w:rPr>
              <w:t>Total members’/stockholders’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1,709,649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780" w:firstLine="7"/>
        <w:spacing w:after="0" w:line="271" w:lineRule="auto"/>
        <w:tabs>
          <w:tab w:leader="none" w:pos="4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historical amounts, represents total members’ deficit attributable to GoHealth Holdings, LLC. For Pro Forma amounts, represents total members’/stockholders’ equity attributable to GoHealth, Inc.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balance sheet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6120" w:type="dxa"/>
            <w:vAlign w:val="bottom"/>
            <w:gridSpan w:val="6"/>
          </w:tcPr>
          <w:p>
            <w:pPr>
              <w:spacing w:after="0"/>
              <w:rPr>
                <w:sz w:val="20"/>
                <w:szCs w:val="20"/>
                <w:color w:val="auto"/>
              </w:rPr>
            </w:pPr>
            <w:r>
              <w:rPr>
                <w:rFonts w:ascii="Arial" w:cs="Arial" w:eastAsia="Arial" w:hAnsi="Arial"/>
                <w:sz w:val="18"/>
                <w:szCs w:val="18"/>
                <w:color w:val="auto"/>
                <w:w w:val="96"/>
              </w:rPr>
              <w:t>(1)   Reflects the net effect on cash of the receipt of offering proceeds to us of $</w:t>
            </w:r>
          </w:p>
        </w:tc>
        <w:tc>
          <w:tcPr>
            <w:tcW w:w="3740" w:type="dxa"/>
            <w:vAlign w:val="bottom"/>
            <w:gridSpan w:val="2"/>
          </w:tcPr>
          <w:p>
            <w:pPr>
              <w:ind w:left="400"/>
              <w:spacing w:after="0"/>
              <w:rPr>
                <w:sz w:val="20"/>
                <w:szCs w:val="20"/>
                <w:color w:val="auto"/>
              </w:rPr>
            </w:pPr>
            <w:r>
              <w:rPr>
                <w:rFonts w:ascii="Arial" w:cs="Arial" w:eastAsia="Arial" w:hAnsi="Arial"/>
                <w:sz w:val="18"/>
                <w:szCs w:val="18"/>
                <w:color w:val="auto"/>
              </w:rPr>
              <w:t>million, based on the assumed sale of</w:t>
            </w:r>
          </w:p>
        </w:tc>
      </w:tr>
      <w:tr>
        <w:trPr>
          <w:trHeight w:val="214"/>
        </w:trPr>
        <w:tc>
          <w:tcPr>
            <w:tcW w:w="5700" w:type="dxa"/>
            <w:vAlign w:val="bottom"/>
            <w:gridSpan w:val="5"/>
          </w:tcPr>
          <w:p>
            <w:pPr>
              <w:ind w:left="440"/>
              <w:spacing w:after="0"/>
              <w:rPr>
                <w:sz w:val="20"/>
                <w:szCs w:val="20"/>
                <w:color w:val="auto"/>
              </w:rPr>
            </w:pPr>
            <w:r>
              <w:rPr>
                <w:rFonts w:ascii="Arial" w:cs="Arial" w:eastAsia="Arial" w:hAnsi="Arial"/>
                <w:sz w:val="18"/>
                <w:szCs w:val="18"/>
                <w:color w:val="auto"/>
                <w:w w:val="89"/>
              </w:rPr>
              <w:t>shares of Class A common stock at an assumed initial public offering of $</w:t>
            </w:r>
          </w:p>
        </w:tc>
        <w:tc>
          <w:tcPr>
            <w:tcW w:w="42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w w:val="94"/>
              </w:rPr>
              <w:t>per share, the midpoint of the estimated price</w:t>
            </w:r>
          </w:p>
        </w:tc>
      </w:tr>
      <w:tr>
        <w:trPr>
          <w:trHeight w:val="214"/>
        </w:trPr>
        <w:tc>
          <w:tcPr>
            <w:tcW w:w="9860" w:type="dxa"/>
            <w:vAlign w:val="bottom"/>
            <w:gridSpan w:val="8"/>
          </w:tcPr>
          <w:p>
            <w:pPr>
              <w:ind w:left="440"/>
              <w:spacing w:after="0"/>
              <w:rPr>
                <w:sz w:val="20"/>
                <w:szCs w:val="20"/>
                <w:color w:val="auto"/>
              </w:rPr>
            </w:pPr>
            <w:r>
              <w:rPr>
                <w:rFonts w:ascii="Arial" w:cs="Arial" w:eastAsia="Arial" w:hAnsi="Arial"/>
                <w:sz w:val="18"/>
                <w:szCs w:val="18"/>
                <w:color w:val="auto"/>
                <w:w w:val="93"/>
              </w:rPr>
              <w:t>range set forth on the cover page of this prospectus, after deducting the underwriting discount and estimated offering expenses</w:t>
            </w:r>
          </w:p>
        </w:tc>
      </w:tr>
      <w:tr>
        <w:trPr>
          <w:trHeight w:val="227"/>
        </w:trPr>
        <w:tc>
          <w:tcPr>
            <w:tcW w:w="6120" w:type="dxa"/>
            <w:vAlign w:val="bottom"/>
            <w:gridSpan w:val="6"/>
          </w:tcPr>
          <w:p>
            <w:pPr>
              <w:ind w:left="440"/>
              <w:spacing w:after="0"/>
              <w:rPr>
                <w:sz w:val="20"/>
                <w:szCs w:val="20"/>
                <w:color w:val="auto"/>
              </w:rPr>
            </w:pPr>
            <w:r>
              <w:rPr>
                <w:rFonts w:ascii="Arial" w:cs="Arial" w:eastAsia="Arial" w:hAnsi="Arial"/>
                <w:sz w:val="18"/>
                <w:szCs w:val="18"/>
                <w:color w:val="auto"/>
                <w:w w:val="93"/>
              </w:rPr>
              <w:t>payable by us. These amounts, as described in “Use of Proceeds,” relate to:</w:t>
            </w: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(a)</w:t>
            </w:r>
          </w:p>
        </w:tc>
        <w:tc>
          <w:tcPr>
            <w:tcW w:w="1480" w:type="dxa"/>
            <w:vAlign w:val="bottom"/>
          </w:tcPr>
          <w:p>
            <w:pPr>
              <w:ind w:left="160"/>
              <w:spacing w:after="0"/>
              <w:rPr>
                <w:sz w:val="20"/>
                <w:szCs w:val="20"/>
                <w:color w:val="auto"/>
              </w:rPr>
            </w:pPr>
            <w:r>
              <w:rPr>
                <w:rFonts w:ascii="Arial" w:cs="Arial" w:eastAsia="Arial" w:hAnsi="Arial"/>
                <w:sz w:val="18"/>
                <w:szCs w:val="18"/>
                <w:color w:val="auto"/>
              </w:rPr>
              <w:t>payment of $</w:t>
            </w: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million to purchase</w:t>
            </w:r>
          </w:p>
        </w:tc>
        <w:tc>
          <w:tcPr>
            <w:tcW w:w="2980" w:type="dxa"/>
            <w:vAlign w:val="bottom"/>
            <w:gridSpan w:val="3"/>
          </w:tcPr>
          <w:p>
            <w:pPr>
              <w:ind w:left="380"/>
              <w:spacing w:after="0"/>
              <w:rPr>
                <w:sz w:val="20"/>
                <w:szCs w:val="20"/>
                <w:color w:val="auto"/>
              </w:rPr>
            </w:pPr>
            <w:r>
              <w:rPr>
                <w:rFonts w:ascii="Arial" w:cs="Arial" w:eastAsia="Arial" w:hAnsi="Arial"/>
                <w:sz w:val="18"/>
                <w:szCs w:val="18"/>
                <w:color w:val="auto"/>
              </w:rPr>
              <w:t>newly-issued LLC Interests (or</w:t>
            </w:r>
          </w:p>
        </w:tc>
        <w:tc>
          <w:tcPr>
            <w:tcW w:w="2440" w:type="dxa"/>
            <w:vAlign w:val="bottom"/>
          </w:tcPr>
          <w:p>
            <w:pPr>
              <w:ind w:left="380"/>
              <w:spacing w:after="0"/>
              <w:rPr>
                <w:sz w:val="20"/>
                <w:szCs w:val="20"/>
                <w:color w:val="auto"/>
              </w:rPr>
            </w:pPr>
            <w:r>
              <w:rPr>
                <w:rFonts w:ascii="Arial" w:cs="Arial" w:eastAsia="Arial" w:hAnsi="Arial"/>
                <w:sz w:val="18"/>
                <w:szCs w:val="18"/>
                <w:color w:val="auto"/>
              </w:rPr>
              <w:t>LLC Interests if the</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93"/>
              </w:rPr>
              <w:t>underwriters exercise in full their option to purchase additional shares of Class A common stock) directly from GoHealth</w:t>
            </w:r>
          </w:p>
        </w:tc>
      </w:tr>
      <w:tr>
        <w:trPr>
          <w:trHeight w:val="214"/>
        </w:trPr>
        <w:tc>
          <w:tcPr>
            <w:tcW w:w="820" w:type="dxa"/>
            <w:vAlign w:val="bottom"/>
          </w:tcPr>
          <w:p>
            <w:pPr>
              <w:spacing w:after="0"/>
              <w:rPr>
                <w:sz w:val="18"/>
                <w:szCs w:val="18"/>
                <w:color w:val="auto"/>
              </w:rPr>
            </w:pPr>
          </w:p>
        </w:tc>
        <w:tc>
          <w:tcPr>
            <w:tcW w:w="4880" w:type="dxa"/>
            <w:vAlign w:val="bottom"/>
            <w:gridSpan w:val="4"/>
          </w:tcPr>
          <w:p>
            <w:pPr>
              <w:ind w:left="160"/>
              <w:spacing w:after="0"/>
              <w:rPr>
                <w:sz w:val="20"/>
                <w:szCs w:val="20"/>
                <w:color w:val="auto"/>
              </w:rPr>
            </w:pPr>
            <w:r>
              <w:rPr>
                <w:rFonts w:ascii="Arial" w:cs="Arial" w:eastAsia="Arial" w:hAnsi="Arial"/>
                <w:sz w:val="18"/>
                <w:szCs w:val="18"/>
                <w:color w:val="auto"/>
              </w:rPr>
              <w:t>Holdings, LLC at an assumed initial public offering of $</w:t>
            </w:r>
          </w:p>
        </w:tc>
        <w:tc>
          <w:tcPr>
            <w:tcW w:w="4160" w:type="dxa"/>
            <w:vAlign w:val="bottom"/>
            <w:gridSpan w:val="3"/>
          </w:tcPr>
          <w:p>
            <w:pPr>
              <w:spacing w:after="0"/>
              <w:rPr>
                <w:sz w:val="20"/>
                <w:szCs w:val="20"/>
                <w:color w:val="auto"/>
              </w:rPr>
            </w:pPr>
            <w:r>
              <w:rPr>
                <w:rFonts w:ascii="Arial" w:cs="Arial" w:eastAsia="Arial" w:hAnsi="Arial"/>
                <w:sz w:val="18"/>
                <w:szCs w:val="18"/>
                <w:color w:val="auto"/>
                <w:w w:val="93"/>
              </w:rPr>
              <w:t>per share, the midpoint of the estimated price range set</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89"/>
              </w:rPr>
              <w:t>forth on the cover page of this prospectus after deducting the underwriting discount and estimated offering expenses payable</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by us;</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(b)</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ind w:left="380"/>
              <w:spacing w:after="0"/>
              <w:rPr>
                <w:sz w:val="20"/>
                <w:szCs w:val="20"/>
                <w:color w:val="auto"/>
              </w:rPr>
            </w:pPr>
            <w:r>
              <w:rPr>
                <w:rFonts w:ascii="Arial" w:cs="Arial" w:eastAsia="Arial" w:hAnsi="Arial"/>
                <w:sz w:val="18"/>
                <w:szCs w:val="18"/>
                <w:color w:val="auto"/>
                <w:w w:val="94"/>
              </w:rPr>
              <w:t>million in cash to the Blocker Shareholders as partial consideration in the Blocker</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Merger; and</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34"/>
        </w:trPr>
        <w:tc>
          <w:tcPr>
            <w:tcW w:w="820" w:type="dxa"/>
            <w:vAlign w:val="bottom"/>
          </w:tcPr>
          <w:p>
            <w:pPr>
              <w:ind w:left="440"/>
              <w:spacing w:after="0"/>
              <w:rPr>
                <w:sz w:val="20"/>
                <w:szCs w:val="20"/>
                <w:color w:val="auto"/>
              </w:rPr>
            </w:pPr>
            <w:r>
              <w:rPr>
                <w:rFonts w:ascii="Arial" w:cs="Arial" w:eastAsia="Arial" w:hAnsi="Arial"/>
                <w:sz w:val="18"/>
                <w:szCs w:val="18"/>
                <w:color w:val="auto"/>
              </w:rPr>
              <w:t>(c)</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ind w:left="380"/>
              <w:spacing w:after="0"/>
              <w:rPr>
                <w:sz w:val="20"/>
                <w:szCs w:val="20"/>
                <w:color w:val="auto"/>
              </w:rPr>
            </w:pPr>
            <w:r>
              <w:rPr>
                <w:rFonts w:ascii="Arial" w:cs="Arial" w:eastAsia="Arial" w:hAnsi="Arial"/>
                <w:sz w:val="18"/>
                <w:szCs w:val="18"/>
                <w:color w:val="auto"/>
              </w:rPr>
              <w:t>million of underwriting discount and estimated offering expenses.</w:t>
            </w:r>
          </w:p>
        </w:tc>
      </w:tr>
    </w:tbl>
    <w:p>
      <w:pPr>
        <w:spacing w:after="0" w:line="108" w:lineRule="exact"/>
        <w:rPr>
          <w:sz w:val="20"/>
          <w:szCs w:val="20"/>
          <w:color w:val="auto"/>
        </w:rPr>
      </w:pPr>
    </w:p>
    <w:p>
      <w:pPr>
        <w:ind w:left="1580" w:right="20" w:hanging="436"/>
        <w:spacing w:after="0" w:line="268" w:lineRule="auto"/>
        <w:tabs>
          <w:tab w:leader="none" w:pos="1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described in greater detail under “Our Organizational Structure” and “Certain Relationships and Related Party Transactions—Tax Receivable Agreement,” in connection with the completion of this offering, we will enter into a Tax Receivable Agreement with GoHealth Holdings, LLC and the Continuing Equity Owners and the Blocker Shareholders that will provide for the payment by GoHealth, Inc. to the Continuing Equity Owners and the Blocker Shareholders of 85% of the amount of certain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the purchase of LLC Interests directly from GoHealth Holdings, LLC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20"/>
        <w:spacing w:after="0" w:line="293" w:lineRule="auto"/>
        <w:rPr>
          <w:sz w:val="20"/>
          <w:szCs w:val="20"/>
          <w:color w:val="auto"/>
        </w:rPr>
      </w:pPr>
      <w:r>
        <w:rPr>
          <w:rFonts w:ascii="Arial" w:cs="Arial" w:eastAsia="Arial" w:hAnsi="Arial"/>
          <w:sz w:val="16"/>
          <w:szCs w:val="16"/>
          <w:color w:val="auto"/>
        </w:rPr>
        <w:t>the partial redemption of LLC Interests by GoHealth Holdings, LLC, as described under “Use of Proceeds,” (b) any future redemptions or exchanges or exchanges of LLC Interests from the Continuing Equity Owners as described under “Certain Relationships and Related Party Transactions— GoHealth Holdings, LLC Agreement—Agreement in Effect Upon Consummation of this Offering—Common Unit Redemption Right,” and (c) certain distributions (or deemed distributions) by GoHealth Holdings, LLC; and (3) certain additional tax benefits arising from payments made under the Tax Receivable Agreement.</w:t>
      </w:r>
    </w:p>
    <w:p>
      <w:pPr>
        <w:spacing w:after="0" w:line="54" w:lineRule="exact"/>
        <w:rPr>
          <w:sz w:val="20"/>
          <w:szCs w:val="20"/>
          <w:color w:val="auto"/>
        </w:rPr>
      </w:pPr>
    </w:p>
    <w:p>
      <w:pPr>
        <w:ind w:left="1580" w:right="40"/>
        <w:spacing w:after="0" w:line="282" w:lineRule="auto"/>
        <w:rPr>
          <w:sz w:val="20"/>
          <w:szCs w:val="20"/>
          <w:color w:val="auto"/>
        </w:rPr>
      </w:pPr>
      <w:r>
        <w:rPr>
          <w:rFonts w:ascii="Arial" w:cs="Arial" w:eastAsia="Arial" w:hAnsi="Arial"/>
          <w:sz w:val="16"/>
          <w:szCs w:val="16"/>
          <w:color w:val="auto"/>
        </w:rPr>
        <w:t>Due to the uncertainty in the amount and timing of future redemptions or exchanges of LLC Interests by the Continuing Equity Owners, the unaudited pro forma consolidated financial information assumes that no redemptions or exchanges of LLC Interests have occurred and, therefore, no increases in tax basis in GoHealth Holdings, LLC’s assets or other tax benefits that may be realized thereunder have been assumed in the unaudited pro forma consolidated financial information. However, if all of the Continuing Equity Owners were to exchange or redeem their LLC Interests, we would recognize a deferred tax asset of approximately</w:t>
      </w:r>
    </w:p>
    <w:p>
      <w:pPr>
        <w:spacing w:after="0" w:line="2" w:lineRule="exact"/>
        <w:rPr>
          <w:sz w:val="20"/>
          <w:szCs w:val="20"/>
          <w:color w:val="auto"/>
        </w:rPr>
      </w:pPr>
    </w:p>
    <w:p>
      <w:pPr>
        <w:ind w:left="1580"/>
        <w:spacing w:after="0"/>
        <w:tabs>
          <w:tab w:leader="none" w:pos="2420" w:val="left"/>
          <w:tab w:leader="none" w:pos="10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and a related liability for payments under the Tax Receivable Agreement of approximately $</w:t>
      </w:r>
      <w:r>
        <w:rPr>
          <w:sz w:val="20"/>
          <w:szCs w:val="20"/>
          <w:color w:val="auto"/>
        </w:rPr>
        <w:tab/>
      </w:r>
      <w:r>
        <w:rPr>
          <w:rFonts w:ascii="Arial" w:cs="Arial" w:eastAsia="Arial" w:hAnsi="Arial"/>
          <w:sz w:val="18"/>
          <w:szCs w:val="18"/>
          <w:color w:val="auto"/>
        </w:rPr>
        <w:t>million,</w:t>
      </w:r>
    </w:p>
    <w:p>
      <w:pPr>
        <w:spacing w:after="0" w:line="7" w:lineRule="exact"/>
        <w:rPr>
          <w:sz w:val="20"/>
          <w:szCs w:val="20"/>
          <w:color w:val="auto"/>
        </w:rPr>
      </w:pPr>
    </w:p>
    <w:p>
      <w:pPr>
        <w:ind w:left="1580"/>
        <w:spacing w:after="0"/>
        <w:tabs>
          <w:tab w:leader="none" w:pos="8800" w:val="left"/>
        </w:tabs>
        <w:rPr>
          <w:sz w:val="20"/>
          <w:szCs w:val="20"/>
          <w:color w:val="auto"/>
        </w:rPr>
      </w:pPr>
      <w:r>
        <w:rPr>
          <w:rFonts w:ascii="Arial" w:cs="Arial" w:eastAsia="Arial" w:hAnsi="Arial"/>
          <w:sz w:val="18"/>
          <w:szCs w:val="18"/>
          <w:color w:val="auto"/>
        </w:rPr>
        <w:t>assuming, among other factors, (i) all exchanges occurred on the same day; (ii) a price of $</w:t>
      </w:r>
      <w:r>
        <w:rPr>
          <w:sz w:val="20"/>
          <w:szCs w:val="20"/>
          <w:color w:val="auto"/>
        </w:rPr>
        <w:tab/>
      </w:r>
      <w:r>
        <w:rPr>
          <w:rFonts w:ascii="Arial" w:cs="Arial" w:eastAsia="Arial" w:hAnsi="Arial"/>
          <w:sz w:val="16"/>
          <w:szCs w:val="16"/>
          <w:color w:val="auto"/>
        </w:rPr>
        <w:t>per share of Class A common</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stock (the midpoint of the estimated offering price set forth on the cover of this prospectus); (iii) a constant corporate tax rate of</w:t>
      </w:r>
    </w:p>
    <w:p>
      <w:pPr>
        <w:spacing w:after="0" w:line="30" w:lineRule="exact"/>
        <w:rPr>
          <w:sz w:val="20"/>
          <w:szCs w:val="20"/>
          <w:color w:val="auto"/>
        </w:rPr>
      </w:pPr>
    </w:p>
    <w:p>
      <w:pPr>
        <w:ind w:left="1580" w:firstLine="758"/>
        <w:spacing w:after="0" w:line="279" w:lineRule="auto"/>
        <w:rPr>
          <w:sz w:val="20"/>
          <w:szCs w:val="20"/>
          <w:color w:val="auto"/>
        </w:rPr>
      </w:pPr>
      <w:r>
        <w:rPr>
          <w:rFonts w:ascii="Arial" w:cs="Arial" w:eastAsia="Arial" w:hAnsi="Arial"/>
          <w:sz w:val="16"/>
          <w:szCs w:val="16"/>
          <w:color w:val="auto"/>
        </w:rPr>
        <w:t>%; (iv) we will have sufficient taxable income to fully utilize the tax benefits; (v) GoHealth Holdings, LLC is able to fully depreciate or amortize its assets; and (vi) no material changes in applicable tax law. For each 5% increase (decrease) in the amount of LLC Interests exchanged by the Continuing Equity Owners, our deferred tax asset would increase (decrease) by approximately</w:t>
      </w:r>
    </w:p>
    <w:p>
      <w:pPr>
        <w:ind w:left="2440" w:hanging="854"/>
        <w:spacing w:after="0"/>
        <w:tabs>
          <w:tab w:leader="none" w:pos="2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million and the related liability for payments under the Tax Receivable Agreement would increase (decrease) by</w:t>
      </w:r>
    </w:p>
    <w:p>
      <w:pPr>
        <w:spacing w:after="0" w:line="19" w:lineRule="exact"/>
        <w:rPr>
          <w:sz w:val="20"/>
          <w:szCs w:val="20"/>
          <w:color w:val="auto"/>
        </w:rPr>
      </w:pPr>
    </w:p>
    <w:p>
      <w:pPr>
        <w:ind w:left="1580" w:right="20"/>
        <w:spacing w:after="0" w:line="250" w:lineRule="auto"/>
        <w:rPr>
          <w:sz w:val="20"/>
          <w:szCs w:val="20"/>
          <w:color w:val="auto"/>
        </w:rPr>
      </w:pPr>
      <w:r>
        <w:rPr>
          <w:rFonts w:ascii="Arial" w:cs="Arial" w:eastAsia="Arial" w:hAnsi="Arial"/>
          <w:sz w:val="18"/>
          <w:szCs w:val="18"/>
          <w:color w:val="auto"/>
        </w:rPr>
        <w:t>approximately $ million, assuming that the price per share of the Class A Common Stock at the time of the exchange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and the tax rates then in effect.</w:t>
      </w:r>
    </w:p>
    <w:p>
      <w:pPr>
        <w:spacing w:after="0" w:line="86"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Under the Tax Receivable Agreement, we may elect to terminate the Tax Receivable Agreement early by making an immediate cash payment equal to the present value of the anticipated future tax benefits that would be required to be paid by us to the Continuing Equity Owners and the Blocker Shareholders under the Tax Receivable Agreement. The calculation of such cash payment would be based on certain assumptions, including, among others (i) that any Continuing Equity Owners’ LLC Interests that have not been exchanged are deemed exchanged, in general, for the market value of our Class A common stock that would be received by such Continuing Equity Owner if such LLC Interests had been exchanged at the time of termination; (ii) we will have sufficient taxable income in each future taxable year to fully realize all potential tax savings; (iii) the federal tax rates for future years will be those specified in the law as in effect at the time of termination and the combined state and local tax rates will be an assumed tax rate; and (iv) certain non-amortizable assets are deemed disposed of within specified time periods. In addition, the present value of such tax</w:t>
      </w:r>
    </w:p>
    <w:p>
      <w:pPr>
        <w:spacing w:after="0" w:line="7" w:lineRule="exact"/>
        <w:rPr>
          <w:sz w:val="20"/>
          <w:szCs w:val="20"/>
          <w:color w:val="auto"/>
        </w:rPr>
      </w:pPr>
    </w:p>
    <w:p>
      <w:pPr>
        <w:ind w:left="1580"/>
        <w:spacing w:after="0"/>
        <w:tabs>
          <w:tab w:leader="none" w:pos="6980" w:val="left"/>
        </w:tabs>
        <w:rPr>
          <w:sz w:val="20"/>
          <w:szCs w:val="20"/>
          <w:color w:val="auto"/>
        </w:rPr>
      </w:pPr>
      <w:r>
        <w:rPr>
          <w:rFonts w:ascii="Arial" w:cs="Arial" w:eastAsia="Arial" w:hAnsi="Arial"/>
          <w:sz w:val="18"/>
          <w:szCs w:val="18"/>
          <w:color w:val="auto"/>
        </w:rPr>
        <w:t>benefit payments are discounted at a rate equal to the lessor of (x)</w:t>
      </w:r>
      <w:r>
        <w:rPr>
          <w:sz w:val="20"/>
          <w:szCs w:val="20"/>
          <w:color w:val="auto"/>
        </w:rPr>
        <w:tab/>
      </w:r>
      <w:r>
        <w:rPr>
          <w:rFonts w:ascii="Arial" w:cs="Arial" w:eastAsia="Arial" w:hAnsi="Arial"/>
          <w:sz w:val="16"/>
          <w:szCs w:val="16"/>
          <w:color w:val="auto"/>
        </w:rPr>
        <w:t>% per annum, compounded annually and</w:t>
      </w:r>
    </w:p>
    <w:p>
      <w:pPr>
        <w:spacing w:after="0" w:line="7" w:lineRule="exact"/>
        <w:rPr>
          <w:sz w:val="20"/>
          <w:szCs w:val="20"/>
          <w:color w:val="auto"/>
        </w:rPr>
      </w:pPr>
    </w:p>
    <w:p>
      <w:pPr>
        <w:ind w:left="1580"/>
        <w:spacing w:after="0"/>
        <w:tabs>
          <w:tab w:leader="none" w:pos="2480" w:val="left"/>
          <w:tab w:leader="none" w:pos="10080" w:val="left"/>
        </w:tabs>
        <w:rPr>
          <w:sz w:val="20"/>
          <w:szCs w:val="20"/>
          <w:color w:val="auto"/>
        </w:rPr>
      </w:pPr>
      <w:r>
        <w:rPr>
          <w:rFonts w:ascii="Arial" w:cs="Arial" w:eastAsia="Arial" w:hAnsi="Arial"/>
          <w:sz w:val="18"/>
          <w:szCs w:val="18"/>
          <w:color w:val="auto"/>
        </w:rPr>
        <w:t>(y)</w:t>
      </w:r>
      <w:r>
        <w:rPr>
          <w:sz w:val="20"/>
          <w:szCs w:val="20"/>
          <w:color w:val="auto"/>
        </w:rPr>
        <w:tab/>
      </w:r>
      <w:r>
        <w:rPr>
          <w:rFonts w:ascii="Arial" w:cs="Arial" w:eastAsia="Arial" w:hAnsi="Arial"/>
          <w:sz w:val="18"/>
          <w:szCs w:val="18"/>
          <w:color w:val="auto"/>
        </w:rPr>
        <w:t>basis points. Assuming that the market value of our Class A common stock were to be equal to $</w:t>
      </w:r>
      <w:r>
        <w:rPr>
          <w:sz w:val="20"/>
          <w:szCs w:val="20"/>
          <w:color w:val="auto"/>
        </w:rPr>
        <w:tab/>
      </w:r>
      <w:r>
        <w:rPr>
          <w:rFonts w:ascii="Arial" w:cs="Arial" w:eastAsia="Arial" w:hAnsi="Arial"/>
          <w:sz w:val="14"/>
          <w:szCs w:val="14"/>
          <w:color w:val="auto"/>
        </w:rPr>
        <w:t>, the</w:t>
      </w:r>
    </w:p>
    <w:p>
      <w:pPr>
        <w:spacing w:after="0" w:line="7" w:lineRule="exact"/>
        <w:rPr>
          <w:sz w:val="20"/>
          <w:szCs w:val="20"/>
          <w:color w:val="auto"/>
        </w:rPr>
      </w:pPr>
    </w:p>
    <w:p>
      <w:pPr>
        <w:ind w:left="1580"/>
        <w:spacing w:after="0"/>
        <w:tabs>
          <w:tab w:leader="none" w:pos="10220" w:val="left"/>
        </w:tabs>
        <w:rPr>
          <w:sz w:val="20"/>
          <w:szCs w:val="20"/>
          <w:color w:val="auto"/>
        </w:rPr>
      </w:pPr>
      <w:r>
        <w:rPr>
          <w:rFonts w:ascii="Arial" w:cs="Arial" w:eastAsia="Arial" w:hAnsi="Arial"/>
          <w:sz w:val="18"/>
          <w:szCs w:val="18"/>
          <w:color w:val="auto"/>
        </w:rPr>
        <w:t>midpoint of the estimated offering price set forth on the cover of this prospectus and that LIBO Rate were to be</w:t>
      </w:r>
      <w:r>
        <w:rPr>
          <w:sz w:val="20"/>
          <w:szCs w:val="20"/>
          <w:color w:val="auto"/>
        </w:rPr>
        <w:tab/>
      </w:r>
      <w:r>
        <w:rPr>
          <w:rFonts w:ascii="Arial" w:cs="Arial" w:eastAsia="Arial" w:hAnsi="Arial"/>
          <w:sz w:val="16"/>
          <w:szCs w:val="16"/>
          <w:color w:val="auto"/>
        </w:rPr>
        <w:t>%, we</w:t>
      </w:r>
    </w:p>
    <w:p>
      <w:pPr>
        <w:spacing w:after="0" w:line="7" w:lineRule="exact"/>
        <w:rPr>
          <w:sz w:val="20"/>
          <w:szCs w:val="20"/>
          <w:color w:val="auto"/>
        </w:rPr>
      </w:pPr>
    </w:p>
    <w:p>
      <w:pPr>
        <w:ind w:left="1580"/>
        <w:spacing w:after="0"/>
        <w:tabs>
          <w:tab w:leader="none" w:pos="8880" w:val="left"/>
        </w:tabs>
        <w:rPr>
          <w:sz w:val="20"/>
          <w:szCs w:val="20"/>
          <w:color w:val="auto"/>
        </w:rPr>
      </w:pPr>
      <w:r>
        <w:rPr>
          <w:rFonts w:ascii="Arial" w:cs="Arial" w:eastAsia="Arial" w:hAnsi="Arial"/>
          <w:sz w:val="18"/>
          <w:szCs w:val="18"/>
          <w:color w:val="auto"/>
        </w:rPr>
        <w:t>estimate that the aggregate amount of these termination payments would be approximately $</w:t>
      </w:r>
      <w:r>
        <w:rPr>
          <w:sz w:val="20"/>
          <w:szCs w:val="20"/>
          <w:color w:val="auto"/>
        </w:rPr>
        <w:tab/>
      </w:r>
      <w:r>
        <w:rPr>
          <w:rFonts w:ascii="Arial" w:cs="Arial" w:eastAsia="Arial" w:hAnsi="Arial"/>
          <w:sz w:val="16"/>
          <w:szCs w:val="16"/>
          <w:color w:val="auto"/>
        </w:rPr>
        <w:t>million if we were to exercise</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our termination right immediately following this offering.</w:t>
      </w:r>
    </w:p>
    <w:p>
      <w:pPr>
        <w:spacing w:after="0" w:line="115" w:lineRule="exact"/>
        <w:rPr>
          <w:sz w:val="20"/>
          <w:szCs w:val="20"/>
          <w:color w:val="auto"/>
        </w:rPr>
      </w:pPr>
    </w:p>
    <w:p>
      <w:pPr>
        <w:ind w:left="1580" w:right="280" w:hanging="436"/>
        <w:spacing w:after="0" w:line="259" w:lineRule="auto"/>
        <w:tabs>
          <w:tab w:leader="none" w:pos="1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completion of the Transactions, we will become the sole managing member of GoHealth Holdings, LLC. Although we will have a minority economic interest in GoHealth Holdings, LLC, we will have the sole voting interest in, and control of the management of, GoHealth Holdings,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200"/>
        <w:spacing w:after="0" w:line="267" w:lineRule="auto"/>
        <w:rPr>
          <w:sz w:val="20"/>
          <w:szCs w:val="20"/>
          <w:color w:val="auto"/>
        </w:rPr>
      </w:pPr>
      <w:r>
        <w:rPr>
          <w:rFonts w:ascii="Arial" w:cs="Arial" w:eastAsia="Arial" w:hAnsi="Arial"/>
          <w:sz w:val="17"/>
          <w:szCs w:val="17"/>
          <w:color w:val="auto"/>
        </w:rPr>
        <w:t>LLC. As a result, we will consolidate the financial results of GoHealth Holdings, LLC and will report a noncontrolling interest related to the interests in GoHealth Holdings, LLC held by the Continuing Equity Owners on our consolidated balance sheet. Immediately following the Transactions, the economic interests held by the noncontrolling interest will be</w:t>
      </w:r>
    </w:p>
    <w:p>
      <w:pPr>
        <w:spacing w:after="0" w:line="2" w:lineRule="exact"/>
        <w:rPr>
          <w:sz w:val="20"/>
          <w:szCs w:val="20"/>
          <w:color w:val="auto"/>
        </w:rPr>
      </w:pPr>
    </w:p>
    <w:p>
      <w:pPr>
        <w:ind w:left="1580"/>
        <w:spacing w:after="0" w:line="256" w:lineRule="auto"/>
        <w:rPr>
          <w:sz w:val="20"/>
          <w:szCs w:val="20"/>
          <w:color w:val="auto"/>
        </w:rPr>
      </w:pPr>
      <w:r>
        <w:rPr>
          <w:rFonts w:ascii="Arial" w:cs="Arial" w:eastAsia="Arial" w:hAnsi="Arial"/>
          <w:sz w:val="18"/>
          <w:szCs w:val="18"/>
          <w:color w:val="auto"/>
        </w:rPr>
        <w:t>approximately %. If the underwriters were to exercise their option to purchase additional shares of our Class A common stock in full, the economic interests held by the noncontrolling interest would be approximately %.</w:t>
      </w:r>
    </w:p>
    <w:p>
      <w:pPr>
        <w:spacing w:after="0" w:line="94" w:lineRule="exact"/>
        <w:rPr>
          <w:sz w:val="20"/>
          <w:szCs w:val="20"/>
          <w:color w:val="auto"/>
        </w:rPr>
      </w:pPr>
    </w:p>
    <w:p>
      <w:pPr>
        <w:ind w:left="1140"/>
        <w:spacing w:after="0"/>
        <w:tabs>
          <w:tab w:leader="none" w:pos="1560" w:val="left"/>
          <w:tab w:leader="none" w:pos="4020" w:val="left"/>
        </w:tabs>
        <w:rPr>
          <w:sz w:val="20"/>
          <w:szCs w:val="20"/>
          <w:color w:val="auto"/>
        </w:rPr>
      </w:pPr>
      <w:r>
        <w:rPr>
          <w:rFonts w:ascii="Arial" w:cs="Arial" w:eastAsia="Arial" w:hAnsi="Arial"/>
          <w:sz w:val="18"/>
          <w:szCs w:val="18"/>
          <w:color w:val="auto"/>
        </w:rPr>
        <w:t>(4)</w:t>
        <w:tab/>
        <w:t>Reflects the exchange of</w:t>
      </w:r>
      <w:r>
        <w:rPr>
          <w:sz w:val="20"/>
          <w:szCs w:val="20"/>
          <w:color w:val="auto"/>
        </w:rPr>
        <w:tab/>
      </w:r>
      <w:r>
        <w:rPr>
          <w:rFonts w:ascii="Arial" w:cs="Arial" w:eastAsia="Arial" w:hAnsi="Arial"/>
          <w:sz w:val="16"/>
          <w:szCs w:val="16"/>
          <w:color w:val="auto"/>
        </w:rPr>
        <w:t>GoHealth Holdings, LLC common units held by the Continuing Equity Owners</w:t>
      </w:r>
    </w:p>
    <w:p>
      <w:pPr>
        <w:spacing w:after="0" w:line="20" w:lineRule="exact"/>
        <w:rPr>
          <w:sz w:val="20"/>
          <w:szCs w:val="20"/>
          <w:color w:val="auto"/>
        </w:rPr>
      </w:pPr>
    </w:p>
    <w:p>
      <w:pPr>
        <w:ind w:left="1580"/>
        <w:spacing w:after="0"/>
        <w:tabs>
          <w:tab w:leader="none" w:pos="248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shares of our Class A common stock, and the issuance of a number of shares of our Class B common stock to the</w:t>
      </w:r>
    </w:p>
    <w:p>
      <w:pPr>
        <w:spacing w:after="0" w:line="30" w:lineRule="exact"/>
        <w:rPr>
          <w:sz w:val="20"/>
          <w:szCs w:val="20"/>
          <w:color w:val="auto"/>
        </w:rPr>
      </w:pPr>
    </w:p>
    <w:p>
      <w:pPr>
        <w:ind w:left="1580" w:right="560"/>
        <w:spacing w:after="0" w:line="256" w:lineRule="auto"/>
        <w:rPr>
          <w:sz w:val="20"/>
          <w:szCs w:val="20"/>
          <w:color w:val="auto"/>
        </w:rPr>
      </w:pPr>
      <w:r>
        <w:rPr>
          <w:rFonts w:ascii="Arial" w:cs="Arial" w:eastAsia="Arial" w:hAnsi="Arial"/>
          <w:sz w:val="18"/>
          <w:szCs w:val="18"/>
          <w:color w:val="auto"/>
        </w:rPr>
        <w:t>Continuing Equity Owners, equal to the number of GoHealth Holdings, LLC common units retained by each, for nominal consideration.</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320" w:top="456" w:right="7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statement of operations for the three months ended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GoHealth</w:t>
            </w:r>
          </w:p>
        </w:tc>
        <w:tc>
          <w:tcPr>
            <w:tcW w:w="14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w w:val="98"/>
              </w:rPr>
              <w:t>As Further</w:t>
            </w:r>
          </w:p>
        </w:tc>
        <w:tc>
          <w:tcPr>
            <w:tcW w:w="40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4"/>
                <w:szCs w:val="14"/>
                <w:b w:val="1"/>
                <w:bCs w:val="1"/>
                <w:color w:val="auto"/>
                <w:w w:val="92"/>
              </w:rPr>
              <w:t>Adjusted for</w:t>
            </w: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Holdings, LLC</w:t>
            </w:r>
          </w:p>
        </w:tc>
        <w:tc>
          <w:tcPr>
            <w:tcW w:w="140" w:type="dxa"/>
            <w:vAlign w:val="bottom"/>
          </w:tcPr>
          <w:p>
            <w:pPr>
              <w:spacing w:after="0"/>
              <w:rPr>
                <w:sz w:val="12"/>
                <w:szCs w:val="12"/>
                <w:color w:val="auto"/>
              </w:rPr>
            </w:pPr>
          </w:p>
        </w:tc>
        <w:tc>
          <w:tcPr>
            <w:tcW w:w="12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780" w:type="dxa"/>
            <w:vAlign w:val="bottom"/>
          </w:tcPr>
          <w:p>
            <w:pPr>
              <w:ind w:left="60"/>
              <w:spacing w:after="0" w:line="147" w:lineRule="exact"/>
              <w:rPr>
                <w:sz w:val="20"/>
                <w:szCs w:val="20"/>
                <w:color w:val="auto"/>
              </w:rPr>
            </w:pPr>
            <w:r>
              <w:rPr>
                <w:rFonts w:ascii="Arial" w:cs="Arial" w:eastAsia="Arial" w:hAnsi="Arial"/>
                <w:sz w:val="14"/>
                <w:szCs w:val="14"/>
                <w:b w:val="1"/>
                <w:bCs w:val="1"/>
                <w:color w:val="auto"/>
                <w:w w:val="99"/>
              </w:rPr>
              <w:t>Pro Forma</w:t>
            </w:r>
          </w:p>
        </w:tc>
        <w:tc>
          <w:tcPr>
            <w:tcW w:w="40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Offering</w:t>
            </w:r>
          </w:p>
        </w:tc>
        <w:tc>
          <w:tcPr>
            <w:tcW w:w="8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Inc. Pro</w:t>
            </w:r>
          </w:p>
        </w:tc>
        <w:tc>
          <w:tcPr>
            <w:tcW w:w="0" w:type="dxa"/>
            <w:vAlign w:val="bottom"/>
          </w:tcPr>
          <w:p>
            <w:pPr>
              <w:spacing w:after="0"/>
              <w:rPr>
                <w:sz w:val="1"/>
                <w:szCs w:val="1"/>
                <w:color w:val="auto"/>
              </w:rPr>
            </w:pPr>
          </w:p>
        </w:tc>
      </w:tr>
      <w:tr>
        <w:trPr>
          <w:trHeight w:val="170"/>
        </w:trPr>
        <w:tc>
          <w:tcPr>
            <w:tcW w:w="48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Historical</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20"/>
                <w:szCs w:val="20"/>
                <w:color w:val="auto"/>
              </w:rPr>
            </w:pPr>
            <w:r>
              <w:rPr>
                <w:rFonts w:ascii="Arial" w:cs="Arial" w:eastAsia="Arial" w:hAnsi="Arial"/>
                <w:sz w:val="14"/>
                <w:szCs w:val="14"/>
                <w:b w:val="1"/>
                <w:bCs w:val="1"/>
                <w:color w:val="auto"/>
                <w:w w:val="87"/>
              </w:rPr>
              <w:t>Transactions</w:t>
            </w:r>
          </w:p>
        </w:tc>
        <w:tc>
          <w:tcPr>
            <w:tcW w:w="4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112,510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42,134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26,073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23,978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10,491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23,514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135,183</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GoHealth, Inc.</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spacing w:after="0"/>
        <w:rPr>
          <w:sz w:val="20"/>
          <w:szCs w:val="20"/>
          <w:color w:val="auto"/>
        </w:rPr>
      </w:pPr>
      <w:r>
        <w:rPr>
          <w:rFonts w:ascii="Arial" w:cs="Arial" w:eastAsia="Arial" w:hAnsi="Arial"/>
          <w:sz w:val="18"/>
          <w:szCs w:val="18"/>
          <w:b w:val="1"/>
          <w:bCs w:val="1"/>
          <w:color w:val="auto"/>
        </w:rPr>
        <w:t>Pro Forma Per Share Data:</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Basic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Weighted-average shares used to compute net income per share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Diluted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Unaudited pro forma condensed consolidated statement of operations for the Successor 2019 Period and Predecessor 2019 Period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Predecessor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4"/>
              </w:rPr>
              <w:t>2019 Period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2019 Period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center"/>
              <w:ind w:right="339"/>
              <w:spacing w:after="0"/>
              <w:rPr>
                <w:sz w:val="20"/>
                <w:szCs w:val="20"/>
                <w:color w:val="auto"/>
              </w:rPr>
            </w:pPr>
            <w:r>
              <w:rPr>
                <w:rFonts w:ascii="Arial" w:cs="Arial" w:eastAsia="Arial" w:hAnsi="Arial"/>
                <w:sz w:val="12"/>
                <w:szCs w:val="12"/>
                <w:b w:val="1"/>
                <w:bCs w:val="1"/>
                <w:color w:val="auto"/>
                <w:w w:val="94"/>
              </w:rPr>
              <w:t>As Adjusted</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w w:val="96"/>
              </w:rPr>
              <w:t>for Pro</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620"/>
              <w:spacing w:after="0" w:line="134" w:lineRule="exact"/>
              <w:rPr>
                <w:sz w:val="20"/>
                <w:szCs w:val="20"/>
                <w:color w:val="auto"/>
              </w:rPr>
            </w:pPr>
            <w:r>
              <w:rPr>
                <w:rFonts w:ascii="Arial" w:cs="Arial" w:eastAsia="Arial" w:hAnsi="Arial"/>
                <w:sz w:val="12"/>
                <w:szCs w:val="12"/>
                <w:b w:val="1"/>
                <w:bCs w:val="1"/>
                <w:color w:val="auto"/>
                <w:w w:val="93"/>
              </w:rPr>
              <w:t>Pro Forma</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39"/>
              <w:spacing w:after="0" w:line="134" w:lineRule="exact"/>
              <w:rPr>
                <w:sz w:val="20"/>
                <w:szCs w:val="20"/>
                <w:color w:val="auto"/>
              </w:rPr>
            </w:pPr>
            <w:r>
              <w:rPr>
                <w:rFonts w:ascii="Arial" w:cs="Arial" w:eastAsia="Arial" w:hAnsi="Arial"/>
                <w:sz w:val="12"/>
                <w:szCs w:val="12"/>
                <w:b w:val="1"/>
                <w:bCs w:val="1"/>
                <w:color w:val="auto"/>
                <w:w w:val="98"/>
              </w:rPr>
              <w:t>Forma</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As Further</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right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97"/>
              </w:rPr>
              <w:t>GoHealth</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7"/>
              </w:rPr>
              <w:t>GoHealth</w:t>
            </w:r>
          </w:p>
        </w:tc>
        <w:tc>
          <w:tcPr>
            <w:tcW w:w="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Centerbridge</w:t>
            </w:r>
          </w:p>
        </w:tc>
        <w:tc>
          <w:tcPr>
            <w:tcW w:w="160" w:type="dxa"/>
            <w:vAlign w:val="bottom"/>
          </w:tcPr>
          <w:p>
            <w:pPr>
              <w:spacing w:after="0"/>
              <w:rPr>
                <w:sz w:val="11"/>
                <w:szCs w:val="11"/>
                <w:color w:val="auto"/>
              </w:rPr>
            </w:pPr>
          </w:p>
        </w:tc>
        <w:tc>
          <w:tcPr>
            <w:tcW w:w="1080" w:type="dxa"/>
            <w:vAlign w:val="bottom"/>
            <w:gridSpan w:val="3"/>
          </w:tcPr>
          <w:p>
            <w:pPr>
              <w:jc w:val="center"/>
              <w:ind w:right="319"/>
              <w:spacing w:after="0" w:line="134" w:lineRule="exact"/>
              <w:rPr>
                <w:sz w:val="20"/>
                <w:szCs w:val="20"/>
                <w:color w:val="auto"/>
              </w:rPr>
            </w:pPr>
            <w:r>
              <w:rPr>
                <w:rFonts w:ascii="Arial" w:cs="Arial" w:eastAsia="Arial" w:hAnsi="Arial"/>
                <w:sz w:val="12"/>
                <w:szCs w:val="12"/>
                <w:b w:val="1"/>
                <w:bCs w:val="1"/>
                <w:color w:val="auto"/>
                <w:w w:val="96"/>
              </w:rPr>
              <w:t>Centerbridge</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Pro Forma</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6"/>
              </w:rPr>
              <w:t>Pro Forma</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8"/>
              </w:rPr>
              <w:t>GoHealth,</w:t>
            </w:r>
          </w:p>
        </w:tc>
        <w:tc>
          <w:tcPr>
            <w:tcW w:w="0" w:type="dxa"/>
            <w:vAlign w:val="bottom"/>
          </w:tcPr>
          <w:p>
            <w:pPr>
              <w:spacing w:after="0"/>
              <w:rPr>
                <w:sz w:val="1"/>
                <w:szCs w:val="1"/>
                <w:color w:val="auto"/>
              </w:rPr>
            </w:pPr>
          </w:p>
        </w:tc>
      </w:tr>
      <w:tr>
        <w:trPr>
          <w:trHeight w:val="134"/>
        </w:trPr>
        <w:tc>
          <w:tcPr>
            <w:tcW w:w="248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 thousands, except share</w:t>
            </w:r>
          </w:p>
        </w:tc>
        <w:tc>
          <w:tcPr>
            <w:tcW w:w="80" w:type="dxa"/>
            <w:vAlign w:val="bottom"/>
          </w:tcPr>
          <w:p>
            <w:pPr>
              <w:spacing w:after="0"/>
              <w:rPr>
                <w:sz w:val="11"/>
                <w:szCs w:val="11"/>
                <w:color w:val="auto"/>
              </w:rPr>
            </w:pPr>
          </w:p>
        </w:tc>
        <w:tc>
          <w:tcPr>
            <w:tcW w:w="102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260" w:type="dxa"/>
            <w:vAlign w:val="bottom"/>
          </w:tcPr>
          <w:p>
            <w:pPr>
              <w:spacing w:after="0"/>
              <w:rPr>
                <w:sz w:val="11"/>
                <w:szCs w:val="11"/>
                <w:color w:val="auto"/>
              </w:rPr>
            </w:pP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40" w:type="dxa"/>
            <w:vAlign w:val="bottom"/>
          </w:tcPr>
          <w:p>
            <w:pPr>
              <w:spacing w:after="0"/>
              <w:rPr>
                <w:sz w:val="11"/>
                <w:szCs w:val="11"/>
                <w:color w:val="auto"/>
              </w:rPr>
            </w:pPr>
          </w:p>
        </w:tc>
        <w:tc>
          <w:tcPr>
            <w:tcW w:w="1260" w:type="dxa"/>
            <w:vAlign w:val="bottom"/>
            <w:gridSpan w:val="3"/>
          </w:tcPr>
          <w:p>
            <w:pPr>
              <w:jc w:val="right"/>
              <w:ind w:right="600"/>
              <w:spacing w:after="0" w:line="134" w:lineRule="exact"/>
              <w:rPr>
                <w:sz w:val="20"/>
                <w:szCs w:val="20"/>
                <w:color w:val="auto"/>
              </w:rPr>
            </w:pPr>
            <w:r>
              <w:rPr>
                <w:rFonts w:ascii="Arial" w:cs="Arial" w:eastAsia="Arial" w:hAnsi="Arial"/>
                <w:sz w:val="12"/>
                <w:szCs w:val="12"/>
                <w:b w:val="1"/>
                <w:bCs w:val="1"/>
                <w:color w:val="auto"/>
                <w:w w:val="97"/>
              </w:rPr>
              <w:t>Acquisition</w:t>
            </w:r>
          </w:p>
        </w:tc>
        <w:tc>
          <w:tcPr>
            <w:tcW w:w="160" w:type="dxa"/>
            <w:vAlign w:val="bottom"/>
          </w:tcPr>
          <w:p>
            <w:pPr>
              <w:spacing w:after="0"/>
              <w:rPr>
                <w:sz w:val="11"/>
                <w:szCs w:val="11"/>
                <w:color w:val="auto"/>
              </w:rPr>
            </w:pPr>
          </w:p>
        </w:tc>
        <w:tc>
          <w:tcPr>
            <w:tcW w:w="1080" w:type="dxa"/>
            <w:vAlign w:val="bottom"/>
            <w:gridSpan w:val="3"/>
          </w:tcPr>
          <w:p>
            <w:pPr>
              <w:jc w:val="center"/>
              <w:ind w:right="339"/>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Pro Forma</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8"/>
              </w:rPr>
              <w:t>Offering</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9"/>
              </w:rPr>
              <w:t>Inc. Pro</w:t>
            </w:r>
          </w:p>
        </w:tc>
        <w:tc>
          <w:tcPr>
            <w:tcW w:w="0" w:type="dxa"/>
            <w:vAlign w:val="bottom"/>
          </w:tcPr>
          <w:p>
            <w:pPr>
              <w:spacing w:after="0"/>
              <w:rPr>
                <w:sz w:val="1"/>
                <w:szCs w:val="1"/>
                <w:color w:val="auto"/>
              </w:rPr>
            </w:pPr>
          </w:p>
        </w:tc>
      </w:tr>
      <w:tr>
        <w:trPr>
          <w:trHeight w:val="152"/>
        </w:trPr>
        <w:tc>
          <w:tcPr>
            <w:tcW w:w="2480" w:type="dxa"/>
            <w:vAlign w:val="bottom"/>
            <w:gridSpan w:val="2"/>
          </w:tcPr>
          <w:p>
            <w:pPr>
              <w:spacing w:after="0"/>
              <w:rPr>
                <w:sz w:val="20"/>
                <w:szCs w:val="20"/>
                <w:color w:val="auto"/>
              </w:rPr>
            </w:pPr>
            <w:r>
              <w:rPr>
                <w:rFonts w:ascii="Arial" w:cs="Arial" w:eastAsia="Arial" w:hAnsi="Arial"/>
                <w:sz w:val="12"/>
                <w:szCs w:val="12"/>
                <w:i w:val="1"/>
                <w:iCs w:val="1"/>
                <w:color w:val="auto"/>
              </w:rPr>
              <w:t>amounts)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5"/>
              </w:rPr>
              <w:t>Historical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Historical</w:t>
            </w:r>
          </w:p>
        </w:tc>
        <w:tc>
          <w:tcPr>
            <w:tcW w:w="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Pr>
          <w:p>
            <w:pPr>
              <w:spacing w:after="0"/>
              <w:rPr>
                <w:sz w:val="13"/>
                <w:szCs w:val="13"/>
                <w:color w:val="auto"/>
              </w:rPr>
            </w:pPr>
          </w:p>
        </w:tc>
        <w:tc>
          <w:tcPr>
            <w:tcW w:w="1080" w:type="dxa"/>
            <w:vAlign w:val="bottom"/>
            <w:gridSpan w:val="3"/>
          </w:tcPr>
          <w:p>
            <w:pPr>
              <w:jc w:val="center"/>
              <w:ind w:right="319"/>
              <w:spacing w:after="0"/>
              <w:rPr>
                <w:sz w:val="20"/>
                <w:szCs w:val="20"/>
                <w:color w:val="auto"/>
              </w:rPr>
            </w:pPr>
            <w:r>
              <w:rPr>
                <w:rFonts w:ascii="Arial" w:cs="Arial" w:eastAsia="Arial" w:hAnsi="Arial"/>
                <w:sz w:val="12"/>
                <w:szCs w:val="12"/>
                <w:b w:val="1"/>
                <w:bCs w:val="1"/>
                <w:color w:val="auto"/>
                <w:w w:val="93"/>
              </w:rPr>
              <w:t>Adjustments</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Transactions</w:t>
            </w:r>
          </w:p>
        </w:tc>
        <w:tc>
          <w:tcPr>
            <w:tcW w:w="32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Adjustments</w:t>
            </w: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Commission</w:t>
            </w:r>
          </w:p>
        </w:tc>
        <w:tc>
          <w:tcPr>
            <w:tcW w:w="160" w:type="dxa"/>
            <w:vAlign w:val="bottom"/>
            <w:gridSpan w:val="2"/>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175,834</w:t>
            </w:r>
          </w:p>
        </w:tc>
        <w:tc>
          <w:tcPr>
            <w:tcW w:w="260" w:type="dxa"/>
            <w:vAlign w:val="bottom"/>
          </w:tcPr>
          <w:p>
            <w:pPr>
              <w:spacing w:after="0"/>
              <w:rPr>
                <w:sz w:val="12"/>
                <w:szCs w:val="12"/>
                <w:color w:val="auto"/>
              </w:rPr>
            </w:pPr>
          </w:p>
        </w:tc>
        <w:tc>
          <w:tcPr>
            <w:tcW w:w="80" w:type="dxa"/>
            <w:vAlign w:val="bottom"/>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243,347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419,181</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55,176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65,144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120,320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revenues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231,010</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308,491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79,169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90,384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169,553</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37,769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24,811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61,071</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Customer care and enrollment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49,149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44,356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93,567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40,312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6,006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(26,848)(5)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19,470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79,219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(59,557)(1)(5)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33,336</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Change in fair value of contingent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70,700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70,700</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28,217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65,840(2)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94,057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2,267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6,245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(8,512)(3)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tcPr>
          <w:p>
            <w:pPr>
              <w:ind w:left="140"/>
              <w:spacing w:after="0" w:line="154" w:lineRule="exact"/>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287,885</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284,393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(30,523)</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541,755</w:t>
            </w:r>
          </w:p>
        </w:tc>
        <w:tc>
          <w:tcPr>
            <w:tcW w:w="360" w:type="dxa"/>
            <w:vAlign w:val="bottom"/>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(loss) from operations</w:t>
            </w:r>
          </w:p>
        </w:tc>
        <w:tc>
          <w:tcPr>
            <w:tcW w:w="1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(56,875)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24,098</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30,523</w:t>
            </w:r>
          </w:p>
        </w:tc>
        <w:tc>
          <w:tcPr>
            <w:tcW w:w="280" w:type="dxa"/>
            <w:vAlign w:val="bottom"/>
            <w:gridSpan w:val="2"/>
            <w:shd w:val="clear" w:color="auto" w:fill="CCEEFF"/>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(2,254)</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8,076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18,956(4)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27,172</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(97)</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Income (loss) before income taxes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(57,129)</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16,039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(29,523)</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w:t>
            </w:r>
          </w:p>
        </w:tc>
        <w:tc>
          <w:tcPr>
            <w:tcW w:w="106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7"/>
              </w:rPr>
              <w:t>Net income attributable to noncontrolling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9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w w:val="97"/>
              </w:rPr>
              <w:t>Net income attributable to GoHealth, Inc.</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5"/>
              <w:spacing w:after="0" w:line="154"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 Forma Per Share Data: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Net income per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1"/>
              </w:rPr>
              <w:t>Weighted-average shares used to compute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statement of operations</w:t>
      </w:r>
    </w:p>
    <w:p>
      <w:pPr>
        <w:spacing w:after="0" w:line="127" w:lineRule="exact"/>
        <w:rPr>
          <w:sz w:val="20"/>
          <w:szCs w:val="20"/>
          <w:color w:val="auto"/>
        </w:rPr>
      </w:pPr>
    </w:p>
    <w:p>
      <w:pPr>
        <w:ind w:left="1580" w:hanging="436"/>
        <w:spacing w:after="0" w:line="272" w:lineRule="auto"/>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(i) the elimination of transaction-related bonuses paid to certain executive officers and employees incurred in connection with the Centerbridge Acquisition, which are not expected to have a continuing impact on the results of operations and (ii) a non-cash adjustment to rent expense associated with the resetting of deferred rent and the removal of leasehold improvement obligations through purchase accounting in connection with the Centerbridge Acquisition. The following table represents the pro forma adjustment to general and administrative expense for the year ended December 31, 2019:</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0"/>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transaction bonuses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adjustments to rent expense made through purchase accounting</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0"/>
        </w:trPr>
        <w:tc>
          <w:tcPr>
            <w:tcW w:w="20" w:type="dxa"/>
            <w:vAlign w:val="bottom"/>
          </w:tcPr>
          <w:p>
            <w:pPr>
              <w:spacing w:after="0"/>
              <w:rPr>
                <w:sz w:val="17"/>
                <w:szCs w:val="17"/>
                <w:color w:val="auto"/>
              </w:rPr>
            </w:pPr>
          </w:p>
        </w:tc>
        <w:tc>
          <w:tcPr>
            <w:tcW w:w="6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bonuses and rent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240" w:hanging="436"/>
        <w:spacing w:after="0" w:line="255"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incremental amortization expense related to certain definite-lived intangible assets, reflected in the purchase price allocation at the date of the Centerbridge Acquisition, as if those certain definite-lived intangible assets were put into place on January 1, 2019. The following table represents the pro forma adjustment to estimated amortization expense for the year ended December 31, 2019:</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Estimated Fair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3"/>
              </w:rPr>
              <w:t>Value at</w:t>
            </w: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Useful</w:t>
            </w:r>
          </w:p>
        </w:tc>
        <w:tc>
          <w:tcPr>
            <w:tcW w:w="154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7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 years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Annual pro forma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amount recorded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estimated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300" w:hanging="436"/>
        <w:spacing w:after="0" w:line="271" w:lineRule="auto"/>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elimination of direct and incremental transaction costs incurred in connection with the Centerbridge Acquisition, which are not expected to have a continuing impact on the results of operations.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320" w:top="456" w:right="5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60" w:hanging="436"/>
        <w:spacing w:after="0" w:line="297" w:lineRule="auto"/>
        <w:tabs>
          <w:tab w:leader="none" w:pos="1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(i) the elimination of interest expense related to our financing in place during the Predecessor 2019 Period, which was repaid in conjunction with the Centerbridge Acquisition and (ii) the incremental interest expense, accretion of debt discount, and amortization of debt issuance costs associated with our Credit Facilities incurred as part of the Centerbridge Acquisition. The following table represents the pro forma adjustment to interest expense for the year ended December 31, 2019:</w:t>
      </w:r>
    </w:p>
    <w:p>
      <w:pPr>
        <w:spacing w:after="0" w:line="16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Annual pro forma interest expense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expense recorded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See “Description of Indebtedness” for a description of the Credit Facilities.</w:t>
      </w:r>
    </w:p>
    <w:p>
      <w:pPr>
        <w:spacing w:after="0" w:line="127" w:lineRule="exact"/>
        <w:rPr>
          <w:sz w:val="20"/>
          <w:szCs w:val="20"/>
          <w:color w:val="auto"/>
        </w:rPr>
      </w:pPr>
    </w:p>
    <w:p>
      <w:pPr>
        <w:ind w:left="1580" w:hanging="436"/>
        <w:spacing w:after="0" w:line="290" w:lineRule="auto"/>
        <w:tabs>
          <w:tab w:leader="none" w:pos="1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a non-cash adjustment to removal of equity incentive compensation expense triggered as part of the Centerbridge Acquisition due to change in control provision which accelerated vesting, and includes the incremental share-based compensation expense related to the equity incentive compensation plan put in place in connection with the Centerbridge Acquisition, as if that plan had been in place since January 1, 2019. This adjustment was allocated to line items on the income statement based on the department the individual is in who received the compensation. The following tables represent the pro forma adjustments to each of the marketing and advertising, technology, general and administrative and customer care and enrollment expenses.</w:t>
      </w:r>
    </w:p>
    <w:p>
      <w:pPr>
        <w:spacing w:after="0" w:line="70"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u w:val="single" w:color="auto"/>
          <w:color w:val="auto"/>
        </w:rPr>
        <w:t>Marketing and Advertising</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marketing and advertising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Technology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technology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2680"/>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6" w:right="6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General and Administrative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2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(58,327)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(57,360)</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Customer Care and Enrollment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customer care and enrollment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436"/>
        <w:spacing w:after="0"/>
        <w:tabs>
          <w:tab w:leader="none" w:pos="1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Following the Transactions, we will be subject to United States federal income taxes, in addition to applicable state and local taxes,</w:t>
      </w:r>
    </w:p>
    <w:p>
      <w:pPr>
        <w:spacing w:after="0" w:line="43" w:lineRule="exact"/>
        <w:rPr>
          <w:sz w:val="20"/>
          <w:szCs w:val="20"/>
          <w:color w:val="auto"/>
        </w:rPr>
      </w:pPr>
    </w:p>
    <w:p>
      <w:pPr>
        <w:ind w:left="1580" w:right="460"/>
        <w:spacing w:after="0" w:line="279" w:lineRule="auto"/>
        <w:rPr>
          <w:sz w:val="20"/>
          <w:szCs w:val="20"/>
          <w:color w:val="auto"/>
        </w:rPr>
      </w:pPr>
      <w:r>
        <w:rPr>
          <w:rFonts w:ascii="Arial" w:cs="Arial" w:eastAsia="Arial" w:hAnsi="Arial"/>
          <w:sz w:val="16"/>
          <w:szCs w:val="16"/>
          <w:color w:val="auto"/>
        </w:rPr>
        <w:t>with respect to our allocable share of any net taxable income of GoHealth Holdings, LLC. As a result, the unaudited pro forma consolidated statement of operations includes an adjustment to our income tax expense to reflect an effective income tax rate</w:t>
      </w:r>
    </w:p>
    <w:p>
      <w:pPr>
        <w:ind w:left="1580" w:right="860"/>
        <w:spacing w:after="0" w:line="256" w:lineRule="auto"/>
        <w:rPr>
          <w:sz w:val="20"/>
          <w:szCs w:val="20"/>
          <w:color w:val="auto"/>
        </w:rPr>
      </w:pPr>
      <w:r>
        <w:rPr>
          <w:rFonts w:ascii="Arial" w:cs="Arial" w:eastAsia="Arial" w:hAnsi="Arial"/>
          <w:sz w:val="18"/>
          <w:szCs w:val="18"/>
          <w:color w:val="auto"/>
        </w:rPr>
        <w:t>of %, which includes a provision for United States federal income taxes and assumes the highest statutory rates apportioned to each state and local jurisdiction.</w:t>
      </w:r>
    </w:p>
    <w:p>
      <w:pPr>
        <w:spacing w:after="0" w:line="94" w:lineRule="exact"/>
        <w:rPr>
          <w:sz w:val="20"/>
          <w:szCs w:val="20"/>
          <w:color w:val="auto"/>
        </w:rPr>
      </w:pPr>
    </w:p>
    <w:p>
      <w:pPr>
        <w:ind w:left="1580" w:hanging="439"/>
        <w:spacing w:after="0" w:line="255" w:lineRule="auto"/>
        <w:tabs>
          <w:tab w:leader="none" w:pos="1560" w:val="left"/>
        </w:tabs>
        <w:rPr>
          <w:sz w:val="20"/>
          <w:szCs w:val="20"/>
          <w:color w:val="auto"/>
        </w:rPr>
      </w:pPr>
      <w:r>
        <w:rPr>
          <w:rFonts w:ascii="Arial" w:cs="Arial" w:eastAsia="Arial" w:hAnsi="Arial"/>
          <w:sz w:val="18"/>
          <w:szCs w:val="18"/>
          <w:color w:val="auto"/>
        </w:rPr>
        <w:t>(7)</w:t>
        <w:tab/>
        <w:t>After the Transactions we will become the managing member of GoHealth Holdings, LLC. We will own % of the economic interest in GoHealth Holdings, LLC, but will have % of the voting power and control the management of GoHealth Holdings, LLC. The Continuing Equity Owners will own the remaining % of the economic interest in GoHealth Holdings, LLC, which will be accounted for as a noncontrolling interest in our future consolidated financial results.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“Risk Factors” and “Unaudited Pro Forma Condensed Consolidated Financial Information.” We assume no obligation to update any of these forward-looking statements.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36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w:t>
      </w:r>
    </w:p>
    <w:p>
      <w:pPr>
        <w:spacing w:after="0" w:line="2"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$169.9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“Prospectus Summary—Summary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w:t>
      </w:r>
    </w:p>
    <w:p>
      <w:pPr>
        <w:spacing w:after="0" w:line="43" w:lineRule="exact"/>
        <w:rPr>
          <w:sz w:val="20"/>
          <w:szCs w:val="20"/>
          <w:color w:val="auto"/>
        </w:rPr>
      </w:pPr>
    </w:p>
    <w:p>
      <w:pPr>
        <w:ind w:left="160" w:firstLine="7"/>
        <w:spacing w:after="0" w:line="250" w:lineRule="auto"/>
        <w:tabs>
          <w:tab w:leader="none" w:pos="4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IFP and Other—External. We organize the segments by product type, Medicare and IFP and Other, as well as by distribution channel, internal and external, as further described below. In addition, we separately report other expenses (classified as “Corporate” in our financial statements), the primary components of which are corporate overhead expenses and shared service expenses that have not been allocated to the reportable segments. The segment results provided herein may not be comparable to other companies. We refer to the Medicare—Internal and Medicare—External segments collectively as the “Medicare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segments” and the IFP and Other—Internal and IFP and Other—External segments as the “IFP and Other segments.”</w:t>
      </w:r>
    </w:p>
    <w:p>
      <w:pPr>
        <w:spacing w:after="0" w:line="127" w:lineRule="exact"/>
        <w:rPr>
          <w:sz w:val="20"/>
          <w:szCs w:val="20"/>
          <w:color w:val="auto"/>
        </w:rPr>
      </w:pPr>
    </w:p>
    <w:p>
      <w:pPr>
        <w:ind w:left="1140" w:right="20" w:hanging="438"/>
        <w:spacing w:after="0" w:line="287"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Medicare—Internal</w:t>
      </w:r>
      <w:r>
        <w:rPr>
          <w:rFonts w:ascii="Arial" w:cs="Arial" w:eastAsia="Arial" w:hAnsi="Arial"/>
          <w:sz w:val="16"/>
          <w:szCs w:val="16"/>
          <w:color w:val="auto"/>
        </w:rPr>
        <w:t>. The Medicare—Internal segment relates to sales of products and plans by GoHealth-employed agents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 For the three months ended March 31, 2020 and 2019, the Pro Forma Fiscal Year 2019 and for the year ended December 31, 2018, this segment generated 67.6%, 30.3%, 58.9% and 23.6%, respectively, of total revenue and 98.4%, 46.8%, 88.5% and 52.8%, respectively, of total profit.</w:t>
      </w:r>
    </w:p>
    <w:p>
      <w:pPr>
        <w:spacing w:after="0" w:line="72" w:lineRule="exact"/>
        <w:rPr>
          <w:rFonts w:ascii="Arial" w:cs="Arial" w:eastAsia="Arial" w:hAnsi="Arial"/>
          <w:sz w:val="16"/>
          <w:szCs w:val="16"/>
          <w:color w:val="auto"/>
        </w:rPr>
      </w:pPr>
    </w:p>
    <w:p>
      <w:pPr>
        <w:ind w:left="1140" w:right="60" w:hanging="438"/>
        <w:spacing w:after="0" w:line="268" w:lineRule="auto"/>
        <w:tabs>
          <w:tab w:leader="none" w:pos="114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Medicare—External</w:t>
      </w:r>
      <w:r>
        <w:rPr>
          <w:rFonts w:ascii="Arial" w:cs="Arial" w:eastAsia="Arial" w:hAnsi="Arial"/>
          <w:sz w:val="17"/>
          <w:szCs w:val="17"/>
          <w:color w:val="auto"/>
        </w:rPr>
        <w:t>. The Medicare—External segment relates to sales of products and plans under GoHealth’s carrier contracts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national network of agents, or external agencies, agents of which are not employed by GoHealth. These agents utilize our technology and platform to enroll consumers in health insurance plans and provide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20.5%, 29.4%, 21.3% and 26.0%, respectively, of total revenue and (0.8)%, 32.5%, 8.2% and 19.7%, respectively, of total profit.</w:t>
      </w:r>
    </w:p>
    <w:p>
      <w:pPr>
        <w:spacing w:after="0" w:line="85" w:lineRule="exact"/>
        <w:rPr>
          <w:rFonts w:ascii="Arial" w:cs="Arial" w:eastAsia="Arial" w:hAnsi="Arial"/>
          <w:sz w:val="17"/>
          <w:szCs w:val="17"/>
          <w:color w:val="auto"/>
        </w:rPr>
      </w:pPr>
    </w:p>
    <w:p>
      <w:pPr>
        <w:ind w:left="1140" w:hanging="438"/>
        <w:spacing w:after="0" w:line="288"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Other—Internal</w:t>
      </w:r>
      <w:r>
        <w:rPr>
          <w:rFonts w:ascii="Arial" w:cs="Arial" w:eastAsia="Arial" w:hAnsi="Arial"/>
          <w:sz w:val="16"/>
          <w:szCs w:val="16"/>
          <w:color w:val="auto"/>
        </w:rPr>
        <w:t>. The IFP and Other—Internal segment relates to sales of products and plans by GoHealth-employed agents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qualified prospects plans from multiple carriers, GoHealth-employed agents offering qualified prospects plans on a carrier-specific basis, or DIY. In this segment, we sell individual and family plans, dental plans, vision plans and other ancillary plans to individuals that are not Medicare-eligible. We earn revenue in this segment through commissions paid by carriers based on sales we generate, as well as enrollment fees, and hourly fees and other fees for services performed for specific carriers and other partners. For the three months ended March 31, 2020 and 2019, the Pro Forma Fiscal Year 2019 and for the year ended December 31, 2018, this segment generated 6.1%, 20.9%, 10.9% and 27.9%, respectively, of total revenue and 1.1%, 8.5%, 2.0% and 21.2% respectively, of total profit.</w:t>
      </w:r>
    </w:p>
    <w:p>
      <w:pPr>
        <w:spacing w:after="0" w:line="72" w:lineRule="exact"/>
        <w:rPr>
          <w:rFonts w:ascii="Arial" w:cs="Arial" w:eastAsia="Arial" w:hAnsi="Arial"/>
          <w:sz w:val="16"/>
          <w:szCs w:val="16"/>
          <w:color w:val="auto"/>
        </w:rPr>
      </w:pPr>
    </w:p>
    <w:p>
      <w:pPr>
        <w:ind w:left="1140" w:right="20" w:hanging="438"/>
        <w:spacing w:after="0" w:line="288"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Other—External</w:t>
      </w:r>
      <w:r>
        <w:rPr>
          <w:rFonts w:ascii="Arial" w:cs="Arial" w:eastAsia="Arial" w:hAnsi="Arial"/>
          <w:sz w:val="16"/>
          <w:szCs w:val="16"/>
          <w:color w:val="auto"/>
        </w:rPr>
        <w:t>. The IFP and Other—External segment relates to sales of products and plans under GoHealth’s carrier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that are not Medicare-eligible.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5.8%, 19.4%, 8.9% and 22.5%, respectively, of total revenue and 1.2%, 12.2%, 1.2% and 6.2%, respectively, of total profit.</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Trends</w:t>
      </w:r>
    </w:p>
    <w:p>
      <w:pPr>
        <w:spacing w:after="0" w:line="118" w:lineRule="exact"/>
        <w:rPr>
          <w:sz w:val="20"/>
          <w:szCs w:val="20"/>
          <w:color w:val="auto"/>
        </w:rPr>
      </w:pPr>
    </w:p>
    <w:p>
      <w:pPr>
        <w:jc w:val="both"/>
        <w:ind w:left="160" w:right="40"/>
        <w:spacing w:after="0" w:line="307" w:lineRule="auto"/>
        <w:rPr>
          <w:sz w:val="20"/>
          <w:szCs w:val="20"/>
          <w:color w:val="auto"/>
        </w:rPr>
      </w:pPr>
      <w:r>
        <w:rPr>
          <w:rFonts w:ascii="Arial" w:cs="Arial" w:eastAsia="Arial" w:hAnsi="Arial"/>
          <w:sz w:val="16"/>
          <w:szCs w:val="16"/>
          <w:color w:val="auto"/>
        </w:rPr>
        <w:t>The Medicare segments benefit from strong demographic trends. Medicare enrollment is expected to grow from approximately 61 million individuals in 2019 to approximately 77 million individuals by 2028. An increasing proportion of the Medicare-eligible population is choosing commercial insurance solutions, with 38% of Medicare beneficiaries, or approximately 23 million people, enrolled in Medicare Advantage plans in 2019, an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increase of approximately 1.5 million people from 2018 to 2019. As a result of these trends,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help us continue to grow revenue.</w:t>
      </w:r>
    </w:p>
    <w:p>
      <w:pPr>
        <w:spacing w:after="0" w:line="190"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the IFP and Other segments, the individual health insurance market grew from 10.6 million enrollees in 2013 to 17.4 million enrollees in 2015. Such increase was driven by the passage of the ACA, namely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Company’s revenue growth in the future.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historical results of operations discussed in this section are those of GoHealth Holdings, LLC prior to the completion of the Transactions, including this offering, and do not reflect certain items that we expect will affect our results of operations and financial condition after giving effect to the Transactions and the use of proceeds from this offering.</w:t>
      </w:r>
    </w:p>
    <w:p>
      <w:pPr>
        <w:spacing w:after="0" w:line="186" w:lineRule="exact"/>
        <w:rPr>
          <w:sz w:val="20"/>
          <w:szCs w:val="20"/>
          <w:color w:val="auto"/>
        </w:rPr>
      </w:pPr>
    </w:p>
    <w:p>
      <w:pPr>
        <w:ind w:left="160" w:right="180"/>
        <w:spacing w:after="0" w:line="282" w:lineRule="auto"/>
        <w:rPr>
          <w:sz w:val="20"/>
          <w:szCs w:val="20"/>
          <w:color w:val="auto"/>
        </w:rPr>
      </w:pPr>
      <w:r>
        <w:rPr>
          <w:rFonts w:ascii="Arial" w:cs="Arial" w:eastAsia="Arial" w:hAnsi="Arial"/>
          <w:sz w:val="16"/>
          <w:szCs w:val="16"/>
          <w:color w:val="auto"/>
        </w:rPr>
        <w:t>Following the completion of the Transactions, GoHealth, Inc. will become the sole managing member of GoHealth Holdings, LLC. Although we will have a minority economic interest in GoHealth Holdings, LLC, we will have the sole voting interest in, and control of the business and affairs of, GoHealth Holdings, LLC and its direct and indirect subsidiaries. As a result, GoHealth, Inc. will consolidate GoHealth Holdings, LLC and record a significant non-controlling interest in a consolidated entity in GoHealth, Inc.’s consolidated financial statements for the economic interest in GoHealth Holdings, LLC held by the Continuing Equity Owners. Immediately after the Transactions, investors in this offering will collectively own % of our</w:t>
      </w:r>
    </w:p>
    <w:p>
      <w:pPr>
        <w:spacing w:after="0" w:line="2" w:lineRule="exact"/>
        <w:rPr>
          <w:sz w:val="20"/>
          <w:szCs w:val="20"/>
          <w:color w:val="auto"/>
        </w:rPr>
      </w:pPr>
    </w:p>
    <w:p>
      <w:pPr>
        <w:ind w:left="160" w:right="100"/>
        <w:spacing w:after="0" w:line="248" w:lineRule="auto"/>
        <w:rPr>
          <w:sz w:val="20"/>
          <w:szCs w:val="20"/>
          <w:color w:val="auto"/>
        </w:rPr>
      </w:pPr>
      <w:r>
        <w:rPr>
          <w:rFonts w:ascii="Arial" w:cs="Arial" w:eastAsia="Arial" w:hAnsi="Arial"/>
          <w:sz w:val="18"/>
          <w:szCs w:val="18"/>
          <w:color w:val="auto"/>
        </w:rPr>
        <w:t>outstanding Class A common stock, consisting of shares (or shares if the underwriters exercise in full their option to purchase additional shares of Class A common stock), GoHealth, Inc. will own LLC Interests (or LLC Interests if the underwriters exercise in</w:t>
      </w:r>
    </w:p>
    <w:p>
      <w:pPr>
        <w:ind w:left="160"/>
        <w:spacing w:after="0"/>
        <w:tabs>
          <w:tab w:leader="none" w:pos="6460" w:val="left"/>
          <w:tab w:leader="none" w:pos="8520" w:val="left"/>
        </w:tabs>
        <w:rPr>
          <w:sz w:val="20"/>
          <w:szCs w:val="20"/>
          <w:color w:val="auto"/>
        </w:rPr>
      </w:pPr>
      <w:r>
        <w:rPr>
          <w:rFonts w:ascii="Arial" w:cs="Arial" w:eastAsia="Arial" w:hAnsi="Arial"/>
          <w:sz w:val="18"/>
          <w:szCs w:val="18"/>
          <w:color w:val="auto"/>
        </w:rPr>
        <w:t>full their option to purchase additional shares of Class A common stock), representing</w:t>
        <w:tab/>
        <w:t>% of the LLC Interests (or</w:t>
      </w:r>
      <w:r>
        <w:rPr>
          <w:sz w:val="20"/>
          <w:szCs w:val="20"/>
          <w:color w:val="auto"/>
        </w:rPr>
        <w:tab/>
      </w:r>
      <w:r>
        <w:rPr>
          <w:rFonts w:ascii="Arial" w:cs="Arial" w:eastAsia="Arial" w:hAnsi="Arial"/>
          <w:sz w:val="16"/>
          <w:szCs w:val="16"/>
          <w:color w:val="auto"/>
        </w:rPr>
        <w:t>% if the underwriters exercise in</w:t>
      </w:r>
    </w:p>
    <w:p>
      <w:pPr>
        <w:spacing w:after="0" w:line="7"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full their option to purchase additional shares of Class A common stock) and the Continuing Equity Owners will collectively own LLC Interests, representing % of the LLC Interests (or % if the underwriters exercise in full their option to purchase additional shares of Class A common stock). Accordingly, net income (loss) attributable to non-controlling interests will represent % of the income (loss) before income tax benefit (expense) of GoHealth, Inc. (or % if the underwriters exercise in full their option to purchase additional shares of Class A common stock). GoHealth, Inc. is a holding company that conducts no operations and, as of the consummation of this offering, its principal asset will be LLC Interests we purchase from GoHealth Holdings, LLC.</w:t>
      </w:r>
    </w:p>
    <w:p>
      <w:pPr>
        <w:spacing w:after="0" w:line="197"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After consummation of this offering, GoHealth, Inc. will become subject to U.S. federal, state and local income taxes with respect to our allocable share of any taxable income of GoHealth Holdings, LLC and will be taxed at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prevailing corporate tax rates. In addition to tax expenses, we also will incur expenses related to our status as a public company, plus payment obligations under the Tax Receivable Agreement, which we expect to be significant. We intend to cause GoHealth Holdings, LLC to make distributions to us in an amount sufficient to allow us to pay these expenses and fund any payments due under the Tax Receivable Agreement. See “Certain Relationships and Related Party Transactions—GoHealth LLC Agreement—Agreement in Effect Upon Consummation of the Transactions— Distributions.”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127" w:lineRule="exact"/>
        <w:rPr>
          <w:sz w:val="20"/>
          <w:szCs w:val="20"/>
          <w:color w:val="auto"/>
        </w:rPr>
      </w:pPr>
    </w:p>
    <w:p>
      <w:pPr>
        <w:ind w:left="1140" w:hanging="438"/>
        <w:spacing w:after="0" w:line="265"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Attract New Carriers and Expand Relationships with Existing Carriers</w:t>
      </w:r>
      <w:r>
        <w:rPr>
          <w:rFonts w:ascii="Arial" w:cs="Arial" w:eastAsia="Arial" w:hAnsi="Arial"/>
          <w:sz w:val="17"/>
          <w:szCs w:val="17"/>
          <w:color w:val="auto"/>
        </w:rPr>
        <w:t>. We generate revenue primarily from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through policy sales utilizing our platform. Carriers and other partners also pay us enrollment fees, hourly fees and other fees for services performed for specific carriers. Attracting new carriers and expanding relationships with our existing carriers to offer more products and plans is critical to the growth of our business, particularly in the Medicare segments, which drive the highest LTV/CAC of the products and plans we offer. We are strategically adding carriers in the Medicare segments in order to offer top-rated plans and multiple plan choices in each of the U.S. counties in which we operate. This also allows us to market more efficiently in these geographies, increase conversion rates on consumer leads, and improve customer satisfaction rates as we are better able to meet consumers’ specific needs, which drives revenue growth. In order to strengthen the relationships with existing and prospective Medicare carriers, we are offering more services to them, such as (i) helping new Medicare enrollees sign up for a health-risk assessment, which helps calibrate the Medicare Advantage premium paid by Medicare to the private plan, and (ii) using our data to help our largest carriers inform the benefit design of their health insurance plans and competitiveness of their products in given regions. If we are unsuccessful in adding new carriers and expanding existing relationships with carriers to offer more products and plans, it may become more difficult to compete against competitors with more diverse product and plan offerings.</w:t>
      </w:r>
    </w:p>
    <w:p>
      <w:pPr>
        <w:spacing w:after="0" w:line="96" w:lineRule="exact"/>
        <w:rPr>
          <w:rFonts w:ascii="Arial" w:cs="Arial" w:eastAsia="Arial" w:hAnsi="Arial"/>
          <w:sz w:val="17"/>
          <w:szCs w:val="17"/>
          <w:color w:val="auto"/>
        </w:rPr>
      </w:pPr>
    </w:p>
    <w:p>
      <w:pPr>
        <w:ind w:left="1140" w:right="40" w:hanging="438"/>
        <w:spacing w:after="0" w:line="267"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w:t>
      </w:r>
      <w:r>
        <w:rPr>
          <w:rFonts w:ascii="Arial" w:cs="Arial" w:eastAsia="Arial" w:hAnsi="Arial"/>
          <w:sz w:val="17"/>
          <w:szCs w:val="17"/>
          <w:color w:val="auto"/>
        </w:rPr>
        <w:t>. Our ability to harness our data and proprietary technology is a significant contributor to improving LTV/CAC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profitability. In 2019, we upgraded our Marketplace technology to improve the flow of data across our platform and advance decision support capabilities. We are also improving our LeadScore and call-routing technologies, as well as expanding our business intelligence and analytics staffing, to direct qualified prospects to agents or DIY channels that are most likely to result in such qualified prospects enrolling in the plan that best meets their needs while remaining economically attractive for us, as described further below. Additionally, we are investing in technology that will allow us to use our data to direct our marketing spend into growing the number of qualified prospects in the highest-value marketing channels and enhancing our proprietary LeadScore technology to assess and improve, in real time, the performance of those marketing channels throughout the year. If we are not able to harness our data to improve our technology, our LTV/CAC may remain stagnant or decline.</w:t>
      </w:r>
    </w:p>
    <w:p>
      <w:pPr>
        <w:spacing w:after="0" w:line="89" w:lineRule="exact"/>
        <w:rPr>
          <w:rFonts w:ascii="Arial" w:cs="Arial" w:eastAsia="Arial" w:hAnsi="Arial"/>
          <w:sz w:val="17"/>
          <w:szCs w:val="17"/>
          <w:color w:val="auto"/>
        </w:rPr>
      </w:pPr>
    </w:p>
    <w:p>
      <w:pPr>
        <w:ind w:left="1140" w:right="20" w:hanging="438"/>
        <w:spacing w:after="0" w:line="267"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Agent Productivity, Training, Recruiting and Retention</w:t>
      </w:r>
      <w:r>
        <w:rPr>
          <w:rFonts w:ascii="Arial" w:cs="Arial" w:eastAsia="Arial" w:hAnsi="Arial"/>
          <w:sz w:val="17"/>
          <w:szCs w:val="17"/>
          <w:color w:val="auto"/>
        </w:rPr>
        <w:t>. Our success largely depends on the productivity of our agents, as well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recruit and retain quality agents to sell products and plans. The productivity of our agents is primarily supported by our technology, which helps increase agent efficiency. For example, the improvements to our LeadScore and call-routing technologies allow us to assess the profile and predicted value of each incoming consumer lead and to route the consumer lead to the agent most likely to enroll them. Our technology considers the incoming consumer lead’s potential needs and the agent’s ability to deliver a suitable policy and, in doing so, increases our LTV per Approved Submission and decreases the amount of time it takes for an agent to select plans for the consumer, thus decreasing CAC per commissionable Approved Submission. Our call-routing technology also utilizes data-driven agent clustering to enable us to train and specialize our agents on specific customer segments to optimize our results. Additionally, we are retooling our recruiting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
        <w:spacing w:after="0" w:line="284" w:lineRule="auto"/>
        <w:rPr>
          <w:sz w:val="20"/>
          <w:szCs w:val="20"/>
          <w:color w:val="auto"/>
        </w:rPr>
      </w:pPr>
      <w:r>
        <w:rPr>
          <w:rFonts w:ascii="Arial" w:cs="Arial" w:eastAsia="Arial" w:hAnsi="Arial"/>
          <w:sz w:val="16"/>
          <w:szCs w:val="16"/>
          <w:color w:val="auto"/>
        </w:rPr>
        <w:t>training programs to better attract agent candidates whose profiles align with those of current, high performing agents we employ.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 Our ability to sell more products and plans is dependent on the number of qualified, licensed agents we have that are able to sell those products and plans. Therefore, recruiting and retaining quality agents is also a key driver of our business. If we are unable to recruit and retain agents, we may be limited in the number of products and plans we can sell for a carrier or in a particular geography and we may have difficulty in quickly and efficiently managing the volume of qualified prospects that we generate.</w:t>
      </w:r>
    </w:p>
    <w:p>
      <w:pPr>
        <w:spacing w:after="0" w:line="79" w:lineRule="exact"/>
        <w:rPr>
          <w:sz w:val="20"/>
          <w:szCs w:val="20"/>
          <w:color w:val="auto"/>
        </w:rPr>
      </w:pPr>
    </w:p>
    <w:p>
      <w:pPr>
        <w:ind w:left="1140" w:right="80" w:hanging="438"/>
        <w:spacing w:after="0" w:line="286"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Engagement. </w:t>
      </w:r>
      <w:r>
        <w:rPr>
          <w:rFonts w:ascii="Arial" w:cs="Arial" w:eastAsia="Arial" w:hAnsi="Arial"/>
          <w:sz w:val="16"/>
          <w:szCs w:val="16"/>
          <w:color w:val="auto"/>
        </w:rPr>
        <w:t>Increasing customer engagement is a key driver of our business and results of operations. Our ability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customer satisfaction is dependent on the level of engagement we have with our customers. We are able to improve our long-term customer satisfaction by ensuring that we are successfully matching products and plans to consumers at the point of enrollment and having continued customer interactions throughout the life of the policy, both digitally and telephonically. We have a TeleCare team that is tasked with improving outreach efforts to our customers after their enrollment, which has allowed us to (1) educate customers on how to utilize these supplemental benefits, (2) educate customers on how to ensure that their physicians and medications are within their plan benefits, and (3) through more frequent interactions, identify if there are changes in a customer’s health, financial or other circumstances that make another plan a better choice for their specific needs. As a marketplace that represents a multitude of both plans and carriers, we can educate customers even as their underlying plan or carrier changes if we proactively engage with them.</w:t>
      </w:r>
    </w:p>
    <w:p>
      <w:pPr>
        <w:spacing w:after="0" w:line="72"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Seasonality of Our Revenue</w:t>
      </w:r>
      <w:r>
        <w:rPr>
          <w:rFonts w:ascii="Arial" w:cs="Arial" w:eastAsia="Arial" w:hAnsi="Arial"/>
          <w:sz w:val="18"/>
          <w:szCs w:val="18"/>
          <w:color w:val="auto"/>
        </w:rPr>
        <w:t>. We derive a substantial portion of our commission revenue in the fourth quarter because the annual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enrollment period occurs from October 15th to December 7th. Additionally, as a result of the annual Medicare Advantage open enrollment period that occurs from January 1st to March 31st, commission revenue is typically second-highest in our first quarter. Although we are able to generate revenue throughout the year, including through selling products and plans to individuals who turn 65 or qualify for a Medicare special enrollment period, as well as offering additional services and ancillary products and plans throughout the year, our success is substantially dependent on selling products and plans during the Medicare annual enrollment period and the Medicare Advantage open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Response to COVID-19</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 with conducting business remotely, we believe consumer adoption of distribution models such as ours may continue to accelerate long after the COVID-19 pandemic ends.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result of the COVID-19 pandemic, we transitioned over 99% of our agents to work from home over an approximately 72-hour period in March 2020. Our agents have remained efficient during this work from home period, with daily sales per agent seat in the multi-carrier sales outlet of the Medicare—Internal segment of 2.3, 2.6 and 2.2 for February, March and April 2020, respectively, compared to 2.0, 2.1 and 1.5 daily sales per agent seat for the same three months in 2019. In addition, we had 23,609, 25,777 and 20,851 Approved Submissions in the multi-carrier sales outlet of the Medicare—Internal segment for February, March and April 2020, respectively, compared to 5,047, 6,384 and 6,699 Approved Submissions for the same three months in 2019.</w:t>
      </w:r>
    </w:p>
    <w:p>
      <w:pPr>
        <w:spacing w:after="0" w:line="19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Business and Operating Metrics by Segment</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Consumer Acquisition Cost</w:t>
      </w:r>
    </w:p>
    <w:p>
      <w:pPr>
        <w:spacing w:after="0" w:line="114"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other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73"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LTV/CAC for the Medicare—Internal segment increased to 2.7x (with a CAC of $26.7 million) for the three months ended March 31, 2020 compared to 1.7x (with a CAC of $10.5 million) for the three months ended March 31, 2019. The increase in LTV/CAC from March 31, 2019 to March 31, 2020 is attributable to the same factors as contributed to the increase from 2018 to 2019, as described below. The LTV/CAC for the Medicare— Internal segment decreased to 6.0x (with a CAC of 26.4 million) for the three months ended December 31, 2019 compared to 6.8x (with a CAC of 4.3 million) for the three months ended December 31, 2018. The decrease in LTV/CAC from December 31, 2018 to December 31, 2019 is the direct result of the Company scaling up its production to drive roughly 5.4x revenue growth period over the same period.</w:t>
      </w:r>
    </w:p>
    <w:p>
      <w:pPr>
        <w:spacing w:after="0" w:line="17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LTV/CAC for the Medicare—Internal segment was 3.8x (with a CAC of $63.2 million) for the year ended December 31, 2019, 5.1x (with a CAC of $32.5 million) for the Successor 2019 Period and 2.7x (with a CAC of</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$30.7 million) for the Predecessor 2019 Period compared to 2.7x (with a CAC of $17.3 million) for the year ended December 31, 2018. The increase in LTV/CAC from 2018 to 2019 was primarily attributable to a decrease in CAC due to improvements in our LeadScore and call-routing technologies allowing our agents to successfully convert more qualified prospects into Submitted Policies. Additionally, improved marketing efficiencies driven by our rapid test-and-learn approach across our marketing channels, as well as an expansion of the diversity and breadth of our omni-channel marketing efforts also contributed to an increase in LTV/CAC by enabling the acquisition of higher quality prospects at a lower effective cost per submission.</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Per Qualified Prospect</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Cost per qualified prospect represents all variable marketing costs to generate qualified prospects, including direct media expenses, merchant service fees and Advocate expenses, divided by the number of qualified prospects.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cost per qualified prospect for the Medicare—Internal segment:</w:t>
      </w:r>
    </w:p>
    <w:p>
      <w:pPr>
        <w:sectPr>
          <w:pgSz w:w="11900" w:h="16838" w:orient="portrait"/>
          <w:cols w:equalWidth="0" w:num="1">
            <w:col w:w="11020"/>
          </w:cols>
          <w:pgMar w:left="320" w:top="456" w:right="55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4"/>
              <w:spacing w:after="0" w:line="118" w:lineRule="exact"/>
              <w:rPr>
                <w:sz w:val="20"/>
                <w:szCs w:val="20"/>
                <w:color w:val="auto"/>
              </w:rPr>
            </w:pPr>
            <w:r>
              <w:rPr>
                <w:rFonts w:ascii="Arial" w:cs="Arial" w:eastAsia="Arial" w:hAnsi="Arial"/>
                <w:sz w:val="13"/>
                <w:szCs w:val="13"/>
                <w:b w:val="1"/>
                <w:bCs w:val="1"/>
                <w:color w:val="auto"/>
              </w:rPr>
              <w:t>2020</w:t>
            </w:r>
          </w:p>
        </w:tc>
        <w:tc>
          <w:tcPr>
            <w:tcW w:w="114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7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Arial" w:cs="Arial" w:eastAsia="Arial" w:hAnsi="Arial"/>
                <w:sz w:val="18"/>
                <w:szCs w:val="18"/>
                <w:color w:val="auto"/>
              </w:rPr>
              <w:t>Cost per Qualified Prospect (Medicare</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0"/>
        </w:trPr>
        <w:tc>
          <w:tcPr>
            <w:tcW w:w="3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tcPr>
          <w:p>
            <w:pPr>
              <w:ind w:left="180"/>
              <w:spacing w:after="0"/>
              <w:rPr>
                <w:sz w:val="20"/>
                <w:szCs w:val="20"/>
                <w:color w:val="auto"/>
              </w:rPr>
            </w:pPr>
            <w:r>
              <w:rPr>
                <w:rFonts w:ascii="Arial" w:cs="Arial" w:eastAsia="Arial" w:hAnsi="Arial"/>
                <w:sz w:val="18"/>
                <w:szCs w:val="18"/>
                <w:color w:val="auto"/>
              </w:rPr>
              <w:t>—Internal segment)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-652145</wp:posOffset>
            </wp:positionV>
            <wp:extent cx="6929755" cy="654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654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40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120"/>
          </w:cols>
          <w:pgMar w:left="320" w:top="456" w:right="559" w:bottom="1440" w:gutter="0" w:footer="0" w:header="0"/>
          <w:type w:val="continuous"/>
        </w:sectPr>
      </w:pPr>
    </w:p>
    <w:p>
      <w:pPr>
        <w:spacing w:after="0" w:line="1"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auto"/>
        </w:rPr>
        <w:t>Cost per qualified prospect decreased by 34.5% for the three months ended March 31, 2020 compared to the three months ended March 31, 2019. The decrease is primarily attributable to a shift of lead production to rely more on internally generated leads rather than externally generated leads. Costs for new consumer lead sources in 2019 were reduced through a robust test-and-learn approach to marketing efforts throughout 2019 and early 2020.</w:t>
      </w:r>
    </w:p>
    <w:p>
      <w:pPr>
        <w:spacing w:after="0" w:line="15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Cost per qualified prospect was $63 for the year ended December 31, 2019, $53 for the Successor 2019 Period and $77 for the Predecessor 2019 Period compared to $48 for the year ended December 31, 2018. The increase of 31.3% from 2018 to 2019 was primarily attributable to increased volume of consumer lead sources over the same period. New consumer lead sources initially resulted in increased costs compared to more mature consumer lead sources in early 2019. However, costs associated with new consumer lead sources decreased over the course of 2019 as we optimized new and existing sources through our rapid test-and-learn approach.</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applicant may need to take additional actions, including providing subsequent information before the application is reviewed by the carrier.</w:t>
      </w: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320" w:top="456" w:right="5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auto"/>
        </w:rPr>
        <w:t>The following table shows the number of Submitted Policies by product for the Medicare segments for the periods presented, split between those submissions that are commissionable (compensated through commissions received from carriers), compared to those that are non-commissionable (compensated via hourly fees and enrollment fees):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340" w:type="dxa"/>
            <w:vAlign w:val="bottom"/>
            <w:gridSpan w:val="4"/>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Borders>
              <w:top w:val="single" w:sz="8" w:color="auto"/>
            </w:tcBorders>
          </w:tcPr>
          <w:p>
            <w:pPr>
              <w:jc w:val="right"/>
              <w:ind w:right="137"/>
              <w:spacing w:after="0" w:line="118"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8"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020" w:type="dxa"/>
            <w:vAlign w:val="bottom"/>
            <w:tcBorders>
              <w:right w:val="single" w:sz="8" w:color="auto"/>
            </w:tcBorders>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8"/>
              </w:rPr>
              <w:t>Successor</w:t>
            </w:r>
          </w:p>
        </w:tc>
        <w:tc>
          <w:tcPr>
            <w:tcW w:w="4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Period</w:t>
            </w:r>
          </w:p>
        </w:tc>
        <w:tc>
          <w:tcPr>
            <w:tcW w:w="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134,885</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2,671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18,649</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5,778</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10,263</w:t>
            </w:r>
          </w:p>
        </w:tc>
        <w:tc>
          <w:tcPr>
            <w:tcW w:w="8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21,513</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233,437</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152,823</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26,553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1,812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5,236</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5,851</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1,993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3,512</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Medicare—Non 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Medicare Submitted Policies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132,014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427,697</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268,882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158,815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Total Medicare Submitted Policies increased by 205.3% for the three months ended March 31, 2020 compared to the three months ended March 31, 2019. The increase is attributable to the same factors that contributed to the increase from 2018 to 2019, as described below.</w:t>
      </w:r>
    </w:p>
    <w:p>
      <w:pPr>
        <w:spacing w:after="0" w:line="152"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Total Medicare Submitted Policies was 427,697 for the year ended December 31, 2019, 146,228 for the Successor 2019 Period and 150,544 for the Predecessor 2019 Period compared to 118,376 for the year ended December 31, 2018. The increase of 261.3% from 2018 to 2019 in Total Medicare Submitted Policies was primarily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in the Medicare—Internal segment. During the 2019 Medicare annual enrollment period, the Medicare—Internal segment had at its peak roughly 1,040 full time equivalent agents, compared to roughly 230 in the comparable period of 2018. For the Medicare—External segment, the increase in total Submitted Policies was due to our ability to recruit and onboard additional external agencies to enroll consumers in Medicare plans using our technology and platform.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Approved Submissions</w:t>
      </w:r>
    </w:p>
    <w:p>
      <w:pPr>
        <w:spacing w:after="0" w:line="114"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59"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The following table shows the number of Approved Submissions relating to commissionable policies for each of the Medicare segments for the periods presented. Only commissionable policies are used to calculate our LTV.</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800" w:type="dxa"/>
            <w:vAlign w:val="bottom"/>
          </w:tcPr>
          <w:p>
            <w:pPr>
              <w:spacing w:after="0"/>
              <w:rPr>
                <w:sz w:val="5"/>
                <w:szCs w:val="5"/>
                <w:color w:val="auto"/>
              </w:rPr>
            </w:pPr>
          </w:p>
        </w:tc>
        <w:tc>
          <w:tcPr>
            <w:tcW w:w="16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Ended March 31,</w:t>
            </w: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4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vMerge w:val="restart"/>
          </w:tcPr>
          <w:p>
            <w:pPr>
              <w:jc w:val="right"/>
              <w:ind w:right="17"/>
              <w:spacing w:after="0" w:line="147" w:lineRule="exact"/>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5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83,608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19,460</w:t>
            </w:r>
          </w:p>
        </w:tc>
        <w:tc>
          <w:tcPr>
            <w:tcW w:w="2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246,513</w:t>
            </w:r>
          </w:p>
        </w:tc>
        <w:tc>
          <w:tcPr>
            <w:tcW w:w="1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159,969</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Medicare Supplement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1,585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14,021</w:t>
            </w:r>
          </w:p>
        </w:tc>
        <w:tc>
          <w:tcPr>
            <w:tcW w:w="800" w:type="dxa"/>
            <w:vAlign w:val="bottom"/>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08"/>
        </w:trPr>
        <w:tc>
          <w:tcPr>
            <w:tcW w:w="4800" w:type="dxa"/>
            <w:vAlign w:val="bottom"/>
          </w:tcPr>
          <w:p>
            <w:pPr>
              <w:ind w:left="360"/>
              <w:spacing w:after="0"/>
              <w:rPr>
                <w:sz w:val="20"/>
                <w:szCs w:val="20"/>
                <w:color w:val="auto"/>
              </w:rPr>
            </w:pPr>
            <w:r>
              <w:rPr>
                <w:rFonts w:ascii="Arial" w:cs="Arial" w:eastAsia="Arial" w:hAnsi="Arial"/>
                <w:sz w:val="18"/>
                <w:szCs w:val="18"/>
                <w:color w:val="auto"/>
              </w:rPr>
              <w:t>Medicare—Internal Commissionable Approved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86,604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22,114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265,584</w:t>
            </w:r>
          </w:p>
        </w:tc>
        <w:tc>
          <w:tcPr>
            <w:tcW w:w="800" w:type="dxa"/>
            <w:vAlign w:val="bottom"/>
          </w:tcPr>
          <w:p>
            <w:pPr>
              <w:jc w:val="right"/>
              <w:spacing w:after="0"/>
              <w:rPr>
                <w:sz w:val="20"/>
                <w:szCs w:val="20"/>
                <w:color w:val="auto"/>
              </w:rPr>
            </w:pPr>
            <w:r>
              <w:rPr>
                <w:rFonts w:ascii="Arial" w:cs="Arial" w:eastAsia="Arial" w:hAnsi="Arial"/>
                <w:sz w:val="18"/>
                <w:szCs w:val="18"/>
                <w:color w:val="auto"/>
              </w:rPr>
              <w:t>170,764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Predecessor</w:t>
            </w:r>
          </w:p>
        </w:tc>
        <w:tc>
          <w:tcPr>
            <w:tcW w:w="9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60" w:type="dxa"/>
            <w:vAlign w:val="bottom"/>
            <w:gridSpan w:val="3"/>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2019 Period</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86,544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94,820</w:t>
            </w:r>
          </w:p>
        </w:tc>
        <w:tc>
          <w:tcPr>
            <w:tcW w:w="2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520"/>
            <w:col w:w="2020"/>
          </w:cols>
          <w:pgMar w:left="320" w:top="456" w:right="559" w:bottom="1440" w:gutter="0" w:footer="0" w:header="0"/>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Medicare—Internal commissionable Approved Submissions increased by 291.6% for the three months ended March 31, 2020 compared to the three months ended March 31, 2019. The growth in Medicare—Internal commissionable Approved Submissions was attributable to the same drivers that increased Medicare—Internal commissionable Approved Submissions for the year ended December 31, 2019, as described below.</w:t>
      </w:r>
    </w:p>
    <w:p>
      <w:pPr>
        <w:spacing w:after="0" w:line="150" w:lineRule="exact"/>
        <w:rPr>
          <w:sz w:val="20"/>
          <w:szCs w:val="20"/>
          <w:color w:val="auto"/>
        </w:rPr>
      </w:pPr>
    </w:p>
    <w:p>
      <w:pPr>
        <w:ind w:left="160" w:right="300"/>
        <w:spacing w:after="0" w:line="293" w:lineRule="auto"/>
        <w:rPr>
          <w:sz w:val="20"/>
          <w:szCs w:val="20"/>
          <w:color w:val="auto"/>
        </w:rPr>
      </w:pPr>
      <w:r>
        <w:rPr>
          <w:rFonts w:ascii="Arial" w:cs="Arial" w:eastAsia="Arial" w:hAnsi="Arial"/>
          <w:sz w:val="16"/>
          <w:szCs w:val="16"/>
          <w:color w:val="auto"/>
        </w:rPr>
        <w:t>Medicare—Internal commissionable Approved Submissions were 265,584 for the year ended December 31, 2019, 170,764 for the Successor 2019 Period and 94,820 for the Predecessor 2019 Period compared to 57,744 for the year ended December 31, 2018. The growth of 359.9% from 2018 to 2019 in Medicare—Internal commissionable Approved Submissions was primarily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ectPr>
          <w:pgSz w:w="11900" w:h="16838" w:orient="portrait"/>
          <w:cols w:equalWidth="0" w:num="1">
            <w:col w:w="11020"/>
          </w:cols>
          <w:pgMar w:left="320" w:top="456" w:right="559" w:bottom="1440" w:gutter="0" w:footer="0" w:header="0"/>
          <w:type w:val="continuous"/>
        </w:sect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900" w:type="dxa"/>
            <w:vAlign w:val="bottom"/>
          </w:tcPr>
          <w:p>
            <w:pPr>
              <w:spacing w:after="0"/>
              <w:rPr>
                <w:sz w:val="5"/>
                <w:szCs w:val="5"/>
                <w:color w:val="auto"/>
              </w:rPr>
            </w:pPr>
          </w:p>
        </w:tc>
        <w:tc>
          <w:tcPr>
            <w:tcW w:w="16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2"/>
            <w:vMerge w:val="restart"/>
          </w:tcPr>
          <w:p>
            <w:pPr>
              <w:jc w:val="center"/>
              <w:ind w:right="20"/>
              <w:spacing w:after="0" w:line="147" w:lineRule="exact"/>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900" w:type="dxa"/>
            <w:vAlign w:val="bottom"/>
            <w:vMerge w:val="continue"/>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32,287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16,614</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102,193</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53,852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Medicare Supplement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2,598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10,991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8"/>
        </w:trPr>
        <w:tc>
          <w:tcPr>
            <w:tcW w:w="4900" w:type="dxa"/>
            <w:vAlign w:val="bottom"/>
          </w:tcPr>
          <w:p>
            <w:pPr>
              <w:ind w:left="360"/>
              <w:spacing w:after="0"/>
              <w:rPr>
                <w:sz w:val="20"/>
                <w:szCs w:val="20"/>
                <w:color w:val="auto"/>
              </w:rPr>
            </w:pPr>
            <w:r>
              <w:rPr>
                <w:rFonts w:ascii="Arial" w:cs="Arial" w:eastAsia="Arial" w:hAnsi="Arial"/>
                <w:sz w:val="18"/>
                <w:szCs w:val="18"/>
                <w:color w:val="auto"/>
              </w:rPr>
              <w:t>Medicare—External Commissionable Approved</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34,326</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20,319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120,676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Predecessor</w:t>
            </w:r>
          </w:p>
        </w:tc>
        <w:tc>
          <w:tcPr>
            <w:tcW w:w="24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left="137"/>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2019 Period</w:t>
            </w:r>
          </w:p>
        </w:tc>
        <w:tc>
          <w:tcPr>
            <w:tcW w:w="2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48,341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7,065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58,003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540"/>
            <w:col w:w="1940"/>
          </w:cols>
          <w:pgMar w:left="320" w:top="456" w:right="559" w:bottom="1440" w:gutter="0" w:footer="0" w:header="0"/>
          <w:type w:val="continuous"/>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Medicare—External commissionable Approved Submissions increased by 68.9% for the three months ended March 31, 2020 compared to the three months ended March 31, 2019. The growth in Medicare—External commissionable Approved Submissions was attributable to the same drivers that increased Medicare—External commissionable Approved Submissions for the year ended December 31, 2019, as described below.</w:t>
      </w:r>
    </w:p>
    <w:p>
      <w:pPr>
        <w:spacing w:after="0" w:line="15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Medicare—External commissionable Approved Submissions were 120,676 for the year ended December 31, 2019, 62,673 for the Successor 2019 Period and 58,003 for the Predecessor 2019 Period compared to 57,947 for the year ended December 31, 2018. The growth of 108.3% from 2018 to 2019 in Medicare—External commissionable Approved Submissions was primarily attributable to our ability to recruit and onboard additional external agencies to enroll consumers in Medicare plans.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Approved Submission</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Lifetime value of commissions per commissionable Approved Submission, or LTV per Approved Submission, represents (i) aggregate commissions estimated to be collected over the estimated life of all commissionable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320" w:top="456" w:right="5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LTV per Approved Submission for the Medicare segments for the periods presented:</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0"/>
                <w:szCs w:val="10"/>
                <w:color w:val="auto"/>
              </w:rPr>
            </w:pPr>
          </w:p>
        </w:tc>
        <w:tc>
          <w:tcPr>
            <w:tcW w:w="560" w:type="dxa"/>
            <w:vAlign w:val="bottom"/>
          </w:tcPr>
          <w:p>
            <w:pPr>
              <w:ind w:left="260"/>
              <w:spacing w:after="0" w:line="118"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780" w:type="dxa"/>
            <w:vAlign w:val="bottom"/>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46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2019 Period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857</w:t>
            </w:r>
          </w:p>
        </w:tc>
        <w:tc>
          <w:tcPr>
            <w:tcW w:w="440" w:type="dxa"/>
            <w:vAlign w:val="bottom"/>
          </w:tcPr>
          <w:p>
            <w:pPr>
              <w:spacing w:after="0"/>
              <w:rPr>
                <w:sz w:val="16"/>
                <w:szCs w:val="16"/>
                <w:color w:val="auto"/>
              </w:rPr>
            </w:pPr>
          </w:p>
        </w:tc>
        <w:tc>
          <w:tcPr>
            <w:tcW w:w="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860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978</w:t>
            </w: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926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191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-796925</wp:posOffset>
            </wp:positionV>
            <wp:extent cx="6929755" cy="798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798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906</w:t>
            </w: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080"/>
          </w:cols>
          <w:pgMar w:left="320" w:top="456" w:right="519" w:bottom="1440" w:gutter="0" w:footer="0" w:header="0"/>
          <w:type w:val="continuous"/>
        </w:sectPr>
      </w:pP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LTV per Approved Submission for Medicare Advantage remained approximately flat for the three months ended March 31, 2020 compared to the three months ended March 31, 2019 as commission rates slightly increased but were offset by a variance in carrier mix and slight changes in policy effectuation and churn during this time period. LTV per Approved Submission for Medicare Supplement remained approximately flat for the three months ended March 31, 2020 compared to the three months ended March 31, 2019 as changes in carrier mix were offset by decreases in the estimates of plan persistency. LTV per Approved Submission for prescription drug plans increased by 12.4% for the three months ended March 31, 2020 compared to the three months ended March 31, 2019 primarily due to improved persistency rates and carrier mix shifts.</w:t>
      </w:r>
    </w:p>
    <w:p>
      <w:pPr>
        <w:spacing w:after="0" w:line="164"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LTV per Approved Submission for Medicare Advantage was $978 for the year ended December 31, 2019, $1,024 for the Successor 2019 Period and $906 for the Predecessor 2019 Period compared to $936 for the year ended December 31, 2018. The increase of 4.5% from 2018 to 2019 was primarily due to an increase in CMS-approved commission rates and a more diverse carrier base allowing us to offer more products and plans that could satisfy a diverse range of needs contributing to more long-term customer satisfaction with their policy, partially offset by the effect of our seasonality, given the greater mix of our volumes in 2019 was generated outside of the Medicare annual enrollment period when LTV per Approved Submission is generally lower. LTV per Approved Submission for Medicare Supplement was $957 for the year ended December 31, 2019, $944 for the Successor 2019 Period and $964 for the Predecessor 2019 Period compared to $798 for the year ended December 31, 2018. The increase of 19.9% from 2018 to 2019 was primarily due to improved persistency rates and carrier mix shifts. LTV per Approved Submission for prescription drug plans was $206 for the year ended December 31, 2019, $213 for the Successor 2019 Period and $194 for the Predecessor 2019 Period compared to $190 for the year ended December 31, 2018. The increase of 8.4% from 2018 to 2019 was primarily due to improved persistency rates and carrier mix shifts.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6" w:right="51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IFP and Other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Total Submitted Policies for the IFP and Other segments decreased by 29.5% to 38,002 for the three months ended March 31, 2020 compared to 53,886 for the three months ended March 31, 2019 due to a change in strategy to prioritize agents and marketing and advertising spend in the Medicare segments instead of IFP and Other.</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Total Submitted Policies for the IFP and Other segments was 296,772 for the year ended December 31, 2019, 146,228 for the Successor 2019 Period and 150,544 for the Predecessor 2019 Period compared to 207,695 for the year ended December 31, 2018. The increase of 42.9% from 2018 to 2019 was driven by the growth of our single carrier partnerships.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ectPr>
          <w:pgSz w:w="11900" w:h="16838" w:orient="portrait"/>
          <w:cols w:equalWidth="0" w:num="1">
            <w:col w:w="11080"/>
          </w:cols>
          <w:pgMar w:left="320" w:top="456" w:right="499" w:bottom="1440" w:gutter="0" w:footer="0" w:header="0"/>
        </w:sect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Pro Forma GoHealth, Inc.</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4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vMerge w:val="restart"/>
          </w:tcPr>
          <w:p>
            <w:pPr>
              <w:jc w:val="center"/>
              <w:ind w:left="355"/>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4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6"/>
                <w:szCs w:val="6"/>
                <w:color w:val="auto"/>
              </w:rPr>
            </w:pPr>
          </w:p>
        </w:tc>
        <w:tc>
          <w:tcPr>
            <w:tcW w:w="1200" w:type="dxa"/>
            <w:vAlign w:val="bottom"/>
            <w:gridSpan w:val="3"/>
            <w:vMerge w:val="restart"/>
          </w:tcPr>
          <w:p>
            <w:pPr>
              <w:jc w:val="right"/>
              <w:ind w:right="42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3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12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gridSpan w:val="2"/>
            <w:vMerge w:val="continue"/>
          </w:tcPr>
          <w:p>
            <w:pPr>
              <w:spacing w:after="0"/>
              <w:rPr>
                <w:sz w:val="15"/>
                <w:szCs w:val="15"/>
                <w:color w:val="auto"/>
              </w:rPr>
            </w:pPr>
          </w:p>
        </w:tc>
        <w:tc>
          <w:tcPr>
            <w:tcW w:w="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10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(Successor)</w:t>
            </w:r>
          </w:p>
        </w:tc>
        <w:tc>
          <w:tcPr>
            <w:tcW w:w="10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8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86"/>
        </w:trPr>
        <w:tc>
          <w:tcPr>
            <w:tcW w:w="8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0"/>
              </w:rPr>
              <w:t>Net income</w:t>
            </w:r>
          </w:p>
        </w:tc>
        <w:tc>
          <w:tcPr>
            <w:tcW w:w="2380" w:type="dxa"/>
            <w:vAlign w:val="bottom"/>
          </w:tcPr>
          <w:p>
            <w:pPr>
              <w:ind w:left="40"/>
              <w:spacing w:after="0" w:line="187" w:lineRule="exact"/>
              <w:rPr>
                <w:sz w:val="20"/>
                <w:szCs w:val="20"/>
                <w:color w:val="auto"/>
              </w:rPr>
            </w:pPr>
            <w:r>
              <w:rPr>
                <w:rFonts w:ascii="Arial" w:cs="Arial" w:eastAsia="Arial" w:hAnsi="Arial"/>
                <w:sz w:val="18"/>
                <w:szCs w:val="18"/>
                <w:color w:val="auto"/>
              </w:rPr>
              <w:t>(loss)</w:t>
            </w:r>
          </w:p>
        </w:tc>
        <w:tc>
          <w:tcPr>
            <w:tcW w:w="6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w w:val="98"/>
              </w:rPr>
              <w:t>(29,501)</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(937)</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5,002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15,995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27,172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20" w:type="dxa"/>
            <w:vAlign w:val="bottom"/>
            <w:gridSpan w:val="2"/>
          </w:tcPr>
          <w:p>
            <w:pPr>
              <w:ind w:left="540"/>
              <w:spacing w:after="0"/>
              <w:rPr>
                <w:sz w:val="20"/>
                <w:szCs w:val="20"/>
                <w:color w:val="auto"/>
              </w:rPr>
            </w:pPr>
            <w:r>
              <w:rPr>
                <w:rFonts w:ascii="Arial" w:cs="Arial" w:eastAsia="Arial" w:hAnsi="Arial"/>
                <w:sz w:val="18"/>
                <w:szCs w:val="18"/>
                <w:color w:val="auto"/>
              </w:rPr>
              <w:t>expense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98,825</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24,147</w:t>
            </w:r>
          </w:p>
        </w:tc>
        <w:tc>
          <w:tcPr>
            <w:tcW w:w="2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8"/>
        </w:trPr>
        <w:tc>
          <w:tcPr>
            <w:tcW w:w="32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96,474</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29,965</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540"/>
              <w:spacing w:after="0"/>
              <w:rPr>
                <w:sz w:val="20"/>
                <w:szCs w:val="20"/>
                <w:color w:val="auto"/>
              </w:rPr>
            </w:pPr>
            <w:r>
              <w:rPr>
                <w:rFonts w:ascii="Arial" w:cs="Arial" w:eastAsia="Arial" w:hAnsi="Arial"/>
                <w:sz w:val="18"/>
                <w:szCs w:val="18"/>
                <w:color w:val="auto"/>
              </w:rPr>
              <w:t>consideration liability(2)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70,700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Centerbridge Acquisition costs(3)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Severance costs(4)</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169,994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34,921</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130,465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-2411095</wp:posOffset>
            </wp:positionV>
            <wp:extent cx="6929755" cy="25050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2505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3"/>
              </w:rPr>
              <w:t>Predecessor</w:t>
            </w:r>
          </w:p>
        </w:tc>
        <w:tc>
          <w:tcPr>
            <w:tcW w:w="84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2019 Period</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5"/>
              </w:rPr>
              <w:t>$ (57,063)</w:t>
            </w:r>
          </w:p>
        </w:tc>
        <w:tc>
          <w:tcPr>
            <w:tcW w:w="36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28,114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7"/>
        </w:trPr>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9"/>
        </w:trPr>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(52,742)</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jc w:val="right"/>
        <w:ind w:right="200" w:firstLine="476"/>
        <w:spacing w:after="0" w:line="323" w:lineRule="auto"/>
        <w:tabs>
          <w:tab w:leader="none" w:pos="16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  39,973    $   34,863</w:t>
      </w:r>
    </w:p>
    <w:p>
      <w:pPr>
        <w:ind w:left="440"/>
        <w:spacing w:after="0"/>
        <w:rPr>
          <w:rFonts w:ascii="Arial" w:cs="Arial" w:eastAsia="Arial" w:hAnsi="Arial"/>
          <w:sz w:val="16"/>
          <w:szCs w:val="16"/>
          <w:color w:val="auto"/>
        </w:rPr>
      </w:pPr>
      <w:r>
        <w:rPr>
          <w:rFonts w:ascii="Arial" w:cs="Arial" w:eastAsia="Arial" w:hAnsi="Arial"/>
          <w:sz w:val="18"/>
          <w:szCs w:val="18"/>
          <w:color w:val="auto"/>
        </w:rPr>
        <w:t>17.3%</w:t>
      </w:r>
      <w:r>
        <w:rPr>
          <w:rFonts w:ascii="Arial" w:cs="Arial" w:eastAsia="Arial" w:hAnsi="Arial"/>
          <w:sz w:val="16"/>
          <w:szCs w:val="16"/>
          <w:color w:val="auto"/>
        </w:rPr>
        <w:t>15.4%</w:t>
      </w:r>
    </w:p>
    <w:p>
      <w:pPr>
        <w:spacing w:after="0" w:line="193" w:lineRule="exact"/>
        <w:rPr>
          <w:sz w:val="20"/>
          <w:szCs w:val="20"/>
          <w:color w:val="auto"/>
        </w:rPr>
      </w:pPr>
    </w:p>
    <w:p>
      <w:pPr>
        <w:sectPr>
          <w:pgSz w:w="11900" w:h="16838" w:orient="portrait"/>
          <w:cols w:equalWidth="0" w:num="2">
            <w:col w:w="8520" w:space="440"/>
            <w:col w:w="2120"/>
          </w:cols>
          <w:pgMar w:left="320" w:top="456" w:right="499" w:bottom="1440" w:gutter="0" w:footer="0" w:header="0"/>
          <w:type w:val="continuous"/>
        </w:sectPr>
      </w:pPr>
    </w:p>
    <w:p>
      <w:pPr>
        <w:ind w:left="600" w:right="40" w:hanging="433"/>
        <w:spacing w:after="0" w:line="297"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 in connection with profits interests and incentive share units.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6" w:right="49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600" w:right="40" w:hanging="433"/>
        <w:spacing w:after="0" w:line="253"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fair value of the earnout liability due to the predecessor owners of the Company arising from the Centerbridge Acquisition. Prior to the consummation of this offering, we intend to satisfy the earnout liability in full. The amount required to satisfy the earnout liability is currently unknown, but will be disclosed prior to the consummation of this offering.</w:t>
      </w:r>
    </w:p>
    <w:p>
      <w:pPr>
        <w:ind w:left="600" w:hanging="433"/>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0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See “Prospectus Summary—Summary Historical and Pro Forma Condensed Consolidated Financial and Other Data” for information regarding our use of EBITDA, Adjusted EBITDA and Adjusted EBITDA margin, each a non-GAAP financial measure.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primarily generate revenues from commissions received from carriers for the multiple types of insurance products and plans sold by us on behalf of carriers. Commission revenues represent the consideration paid to us by carriers in the form of commissions, which primarily are calculated as a percentage of the premium amount collected by the carrier during the period the customer is enrolled in the insurance plan or product. The maximum allowable commission rates carriers are allowed to pay to independent agents and brokers, such as ourselves, for Medicare products are determined on an annual basis by CMS and CMS generally increases the commission rates allowed to be paid each year. The value we bring to carriers in the Medicare space typically enables us to negotiate for the maximum allowable commission rates, and we expect to continue to be able to do so. However, the commission rates that ultimately are paid to us are based on a variety of factors and the commission rates we receive could change. See “Risk Factors— Risks Related to Our Business—Carriers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 We generally continue to receive commission payments from the relevant carrier until the plan or product is canceled. Our contracts with carriers contain a single-performance obligation satisfied by carrier acceptance of a submission, at which point we recognize the full transaction price of the policy sold as revenue in that period.</w:t>
      </w:r>
    </w:p>
    <w:p>
      <w:pPr>
        <w:spacing w:after="0" w:line="18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We also generate revenues from providing marketing, enrollment and other services to third parties, primarily carriers. Typically, we are paid enrollment fees and hourly fees to staff for services performed for specific carriers and other partners, which we recognize as the services are performed under a contractual arrangement. In addition, these agreements generally include performance-based fees based on specified performance criteria, such as volume, efficiency and certain other service-level agreements. We also generate revenue from referring customers to carriers and other third-party partners. Additionally, we provide technology services through our Marketplace technology to carriers.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of Revenue</w:t>
      </w:r>
    </w:p>
    <w:p>
      <w:pPr>
        <w:spacing w:after="0" w:line="114"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Cost of revenue represents payments related to policies sold to customers who were enrolled by partners with whom we have commissions revenue-sharing arrangements. In order to enter into a revenue-sharing arrangement, partners must be licensed to sell health insurance plans in the state where the policy is sold. Costs related to revenue-sharing arrangements are expensed as the related revenue is recognized.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Marketing and Advertising</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Marketing expense consists primarily of expenses associated with our direct, online advertising, and marketing partner channels, in addition to compensation (including share-based compensation expense) and other expenses related to marketing personnel who manage campaigns and optimize consumer activity. Marketing costs are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69" w:lineRule="auto"/>
        <w:rPr>
          <w:sz w:val="20"/>
          <w:szCs w:val="20"/>
          <w:color w:val="auto"/>
        </w:rPr>
      </w:pPr>
      <w:r>
        <w:rPr>
          <w:rFonts w:ascii="Arial" w:cs="Arial" w:eastAsia="Arial" w:hAnsi="Arial"/>
          <w:sz w:val="17"/>
          <w:szCs w:val="17"/>
          <w:color w:val="auto"/>
        </w:rPr>
        <w:t>expensed as incurred. Our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Advertising expenses consist of costs incurred to acquire consumers through online, television, and direct mail advertisements. We also have arrangements with certain carriers that allow us to increase marketing efforts, including through direct mail, television, and online advertising for various insurance products that are being offered by these carriers. We record the amounts received as a reduction of the marketing costs incurred. Generally, our marketing and advertising expenses increase during annual enrollment period and open enrollment so that we may generate more leads during these high-volume periods.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Customer Care and Enrollment</w:t>
      </w:r>
    </w:p>
    <w:p>
      <w:pPr>
        <w:spacing w:after="0" w:line="114" w:lineRule="exact"/>
        <w:rPr>
          <w:sz w:val="20"/>
          <w:szCs w:val="20"/>
          <w:color w:val="auto"/>
        </w:rPr>
      </w:pPr>
    </w:p>
    <w:p>
      <w:pPr>
        <w:ind w:left="160"/>
        <w:spacing w:after="0" w:line="417" w:lineRule="auto"/>
        <w:rPr>
          <w:sz w:val="20"/>
          <w:szCs w:val="20"/>
          <w:color w:val="auto"/>
        </w:rPr>
      </w:pPr>
      <w:r>
        <w:rPr>
          <w:rFonts w:ascii="Arial" w:cs="Arial" w:eastAsia="Arial" w:hAnsi="Arial"/>
          <w:sz w:val="14"/>
          <w:szCs w:val="14"/>
          <w:color w:val="auto"/>
        </w:rPr>
        <w:t>Customer care and enrollment expense consists primarily of expenses associated with compensation (including share-based compensation expense) and benefits costs for agents and other personnel who assist consumers during the policy application process, along with management and support personnel.</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Technology expense consists primarily of compensation (including share-based compensation expense) and benefits costs for personnel associated with developing and enhancing our technology platform, data analytics and business intelligence, as well as maintaining our online presence and integrations with carrier and federal marketplaces. Technology expense also includes costs for contracted services and supplies, and amortization expense to capitalized software. We plan to increase our investment in this area as we continue to enhance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consists of compensation (including share-based compensation expense) and benefits costs for staff working with our executive, finance, legal, human resources, facilities and internal operations departments. These expenses also include facilities costs and fees paid for outside professional services, including audit, tax, legal and governmental affairs.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Change in Fair Value of Contingent Consideration Liability</w:t>
      </w:r>
    </w:p>
    <w:p>
      <w:pPr>
        <w:spacing w:after="0" w:line="114"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auto"/>
        </w:rPr>
        <w:t>Change in fair value of contingent consideration liability relates to the earnout liability incurred in connection with the Centerbridge Acquisition, in which we agreed to pay additional consideration in additional common and senior preferred units if Adjusted EBITDA (as defined in the agreement entered into in connection with the Centerbridge Acquisition) exceeds certain thresholds for the year ended December 31, 2019 and 2020. See Note 4 of each of the audited consolidated financial statements and interim condensed consolidated financial statements included elsewhere in this prospectus for fair value estimates recorded at March 31, 2020 and December 31, 2019. Prior to the consummation of this offering, we intend to satisfy the earnout liability in full. The amount required to satisfy the earnout liability is currently unknown, but will be disclosed prior to the consummation of this offering.</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Amortization of intangible assets represents amortization of developed technology and customer relationships over the estimated useful lives of such assets which was reflected in the purchase price allocation attributable to the Centerbridge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Transaction Costs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costs consist of legal, accounting, consulting and other costs incurred in connection with the Centerbridge Acquisition.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consists primarily of interest expense on our outstanding debt.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Centerbridge Acquisition took place on September 13, 2019. Accordingly, the accompanying consolidated financial statements presented elsewhere in this prospectus for the year ended December 31, 2018 reflect the period prior to the Centerbridge Acquisition. The consolidated financial statements for December 31, 2019 are presented separately for the Predecessor period from January 1, 2019 through September 12, 2019 (the “Predecessor 2019 Period”) and the Successor period from September 13, 2019 through December 31, 2019 (the “Successor 2019 Period”). The financial position and results of the Successor reflect the application of purchase accounting in accordance with ASC 805.</w:t>
      </w:r>
    </w:p>
    <w:p>
      <w:pPr>
        <w:spacing w:after="0" w:line="176"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The financial information presented for the unaudited pro forma condensed consolidated financial information included elsewhere in this prospectus for the year ended December 31, 2019 (the “Pro Forma Fiscal Year 2019”) gives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 The unaudited pro forma consolidated statement of operations for the Pro Forma Fiscal Year 2019 presented elsewhere in this prospectus and the pro forma adjustments are not audited and have been derived from our audited consolidated financial statements included elsewhere in this prospectus.</w:t>
      </w:r>
    </w:p>
    <w:p>
      <w:pPr>
        <w:spacing w:after="0" w:line="166"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We believe that the discussion of the results of operations comparing the Predecessor 2019 Period, the Successor 2019 Period and the consolidated financial statements of the Predecessor for the year ended December 31, 2018 is not meaningful on a standalone basis as the Centerbridge Acquisition was accounted for as a business combination in accordance with ASC 805, and the resulting new basis of accounting is reflected in our consolidated financial statements for all periods beginning on or after September 13, 2019, and therefore, the two periods are not comparable. In particular, pro forma adjustments for general and administrative expense, amortization of intangible assets, transaction costs and interest expense significantly impacted the comparability of our results, among other adjustments. We believe that the comparison of the Pro Forma Fiscal Year 2019 to the year ended December 31, 2018 provides a more meaningful discussion of our 2019 and 2018 results of operations for potential investors.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56"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Ended March 31, 2020</w:t>
            </w:r>
          </w:p>
        </w:tc>
        <w:tc>
          <w:tcPr>
            <w:tcW w:w="120" w:type="dxa"/>
            <w:vAlign w:val="bottom"/>
          </w:tcPr>
          <w:p>
            <w:pPr>
              <w:spacing w:after="0"/>
              <w:rPr>
                <w:sz w:val="12"/>
                <w:szCs w:val="12"/>
                <w:color w:val="auto"/>
              </w:rPr>
            </w:pPr>
          </w:p>
        </w:tc>
        <w:tc>
          <w:tcPr>
            <w:tcW w:w="1800" w:type="dxa"/>
            <w:vAlign w:val="bottom"/>
            <w:gridSpan w:val="5"/>
          </w:tcPr>
          <w:p>
            <w:pPr>
              <w:jc w:val="right"/>
              <w:ind w:right="340"/>
              <w:spacing w:after="0" w:line="147" w:lineRule="exact"/>
              <w:rPr>
                <w:sz w:val="20"/>
                <w:szCs w:val="20"/>
                <w:color w:val="auto"/>
              </w:rPr>
            </w:pPr>
            <w:r>
              <w:rPr>
                <w:rFonts w:ascii="Arial" w:cs="Arial" w:eastAsia="Arial" w:hAnsi="Arial"/>
                <w:sz w:val="14"/>
                <w:szCs w:val="14"/>
                <w:b w:val="1"/>
                <w:bCs w:val="1"/>
                <w:color w:val="auto"/>
                <w:w w:val="98"/>
              </w:rPr>
              <w:t>Ended 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112,510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51,215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$61,295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17,874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27,552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14,582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13,939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10,039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3,501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23,514</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23,514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64,047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6,729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jc w:val="both"/>
        <w:ind w:left="160" w:right="60"/>
        <w:spacing w:after="0" w:line="287" w:lineRule="auto"/>
        <w:rPr>
          <w:sz w:val="20"/>
          <w:szCs w:val="20"/>
          <w:color w:val="auto"/>
        </w:rPr>
      </w:pPr>
      <w:r>
        <w:rPr>
          <w:rFonts w:ascii="Arial" w:cs="Arial" w:eastAsia="Arial" w:hAnsi="Arial"/>
          <w:sz w:val="16"/>
          <w:szCs w:val="16"/>
          <w:color w:val="auto"/>
        </w:rPr>
        <w:t>Commission revenues were $112.5 million for the three months ended March 31, 2020 compared to $51.2 million for the three months ended March 31, 2019, an increase of 119.7%, which was primarily attributable to increases in commission revenues from (i) the Medicare—Internal segment of</w:t>
      </w:r>
    </w:p>
    <w:p>
      <w:pPr>
        <w:spacing w:after="0" w:line="1" w:lineRule="exact"/>
        <w:rPr>
          <w:sz w:val="20"/>
          <w:szCs w:val="20"/>
          <w:color w:val="auto"/>
        </w:rPr>
      </w:pPr>
    </w:p>
    <w:p>
      <w:pPr>
        <w:ind w:left="160" w:right="140"/>
        <w:spacing w:after="0" w:line="250" w:lineRule="auto"/>
        <w:rPr>
          <w:sz w:val="20"/>
          <w:szCs w:val="20"/>
          <w:color w:val="auto"/>
        </w:rPr>
      </w:pPr>
      <w:r>
        <w:rPr>
          <w:rFonts w:ascii="Arial" w:cs="Arial" w:eastAsia="Arial" w:hAnsi="Arial"/>
          <w:sz w:val="18"/>
          <w:szCs w:val="18"/>
          <w:color w:val="auto"/>
        </w:rPr>
        <w:t>$74.4 million driven by a 291.6% increase in Medicare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of $8.6 million driven by a 68.9% increase in Medicare commissionable Approved Submissions due to our ability to recruit and onboard additional external agencies to enroll consumers in Medicare plans using our technology and platform.</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Other revenues were $28.5 million for the three months ended March 31, 2020 compared to $17.9 million for the three months ended March 31, 2019, an increase of 59.4%. The increase was primarily attributable to an increase in Medicare—Internal other revenues of $20.0 million due to the expansion of carrier-specific sponsorships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programs. The increase was partially offset by declines in the IFP and Other segments and the Medicare—External segment other revenues of</w:t>
      </w:r>
    </w:p>
    <w:p>
      <w:pPr>
        <w:spacing w:after="0" w:line="31"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$6.6 million in aggregate due to a decrease in consumer lead sales to external third parties as we strategically shifted to generating consumer leads in the internal channel.</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20"/>
        <w:spacing w:after="0" w:line="368" w:lineRule="auto"/>
        <w:rPr>
          <w:sz w:val="20"/>
          <w:szCs w:val="20"/>
          <w:color w:val="auto"/>
        </w:rPr>
      </w:pPr>
      <w:r>
        <w:rPr>
          <w:rFonts w:ascii="Arial" w:cs="Arial" w:eastAsia="Arial" w:hAnsi="Arial"/>
          <w:sz w:val="14"/>
          <w:szCs w:val="14"/>
          <w:color w:val="auto"/>
        </w:rPr>
        <w:t>Cost of revenue was $42.1 million for the three months ended March 31, 2020 compared to $27.5 million for the three months ended March 31, 2019, an increase of 52.9%. The increase was primarily due to a 68.9% increase in commissionable Approved Submissions in the Medicare—External segment, which increased the amount of expense we recognized pursuant to our revenue-sharing agreements with external agencies and other partners.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Marketing and advertising expense was $26.0 million for the three months ended March 31, 2020 compared to $11.4 million for the three months ended March 31, 2019, an increase of 128.5%. The increase was primarily due to an increase in our advertising costs for the Medicare—Internal segment to generate more qualified prospects, which contributed to a 291.6% increase in commissionable Approved Submissions in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Customer care and enrollment expense was $24.0 million for the three months ended March 31, 2020 compared to $13.9 million for the three months ended March 31, 2019, an increase of 72.0%. The increase was primarily attributable to the hiring of additional agents in the Medicare—Internal segment in order to drive the conversion of a greater number of qualified prospects into commissionable Approved Submissions. As of March 31, 2020, we had 781 full time equivalent agents compared to 529 full time equivalent agents as of March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Technology expense was $4.6 million for the three months ended March 31, 2020 compared to $4.2 million for the three months ended March 31, 2019, an increase of 10.5%. The increase was primarily due to the hiring of additional employees in our technology and data science teams, which drove improvements to our LeadScore and call-routing technologies and expansion of our business intelligence and analytics staffing in order to support the growth of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General and administrative expense was $10.5 million for the three months ended March 31, 2020 compared to $7.0 million for the three months ended March 31, 2019,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$23.5 million for the three months ended March 31, 2020 compared to none for the three months ended March 31, 2019. Amortization expense for the three months ended March 31, 2020 relates to the amortization of definite-lived intangible assets that was reflected in the purchase price allocation at the date of the Centerbridge Acquisition.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40"/>
          </w:cols>
          <w:pgMar w:left="320" w:top="456"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 was $6.8 million for the three months ended March 31, 2020 compared to $28 thousand for the three months ended March 31, 2019.</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increase was due to the incurrence of additional debt under the Credit Facilities in connection with the Centerbridge Acquisition.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from Successor 2019 Period and Predecessor 2019 Period Compared to Fiscal Year Ended December 31, 2018 (Predecessor)</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results of operations discussion below compares the Successor 2019 Period, the Predecessor 2019 Period and the year ended December 31, 2018. Due to the application of purchasing accounting at September 12, 2019, we believe that the comparison of the Pro Forma Fiscal Year 2019 to the year ended December 31, 2018, presented below, provides the most meaningful supplemental discussion of our 2019 and 2018 results of operations for potential investors. Due to, in part, the seasonality of our business, the results of operations for the Successor 2019 Period compared to the Predecessor 2019 Period are not comparable. See “—Seasonality.”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60" w:type="dxa"/>
            <w:vAlign w:val="bottom"/>
            <w:gridSpan w:val="5"/>
            <w:vMerge w:val="restart"/>
          </w:tcPr>
          <w:p>
            <w:pPr>
              <w:jc w:val="right"/>
              <w:ind w:right="253"/>
              <w:spacing w:after="0"/>
              <w:rPr>
                <w:sz w:val="20"/>
                <w:szCs w:val="20"/>
                <w:color w:val="auto"/>
              </w:rPr>
            </w:pPr>
            <w:r>
              <w:rPr>
                <w:rFonts w:ascii="Arial" w:cs="Arial" w:eastAsia="Arial" w:hAnsi="Arial"/>
                <w:sz w:val="14"/>
                <w:szCs w:val="14"/>
                <w:b w:val="1"/>
                <w:bCs w:val="1"/>
                <w:color w:val="auto"/>
                <w:w w:val="91"/>
              </w:rPr>
              <w:t>Successor 2019 Period</w:t>
            </w:r>
          </w:p>
        </w:tc>
        <w:tc>
          <w:tcPr>
            <w:tcW w:w="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Predecessor 2019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2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tcPr>
          <w:p>
            <w:pPr>
              <w:jc w:val="right"/>
              <w:ind w:right="93"/>
              <w:spacing w:after="0" w:line="118"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243,347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380" w:type="dxa"/>
            <w:vAlign w:val="bottom"/>
            <w:tcBorders>
              <w:right w:val="single" w:sz="8" w:color="auto"/>
            </w:tcBorders>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2"/>
              </w:rPr>
              <w:t>175,834</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144,378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55,176</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308,491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231,010</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226,205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79,169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79,582</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37,769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28,129</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49,149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46,076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40,312</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79,219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27,458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2,267</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287,885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197,442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8"/>
              </w:rPr>
              <w:t>(56,875)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28,763</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(57,129)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(57,063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revenues were $243.3 million for the Successor 2019 Period and $175.8 million for the Predecessor 2019 Period compared to</w:t>
      </w:r>
    </w:p>
    <w:p>
      <w:pPr>
        <w:spacing w:after="0" w:line="31" w:lineRule="exact"/>
        <w:rPr>
          <w:sz w:val="20"/>
          <w:szCs w:val="20"/>
          <w:color w:val="auto"/>
        </w:rPr>
      </w:pPr>
    </w:p>
    <w:p>
      <w:pPr>
        <w:ind w:left="160" w:right="380"/>
        <w:spacing w:after="0" w:line="256" w:lineRule="auto"/>
        <w:rPr>
          <w:sz w:val="20"/>
          <w:szCs w:val="20"/>
          <w:color w:val="auto"/>
        </w:rPr>
      </w:pPr>
      <w:r>
        <w:rPr>
          <w:rFonts w:ascii="Arial" w:cs="Arial" w:eastAsia="Arial" w:hAnsi="Arial"/>
          <w:sz w:val="18"/>
          <w:szCs w:val="18"/>
          <w:color w:val="auto"/>
        </w:rPr>
        <w:t>$144.4 million for the year ended December 31, 2018 which was primarily attributable to increases in commission revenue from (i) the Medicare— Internal segment driven by a 359.9% increase in</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driven by a 108.3% increase in commissionable Approved Submissions due to our ability to recruit and onboard additional external agencies to enroll consumers in Medicare plans using our technology and platform.</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Other revenues were $65.1 million for the Successor 2019 Period and $55.2 million for the Predecessor 2019 Period compared to $81.8 million for the year ended December 31, 2018. The increase was primarily attributable to an increase in Medicare—Internal other revenues of $62.3 million due to the expansion of carrier-specific sponsorships and programs. The increase was partially offset by declines in the IFP and Other segments and the Medicare —External segment of $23.4 million in aggregate due to a decrease in consumer lead sales to external third parties as we strategically shifted to generating consumer leads in the internal channel.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Cost of revenue was $90.4 million for the Successor 2019 Period and $79.2 million for the Predecessor 2019 Period compared to $79.6 million for the year ended December 31, 2018. The increase was primarily due to a 108.3% increase in commissionable Approved Submissions in the Medicare— External segment, which increased the amount of expense we recognized pursuant to our revenue-sharing agreements with external agencies and other partners.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Marketing and advertising expense was $24.8 million for the Successor 2019 Period and $37.8 million for the Predecessor 2019 Period compared to $28.1 million for the year ended December 31, 2018. The increase was primarily due to an increase in our advertising costs, particularly in the Predecessor 2019 Period, for the Medicare—Internal segment to generate more qualified prospects, which contributed to a 359.9% increase in Medicare —Internal Approved Submissions from 2019 compared to 2018. Additionally, marketing and advertising expense also increased as compared to 2018 due to share-based compensation expense of $1.6 million in the Predecessor 2019 Period in connection with the accelerated vesting of certain legacy profits interests and legacy incentive share units granted prior to the Centerbridge Acquisition.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Customer care and enrollment expense was $44.4 million for the Successor 2019 Period and $49.1 million for the Predecessor 2019 Period compared to $46.1 million for the year ended December 31, 2018.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Technology expense was $6.0 million for the Successor 2019 Period and $40.3 million for the Predecessor 2019 Period compared to $16.2 million for the year ended December 31, 2018. The increase was primarily due to share-based compensation expense of $27.1 million in the Predecessor 2019 Period in connection with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accelerated vesting of certain legacy profits interests and legacy incentive share units granted prior to the Centerbridge Acquisition. Additionally, the increase was also attributable to the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General and administrative expense was $13.7 million for the Successor 2019 Period and $79.2 million for the Predecessor 2019 Period compared to $27.5 million for the year ended December 31, 2018. The increase was primarily due to share-based compensation expense of $58.3 million in the Predecessor 2019 Period in connection with the accelerated vesting of certain legacy profits interests and legacy incentive share units granted prior to the Centerbridge Acquisition. Additionally, the increase was also attributable to investments of $6.1 million in corporate infrastructure, such as legal, human resources, and finance, to support the growth of the business.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Change in fair value of contingent consideration liability was $70.7 million for the Successor 2019 Period, which we incurred in connection with the Centerbridge Acquisition. We had no earnout liability in the prior periods. Prior to the consummation of this offering, we intend to satisfy the earnout liability in full. The amount required to satisfy the earnout liability is currently unknown, but will be disclosed prior to the consummation of this offering.</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jc w:val="both"/>
        <w:ind w:left="160" w:right="240"/>
        <w:spacing w:after="0" w:line="259" w:lineRule="auto"/>
        <w:rPr>
          <w:sz w:val="20"/>
          <w:szCs w:val="20"/>
          <w:color w:val="auto"/>
        </w:rPr>
      </w:pPr>
      <w:r>
        <w:rPr>
          <w:rFonts w:ascii="Arial" w:cs="Arial" w:eastAsia="Arial" w:hAnsi="Arial"/>
          <w:sz w:val="18"/>
          <w:szCs w:val="18"/>
          <w:color w:val="auto"/>
        </w:rPr>
        <w:t>Amortization of intangible assets expense was $28.2 million for the Successor 2019 Period. We had no amortization of intangible assets in the prior periods. Amortization expense for the Successor 2019 Period relates to the amortization of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Transaction Costs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Transaction costs were $6.2 million for the Successor 2019 Period and $2.3 million for the Predecessor 2019 Period compared to none for the year ended December 31, 2018. Transaction costs in 2019 were due to the Centerbridge Acquisition, for which we incurred legal, accounting, consulting and other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Interest expense was $8.1 million for the Successor 2019 Period and $140.0 thousand for the Predecessor 2019 Period compared to $224.0 thousand for the year ended December 31, 2018. The increase from 2018 to 2019 was due to the incurrence of additional debt under the Credit Facilities in connection with the Centerbridge Acquisition.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320" w:top="456" w:right="5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Fiscal Year 2019 Compared to Fiscal Year Ended December 31, 2018 (Predecessor)</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operating results and the related percentage of net revenues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Pro Forma Fiscal</w:t>
            </w:r>
          </w:p>
        </w:tc>
        <w:tc>
          <w:tcPr>
            <w:tcW w:w="220" w:type="dxa"/>
            <w:vAlign w:val="bottom"/>
          </w:tcPr>
          <w:p>
            <w:pPr>
              <w:spacing w:after="0"/>
              <w:rPr>
                <w:sz w:val="14"/>
                <w:szCs w:val="14"/>
                <w:color w:val="auto"/>
              </w:rPr>
            </w:pPr>
          </w:p>
        </w:tc>
        <w:tc>
          <w:tcPr>
            <w:tcW w:w="172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17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Year 2019(1)</w:t>
            </w: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 Change</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48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Commission</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$419,181</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$144,378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63.8%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$274,803</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120,320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81,827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38,493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7"/>
        </w:trPr>
        <w:tc>
          <w:tcPr>
            <w:tcW w:w="482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539,501</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226,205</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313,296</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169,553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79,582</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89,971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61,071</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28,129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32,942</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Customer care and enrollment</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93,567</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46,076</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47,491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19,470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16,197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3,273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33,336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27,458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5,878</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70,700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70,700</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541,755</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100.4%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197,442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344,313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0"/>
        </w:trPr>
        <w:tc>
          <w:tcPr>
            <w:tcW w:w="482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27,172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26,948</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12,030.5%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28,160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(57,683)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w:t>
            </w: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(29,501)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$ 28,114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(57,615)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80" w:hanging="433"/>
        <w:spacing w:after="0" w:line="335"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a discussion of the Successor 2019 Period and the Predecessor 2019 Period compared to the year ended December 31, 2019, see “—Period from Successor 2019 Period and Predecessor 2019 Period Compared to Fiscal Year Ended December 31, 2018 (Predecessor).”</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Commission revenues were $419.2 million for the Pro Forma Fiscal Year 2019 compared to $144.4 million for the year ended December 31, 2018, an increase of 190.3%, which was primarily attributable to increases in commission revenue from (i) the Medicare—Internal segment of $201.5 million driven by a 359.9% increase in 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of $57.5 million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Other revenues were $120.3 million for the Pro Forma Fiscal Year 2019 compared to $81.8 million for the year ended December 31, 2018, an increase of 47.0%. The increase was primarily attributable to an increase in Medicare—Internal other revenues of $62.3 million due to the expansion of carrier-specific sponsorships and programs. The increase was partially offset by declines in the IFP and Other segments and the Medicare—External segment of $23.4 million in aggregate due to a decrease in consumer lead sales to external third parties as we strategically shifted to generating consumer leads in our internal channels.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Cost of revenue was $169.6 million for the Pro Forma Fiscal Year 2019 compared to $79.6 million for the year ended December 31, 2018, an increase of 113.1%. The increase was primarily due to a 108.3% increase in commissionable Approved Submissions in the Medicare—External segment, which increased the amount of expense we recognized pursuant to our revenue-sharing agreements with external agencies and other partners.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Marketing and advertising expense was $61.1 million for the Pro Forma Fiscal Year 2019 compared to $28.1 million for the year ended December 31, 2018, an increase of 117.1%. The increase was primarily due to an increase in our advertising costs for the Medicare—Internal segment to generate more qualified prospects, which contributed to a 359.9% increase in Medicare—Internal Approved Submissions from 2019 compared to 2018.</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Customer care and enrollment expense was $93.6 million for the Pro Forma Fiscal Year 2019 compared to $46.1 million for the year ended</w:t>
      </w:r>
    </w:p>
    <w:p>
      <w:pPr>
        <w:spacing w:after="0" w:line="31" w:lineRule="exact"/>
        <w:rPr>
          <w:sz w:val="20"/>
          <w:szCs w:val="20"/>
          <w:color w:val="auto"/>
        </w:rPr>
      </w:pPr>
    </w:p>
    <w:p>
      <w:pPr>
        <w:jc w:val="both"/>
        <w:ind w:left="160" w:right="80"/>
        <w:spacing w:after="0" w:line="250" w:lineRule="auto"/>
        <w:rPr>
          <w:sz w:val="20"/>
          <w:szCs w:val="20"/>
          <w:color w:val="auto"/>
        </w:rPr>
      </w:pPr>
      <w:r>
        <w:rPr>
          <w:rFonts w:ascii="Arial" w:cs="Arial" w:eastAsia="Arial" w:hAnsi="Arial"/>
          <w:sz w:val="18"/>
          <w:szCs w:val="18"/>
          <w:color w:val="auto"/>
        </w:rPr>
        <w:t>December 31, 2018, an increase of 103.1%.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Technology expense was $19.5 million for the Pro Forma Fiscal Year 2019 compared to $16.2 million for the year ended December 31, 2018, an increase of 20.2%. The increase was primarily due to our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was $33.3 million for the Pro Forma Fiscal Year 2019 compared to $27.5 million for the year ended December 31, 2018, an increase of 21.4%. The increase was primarily due to investments in corporate infrastructure, such as legal, human resources, and finance, to support the growth of the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Change in fair value of contingent consideration liability was $70.7 million for the Pro Forma Fiscal Year 2019, which we incurred in connection with the Centerbridge Acquisition. We had no earnout liability in the prior period. Prior to the consummation of this offering, we intend to satisfy the earnout liability in full. The amount required to satisfy the earnout liability is currently unknown, but will be disclosed prior to the consummation of this offering.</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Amortization of intangible assets expense was $94.1 million for the Pro Forma Fiscal Year 2019 compared to none for the year ended December 31, 2018. Amortization expense for Pro Forma Fiscal Year 2019 relates to the amortization of certain definite-lived intangible assets that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color w:val="auto"/>
        </w:rPr>
        <w:t>Interest expense was $27.2 million for the Pro Forma Fiscal Year 2019 compared to $0.2 million for the year ended December 31, 2018. The increase from 2018 to 2019 was due to the incurrence of additional debt under the Credit Facilities in connection with the Centerbridge Acquisition.</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Information</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 xml:space="preserve">Our reportable segments have been determined in accordance with Accounting Standards Codification, or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Currently, we have four reportable segments: Medicare—Internal, Medicare—External, IFP and Other—Internal, and IFP and Other—External. In addition, we separately report other expenses (classified as “Corporate“ in the following table), the primary components of which are corporate overhead expenses and shared service expenses that have not been allocated to the reportable segments, as they are not the responsibility of segment operating management.</w:t>
      </w:r>
    </w:p>
    <w:p>
      <w:pPr>
        <w:spacing w:after="0" w:line="159"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auto"/>
        </w:rPr>
        <w:t>The segment measurements provided to and evaluated by the chief operating decision maker are described in the notes to the audited consolidated financial statements and the interim condensed consolidated financial statements included elsewhere in this prospectus. These results should be considered in addition to, not as a substitute for, results reported in accordance with GAAP.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right"/>
              <w:ind w:right="520"/>
              <w:spacing w:after="0" w:line="147"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2"/>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95,287</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20,911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$74,376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20,335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8,610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14,440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(5,808)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(5,257)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41,735</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4,864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36,871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(3,702)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(751)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42,406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10,388</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32,018</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3,319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4,400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23,514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6,729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2"/>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gridSpan w:val="2"/>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5,004</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4"/>
              </w:rPr>
              <w:t>$ (5,943</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right="240"/>
        <w:spacing w:after="0" w:line="266" w:lineRule="auto"/>
        <w:rPr>
          <w:sz w:val="20"/>
          <w:szCs w:val="20"/>
          <w:color w:val="auto"/>
        </w:rPr>
      </w:pPr>
      <w:r>
        <w:rPr>
          <w:rFonts w:ascii="Arial" w:cs="Arial" w:eastAsia="Arial" w:hAnsi="Arial"/>
          <w:sz w:val="17"/>
          <w:szCs w:val="17"/>
          <w:color w:val="auto"/>
        </w:rPr>
        <w:t>Net revenues for the Medicare—Internal segment were $95.3 million for the three months ended March 31, 2020 compared to $20.9 million for the three months ended March 31, 2019, which was primarily driven by the hiring of additional agents and the increased utilization and efficiency of our agents, which contributed to a 291.6% increase in commissionable Approved Submissions. As of March 31, 2020, we had 781 full time equivalent agents compared to 529 full time equivalent agents as of March 31, 2019.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Net revenues for the Medicare—External segment were $28.9 million for the three months ended March 31, 2020 compared to $20.3 million for the three months ended March 31, 2019, which was primarily driven by a 68.9% increase in Medicare commissionable Approved Submissions due to our ability to recruit and onboard additional external agencies to enroll consumers in Medicare plans using our technology and platform.</w:t>
      </w:r>
    </w:p>
    <w:p>
      <w:pPr>
        <w:spacing w:after="0" w:line="18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Net revenues for the IFP and Other—Internal segment were $8.6 million for the three months ended March 31, 2020 compared to $14.4 million for the three months ended March 31, 2019. Net revenues for the IFP and Other—External segment were $8.1 million for the three months ended March 31, 2020 compared to $13.4</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million for the three months ended March 31, 2019. For each of the IFP and Other segments, the decreases were primarily driven by a change in product mix sold within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i w:val="1"/>
          <w:iCs w:val="1"/>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Segment profit for the Medicare—Internal segment was $41.7 million for the three months ended March 31, 2020 compared to $4.9 million for the three months ended March 31, 2019. The increase was driven by the increase of Medicare commissionable Approved Submissions and an increase in our LTV/CAC ratio to 2.7x for the three months ended March 31, 2020 compared to 1.7x for the three months ended March 31, 2019. The increase of Medicare commissionable Approved Submissions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 The increase in LTV/CAC was primarily attributable to improved marketing efficiencies driven by our rapid test-and-learn approach across our marketing channels.</w:t>
      </w:r>
    </w:p>
    <w:p>
      <w:pPr>
        <w:spacing w:after="0" w:line="17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Segment loss for the Medicare—External segment was $0.3 million for the three months ended March 31, 2020 compared to segment profit of $3.4 million for the three months ended March 31, 2019. The decrease was primarily driven by a 68.9% increase in commissionable Approved Submissions in the Medicare—External segment, which increased the amount of expense we recognized pursuant to our revenue-sharing agreements with external agencies and other partners.</w:t>
      </w:r>
    </w:p>
    <w:p>
      <w:pPr>
        <w:spacing w:after="0" w:line="190"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Segment profit for the IFP and Other—Internal segment was $0.5 million for the three months ended March 31, 2020 compared to $0.8 million for the three months ended March 31, 2019. The decrease was primarily driven by a change in product mix sold by agents for IFP and Other plans.</w:t>
      </w:r>
    </w:p>
    <w:p>
      <w:pPr>
        <w:spacing w:after="0" w:line="12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Segment profit for the IFP and Other—External segment was $0.5 million for the three months ended March 31, 2020 compared to $1.3 million for the three months ended March 31, 2019. The decrease was driven by a change in product mix sold by external agencies.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Unaudited Pro Forma Fiscal Year 2019 Compared to Fiscal Year Ended December 31, 2018 (Predecessor)</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6"/>
              </w:rPr>
              <w:t>Successor 2019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1"/>
              </w:rPr>
              <w:t>Period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59,152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 segment profit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w w:val="98"/>
              </w:rPr>
              <w:t>Change in fair value of contingent consideration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5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-3396615</wp:posOffset>
            </wp:positionV>
            <wp:extent cx="6929755" cy="34055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w w:val="99"/>
              </w:rPr>
              <w:t>Predecessor 2019</w:t>
            </w:r>
          </w:p>
        </w:tc>
        <w:tc>
          <w:tcPr>
            <w:tcW w:w="80" w:type="dxa"/>
            <w:vAlign w:val="bottom"/>
          </w:tcPr>
          <w:p>
            <w:pPr>
              <w:spacing w:after="0"/>
              <w:rPr>
                <w:sz w:val="14"/>
                <w:szCs w:val="14"/>
                <w:color w:val="auto"/>
              </w:rPr>
            </w:pPr>
          </w:p>
        </w:tc>
        <w:tc>
          <w:tcPr>
            <w:tcW w:w="15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Pro Forma Fiscal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54"/>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Year 2019</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54"/>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Dollars</w:t>
            </w:r>
          </w:p>
        </w:tc>
        <w:tc>
          <w:tcPr>
            <w:tcW w:w="200" w:type="dxa"/>
            <w:vAlign w:val="bottom"/>
            <w:gridSpan w:val="2"/>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394"/>
        </w:trPr>
        <w:tc>
          <w:tcPr>
            <w:tcW w:w="680" w:type="dxa"/>
            <w:vAlign w:val="bottom"/>
          </w:tcPr>
          <w:p>
            <w:pPr>
              <w:jc w:val="right"/>
              <w:spacing w:after="0"/>
              <w:rPr>
                <w:sz w:val="20"/>
                <w:szCs w:val="20"/>
                <w:color w:val="auto"/>
              </w:rPr>
            </w:pPr>
            <w:r>
              <w:rPr>
                <w:rFonts w:ascii="Arial" w:cs="Arial" w:eastAsia="Arial" w:hAnsi="Arial"/>
                <w:sz w:val="18"/>
                <w:szCs w:val="18"/>
                <w:color w:val="auto"/>
                <w:w w:val="87"/>
              </w:rPr>
              <w:t>$102,196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w w:val="98"/>
              </w:rPr>
              <w:t>$317,518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53,365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55,981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115,132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58,834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37,909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58,759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34,924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48,093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50,997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226,205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40,024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166,234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24,183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15,476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3,845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2,332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187,887</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680" w:type="dxa"/>
            <w:vAlign w:val="bottom"/>
          </w:tcPr>
          <w:p>
            <w:pPr>
              <w:jc w:val="right"/>
              <w:spacing w:after="0"/>
              <w:rPr>
                <w:sz w:val="20"/>
                <w:szCs w:val="20"/>
                <w:color w:val="auto"/>
              </w:rPr>
            </w:pPr>
            <w:r>
              <w:rPr>
                <w:rFonts w:ascii="Arial" w:cs="Arial" w:eastAsia="Arial" w:hAnsi="Arial"/>
                <w:sz w:val="18"/>
                <w:szCs w:val="18"/>
                <w:color w:val="auto"/>
              </w:rPr>
              <w:t>103,469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25,385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5"/>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70,700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94,057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27,172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01"/>
              <w:spacing w:after="0"/>
              <w:rPr>
                <w:sz w:val="20"/>
                <w:szCs w:val="20"/>
                <w:color w:val="auto"/>
              </w:rPr>
            </w:pPr>
            <w:r>
              <w:rPr>
                <w:rFonts w:ascii="Arial" w:cs="Arial" w:eastAsia="Arial" w:hAnsi="Arial"/>
                <w:sz w:val="18"/>
                <w:szCs w:val="18"/>
                <w:color w:val="auto"/>
              </w:rPr>
              <w:t>(114)</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2"/>
              <w:spacing w:after="0"/>
              <w:rPr>
                <w:sz w:val="20"/>
                <w:szCs w:val="20"/>
                <w:color w:val="auto"/>
              </w:rPr>
            </w:pPr>
            <w:r>
              <w:rPr>
                <w:rFonts w:ascii="Arial" w:cs="Arial" w:eastAsia="Arial" w:hAnsi="Arial"/>
                <w:sz w:val="18"/>
                <w:szCs w:val="18"/>
                <w:color w:val="auto"/>
              </w:rPr>
              <w:t>(97)</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(57,129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(29,523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1900" w:h="16838" w:orient="portrait"/>
          <w:cols w:equalWidth="0" w:num="2">
            <w:col w:w="5780" w:space="400"/>
            <w:col w:w="4900"/>
          </w:cols>
          <w:pgMar w:left="320" w:top="456" w:right="499" w:bottom="1440" w:gutter="0" w:footer="0" w:header="0"/>
          <w:type w:val="continuous"/>
        </w:sectPr>
      </w:pPr>
    </w:p>
    <w:p>
      <w:pPr>
        <w:ind w:left="160" w:right="40"/>
        <w:spacing w:after="0" w:line="250" w:lineRule="auto"/>
        <w:rPr>
          <w:sz w:val="20"/>
          <w:szCs w:val="20"/>
          <w:color w:val="auto"/>
        </w:rPr>
      </w:pPr>
      <w:r>
        <w:rPr>
          <w:rFonts w:ascii="Arial" w:cs="Arial" w:eastAsia="Arial" w:hAnsi="Arial"/>
          <w:sz w:val="18"/>
          <w:szCs w:val="18"/>
          <w:color w:val="auto"/>
        </w:rPr>
        <w:t>Net revenues for the Medicare—Internal segment were $317.5 million for Pro Forma Fiscal Year 2019 compared to $53.4 million for the year ended December 31, 2018, which was primarily driven by the hiring of additional agents and the increased utilization and efficiency of our agents, which contributed to a 359.9% increase in commissionable Approved Submissions. In 2019, at our peak, we had approximately 1,700 full time equivalent agents during the Medicare annual enrollment period, compared to approximately 1,200 full time equivalent agents at our peak in 2018 during the Medicare annual enrollment period.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Revenues for the Medicare—External segment</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were $115.1 million for the Pro Forma Fiscal Year 2019 compared to $58.8 million for the year ended December 31, 2018, which was primarily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86"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Net revenues for the IFP and Other—Internal segment were $58.8 million for Pro Forma Fiscal Year 2019 compared to $63.0 million for the year ended December 31, 2018. Net revenues for the IFP and Other—External segment were $48.1 million for Pro Forma Fiscal Year 2019 compared to</w:t>
      </w:r>
    </w:p>
    <w:p>
      <w:pPr>
        <w:spacing w:after="0" w:line="1" w:lineRule="exact"/>
        <w:rPr>
          <w:sz w:val="20"/>
          <w:szCs w:val="20"/>
          <w:color w:val="auto"/>
        </w:rPr>
      </w:pPr>
    </w:p>
    <w:p>
      <w:pPr>
        <w:ind w:left="160" w:right="480"/>
        <w:spacing w:after="0" w:line="256" w:lineRule="auto"/>
        <w:rPr>
          <w:sz w:val="20"/>
          <w:szCs w:val="20"/>
          <w:color w:val="auto"/>
        </w:rPr>
      </w:pPr>
      <w:r>
        <w:rPr>
          <w:rFonts w:ascii="Arial" w:cs="Arial" w:eastAsia="Arial" w:hAnsi="Arial"/>
          <w:sz w:val="18"/>
          <w:szCs w:val="18"/>
          <w:color w:val="auto"/>
        </w:rPr>
        <w:t>$51.0 million for the year ended December 31, 2018. For each of the IFP and Other segments, the decreases were primarily driven by a change in product mix sold within the IFP and Other segments.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Segment profit for the Medicare—Internal segment was $166.2 million for Pro Forma Fiscal Year 2019 compared to $24.2 million for the year ended December 31, 2018. The increase was driven by the increase of Medicare commissionable Approved Submissions and an increase in our LTV/CAC ratio to 3.8x for the year ended December 31, 2019 compared to 2.7x for the year ended December 31, 2018. The increase in LTV/CAC was primarily attributable to a decrease in CAC due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 at a lower effective cost per submission.</w:t>
      </w:r>
    </w:p>
    <w:p>
      <w:pPr>
        <w:spacing w:after="0" w:line="17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Segment profit for the Medicare—External segment was $15.5 million for Pro Forma Fiscal Year 2019 compared to $9.0 million for the year ended December 31, 2018. The increase was primarily driven by the increase in commissionable Approved Submissions.</w:t>
      </w:r>
    </w:p>
    <w:p>
      <w:pPr>
        <w:spacing w:after="0" w:line="175"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Segment profit for the IFP and Other—Internal segment was $3.8 million for Pro Forma Fiscal Year 2019 compared to $9.7 million for the year ended December 31, 2018. The decrease was primarily driven by a change in product mix sold for IFP and Other plans, combined with higher marketing and advertising costs to acquire customers in 2019.</w:t>
      </w:r>
    </w:p>
    <w:p>
      <w:pPr>
        <w:spacing w:after="0" w:line="186"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Segment profit for the IFP and Other—External segment was $2.3 million for Pro Forma Fiscal Year 2019 compared to $2.8 million for the year ended December 31, 2018. The decrease was driven by a change in product mix sold by external agencies.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liquidity needs primarily include working capital and debt service requirements. As of March 31, 2020 and December 31, 2019, cash and cash equivalents totaled $152.4 million and $12.3 million, respectively. We believe that our current sources of liquidity, which include cash and funds available under the Credit Facilities, along with the proceeds of this offering, will be sufficient to meet our projected operating and debt service requirements for at least the next 12 months. Short-term liquidity needs will primarily be funded through the Revolving Credit Facility portion of the Credit Facilities. As of March 31, 2020, our capacity under the Revolving Credit Facility was $30.0 million, with $30.0 million available for additional borrowings. Additionally, on May 7, 2020, we entered into an amendment to the Credit Agreement, which provides $20.0 million of additional revolving commitment under the Credit Facilities.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320" w:top="456" w:right="5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a summary of cash flows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4"/>
                <w:szCs w:val="14"/>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0"/>
              </w:rPr>
              <w:t>Successor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2019 Period</w:t>
            </w:r>
          </w:p>
        </w:tc>
        <w:tc>
          <w:tcPr>
            <w:tcW w:w="2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2018 Period</w:t>
            </w:r>
          </w:p>
        </w:tc>
        <w:tc>
          <w:tcPr>
            <w:tcW w:w="18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700" w:type="dxa"/>
            <w:vAlign w:val="bottom"/>
            <w:tcBorders>
              <w:top w:val="single" w:sz="8" w:color="auto"/>
            </w:tcBorders>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7"/>
              <w:spacing w:after="0" w:line="118"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auto"/>
                <w:w w:val="82"/>
              </w:rPr>
              <w:t>(Successor)</w:t>
            </w: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(Predecessor)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$ 23,587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(9,284)</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9,281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409"/>
              <w:spacing w:after="0"/>
              <w:rPr>
                <w:sz w:val="20"/>
                <w:szCs w:val="20"/>
                <w:color w:val="auto"/>
              </w:rPr>
            </w:pPr>
            <w:r>
              <w:rPr>
                <w:rFonts w:ascii="Arial" w:cs="Arial" w:eastAsia="Arial" w:hAnsi="Arial"/>
                <w:sz w:val="18"/>
                <w:szCs w:val="18"/>
                <w:color w:val="auto"/>
              </w:rPr>
              <w:t>(3,522)</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(810,010)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120,167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830,879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Cash provided by operating activities primarily consists of net income (loss) adjusted for certain non-cash items including share-based compensation; depreciation and amortization; amortization of intangible assets and internally developed software and the effect of changes in working capital and other activities.</w:t>
      </w:r>
    </w:p>
    <w:p>
      <w:pPr>
        <w:spacing w:after="0" w:line="18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Collection of commissions receivable depends upon the timing of the receipt of commission payments and associated commission statements from carriers. If there were to be a delay in receiving a commission payment from a carrier within a quarter, the operating cash flows for that quarter could be adversely impacted.</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90"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Net cash provided by operating activities was $23.6 million for the three months ended March 31, 2020, which consisted of $937 thousand in net loss and adjustments for non-cash items of $29.1 million, offset by the effect of changes in operating assets and liabilities representing a $4.6 million use of cash. The change in operating assets and liabilities was primarily driven by a decrease in accounts receivable of $18.4 million partially offset by an increase in commissions receivable of $5.9 million and decreases in accrued liabilities and commissions payable of $10.8 million and $5.4 million, respectively.</w:t>
      </w:r>
    </w:p>
    <w:p>
      <w:pPr>
        <w:spacing w:after="0" w:line="193"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Net cash provided by operating activities was $1.2 million for the three months ended March 31, 2019, which consisted of $5.0 million in net income and adjustments for non-cash items of $2.2 million, offset by the effect of changes in operating assets and liabilities representing a $6.0 million use of cash. The change in operating assets and liabilities was primarily driven by increases in commissions receivable and commissions payable of $4.7 million and $1.1 million, respectively, and a decrease in accrued liabilities of $2.1 million.</w:t>
      </w:r>
    </w:p>
    <w:p>
      <w:pPr>
        <w:spacing w:after="0" w:line="174"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an increase in commissions receivable of $204.0 million partially offset by an increase in commissions payables of $80.8 million, which were each driven by an increase in Medicare commissionable Approved Submissions.</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Net cash provided by operating activities was $9.3 million for the Predecessor 2019 Period and primarily consisted of $57.1 million in net loss and adjustments for non-cash items of $91.5 million, offset by the effect of</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Net cash provided by operating activities was $5.4 million for the year ended December 31, 2018, which consisted of $28.1 million of net income and adjustments for non-cash items of $7.0 million, offset by the effect of changes in operating assets and liabilities representing a $29.6 million. The change in operating assets and liabilities was primarily driven by increases in commissions receivable of $65.4 million partially offset by increases in commissions payable of $30.9 million.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 primarily consist of the Centerbridge Acquisition and purchases of property, equipment and software.</w:t>
      </w:r>
    </w:p>
    <w:p>
      <w:pPr>
        <w:spacing w:after="0" w:line="221"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Net cash used in investing activities of $3.5 million for the three months ended March 31, 2020 was primarily attributable to both capitalized internal-use software related to new technology, software, and systems and purchases of property and equipment.</w:t>
      </w:r>
    </w:p>
    <w:p>
      <w:pPr>
        <w:spacing w:after="0" w:line="17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Net cash used in investing activities of $1.9 million for the three months ended March 31, 2019 was primarily attributable to capitalized internal-use software related to new technology, software, and systems.</w:t>
      </w:r>
    </w:p>
    <w:p>
      <w:pPr>
        <w:spacing w:after="0" w:line="17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Net cash used in investing activities of $810.0 million for the Successor 2019 Period was primarily attributable to the Centerbridge Acquisition, which comprised $807.6 million of net cash used in investing activities.</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Net cash used in investing activities of $5.6 million for the Predecessor 2019 Period was primarily attributable to capitalized internal-use software related to new technology, software, and systems.</w:t>
      </w:r>
    </w:p>
    <w:p>
      <w:pPr>
        <w:spacing w:after="0" w:line="17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Net cash used in investing activities of $6.2 million in 2018 was primarily attributable to capitalized internal-use software related to new technology, software, and systems.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 primarily consist of borrowings under the Term Loan Facility and the issuance of preferred and common units.</w:t>
      </w:r>
    </w:p>
    <w:p>
      <w:pPr>
        <w:spacing w:after="0" w:line="221"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cash provided by financing activities of $120.2 million for the three months ended March 31, 2020 was due to borrowings under the Incremental Term Loan Facility, which comprised $117.0 million of net cash provided by financing activities and the issuance of common units, which comprised $10.0 million of net cash provided by financing activities, and was partially offset by payments of existing debt and debt issuance costs associated with the Incremental Term Loan Facility.</w:t>
      </w:r>
    </w:p>
    <w:p>
      <w:pPr>
        <w:spacing w:after="0" w:line="190"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Net cash provided by financing activities of $1.1 million for the three months ended March 31, 2019 was due to net borrowings under our predecessor revolving credit facility of $1.2 million, partially offset by capital lease obligations payments of $16.0 thousand associated with computer equipment and furniture acquired under capital leases.</w:t>
      </w:r>
    </w:p>
    <w:p>
      <w:pPr>
        <w:spacing w:after="0" w:line="186"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59" w:lineRule="auto"/>
        <w:rPr>
          <w:sz w:val="20"/>
          <w:szCs w:val="20"/>
          <w:color w:val="auto"/>
        </w:rPr>
      </w:pPr>
      <w:r>
        <w:rPr>
          <w:rFonts w:ascii="Arial" w:cs="Arial" w:eastAsia="Arial" w:hAnsi="Arial"/>
          <w:sz w:val="18"/>
          <w:szCs w:val="18"/>
          <w:color w:val="auto"/>
        </w:rPr>
        <w:t>Net cash used in financing activities of $3.4 million for the Predecessor 2019 Period was due to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cash provided by financing activities of $63.0 thousand in 2018 was due to borrowings under our predecessor revolving credit facility of</w:t>
      </w:r>
    </w:p>
    <w:p>
      <w:pPr>
        <w:spacing w:after="0" w:line="31" w:lineRule="exact"/>
        <w:rPr>
          <w:sz w:val="20"/>
          <w:szCs w:val="20"/>
          <w:color w:val="auto"/>
        </w:rPr>
      </w:pPr>
    </w:p>
    <w:p>
      <w:pPr>
        <w:jc w:val="both"/>
        <w:ind w:left="160" w:right="300"/>
        <w:spacing w:after="0" w:line="256" w:lineRule="auto"/>
        <w:rPr>
          <w:sz w:val="20"/>
          <w:szCs w:val="20"/>
          <w:color w:val="auto"/>
        </w:rPr>
      </w:pPr>
      <w:r>
        <w:rPr>
          <w:rFonts w:ascii="Arial" w:cs="Arial" w:eastAsia="Arial" w:hAnsi="Arial"/>
          <w:sz w:val="18"/>
          <w:szCs w:val="18"/>
          <w:color w:val="auto"/>
        </w:rPr>
        <w:t>$82.6 million, which was offset by the repayment of such borrowings in the amount of $82.3 million, as well as principal payments under our capital lease obligations and member distributions to non-controlling interests.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On September 13, 2019, in connection with the Centerbridge Acquisition, Norvax entered into a first lien credit agreement, or the Credit Agreement, which provides for a (i) $300.0 million aggregate principal amount senior secured term loan facility, or the Term Loan Facility and (ii) $30.0 million aggregate principal amount senior secured revolving credit facility, or the Revolving Credit Facility.</w:t>
      </w:r>
    </w:p>
    <w:p>
      <w:pPr>
        <w:spacing w:after="0" w:line="18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 On May 7, 2020, the Borrower entered into an additional amendment to the Credit Agreement, which provides $20.0 million of additional revolving commitments.</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As of March 31, 2020, we had $415.5 million outstanding on the Term Loan Facility (including the Incremental Term Loan Facility). The Revolving Credit Facility had remaining capacity of $30.0 million as of March 31, 2020.</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“Description of Indebtedness” for further information about the terms of the Credit Facilities.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The following tables summarize our contractual obligations as of December 31, 2019. The principal commitments consisted of obligations under outstanding operating leases for office facilities, capital leases related to copy machines and our long-term debt. The amount of the obligations presented in the table summarizes the commitments to settle contractual obligations in cash as of the dates presented (in thousands).</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1-3 Years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7"/>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441,872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302,330</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479,902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68,784</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66,538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 w:hanging="433"/>
        <w:spacing w:after="0" w:line="283"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borrowings under the Term Loan Facility and assumes interest payments of $142.6 million through stated maturity of the Credit Facilities by applying the interest rate of 8.4% in effect as of December 31, 2019 under our Term Loan Facility. Payments herein are subject to change, as payments for variable rate debt have been estimated. As of December 31, 2019, the total principal amount of debt outstanding under our Credit Facilities, excluding unamortized debt discount and deferred issuance costs, was $299.3 million. See “Description of Indebtedness.”</w:t>
      </w:r>
    </w:p>
    <w:p>
      <w:pPr>
        <w:ind w:left="600" w:hanging="433"/>
        <w:spacing w:after="0" w:line="252"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not included amounts related to our earnout liabilities for the Centerbridge Acquisition as these amounts are not currently known. Prior to the consummation of this offering, we intend to satisfy the earnout liability in full. See Note 4 of the audited consolidated financial statements included elsewhere in this prospectus for fair value estimates recorded at December 31, 2019.</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540" w:hanging="433"/>
        <w:spacing w:after="0" w:line="281" w:lineRule="auto"/>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payments that we may be required to make under the Tax Receivable Agreement to the Continuing Equity Owners and the Blocker Shareholders may be significant and are not reflected in the contractual obligations tables set forth above as they are dependent upon future taxable income. See “Certain Relationships and Related Party Transactions—Tax Receivable Agreement.”</w:t>
      </w:r>
    </w:p>
    <w:p>
      <w:pPr>
        <w:spacing w:after="0" w:line="169"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Subsequent to December 31, 2019, on March 20, 2020, the Borrower entered into an amendment to the Credit Agreement, which, among other things, provides $117.0 million of incremental term loans. Additionally, on May 7, 2020, the Borrower entered into an amendment to the Credit Agreement, which provides $20.0 million of additional revolving commitment under the Credit Facilities, or the Incremental Revolving Loan Facility.</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the audited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March 31, 2020, based on the lack of collection issues in the past and the high financial standards we require of customers. As of March 31, 2020, four carriers accounted for 27%, 17%, 14% and 14% of total accounts receivable. As of December 31, 2019, five carriers accounted for 17%, 16%, 16%, 16% and 15% of total accounts receivable and as of December 31, 2018, three carriers accounted for 24%, 14% and 11% of total accounts receivable.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As of March 31, 2020, we had cash of $152.4 million deposited in non-interest bearing accounts at a major bank with limited to no-interest rate risk. We do not enter into investments for trading or speculative purposes and have not used any derivative financial instruments to manage interest rate risk exposure.</w:t>
      </w:r>
    </w:p>
    <w:p>
      <w:pPr>
        <w:spacing w:after="0" w:line="186"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See “Risk Factors—Risks Related to Our Indebtedness—Developments with respect to LIBOR may affect our borrowings under our Credit Facilities” for additional information.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The Medicare annual enrollment period occurs from October 15</w:t>
      </w:r>
      <w:r>
        <w:rPr>
          <w:rFonts w:ascii="Arial" w:cs="Arial" w:eastAsia="Arial" w:hAnsi="Arial"/>
          <w:sz w:val="13"/>
          <w:szCs w:val="13"/>
          <w:color w:val="auto"/>
        </w:rPr>
        <w:t>th</w:t>
      </w:r>
      <w:r>
        <w:rPr>
          <w:rFonts w:ascii="Arial" w:cs="Arial" w:eastAsia="Arial" w:hAnsi="Arial"/>
          <w:sz w:val="16"/>
          <w:szCs w:val="16"/>
          <w:color w:val="auto"/>
        </w:rPr>
        <w:t xml:space="preserve"> to December 7</w:t>
      </w:r>
      <w:r>
        <w:rPr>
          <w:rFonts w:ascii="Arial" w:cs="Arial" w:eastAsia="Arial" w:hAnsi="Arial"/>
          <w:sz w:val="13"/>
          <w:szCs w:val="13"/>
          <w:color w:val="auto"/>
        </w:rPr>
        <w:t>th</w:t>
      </w:r>
      <w:r>
        <w:rPr>
          <w:rFonts w:ascii="Arial" w:cs="Arial" w:eastAsia="Arial" w:hAnsi="Arial"/>
          <w:sz w:val="16"/>
          <w:szCs w:val="16"/>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3"/>
          <w:szCs w:val="13"/>
          <w:color w:val="auto"/>
        </w:rPr>
        <w:t>st</w:t>
      </w:r>
      <w:r>
        <w:rPr>
          <w:rFonts w:ascii="Arial" w:cs="Arial" w:eastAsia="Arial" w:hAnsi="Arial"/>
          <w:sz w:val="16"/>
          <w:szCs w:val="16"/>
          <w:color w:val="auto"/>
        </w:rPr>
        <w:t xml:space="preserve"> to March 31</w:t>
      </w:r>
      <w:r>
        <w:rPr>
          <w:rFonts w:ascii="Arial" w:cs="Arial" w:eastAsia="Arial" w:hAnsi="Arial"/>
          <w:sz w:val="13"/>
          <w:szCs w:val="13"/>
          <w:color w:val="auto"/>
        </w:rPr>
        <w:t>st</w:t>
      </w:r>
      <w:r>
        <w:rPr>
          <w:rFonts w:ascii="Arial" w:cs="Arial" w:eastAsia="Arial" w:hAnsi="Arial"/>
          <w:sz w:val="16"/>
          <w:szCs w:val="16"/>
          <w:color w:val="auto"/>
        </w:rPr>
        <w:t>, commission revenue is typically second-highest in our first quarter. The individual and family health insurance open enrollment period runs from November 1</w:t>
      </w:r>
      <w:r>
        <w:rPr>
          <w:rFonts w:ascii="Arial" w:cs="Arial" w:eastAsia="Arial" w:hAnsi="Arial"/>
          <w:sz w:val="13"/>
          <w:szCs w:val="13"/>
          <w:color w:val="auto"/>
        </w:rPr>
        <w:t>st</w:t>
      </w:r>
      <w:r>
        <w:rPr>
          <w:rFonts w:ascii="Arial" w:cs="Arial" w:eastAsia="Arial" w:hAnsi="Arial"/>
          <w:sz w:val="16"/>
          <w:szCs w:val="16"/>
          <w:color w:val="auto"/>
        </w:rPr>
        <w:t xml:space="preserve"> through December 15</w:t>
      </w:r>
      <w:r>
        <w:rPr>
          <w:rFonts w:ascii="Arial" w:cs="Arial" w:eastAsia="Arial" w:hAnsi="Arial"/>
          <w:sz w:val="13"/>
          <w:szCs w:val="13"/>
          <w:color w:val="auto"/>
        </w:rPr>
        <w:t>th</w:t>
      </w:r>
      <w:r>
        <w:rPr>
          <w:rFonts w:ascii="Arial" w:cs="Arial" w:eastAsia="Arial" w:hAnsi="Arial"/>
          <w:sz w:val="16"/>
          <w:szCs w:val="16"/>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93"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 and Commissions Receivable</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and is recognized in an amount that reflects the consideration that an entity expects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4"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estimates of renewal commissions and production bonuses are considered variable consideration in the transaction price and require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 and production bonuses and then to constrain revenue recognized to the extent that it is probable that a significant reversal in the amount of cumulative revenue recognized will not occur. Before the adoption of ASC 606, we were already using a similar method to calculate the lifetime revenue value of a contract for internal forecasting purposes so we believe we have the ability to make reasonable estimates for these items and have the appropriate accounting policies and controls in place to do so. The uncertainty associated with the variable consideration is subsequently resolved when the policy renews, and any adjustments in variable consideration are recognized in the period incurred.</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Commissions receivable represents the variable consideration for policies that have not renewed yet, and therefore, are subject to the same assumptions, judgments and estimates used when recognizing revenue as noted above.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6"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150"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6"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to connect consumers with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94"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160" w:right="34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w:t>
      </w:r>
    </w:p>
    <w:p>
      <w:pPr>
        <w:spacing w:after="0" w:line="2"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$169.9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“Prospectus Summary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171"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Over the last four years, we have increasingly shifted our focus towards Medicare products and deemphasized individual and family health insurance products. This shift in focus has enabled us to capitalize on (1) strong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6"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67"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6"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CMS regulations.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202565</wp:posOffset>
            </wp:positionV>
            <wp:extent cx="5095240" cy="2734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95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right="200"/>
        <w:spacing w:after="0" w:line="266" w:lineRule="auto"/>
        <w:rPr>
          <w:sz w:val="20"/>
          <w:szCs w:val="20"/>
          <w:color w:val="auto"/>
        </w:rPr>
      </w:pPr>
      <w:r>
        <w:rPr>
          <w:rFonts w:ascii="Arial" w:cs="Arial" w:eastAsia="Arial" w:hAnsi="Arial"/>
          <w:sz w:val="17"/>
          <w:szCs w:val="17"/>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8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$169.9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122,400 Medicare policies for the three months ended March 31, 2020, as compared to over 43,200 Medicare policies the three months ended March 31, 2019 and over 427,000 Medicare policies for the year ended December 31, 2019,</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as compared to over 118,000 Medicare policies for the year ended December 31, 2018. See “Prospectus Summary—Summary Historical and Pro Forma Condensed Consolidated Financial and Other Data” for information regarding our use of (i) pro forma financial information, specifically footnote 1 and</w:t>
      </w:r>
    </w:p>
    <w:p>
      <w:pPr>
        <w:spacing w:after="0" w:line="1" w:lineRule="exact"/>
        <w:rPr>
          <w:sz w:val="20"/>
          <w:szCs w:val="20"/>
          <w:color w:val="auto"/>
        </w:rPr>
      </w:pPr>
    </w:p>
    <w:p>
      <w:pPr>
        <w:ind w:left="160" w:right="40" w:firstLine="7"/>
        <w:spacing w:after="0" w:line="256" w:lineRule="auto"/>
        <w:tabs>
          <w:tab w:leader="none" w:pos="42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Adjusted EBITDA, a non-GAAP financial measure, and a reconciliation of Adjusted EBITDA to net income, the most directly comparable financial measure calculated and presented in accordance with GAAP.</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160" w:right="260"/>
        <w:spacing w:after="0" w:line="335"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35" w:lineRule="exact"/>
        <w:rPr>
          <w:sz w:val="20"/>
          <w:szCs w:val="20"/>
          <w:color w:val="auto"/>
        </w:rPr>
      </w:pPr>
    </w:p>
    <w:p>
      <w:pPr>
        <w:ind w:left="1140" w:right="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jc w:val="both"/>
        <w:ind w:left="1140" w:right="24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140" w:right="2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140" w:right="840" w:hanging="438"/>
        <w:spacing w:after="0" w:line="271"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160" w:right="28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that for most qualified Medicare prospects, an agent-assisted model maximizes LTV/CAC. As we continue to scale our platform, we improve our key drivers through specialization and optimization using our proprietary data and machine-learning.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We operate our business in four segments: (i) Medicare—Internal, (ii) Medicare—External, (iii) IFP and Other—Internal and (iv) IFP and Other— External. The Medicare segments focus on sales of Medicare Advantage, Medicare Supplement, Medicare prescription drug plans, and Medicare SNPs for multiple carriers. The Medicare segments are organized by distribution channel, as further described below:</w:t>
      </w:r>
    </w:p>
    <w:p>
      <w:pPr>
        <w:spacing w:after="0" w:line="76" w:lineRule="exact"/>
        <w:rPr>
          <w:sz w:val="20"/>
          <w:szCs w:val="20"/>
          <w:color w:val="auto"/>
        </w:rPr>
      </w:pPr>
    </w:p>
    <w:p>
      <w:pPr>
        <w:ind w:left="1140" w:hanging="438"/>
        <w:spacing w:after="0" w:line="281" w:lineRule="auto"/>
        <w:tabs>
          <w:tab w:leader="none" w:pos="114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color w:val="auto"/>
        </w:rPr>
        <w:t>. The internal segments primarily consist of sales of products and plans by GoHealth-employed agents offering qualified prospects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from multiple carriers, GoHealth-employed agents offering qualified prospects plans on a carrier-specific basis, or sales of products and plans through our online platform without the assistance of our agents, which we refer to as DIY.</w:t>
      </w:r>
    </w:p>
    <w:p>
      <w:pPr>
        <w:spacing w:after="0" w:line="75" w:lineRule="exact"/>
        <w:rPr>
          <w:rFonts w:ascii="Arial" w:cs="Arial" w:eastAsia="Arial" w:hAnsi="Arial"/>
          <w:sz w:val="17"/>
          <w:szCs w:val="17"/>
          <w:color w:val="auto"/>
        </w:rPr>
      </w:pPr>
    </w:p>
    <w:p>
      <w:pPr>
        <w:jc w:val="both"/>
        <w:ind w:left="1140" w:right="20" w:hanging="438"/>
        <w:spacing w:after="0" w:line="307"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external segments represent sales of products and plans under GoHealth’s carrier contracts using external agencies, who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that are not employed by GoHealth. These agents utilize our technology and platform to enroll consumers in health insurance plans and provide a means to earn a return on consumer leads that otherwise may have not been addressed.</w:t>
      </w:r>
    </w:p>
    <w:p>
      <w:pPr>
        <w:spacing w:after="0" w:line="150"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Medicare Advantage products generate the majority of net revenues in the Medicare—Internal segment. Medicare Advantage plans accounted for (i) approximately 70.4% and 44.9%, respectively, of net revenues for the three months ended March 31, 2020 and 2019 and approximately 62.6% and 37.2%, respectively, of net revenues for the Pro Forma Fiscal Year 2019 and for the year ended December 31, 2018; (ii) approximately 75.4% and 81.0%, respectively, of Medicare —Internal segment revenue for the three months ended March 31, 2020 and 2019 and approximately 75.8% and 80.2%, respectively, of Medicare— Internal segment revenue for the Pro Forma Fiscal Year 2019 and for the year ended December 31, 2018; and (iii) approximately 94.8% and 69.3%, respectively, of Medicare—External segment revenue for the three months ended March 31, 2020 and 2019 and approximately 84.1% and 70.4%, respectively, of Medicare—External segment revenue for the Pro Forma Fiscal Year 2019 and for the year ended December 31, 2018. No other products in the Medicare segments contribute more than 10% of net revenues for either of the Medicare segments or total net revenues for the financial statement periods presented in this prospectus.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9"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The IFP and Other segments focus on sales of individual and family plans (which includes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 Fixed Indemnity plans accounted for (i) approximately 22.0% of net revenues for the three months ended March 31, 2019 and 15.0% of net revenues for the year ended December 31, 2018; (ii) approximately 12.5% and 50.4%, respectively, of IFP-Internal segment revenue for the three months ended March 31, 2020 and 2019 and approximately 36.7% and 22.1%, respectively, of IFP—Internal segment revenue for the Pro Forma Fiscal Year 2019 and for the year ended December 31, 2018; and (iii) approximately 38.2% and 59.2%, respectively, of</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6"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IFP—External segment revenue for the three months ended March 31, 2020 and 2019 and approximately 53.7% and 39.1%, respectively, of IFP— External segment revenue for the Pro Forma Fiscal Year 2019 and for the year ended December 31, 2018. No other products in the IFP and Other segments contribute more than 10% of net revenues for either of the IFP segments or to total net revenues for the financial statement periods presented in this prospectus.</w:t>
      </w:r>
    </w:p>
    <w:p>
      <w:pPr>
        <w:spacing w:after="0" w:line="190"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w:t>
      </w:r>
    </w:p>
    <w:p>
      <w:pPr>
        <w:spacing w:after="0" w:line="16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122,400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919470" cy="2929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1947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hanging="433"/>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600" w:right="120" w:hanging="433"/>
        <w:spacing w:after="0" w:line="256"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2020, an increase of over 124% from a rate of 7.7% in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Our carrier relationships allow us to offer a wide variety of products and plans across our platform and offer solutions tailored to consumers’ healthcare needs. We are a critical partner to our top carriers, for which we use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Best-in-Class Medicare LTV/CAC Ratio Driven by Proprietary Technology, Business Processes, Data and Highly Skilled Agents</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 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data and technology position us well for continuous growth in the future in our current product segments and other insurance products segments we may enter.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140" w:right="420" w:hanging="438"/>
        <w:spacing w:after="0" w:line="255"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140" w:right="20" w:hanging="438"/>
        <w:spacing w:after="0" w:line="287"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72" w:lineRule="exact"/>
        <w:rPr>
          <w:rFonts w:ascii="Arial" w:cs="Arial" w:eastAsia="Arial" w:hAnsi="Arial"/>
          <w:sz w:val="16"/>
          <w:szCs w:val="16"/>
          <w:color w:val="auto"/>
        </w:rPr>
      </w:pPr>
    </w:p>
    <w:p>
      <w:pPr>
        <w:ind w:left="1140" w:right="360" w:hanging="438"/>
        <w:spacing w:after="0" w:line="271"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Recruiting and Training of Agents</w:t>
      </w:r>
      <w:r>
        <w:rPr>
          <w:rFonts w:ascii="Arial" w:cs="Arial" w:eastAsia="Arial" w:hAnsi="Arial"/>
          <w:sz w:val="18"/>
          <w:szCs w:val="18"/>
          <w:color w:val="auto"/>
        </w:rPr>
        <w:t>. We are improving the recruiting and training of our agents to match the profiles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performing agents. The opportunity to reduce the variability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spacing w:after="0" w:line="272" w:lineRule="auto"/>
        <w:rPr>
          <w:sz w:val="20"/>
          <w:szCs w:val="20"/>
          <w:color w:val="auto"/>
        </w:rPr>
      </w:pPr>
      <w:r>
        <w:rPr>
          <w:rFonts w:ascii="Arial" w:cs="Arial" w:eastAsia="Arial" w:hAnsi="Arial"/>
          <w:sz w:val="17"/>
          <w:szCs w:val="17"/>
          <w:color w:val="auto"/>
        </w:rPr>
        <w:t>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 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Founders and management team built our Marketplace technology over a 19-year period of continuous investment and growth. We have developed relationships with over 80 carriers and offer a wide variety of</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6"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products and plans, including individual and family plans (which includes fixed indemnity and major medical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93"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9"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142240</wp:posOffset>
            </wp:positionV>
            <wp:extent cx="5010785" cy="3116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0785"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160" w:right="160"/>
        <w:spacing w:after="0" w:line="282"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w:t>
      </w:r>
    </w:p>
    <w:p>
      <w:pPr>
        <w:spacing w:after="0" w:line="2"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“gig economy;” and, expanded plan options in the individual market from carriers. According to a Kaiser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Carriers</w:t>
      </w:r>
    </w:p>
    <w:p>
      <w:pPr>
        <w:spacing w:after="0" w:line="118"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We maintain longstanding, deeply integrated relationships with leading carriers in the United States, who have some of the industry’s most widely recognizable brands. For the year ended December 31, 2019 and the three month period ended March 31, 2020, the primary carriers that we served in the Medicare segments were carriers owned by Humana and Anthem, the primary carriers that we served in the IFP and Other segments were carriers owned by UnitedHealth Group.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78" w:lineRule="exact"/>
        <w:rPr>
          <w:sz w:val="20"/>
          <w:szCs w:val="20"/>
          <w:color w:val="auto"/>
        </w:rPr>
      </w:pPr>
    </w:p>
    <w:p>
      <w:pPr>
        <w:ind w:left="160" w:right="220"/>
        <w:spacing w:after="0" w:line="307"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50"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150"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Carriers owned by Humana and Anthem accounted for (i) approximately 40% and 20%, respectively, of net revenues for the Pro Forma Fiscal Year 2019 and 25% and 8%, respectively, of net revenues for the year ended December 31, 2018; (ii) approximately 51% and 23%, respectively, of Medicare —Internal segment revenue for the Pro Forma Fiscal Year 2019, and 63%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 See “Risk Factors—Risks Related to Our Business—We currently depend on a small group of carriers for a substantial portion of our revenue.”</w:t>
      </w:r>
    </w:p>
    <w:p>
      <w:pPr>
        <w:spacing w:after="0" w:line="183"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We continue to focus on building out our carrier footprint in order to provide our consumers with a greater choice of health insurance plans.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99" w:lineRule="exact"/>
        <w:rPr>
          <w:sz w:val="20"/>
          <w:szCs w:val="20"/>
          <w:color w:val="auto"/>
        </w:rPr>
      </w:pPr>
    </w:p>
    <w:p>
      <w:pPr>
        <w:ind w:left="1140" w:right="20" w:hanging="438"/>
        <w:spacing w:after="0" w:line="269"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Lead Acquisition</w:t>
      </w:r>
      <w:r>
        <w:rPr>
          <w:rFonts w:ascii="Arial" w:cs="Arial" w:eastAsia="Arial" w:hAnsi="Arial"/>
          <w:sz w:val="17"/>
          <w:szCs w:val="17"/>
          <w:color w:val="auto"/>
        </w:rPr>
        <w:t>. We acquire consumer leads through many channels, including paid Internet searches, television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TCPA.</w:t>
      </w:r>
    </w:p>
    <w:p>
      <w:pPr>
        <w:spacing w:after="0" w:line="84" w:lineRule="exact"/>
        <w:rPr>
          <w:rFonts w:ascii="Arial" w:cs="Arial" w:eastAsia="Arial" w:hAnsi="Arial"/>
          <w:sz w:val="17"/>
          <w:szCs w:val="17"/>
          <w:color w:val="auto"/>
        </w:rPr>
      </w:pPr>
    </w:p>
    <w:p>
      <w:pPr>
        <w:ind w:left="1140" w:right="40" w:hanging="438"/>
        <w:spacing w:after="0" w:line="252"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Lead Scoring</w:t>
      </w:r>
      <w:r>
        <w:rPr>
          <w:rFonts w:ascii="Arial" w:cs="Arial" w:eastAsia="Arial" w:hAnsi="Arial"/>
          <w:sz w:val="18"/>
          <w:szCs w:val="18"/>
          <w:color w:val="auto"/>
        </w:rPr>
        <w:t>. When consumers engage with us through the telephone or our website, our data systems capture attributes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0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Contact Queuing</w:t>
      </w:r>
      <w:r>
        <w:rPr>
          <w:rFonts w:ascii="Arial" w:cs="Arial" w:eastAsia="Arial" w:hAnsi="Arial"/>
          <w:sz w:val="18"/>
          <w:szCs w:val="18"/>
          <w:color w:val="auto"/>
        </w:rPr>
        <w:t>. We utilize our SPLICE system, a proprietary contact queue prioritized by LTV and throttled by an integrated monitor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capacity, to optimize outreach to our most valuable online consumer leads at a point in time when they can be connected to our agents with minimal wait time.</w:t>
      </w:r>
    </w:p>
    <w:p>
      <w:pPr>
        <w:spacing w:after="0" w:line="92" w:lineRule="exact"/>
        <w:rPr>
          <w:rFonts w:ascii="Arial" w:cs="Arial" w:eastAsia="Arial" w:hAnsi="Arial"/>
          <w:sz w:val="18"/>
          <w:szCs w:val="18"/>
          <w:color w:val="auto"/>
        </w:rPr>
      </w:pPr>
    </w:p>
    <w:p>
      <w:pPr>
        <w:ind w:left="1140" w:right="220" w:hanging="438"/>
        <w:spacing w:after="0" w:line="272"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Outbound Contact and Qualification</w:t>
      </w:r>
      <w:r>
        <w:rPr>
          <w:rFonts w:ascii="Arial" w:cs="Arial" w:eastAsia="Arial" w:hAnsi="Arial"/>
          <w:sz w:val="17"/>
          <w:szCs w:val="17"/>
          <w:color w:val="auto"/>
        </w:rPr>
        <w:t>. Following SPLICE’s automated decision for consumer outreach, our automatic telephony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contacts the consumer and immediately places them on the phone with an agent, who gathers information to personalize the consumer’s sales experience, who we refer to as an Advocate. We also use the data gathered by our Advocates to improve the sales process by experimenting with the questions our Advocates ask and building data models of how consumers’ answers affect agent-consumer fit, consumer-product fit, CAC, LTV, and long-term customer satisfaction.</w:t>
      </w:r>
    </w:p>
    <w:p>
      <w:pPr>
        <w:spacing w:after="0" w:line="82" w:lineRule="exact"/>
        <w:rPr>
          <w:rFonts w:ascii="Arial" w:cs="Arial" w:eastAsia="Arial" w:hAnsi="Arial"/>
          <w:sz w:val="17"/>
          <w:szCs w:val="17"/>
          <w:color w:val="auto"/>
        </w:rPr>
      </w:pPr>
    </w:p>
    <w:p>
      <w:pPr>
        <w:ind w:left="1140" w:hanging="438"/>
        <w:spacing w:after="0" w:line="270"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Lead Distribution</w:t>
      </w:r>
      <w:r>
        <w:rPr>
          <w:rFonts w:ascii="Arial" w:cs="Arial" w:eastAsia="Arial" w:hAnsi="Arial"/>
          <w:sz w:val="17"/>
          <w:szCs w:val="17"/>
          <w:color w:val="auto"/>
        </w:rPr>
        <w:t>. At the conclusion of the information-gathering process, and while the consumer is still on the phone, we use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84" w:lineRule="exact"/>
        <w:rPr>
          <w:rFonts w:ascii="Arial" w:cs="Arial" w:eastAsia="Arial" w:hAnsi="Arial"/>
          <w:sz w:val="17"/>
          <w:szCs w:val="17"/>
          <w:color w:val="auto"/>
        </w:rPr>
      </w:pPr>
    </w:p>
    <w:p>
      <w:pPr>
        <w:ind w:left="1140" w:right="20" w:hanging="438"/>
        <w:spacing w:after="0" w:line="272"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Optimized Call Routing</w:t>
      </w:r>
      <w:r>
        <w:rPr>
          <w:rFonts w:ascii="Arial" w:cs="Arial" w:eastAsia="Arial" w:hAnsi="Arial"/>
          <w:sz w:val="17"/>
          <w:szCs w:val="17"/>
          <w:color w:val="auto"/>
        </w:rPr>
        <w:t>. If the consumer lead is distributed from an Advocate further into our internal sales process, our CallRouter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continuously gathered and regularly analyzed by machine-learning experts and sales managers alike to ensure optimal call-routing.</w:t>
      </w:r>
    </w:p>
    <w:p>
      <w:pPr>
        <w:spacing w:after="0" w:line="139" w:lineRule="exact"/>
        <w:rPr>
          <w:sz w:val="20"/>
          <w:szCs w:val="20"/>
          <w:color w:val="auto"/>
        </w:rPr>
      </w:pPr>
    </w:p>
    <w:p>
      <w:pPr>
        <w:jc w:val="both"/>
        <w:ind w:left="1140" w:right="140" w:hanging="438"/>
        <w:spacing w:after="0" w:line="408" w:lineRule="auto"/>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b w:val="1"/>
          <w:bCs w:val="1"/>
          <w:i w:val="1"/>
          <w:iCs w:val="1"/>
          <w:color w:val="auto"/>
        </w:rPr>
        <w:t>Consumer Lead Management</w:t>
      </w:r>
      <w:r>
        <w:rPr>
          <w:rFonts w:ascii="Arial" w:cs="Arial" w:eastAsia="Arial" w:hAnsi="Arial"/>
          <w:sz w:val="14"/>
          <w:szCs w:val="14"/>
          <w:color w:val="auto"/>
        </w:rPr>
        <w:t>. As consumer leads are assigned and connected to agents, our BrokerOffice technology provides guidance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agents on the most appealing value proposition to the consumer based on the information previously collected about the consumer.</w:t>
      </w:r>
    </w:p>
    <w:p>
      <w:pPr>
        <w:ind w:left="1140" w:hanging="438"/>
        <w:spacing w:after="0" w:line="287" w:lineRule="auto"/>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Marketplace</w:t>
      </w:r>
      <w:r>
        <w:rPr>
          <w:rFonts w:ascii="Arial" w:cs="Arial" w:eastAsia="Arial" w:hAnsi="Arial"/>
          <w:sz w:val="16"/>
          <w:szCs w:val="16"/>
          <w:color w:val="auto"/>
        </w:rPr>
        <w:t>. After reviewing the consumer’s profile in BrokerOffice, the agent launches our Marketplace technology.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72" w:lineRule="exact"/>
        <w:rPr>
          <w:rFonts w:ascii="Arial" w:cs="Arial" w:eastAsia="Arial" w:hAnsi="Arial"/>
          <w:sz w:val="16"/>
          <w:szCs w:val="16"/>
          <w:color w:val="auto"/>
        </w:rPr>
      </w:pPr>
    </w:p>
    <w:p>
      <w:pPr>
        <w:ind w:left="1140" w:right="40" w:hanging="438"/>
        <w:spacing w:after="0" w:line="275"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Electronic Applications</w:t>
      </w:r>
      <w:r>
        <w:rPr>
          <w:rFonts w:ascii="Arial" w:cs="Arial" w:eastAsia="Arial" w:hAnsi="Arial"/>
          <w:sz w:val="17"/>
          <w:szCs w:val="17"/>
          <w:color w:val="auto"/>
        </w:rPr>
        <w:t>. We utilize proprietary domain-specific language for the rapid development and deployment of compliant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80" w:lineRule="exact"/>
        <w:rPr>
          <w:rFonts w:ascii="Arial" w:cs="Arial" w:eastAsia="Arial" w:hAnsi="Arial"/>
          <w:sz w:val="17"/>
          <w:szCs w:val="17"/>
          <w:color w:val="auto"/>
        </w:rPr>
      </w:pPr>
    </w:p>
    <w:p>
      <w:pPr>
        <w:ind w:left="1140" w:right="140" w:hanging="438"/>
        <w:spacing w:after="0" w:line="270"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Lifecycle Management</w:t>
      </w:r>
      <w:r>
        <w:rPr>
          <w:rFonts w:ascii="Arial" w:cs="Arial" w:eastAsia="Arial" w:hAnsi="Arial"/>
          <w:sz w:val="17"/>
          <w:szCs w:val="17"/>
          <w:color w:val="auto"/>
        </w:rPr>
        <w:t>. We receive application submission, commission, and book of business data regularly from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84" w:lineRule="exact"/>
        <w:rPr>
          <w:rFonts w:ascii="Arial" w:cs="Arial" w:eastAsia="Arial" w:hAnsi="Arial"/>
          <w:sz w:val="17"/>
          <w:szCs w:val="17"/>
          <w:color w:val="auto"/>
        </w:rPr>
      </w:pPr>
    </w:p>
    <w:p>
      <w:pPr>
        <w:ind w:left="1140" w:right="40" w:hanging="438"/>
        <w:spacing w:after="0" w:line="275"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w:t>
      </w:r>
      <w:r>
        <w:rPr>
          <w:rFonts w:ascii="Arial" w:cs="Arial" w:eastAsia="Arial" w:hAnsi="Arial"/>
          <w:sz w:val="17"/>
          <w:szCs w:val="17"/>
          <w:color w:val="auto"/>
        </w:rPr>
        <w:t>. We have also developed several enabling and monitoring technologies to detect and automatically address anomalies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Agents</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Since our inception, our highly skilled and trained licensed agents have enabled us to enroll millions of people in Medicare and individual and family plans. In 2019, we employed on average over 931 agents, reaching a high of 1,453 agents employed during the three months ended December 31, 2019. Our technology, lead distribution, and workflow allow agents to work in our Benefits Center or to work remotely at home, providing us with a sustainable avenue for growth.</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Our agents benefit from a rigorous training program consisting of 6-8 weeks of classroom and interactive instruction prior to engaging with consumers. Our training courses cover insurance licensing, compliance requirements, customer service interactions, live role playing, and systems use. Most importantly, our trainings emphasize the GoHealth Way by prioritizing the trust and wellbeing of our customers above all else. We provide additional training on a regular basis to ensure our agents have the most up-to-date information regarding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benefits, changing regulations, and best practices. We are continuously updating and improving agent training to drive increased agent efficiency. We have analyzed our most productive agents and revised our recruiting, training and onboarding processes to most closely match the skills and experiences of our most successful agents. The opportunity to reduce the variability in our agent performance is significant, as our top 25% of agents for the multi-carrier sales outlet of the Medicare—Internal segment on average are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w:t>
      </w:r>
    </w:p>
    <w:p>
      <w:pPr>
        <w:spacing w:after="0" w:line="166"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We competitively compensate agents to incentivize their productivity, increase member retention, and improve customer satisfaction. In addition to paying each agent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employ data-driven, omni-channel marketing efforts to increase consumer phone calls and visits to our website and convert those calls and visits into customers. Our marketing initiatives include:</w:t>
      </w:r>
    </w:p>
    <w:p>
      <w:pPr>
        <w:spacing w:after="0" w:line="81" w:lineRule="exact"/>
        <w:rPr>
          <w:sz w:val="20"/>
          <w:szCs w:val="20"/>
          <w:color w:val="auto"/>
        </w:rPr>
      </w:pPr>
    </w:p>
    <w:p>
      <w:pPr>
        <w:ind w:left="1580" w:right="60" w:hanging="329"/>
        <w:spacing w:after="0" w:line="271" w:lineRule="auto"/>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Offline Media Marketing</w:t>
      </w:r>
      <w:r>
        <w:rPr>
          <w:rFonts w:ascii="Arial" w:cs="Arial" w:eastAsia="Arial" w:hAnsi="Arial"/>
          <w:sz w:val="18"/>
          <w:szCs w:val="18"/>
          <w:color w:val="auto"/>
        </w:rPr>
        <w:t>. Our offline media channel consists of branded advertisements run on television (both linear and over-the-top) and radio, as well as targeted direct mail campaigns.</w:t>
      </w:r>
    </w:p>
    <w:p>
      <w:pPr>
        <w:spacing w:after="0" w:line="80" w:lineRule="exact"/>
        <w:rPr>
          <w:rFonts w:ascii="Arial" w:cs="Arial" w:eastAsia="Arial" w:hAnsi="Arial"/>
          <w:sz w:val="18"/>
          <w:szCs w:val="18"/>
          <w:color w:val="auto"/>
        </w:rPr>
      </w:pPr>
    </w:p>
    <w:p>
      <w:pPr>
        <w:ind w:left="1580" w:right="100" w:hanging="329"/>
        <w:spacing w:after="0" w:line="307" w:lineRule="auto"/>
        <w:tabs>
          <w:tab w:leader="none" w:pos="158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Digital (Online) Media</w:t>
      </w:r>
      <w:r>
        <w:rPr>
          <w:rFonts w:ascii="Arial" w:cs="Arial" w:eastAsia="Arial" w:hAnsi="Arial"/>
          <w:sz w:val="16"/>
          <w:szCs w:val="16"/>
          <w:color w:val="auto"/>
        </w:rPr>
        <w:t>. Our digital media channel consists of branded advertisements run on paid search, display, native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platforms. These paid media efforts are supported by unpaid email and organic search campaigns. Our online advertising programs are delivered across all Internet-enabled devices, including desktop computers, tablet computers and smart phones.</w:t>
      </w:r>
    </w:p>
    <w:p>
      <w:pPr>
        <w:spacing w:after="0" w:line="56" w:lineRule="exact"/>
        <w:rPr>
          <w:rFonts w:ascii="Arial" w:cs="Arial" w:eastAsia="Arial" w:hAnsi="Arial"/>
          <w:sz w:val="16"/>
          <w:szCs w:val="16"/>
          <w:color w:val="auto"/>
        </w:rPr>
      </w:pPr>
    </w:p>
    <w:p>
      <w:pPr>
        <w:ind w:left="1580" w:right="120" w:hanging="329"/>
        <w:spacing w:after="0" w:line="255" w:lineRule="auto"/>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Partners</w:t>
      </w:r>
      <w:r>
        <w:rPr>
          <w:rFonts w:ascii="Arial" w:cs="Arial" w:eastAsia="Arial" w:hAnsi="Arial"/>
          <w:sz w:val="18"/>
          <w:szCs w:val="18"/>
          <w:color w:val="auto"/>
        </w:rPr>
        <w:t>. Our marketing partner consumer acquisition channel consists of a network comprised of hundreds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drive 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69"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Medicare segments are subject to regulations and guidelines issued by CMS that place a number of requirements on carriers, agents and brokers in connection with the marketing and sale of Medicare Advantage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6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or HIPAA, require us to maintain 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0"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or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78"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78"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Federal and state consumer protection laws are being applied increasingly by 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97"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New York’s cybersecurity regulation for financial services companies requires entities under the jurisdiction of NYDFS, including insurance entities, to establish and maintain a cybersecurity program designed to protect private consumer data. The Cybersecurity Model Law adopted by the NAIC is functionally similar to the NYDFS rule and is intended to establish the standards for data security and for the investigation and notification of data breaches applicable to insurance licensees in states adopting the law.</w:t>
      </w:r>
    </w:p>
    <w:p>
      <w:pPr>
        <w:spacing w:after="0" w:line="19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Telephone Consumer Protection Act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78"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i w:val="1"/>
          <w:iCs w:val="1"/>
          <w:color w:val="auto"/>
        </w:rPr>
        <w:t xml:space="preserve">Government. </w:t>
      </w:r>
      <w:r>
        <w:rPr>
          <w:rFonts w:ascii="Arial" w:cs="Arial" w:eastAsia="Arial" w:hAnsi="Arial"/>
          <w:sz w:val="17"/>
          <w:szCs w:val="17"/>
          <w:color w:val="auto"/>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competitiveness of Medicare Plans compared to the original Medicare program, as well as the compensation that health insurance carriers are allowed to pay to us.</w:t>
      </w:r>
    </w:p>
    <w:p>
      <w:pPr>
        <w:spacing w:after="0" w:line="17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i w:val="1"/>
          <w:iCs w:val="1"/>
          <w:color w:val="auto"/>
        </w:rPr>
        <w:t xml:space="preserve">Carrier-employed agents. </w:t>
      </w:r>
      <w:r>
        <w:rPr>
          <w:rFonts w:ascii="Arial" w:cs="Arial" w:eastAsia="Arial" w:hAnsi="Arial"/>
          <w:sz w:val="18"/>
          <w:szCs w:val="18"/>
          <w:color w:val="auto"/>
        </w:rPr>
        <w:t>Some health insurance carriers directly market and sell their plans to consumers through their own agents, call centers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190" w:lineRule="exact"/>
        <w:rPr>
          <w:sz w:val="20"/>
          <w:szCs w:val="20"/>
          <w:color w:val="auto"/>
        </w:rPr>
      </w:pPr>
    </w:p>
    <w:p>
      <w:pPr>
        <w:jc w:val="both"/>
        <w:ind w:left="160" w:right="40"/>
        <w:spacing w:after="0" w:line="281" w:lineRule="auto"/>
        <w:rPr>
          <w:sz w:val="20"/>
          <w:szCs w:val="20"/>
          <w:color w:val="auto"/>
        </w:rPr>
      </w:pPr>
      <w:r>
        <w:rPr>
          <w:rFonts w:ascii="Arial" w:cs="Arial" w:eastAsia="Arial" w:hAnsi="Arial"/>
          <w:sz w:val="17"/>
          <w:szCs w:val="17"/>
          <w:i w:val="1"/>
          <w:iCs w:val="1"/>
          <w:color w:val="auto"/>
        </w:rPr>
        <w:t xml:space="preserve">Independent agents and brokers. </w:t>
      </w:r>
      <w:r>
        <w:rPr>
          <w:rFonts w:ascii="Arial" w:cs="Arial" w:eastAsia="Arial" w:hAnsi="Arial"/>
          <w:sz w:val="17"/>
          <w:szCs w:val="17"/>
          <w:color w:val="auto"/>
        </w:rPr>
        <w:t>We compete with thousands of local insurance agents and brokers across the United States who sell insurance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6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i w:val="1"/>
          <w:iCs w:val="1"/>
          <w:color w:val="auto"/>
        </w:rPr>
        <w:t xml:space="preserve">Internet marketers and telesales distribution platforms. </w:t>
      </w:r>
      <w:r>
        <w:rPr>
          <w:rFonts w:ascii="Arial" w:cs="Arial" w:eastAsia="Arial" w:hAnsi="Arial"/>
          <w:sz w:val="18"/>
          <w:szCs w:val="18"/>
          <w:color w:val="auto"/>
        </w:rPr>
        <w:t>There are many marketing companies and distribution platforms that use the Internet or telesales</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As of March 31, 2020, we employed 1,857 full-time employees, including 781 full time equivalent agents, and no part-time employees. We employed 1,810 people in the United States and 47 in Slovakia. During the Medicare annual enrollment period, we typically hire additional full time employees. None of our employees are represented by a labor union or are party to a collective bargaining agreement, and we have had no labor-related work stoppages. We believe that we have good relationships with our employees.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Our principal executive offices are located in Chicago, Illinois. In addition to our principal executive offices, we operate from one additional office located in Chicago, Illinois and from offices located in Charlotte, North Carolina; Lindon, Utah; and Slovakia. We lease each of our offices.</w:t>
      </w:r>
    </w:p>
    <w:p>
      <w:pPr>
        <w:spacing w:after="0" w:line="128" w:lineRule="exact"/>
        <w:rPr>
          <w:sz w:val="20"/>
          <w:szCs w:val="20"/>
          <w:color w:val="auto"/>
        </w:rPr>
      </w:pPr>
    </w:p>
    <w:p>
      <w:pPr>
        <w:jc w:val="both"/>
        <w:ind w:left="160" w:right="440"/>
        <w:spacing w:after="0" w:line="259"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use alternate facilities. We believe that our facilities are adequate for our needs and believe that we should be able to renew any of our leases or secure similar property without an adverse impact on our operations.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information regarding our executive officers and members of our board of directors as of the date of this prospectus: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880" w:type="dxa"/>
            <w:vAlign w:val="bottom"/>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00" w:type="dxa"/>
            <w:vAlign w:val="bottom"/>
            <w:gridSpan w:val="2"/>
          </w:tcPr>
          <w:p>
            <w:pPr>
              <w:spacing w:after="0" w:line="187" w:lineRule="exact"/>
              <w:rPr>
                <w:sz w:val="20"/>
                <w:szCs w:val="20"/>
                <w:color w:val="auto"/>
              </w:rPr>
            </w:pPr>
            <w:r>
              <w:rPr>
                <w:rFonts w:ascii="Arial" w:cs="Arial" w:eastAsia="Arial" w:hAnsi="Arial"/>
                <w:sz w:val="18"/>
                <w:szCs w:val="18"/>
                <w:color w:val="auto"/>
              </w:rPr>
              <w:t>Clinton P. Jones</w:t>
            </w:r>
          </w:p>
        </w:tc>
        <w:tc>
          <w:tcPr>
            <w:tcW w:w="240" w:type="dxa"/>
            <w:vAlign w:val="bottom"/>
          </w:tcPr>
          <w:p>
            <w:pPr>
              <w:jc w:val="center"/>
              <w:spacing w:after="0" w:line="187" w:lineRule="exact"/>
              <w:rPr>
                <w:sz w:val="20"/>
                <w:szCs w:val="20"/>
                <w:color w:val="auto"/>
              </w:rPr>
            </w:pPr>
            <w:r>
              <w:rPr>
                <w:rFonts w:ascii="Arial" w:cs="Arial" w:eastAsia="Arial" w:hAnsi="Arial"/>
                <w:sz w:val="18"/>
                <w:szCs w:val="18"/>
                <w:color w:val="auto"/>
                <w:w w:val="89"/>
              </w:rPr>
              <w:t>42</w:t>
            </w:r>
          </w:p>
        </w:tc>
        <w:tc>
          <w:tcPr>
            <w:tcW w:w="100" w:type="dxa"/>
            <w:vAlign w:val="bottom"/>
            <w:vMerge w:val="continue"/>
          </w:tcPr>
          <w:p>
            <w:pPr>
              <w:spacing w:after="0"/>
              <w:rPr>
                <w:sz w:val="16"/>
                <w:szCs w:val="16"/>
                <w:color w:val="auto"/>
              </w:rPr>
            </w:pPr>
          </w:p>
        </w:tc>
        <w:tc>
          <w:tcPr>
            <w:tcW w:w="6880" w:type="dxa"/>
            <w:vAlign w:val="bottom"/>
          </w:tcPr>
          <w:p>
            <w:pPr>
              <w:spacing w:after="0" w:line="187" w:lineRule="exact"/>
              <w:rPr>
                <w:sz w:val="20"/>
                <w:szCs w:val="20"/>
                <w:color w:val="auto"/>
              </w:rPr>
            </w:pPr>
            <w:r>
              <w:rPr>
                <w:rFonts w:ascii="Arial" w:cs="Arial" w:eastAsia="Arial" w:hAnsi="Arial"/>
                <w:sz w:val="18"/>
                <w:szCs w:val="18"/>
                <w:color w:val="auto"/>
              </w:rPr>
              <w:t>Co-Founder, Chief Executive Officer and 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Brandon M.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8"/>
              </w:rPr>
              <w:t>Co-Founder, Chief Strategy Officer, Special Advisor to the Executive Team and 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Shane E.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Travis J. Matthiesen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Miriam A. Tawil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7"/>
        </w:trPr>
        <w:tc>
          <w:tcPr>
            <w:tcW w:w="3700" w:type="dxa"/>
            <w:vAlign w:val="bottom"/>
            <w:gridSpan w:val="2"/>
          </w:tcPr>
          <w:p>
            <w:pPr>
              <w:spacing w:after="0"/>
              <w:rPr>
                <w:sz w:val="20"/>
                <w:szCs w:val="20"/>
                <w:color w:val="auto"/>
              </w:rPr>
            </w:pPr>
            <w:r>
              <w:rPr>
                <w:rFonts w:ascii="Arial" w:cs="Arial" w:eastAsia="Arial" w:hAnsi="Arial"/>
                <w:sz w:val="18"/>
                <w:szCs w:val="18"/>
                <w:color w:val="auto"/>
              </w:rPr>
              <w:t>Alexander E. Timm</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118"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b w:val="1"/>
          <w:bCs w:val="1"/>
          <w:i w:val="1"/>
          <w:iCs w:val="1"/>
          <w:color w:val="auto"/>
        </w:rPr>
        <w:t xml:space="preserve">Clinton P. Jones </w:t>
      </w:r>
      <w:r>
        <w:rPr>
          <w:rFonts w:ascii="Arial" w:cs="Arial" w:eastAsia="Arial" w:hAnsi="Arial"/>
          <w:sz w:val="16"/>
          <w:szCs w:val="16"/>
          <w:color w:val="auto"/>
        </w:rPr>
        <w:t>is the co-founder of GoHealth and has served as GoHealth’s Chief Executive Officer since GoHealth’s founding in 2001. He has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a 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w:t>
      </w:r>
    </w:p>
    <w:p>
      <w:pPr>
        <w:spacing w:after="0" w:line="16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52"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b w:val="1"/>
          <w:bCs w:val="1"/>
          <w:i w:val="1"/>
          <w:iCs w:val="1"/>
          <w:color w:val="auto"/>
        </w:rPr>
        <w:t xml:space="preserve">Brandon M. Cruz </w:t>
      </w:r>
      <w:r>
        <w:rPr>
          <w:rFonts w:ascii="Arial" w:cs="Arial" w:eastAsia="Arial" w:hAnsi="Arial"/>
          <w:sz w:val="17"/>
          <w:szCs w:val="17"/>
          <w:color w:val="auto"/>
        </w:rPr>
        <w:t>is the co-founder of GoHealth and has served as GoHealth’s Chief Strategy Officer and Special Advisor to the Executive Team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From 1999 to 2000, Mr. Cruz worked at Lante Corp. as a systems developer. Mr. Cruz is recognized throughout the technology industry as an influential thought leader, and speaks regularly on topics related to technology, health insurance and business operations. He is a board member of the Young Presidents’ Organization and serves on the board of Homecare Holdings, HealthJoy, and Imerman Angels. Mr. Cruz has also served as a member of the board of directors of Creatix, Inc., our subsidiary, from 2016 to 2019. In 2013, Mr. Cruz was recognized by Ernst &amp; Young as the Midwest Entrepreneur of the Year and was also named to the annual Chicago leadership list, Crain’s 40 under 40. Mr. Cruz holds a Bachelor of Science degree in Management Information Systems from Miami University, and is a member of the Miami University Business Advisory Council.</w:t>
      </w:r>
    </w:p>
    <w:p>
      <w:pPr>
        <w:spacing w:after="0" w:line="179"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Operating Officer since 2020 and prior to that, was the Chief Technology Officer of GoHealth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Previously, Mr. Cruz served as GoHealth’s Senior Vice President of Technology from 2012 to 2014 and as Vice President of Technology from 2006 to 2012. Mr. Cruz also served as a member of the board of directors of HealthJoy, our affiliate, from 2014 to 2019 and as a member of the board of directors of Creatix, Inc., our subsidiary, from 2015 to 2019. Mr. Cruz holds Bachelor of Science degrees in Computer Science and Engineering and a Master of Engineering in Electrical Engineering and Computer Science from the Massachusetts Institute of Technology.</w:t>
      </w:r>
    </w:p>
    <w:p>
      <w:pPr>
        <w:spacing w:after="0" w:line="161"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b w:val="1"/>
          <w:bCs w:val="1"/>
          <w:i w:val="1"/>
          <w:iCs w:val="1"/>
          <w:color w:val="auto"/>
        </w:rPr>
        <w:t xml:space="preserve">Travis J. Matthiesen </w:t>
      </w:r>
      <w:r>
        <w:rPr>
          <w:rFonts w:ascii="Arial" w:cs="Arial" w:eastAsia="Arial" w:hAnsi="Arial"/>
          <w:sz w:val="17"/>
          <w:szCs w:val="17"/>
          <w:color w:val="auto"/>
        </w:rPr>
        <w:t>has served as GoHealth’s Chief Financial Officer since 2018. Prior to serving as Chief Financial Officer, he served as GoHealth’s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Finance and Marketplace Operations from 2017 to 2018 and as GoHealth’s Corporate Controller from 2010 to 2017. He also served as a member of the board of directors of Creatix, Inc., our subsidiary, from 2018 to 2019.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James A. Sharman </w:t>
      </w:r>
      <w:r>
        <w:rPr>
          <w:rFonts w:ascii="Arial" w:cs="Arial" w:eastAsia="Arial" w:hAnsi="Arial"/>
          <w:sz w:val="17"/>
          <w:szCs w:val="17"/>
          <w:color w:val="auto"/>
        </w:rPr>
        <w:t>has served as GoHealth’s President since 2020 and prior to that, was the Chief Operating Officer of GoHealth since 2018.</w:t>
      </w:r>
    </w:p>
    <w:p>
      <w:pPr>
        <w:spacing w:after="0" w:line="31"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Mr. Sharman was also appointed as a director of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From 2006 through 2014, Mr. Sharman served as Managing Partner of Truecast Capital, LLC, an investment firm. His work history includes President and Chief Executive Officer of World Kitchen, Inc. and Rubicon Technology, Inc. He was Senior Vice President of Global Supply Chain for CNH as well as Vice President and General Manager, Latin America, for the Case Corporation. He served as the Commanding Officer of an Engineering Company in the United States Army and was an Assistant Professor at the United States Military Academy at West Point. Mr. Sharman holds a Master of Business Administration from Duke University and Bachelor of Science degree in Engineering from the United States Military Academy at West Point.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w:t>
      </w:r>
    </w:p>
    <w:p>
      <w:pPr>
        <w:spacing w:after="0" w:line="11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b w:val="1"/>
          <w:bCs w:val="1"/>
          <w:i w:val="1"/>
          <w:iCs w:val="1"/>
          <w:color w:val="auto"/>
        </w:rPr>
        <w:t xml:space="preserve">Rahm Emanuel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Emanuel has been Senior Counselor at Centerview Partners since 2019, served as Mayor of Chicago from 2011 to 2019, as White House Chief of Staff from 2009 to 2010, as Chairman of the House Democratic Caucus from 2007 to 2009 and as a member of the United States House of Representatives from Illinois’s 5</w:t>
      </w:r>
      <w:r>
        <w:rPr>
          <w:rFonts w:ascii="Arial" w:cs="Arial" w:eastAsia="Arial" w:hAnsi="Arial"/>
          <w:sz w:val="13"/>
          <w:szCs w:val="13"/>
          <w:color w:val="auto"/>
        </w:rPr>
        <w:t>th</w:t>
      </w:r>
      <w:r>
        <w:rPr>
          <w:rFonts w:ascii="Arial" w:cs="Arial" w:eastAsia="Arial" w:hAnsi="Arial"/>
          <w:sz w:val="16"/>
          <w:szCs w:val="16"/>
          <w:color w:val="auto"/>
        </w:rPr>
        <w:t xml:space="preserve"> District from 2003 to 2009. From 2005 to 2007, Mr. Emanuel was the Chairman of the Democratic Congressional Campaign Committee. Mr. Emanuel worked at the investment bank Wasserstein Parella &amp; Co. from 1998 to 2000 and served as a member of the board of directors of Freddie Mac from 2000 to 2001 and a member of the board of directors of the Chicago Mercantile Exchange from 1999 to 2001. Under President Clinton’s administration, Mr. Emanuel served as Senior Advisor to the President from 1992 to 1998. Mr. Emanuel holds a Bachelor of Arts degree from Sarah Lawrence College and a Master of Arts degree from Northwestern University.</w:t>
      </w:r>
    </w:p>
    <w:p>
      <w:pPr>
        <w:spacing w:after="0" w:line="16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color w:val="auto"/>
        </w:rPr>
        <w:t>We believe Mr. Emanuel is qualified to serve on GoHealth, Inc.’s board of directors due to his financial expertise and many years of leadership experience.</w:t>
      </w:r>
    </w:p>
    <w:p>
      <w:pPr>
        <w:spacing w:after="0" w:line="175" w:lineRule="exact"/>
        <w:rPr>
          <w:sz w:val="20"/>
          <w:szCs w:val="20"/>
          <w:color w:val="auto"/>
        </w:rPr>
      </w:pPr>
    </w:p>
    <w:p>
      <w:pPr>
        <w:jc w:val="both"/>
        <w:ind w:left="160" w:right="80"/>
        <w:spacing w:after="0" w:line="275" w:lineRule="auto"/>
        <w:rPr>
          <w:sz w:val="20"/>
          <w:szCs w:val="20"/>
          <w:color w:val="auto"/>
        </w:rPr>
      </w:pPr>
      <w:r>
        <w:rPr>
          <w:rFonts w:ascii="Arial" w:cs="Arial" w:eastAsia="Arial" w:hAnsi="Arial"/>
          <w:sz w:val="17"/>
          <w:szCs w:val="17"/>
          <w:b w:val="1"/>
          <w:bCs w:val="1"/>
          <w:i w:val="1"/>
          <w:iCs w:val="1"/>
          <w:color w:val="auto"/>
        </w:rPr>
        <w:t xml:space="preserve">Joseph G. Flanagan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2020. Mr. Flanagan has also served as our President and Chief Executive Officer and as a member of the board of directors of R1 RCM Inc. (“R1”), a healthcare revenue cycle management company, since May 2016, after having served as R1’s President and Chief Operating Officer since April 2016. Mr. Flanagan joined R1 as Chief Operating Officer in April 2013 after serving as Senior Vice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holding leadership positions in many divisions. Mr. Flanagan holds a Bachelor of Science degree in Engineering from the United States Merchant Marine Academy.</w:t>
      </w:r>
    </w:p>
    <w:p>
      <w:pPr>
        <w:spacing w:after="0" w:line="19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b w:val="1"/>
          <w:bCs w:val="1"/>
          <w:i w:val="1"/>
          <w:iCs w:val="1"/>
          <w:color w:val="auto"/>
        </w:rPr>
        <w:t xml:space="preserve">Jeremy W. Gelber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 Investment Banking Division at Morgan Stanley. Mr. Gelber holds a Bachelor of Science degree from Dartmouth College and a Doctor of Medicine degree from Jefferson Medical College.</w:t>
      </w:r>
    </w:p>
    <w:p>
      <w:pPr>
        <w:spacing w:after="0" w:line="16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2012, where she focuses on investments in the healthcare and financial services sectors. Ms. Tawil also serves as a member of the board of directors of Civitas Solutions, Inc., Duo Bank of Canada and Remedi SeniorCare Holding Corporation.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161"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b w:val="1"/>
          <w:bCs w:val="1"/>
          <w:i w:val="1"/>
          <w:iCs w:val="1"/>
          <w:color w:val="auto"/>
        </w:rPr>
        <w:t xml:space="preserve">Alexander E. Timm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59"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We believe Mr. Timm is qualified to serve on GoHealth, Inc.’s board of directors due to his extensive insurance industry experience, as well as his success in the entrepreneurial, tech, and data science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160" w:right="60"/>
        <w:spacing w:after="0" w:line="301" w:lineRule="auto"/>
        <w:rPr>
          <w:sz w:val="20"/>
          <w:szCs w:val="20"/>
          <w:color w:val="auto"/>
        </w:rPr>
      </w:pPr>
      <w:r>
        <w:rPr>
          <w:rFonts w:ascii="Arial" w:cs="Arial" w:eastAsia="Arial" w:hAnsi="Arial"/>
          <w:sz w:val="17"/>
          <w:szCs w:val="17"/>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ectPr>
          <w:pgSz w:w="11900" w:h="16838" w:orient="portrait"/>
          <w:cols w:equalWidth="0" w:num="1">
            <w:col w:w="11040"/>
          </w:cols>
          <w:pgMar w:left="320" w:top="456" w:right="539" w:bottom="1440" w:gutter="0" w:footer="0" w:header="0"/>
        </w:sectPr>
      </w:pP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which will consist of Transactions. Our amended and restated certificate of incorporation will</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members upon consummation of the</w:t>
      </w:r>
    </w:p>
    <w:p>
      <w:pPr>
        <w:spacing w:after="0" w:line="391" w:lineRule="exact"/>
        <w:rPr>
          <w:sz w:val="20"/>
          <w:szCs w:val="20"/>
          <w:color w:val="auto"/>
        </w:rPr>
      </w:pPr>
    </w:p>
    <w:p>
      <w:pPr>
        <w:sectPr>
          <w:pgSz w:w="11900" w:h="16838" w:orient="portrait"/>
          <w:cols w:equalWidth="0" w:num="2">
            <w:col w:w="7600" w:space="620"/>
            <w:col w:w="2820"/>
          </w:cols>
          <w:pgMar w:left="320" w:top="456" w:right="5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040"/>
          </w:cols>
          <w:pgMar w:left="320" w:top="456" w:right="53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2" w:lineRule="auto"/>
        <w:rPr>
          <w:sz w:val="20"/>
          <w:szCs w:val="20"/>
          <w:color w:val="auto"/>
        </w:rPr>
      </w:pPr>
      <w:r>
        <w:rPr>
          <w:rFonts w:ascii="Arial" w:cs="Arial" w:eastAsia="Arial" w:hAnsi="Arial"/>
          <w:sz w:val="17"/>
          <w:szCs w:val="17"/>
          <w:color w:val="auto"/>
        </w:rPr>
        <w:t>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 entitled to designate from time to time).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w:t>
      </w:r>
    </w:p>
    <w:p>
      <w:pPr>
        <w:spacing w:after="0" w:line="176"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4"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Prior to the consummation of the Transactions, we will enter into the Stockholders Agreement with Centerbridge and our Founders, pursuant to which each party thereto will agree to vote, or cause to be voted, all of their outstanding shares of our Class A common stock and Class B common stock at any annual or special meeting of stockholders in which directors are elected, so as to cause the election of the Centerbridge Directors. Immediately following</w:t>
      </w:r>
    </w:p>
    <w:p>
      <w:pPr>
        <w:spacing w:after="0" w:line="2" w:lineRule="exact"/>
        <w:rPr>
          <w:sz w:val="20"/>
          <w:szCs w:val="20"/>
          <w:color w:val="auto"/>
        </w:rPr>
      </w:pPr>
    </w:p>
    <w:p>
      <w:pPr>
        <w:ind w:left="160" w:right="260"/>
        <w:spacing w:after="0" w:line="262" w:lineRule="auto"/>
        <w:rPr>
          <w:sz w:val="20"/>
          <w:szCs w:val="20"/>
          <w:color w:val="auto"/>
        </w:rPr>
      </w:pPr>
      <w:r>
        <w:rPr>
          <w:rFonts w:ascii="Arial" w:cs="Arial" w:eastAsia="Arial" w:hAnsi="Arial"/>
          <w:sz w:val="17"/>
          <w:szCs w:val="17"/>
          <w:color w:val="auto"/>
        </w:rPr>
        <w:t>the consummation of the Transactions, Centerbridge will own shares of Class B common stock of GoHealth, Inc., which represents approximately % of the combined voting power of all of GoHealth, Inc.’s common stock. Our Founders will own shares of Class B common</w:t>
      </w:r>
    </w:p>
    <w:p>
      <w:pPr>
        <w:spacing w:after="0" w:line="1" w:lineRule="exact"/>
        <w:rPr>
          <w:sz w:val="20"/>
          <w:szCs w:val="20"/>
          <w:color w:val="auto"/>
        </w:rPr>
      </w:pPr>
    </w:p>
    <w:p>
      <w:pPr>
        <w:ind w:left="160" w:right="140"/>
        <w:spacing w:after="0" w:line="318" w:lineRule="auto"/>
        <w:rPr>
          <w:sz w:val="20"/>
          <w:szCs w:val="20"/>
          <w:color w:val="auto"/>
        </w:rPr>
      </w:pPr>
      <w:r>
        <w:rPr>
          <w:rFonts w:ascii="Arial" w:cs="Arial" w:eastAsia="Arial" w:hAnsi="Arial"/>
          <w:sz w:val="16"/>
          <w:szCs w:val="16"/>
          <w:color w:val="auto"/>
        </w:rPr>
        <w:t>stock of GoHealth, Inc., which represents approximately % of the combined voting power of all of GoHealth, Inc.’s common stock. For a description of the terms of the Stockholders Agreement, see “Certain Relationships and Related Party Transactions—Stockholders Agreement.”</w:t>
      </w:r>
    </w:p>
    <w:p>
      <w:pPr>
        <w:spacing w:after="0" w:line="142" w:lineRule="exact"/>
        <w:rPr>
          <w:sz w:val="20"/>
          <w:szCs w:val="20"/>
          <w:color w:val="auto"/>
        </w:rPr>
      </w:pPr>
    </w:p>
    <w:p>
      <w:pPr>
        <w:jc w:val="both"/>
        <w:ind w:left="160" w:right="100"/>
        <w:spacing w:after="0" w:line="297" w:lineRule="auto"/>
        <w:rPr>
          <w:sz w:val="20"/>
          <w:szCs w:val="20"/>
          <w:color w:val="auto"/>
        </w:rPr>
      </w:pPr>
      <w:r>
        <w:rPr>
          <w:rFonts w:ascii="Arial" w:cs="Arial" w:eastAsia="Arial" w:hAnsi="Arial"/>
          <w:sz w:val="16"/>
          <w:szCs w:val="16"/>
          <w:color w:val="auto"/>
        </w:rPr>
        <w:t>In accordance with our amended and restated certificate of incorporation and amended and restated bylaws, each of which will be in effect immediately prior to the consummation of the Transactions,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 directors will be</w:t>
            </w:r>
          </w:p>
        </w:tc>
        <w:tc>
          <w:tcPr>
            <w:tcW w:w="6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and</w:t>
            </w:r>
          </w:p>
        </w:tc>
        <w:tc>
          <w:tcPr>
            <w:tcW w:w="6100" w:type="dxa"/>
            <w:vAlign w:val="bottom"/>
          </w:tcPr>
          <w:p>
            <w:pPr>
              <w:ind w:left="40"/>
              <w:spacing w:after="0"/>
              <w:rPr>
                <w:sz w:val="20"/>
                <w:szCs w:val="20"/>
                <w:color w:val="auto"/>
              </w:rPr>
            </w:pPr>
            <w:r>
              <w:rPr>
                <w:rFonts w:ascii="Arial" w:cs="Arial" w:eastAsia="Arial" w:hAnsi="Arial"/>
                <w:sz w:val="18"/>
                <w:szCs w:val="18"/>
                <w:color w:val="auto"/>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 directors will be</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8"/>
                <w:szCs w:val="18"/>
                <w:color w:val="auto"/>
              </w:rPr>
              <w:t>and</w:t>
            </w:r>
          </w:p>
        </w:tc>
        <w:tc>
          <w:tcPr>
            <w:tcW w:w="6100" w:type="dxa"/>
            <w:vAlign w:val="bottom"/>
          </w:tcPr>
          <w:p>
            <w:pPr>
              <w:ind w:left="680"/>
              <w:spacing w:after="0"/>
              <w:rPr>
                <w:sz w:val="20"/>
                <w:szCs w:val="20"/>
                <w:color w:val="auto"/>
              </w:rPr>
            </w:pPr>
            <w:r>
              <w:rPr>
                <w:rFonts w:ascii="Arial" w:cs="Arial" w:eastAsia="Arial" w:hAnsi="Arial"/>
                <w:sz w:val="18"/>
                <w:szCs w:val="18"/>
                <w:color w:val="auto"/>
                <w:w w:val="89"/>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 and</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III directors will be</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w w:val="86"/>
              </w:rPr>
              <w:t>and</w:t>
            </w:r>
          </w:p>
        </w:tc>
        <w:tc>
          <w:tcPr>
            <w:tcW w:w="6100" w:type="dxa"/>
            <w:vAlign w:val="bottom"/>
          </w:tcPr>
          <w:p>
            <w:pPr>
              <w:ind w:left="900"/>
              <w:spacing w:after="0"/>
              <w:rPr>
                <w:sz w:val="20"/>
                <w:szCs w:val="20"/>
                <w:color w:val="auto"/>
              </w:rPr>
            </w:pPr>
            <w:r>
              <w:rPr>
                <w:rFonts w:ascii="Arial" w:cs="Arial" w:eastAsia="Arial" w:hAnsi="Arial"/>
                <w:sz w:val="18"/>
                <w:szCs w:val="18"/>
                <w:color w:val="auto"/>
                <w:w w:val="91"/>
              </w:rPr>
              <w:t>, and their terms will expire at the annual meeting of stockholders to be</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held in</w:t>
            </w:r>
          </w:p>
        </w:tc>
        <w:tc>
          <w:tcPr>
            <w:tcW w:w="1620" w:type="dxa"/>
            <w:vAlign w:val="bottom"/>
          </w:tcPr>
          <w:p>
            <w:pPr>
              <w:jc w:val="right"/>
              <w:ind w:right="95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1"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160" w:right="200"/>
        <w:spacing w:after="0" w:line="287" w:lineRule="auto"/>
        <w:rPr>
          <w:sz w:val="20"/>
          <w:szCs w:val="20"/>
          <w:color w:val="auto"/>
        </w:rPr>
      </w:pPr>
      <w:r>
        <w:rPr>
          <w:rFonts w:ascii="Arial" w:cs="Arial" w:eastAsia="Arial" w:hAnsi="Arial"/>
          <w:sz w:val="16"/>
          <w:szCs w:val="16"/>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w:t>
      </w:r>
    </w:p>
    <w:p>
      <w:pPr>
        <w:spacing w:after="0" w:line="1" w:lineRule="exact"/>
        <w:rPr>
          <w:sz w:val="20"/>
          <w:szCs w:val="20"/>
          <w:color w:val="auto"/>
        </w:rPr>
      </w:pPr>
    </w:p>
    <w:p>
      <w:pPr>
        <w:ind w:left="160" w:right="560"/>
        <w:spacing w:after="0" w:line="256" w:lineRule="auto"/>
        <w:rPr>
          <w:sz w:val="20"/>
          <w:szCs w:val="20"/>
          <w:color w:val="auto"/>
        </w:rPr>
      </w:pPr>
      <w:r>
        <w:rPr>
          <w:rFonts w:ascii="Arial" w:cs="Arial" w:eastAsia="Arial" w:hAnsi="Arial"/>
          <w:sz w:val="18"/>
          <w:szCs w:val="18"/>
          <w:color w:val="auto"/>
        </w:rPr>
        <w:t>responsibilities. Our board of directors has affirmatively determined that , and are each an “independent director,” as defined under the Nasdaq rules. In making these determinations, our board of directors considered the current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spacing w:after="0" w:line="259" w:lineRule="auto"/>
        <w:rPr>
          <w:sz w:val="20"/>
          <w:szCs w:val="20"/>
          <w:color w:val="auto"/>
        </w:rPr>
      </w:pPr>
      <w:r>
        <w:rPr>
          <w:rFonts w:ascii="Arial" w:cs="Arial" w:eastAsia="Arial" w:hAnsi="Arial"/>
          <w:sz w:val="18"/>
          <w:szCs w:val="18"/>
          <w:color w:val="auto"/>
        </w:rPr>
        <w:t>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Controlled Company Exception</w:t>
      </w:r>
    </w:p>
    <w:p>
      <w:pPr>
        <w:spacing w:after="0" w:line="118"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After the consummation of the Transactions,</w:t>
      </w:r>
      <w:r>
        <w:rPr>
          <w:sz w:val="20"/>
          <w:szCs w:val="20"/>
          <w:color w:val="auto"/>
        </w:rPr>
        <w:tab/>
      </w:r>
      <w:r>
        <w:rPr>
          <w:rFonts w:ascii="Arial" w:cs="Arial" w:eastAsia="Arial" w:hAnsi="Arial"/>
          <w:sz w:val="16"/>
          <w:szCs w:val="16"/>
          <w:color w:val="auto"/>
        </w:rPr>
        <w:t>will have more than 50% of the combined voting power of our common stock. As a result,</w:t>
      </w:r>
    </w:p>
    <w:p>
      <w:pPr>
        <w:spacing w:after="0" w:line="2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we will be a “controlled company” within the meaning of the corporate governance standards of the Nasdaq rules and intend to elect not to comply with certain corporate governance standards, including that: (1) a majority of our board of directors consists of “independent directors,” as defined under the Nasdaq rules; (2) we have a nominating and corporate governance committee that is composed entirely of independent directors with a written charter addressing the committee’s purpose and responsibilities; (3) we have a compensation committee that is composed entirely of independent directors with a written charter addressing the committee’s purpose and responsibilities; and (4) we perform annual performance evaluations of the nominating and corporate governance and compensation committees. We intend to rely on the foregoing exemptions provided to controlled companies under the Nasdaq rules. Therefore, immediately following the consummation of the Transactions,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 See “Risk Factors—Risks Related to the Offering and Ownership of our Class A Common Stock—We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8"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27" w:lineRule="exact"/>
        <w:rPr>
          <w:sz w:val="20"/>
          <w:szCs w:val="20"/>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discussing with our independent registered public accounting firm any audit problems or difficulties and management’s response;</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27" w:lineRule="exact"/>
        <w:rPr>
          <w:rFonts w:ascii="Arial" w:cs="Arial" w:eastAsia="Arial" w:hAnsi="Arial"/>
          <w:sz w:val="18"/>
          <w:szCs w:val="18"/>
          <w:color w:val="auto"/>
        </w:rPr>
      </w:pPr>
    </w:p>
    <w:p>
      <w:pPr>
        <w:ind w:left="1140" w:right="340" w:hanging="438"/>
        <w:spacing w:after="0" w:line="271"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6"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175" w:lineRule="exact"/>
        <w:rPr>
          <w:sz w:val="20"/>
          <w:szCs w:val="20"/>
          <w:color w:val="auto"/>
        </w:rPr>
      </w:pPr>
    </w:p>
    <w:p>
      <w:pPr>
        <w:ind w:left="160"/>
        <w:spacing w:after="0"/>
        <w:tabs>
          <w:tab w:leader="none" w:pos="6640" w:val="left"/>
          <w:tab w:leader="none" w:pos="7480" w:val="left"/>
          <w:tab w:leader="none" w:pos="8500" w:val="left"/>
          <w:tab w:leader="none" w:pos="9620" w:val="left"/>
        </w:tabs>
        <w:rPr>
          <w:sz w:val="20"/>
          <w:szCs w:val="20"/>
          <w:color w:val="auto"/>
        </w:rPr>
      </w:pPr>
      <w:r>
        <w:rPr>
          <w:rFonts w:ascii="Arial" w:cs="Arial" w:eastAsia="Arial" w:hAnsi="Arial"/>
          <w:sz w:val="18"/>
          <w:szCs w:val="18"/>
          <w:color w:val="auto"/>
        </w:rPr>
        <w:t>Upon the consummation of the Transactions, 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4"/>
          <w:szCs w:val="14"/>
          <w:color w:val="auto"/>
        </w:rPr>
        <w:t>serving as chair.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Rule 10A-3 of the Exchange Act and the Nasdaq rules require that our audit committee have at least one independent member upon the listing of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Class A common stock, have a majority of independent members within 90 days of the date of this prospectus and be composed entirely of independent</w:t>
      </w:r>
    </w:p>
    <w:p>
      <w:pPr>
        <w:spacing w:after="0" w:line="30" w:lineRule="exact"/>
        <w:rPr>
          <w:sz w:val="20"/>
          <w:szCs w:val="20"/>
          <w:color w:val="auto"/>
        </w:rPr>
      </w:pPr>
    </w:p>
    <w:p>
      <w:pPr>
        <w:ind w:left="160" w:right="160"/>
        <w:spacing w:after="0" w:line="262" w:lineRule="auto"/>
        <w:rPr>
          <w:sz w:val="20"/>
          <w:szCs w:val="20"/>
          <w:color w:val="auto"/>
        </w:rPr>
      </w:pPr>
      <w:r>
        <w:rPr>
          <w:rFonts w:ascii="Arial" w:cs="Arial" w:eastAsia="Arial" w:hAnsi="Arial"/>
          <w:sz w:val="17"/>
          <w:szCs w:val="17"/>
          <w:color w:val="auto"/>
        </w:rPr>
        <w:t>members within one year of the date of this prospectus. Our board of directors has affirmatively determined that , and each meet the definition of “independent director” for purposes of serving on the audit committee under the Nasdaq rules and the independence standards under Rule 10A-3 of the Exchange Act and the Nasdaq rules. Each member of our audit committee meets the financial literacy requirements</w:t>
      </w:r>
    </w:p>
    <w:p>
      <w:pPr>
        <w:spacing w:after="0" w:line="2"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 xml:space="preserve">of the Nasdaq rules. In addition, our board of directors has determined that will qualify as an “audit committee financial expert,” as such term 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27" w:lineRule="exact"/>
        <w:rPr>
          <w:sz w:val="20"/>
          <w:szCs w:val="20"/>
          <w:color w:val="auto"/>
        </w:rPr>
      </w:pPr>
    </w:p>
    <w:p>
      <w:pPr>
        <w:ind w:left="1140" w:right="120" w:hanging="438"/>
        <w:spacing w:after="0" w:line="301"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58" w:lineRule="exact"/>
        <w:rPr>
          <w:rFonts w:ascii="Arial" w:cs="Arial" w:eastAsia="Arial" w:hAnsi="Arial"/>
          <w:sz w:val="17"/>
          <w:szCs w:val="17"/>
          <w:color w:val="auto"/>
        </w:rPr>
      </w:pPr>
    </w:p>
    <w:p>
      <w:pPr>
        <w:ind w:left="1140" w:right="100" w:hanging="438"/>
        <w:spacing w:after="0" w:line="271"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740" w:type="dxa"/>
            <w:vAlign w:val="bottom"/>
            <w:gridSpan w:val="2"/>
          </w:tcPr>
          <w:p>
            <w:pPr>
              <w:spacing w:after="0"/>
              <w:rPr>
                <w:sz w:val="20"/>
                <w:szCs w:val="20"/>
                <w:color w:val="auto"/>
              </w:rPr>
            </w:pPr>
            <w:r>
              <w:rPr>
                <w:rFonts w:ascii="Arial" w:cs="Arial" w:eastAsia="Arial" w:hAnsi="Arial"/>
                <w:sz w:val="18"/>
                <w:szCs w:val="18"/>
                <w:color w:val="auto"/>
                <w:w w:val="97"/>
              </w:rPr>
              <w:t>Upon the consummation of the Transactions, our nominating and corporate governance committee will consist of</w:t>
            </w:r>
          </w:p>
        </w:tc>
        <w:tc>
          <w:tcPr>
            <w:tcW w:w="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and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680" w:type="dxa"/>
            <w:vAlign w:val="bottom"/>
          </w:tcPr>
          <w:p>
            <w:pPr>
              <w:spacing w:after="0"/>
              <w:rPr>
                <w:sz w:val="20"/>
                <w:szCs w:val="20"/>
                <w:color w:val="auto"/>
              </w:rPr>
            </w:pPr>
            <w:r>
              <w:rPr>
                <w:rFonts w:ascii="Arial" w:cs="Arial" w:eastAsia="Arial" w:hAnsi="Arial"/>
                <w:sz w:val="18"/>
                <w:szCs w:val="18"/>
                <w:color w:val="auto"/>
              </w:rPr>
              <w:t>with</w:t>
            </w:r>
          </w:p>
        </w:tc>
        <w:tc>
          <w:tcPr>
            <w:tcW w:w="10080" w:type="dxa"/>
            <w:vAlign w:val="bottom"/>
            <w:gridSpan w:val="4"/>
          </w:tcPr>
          <w:p>
            <w:pPr>
              <w:ind w:left="360"/>
              <w:spacing w:after="0"/>
              <w:rPr>
                <w:sz w:val="20"/>
                <w:szCs w:val="20"/>
                <w:color w:val="auto"/>
              </w:rPr>
            </w:pPr>
            <w:r>
              <w:rPr>
                <w:rFonts w:ascii="Arial" w:cs="Arial" w:eastAsia="Arial" w:hAnsi="Arial"/>
                <w:sz w:val="18"/>
                <w:szCs w:val="18"/>
                <w:color w:val="auto"/>
                <w:w w:val="89"/>
              </w:rPr>
              <w:t>serving as chair. We intend to avail ourselves of the “controlled company” exception under the Nasdaq rules, which exempts us from the</w:t>
            </w:r>
          </w:p>
        </w:tc>
      </w:tr>
      <w:tr>
        <w:trPr>
          <w:trHeight w:val="214"/>
        </w:trPr>
        <w:tc>
          <w:tcPr>
            <w:tcW w:w="8740" w:type="dxa"/>
            <w:vAlign w:val="bottom"/>
            <w:gridSpan w:val="2"/>
          </w:tcPr>
          <w:p>
            <w:pPr>
              <w:spacing w:after="0"/>
              <w:rPr>
                <w:sz w:val="20"/>
                <w:szCs w:val="20"/>
                <w:color w:val="auto"/>
              </w:rPr>
            </w:pPr>
            <w:r>
              <w:rPr>
                <w:rFonts w:ascii="Arial" w:cs="Arial" w:eastAsia="Arial" w:hAnsi="Arial"/>
                <w:sz w:val="18"/>
                <w:szCs w:val="18"/>
                <w:color w:val="auto"/>
                <w:w w:val="90"/>
              </w:rPr>
              <w:t>requirement that we have a nominating and corporate governance committee composed entirely of independent directors.</w:t>
            </w:r>
          </w:p>
        </w:tc>
        <w:tc>
          <w:tcPr>
            <w:tcW w:w="380" w:type="dxa"/>
            <w:vAlign w:val="bottom"/>
          </w:tcPr>
          <w:p>
            <w:pPr>
              <w:spacing w:after="0"/>
              <w:rPr>
                <w:sz w:val="18"/>
                <w:szCs w:val="18"/>
                <w:color w:val="auto"/>
              </w:rPr>
            </w:pPr>
          </w:p>
        </w:tc>
        <w:tc>
          <w:tcPr>
            <w:tcW w:w="1180" w:type="dxa"/>
            <w:vAlign w:val="bottom"/>
          </w:tcPr>
          <w:p>
            <w:pPr>
              <w:jc w:val="right"/>
              <w:ind w:right="79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27"/>
        </w:trPr>
        <w:tc>
          <w:tcPr>
            <w:tcW w:w="680" w:type="dxa"/>
            <w:vAlign w:val="bottom"/>
          </w:tcPr>
          <w:p>
            <w:pPr>
              <w:spacing w:after="0"/>
              <w:rPr>
                <w:sz w:val="20"/>
                <w:szCs w:val="20"/>
                <w:color w:val="auto"/>
              </w:rPr>
            </w:pPr>
            <w:r>
              <w:rPr>
                <w:rFonts w:ascii="Arial" w:cs="Arial" w:eastAsia="Arial" w:hAnsi="Arial"/>
                <w:sz w:val="18"/>
                <w:szCs w:val="18"/>
                <w:color w:val="auto"/>
              </w:rPr>
              <w:t>and</w:t>
            </w:r>
          </w:p>
        </w:tc>
        <w:tc>
          <w:tcPr>
            <w:tcW w:w="10080" w:type="dxa"/>
            <w:vAlign w:val="bottom"/>
            <w:gridSpan w:val="4"/>
          </w:tcPr>
          <w:p>
            <w:pPr>
              <w:ind w:left="340"/>
              <w:spacing w:after="0"/>
              <w:rPr>
                <w:sz w:val="20"/>
                <w:szCs w:val="20"/>
                <w:color w:val="auto"/>
              </w:rPr>
            </w:pPr>
            <w:r>
              <w:rPr>
                <w:rFonts w:ascii="Arial" w:cs="Arial" w:eastAsia="Arial" w:hAnsi="Arial"/>
                <w:sz w:val="18"/>
                <w:szCs w:val="18"/>
                <w:color w:val="auto"/>
                <w:w w:val="91"/>
              </w:rPr>
              <w:t>do not qualify as “independent directors” under the Nasdaq rules. Our board of directors will adopt a written charter for the nominating</w:t>
            </w:r>
          </w:p>
        </w:tc>
      </w:tr>
    </w:tbl>
    <w:p>
      <w:pPr>
        <w:jc w:val="both"/>
        <w:ind w:left="160" w:right="200"/>
        <w:spacing w:after="0" w:line="252" w:lineRule="auto"/>
        <w:rPr>
          <w:sz w:val="20"/>
          <w:szCs w:val="20"/>
          <w:color w:val="auto"/>
        </w:rPr>
      </w:pPr>
      <w:r>
        <w:rPr>
          <w:rFonts w:ascii="Arial" w:cs="Arial" w:eastAsia="Arial" w:hAnsi="Arial"/>
          <w:sz w:val="18"/>
          <w:szCs w:val="18"/>
          <w:color w:val="auto"/>
        </w:rPr>
        <w:t xml:space="preserve">and corporate governance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27" w:lineRule="exact"/>
        <w:rPr>
          <w:sz w:val="20"/>
          <w:szCs w:val="20"/>
          <w:color w:val="auto"/>
        </w:rPr>
      </w:pPr>
    </w:p>
    <w:p>
      <w:pPr>
        <w:ind w:left="1140" w:hanging="438"/>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 and</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equity-based plans and arrangements and making grants of cash-based and equity-based awards under such plans.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7280" w:val="left"/>
          <w:tab w:leader="none" w:pos="8120" w:val="left"/>
          <w:tab w:leader="none" w:pos="9100" w:val="left"/>
          <w:tab w:leader="none" w:pos="10220" w:val="left"/>
        </w:tabs>
        <w:rPr>
          <w:sz w:val="20"/>
          <w:szCs w:val="20"/>
          <w:color w:val="auto"/>
        </w:rPr>
      </w:pPr>
      <w:r>
        <w:rPr>
          <w:rFonts w:ascii="Arial" w:cs="Arial" w:eastAsia="Arial" w:hAnsi="Arial"/>
          <w:sz w:val="18"/>
          <w:szCs w:val="18"/>
          <w:color w:val="auto"/>
        </w:rPr>
        <w:t>Upon the consummation of the Transactions, our compensation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4"/>
          <w:szCs w:val="14"/>
          <w:color w:val="auto"/>
        </w:rPr>
        <w:t>serving as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We intend to avail ourselves of the “controlled company” exception under the Nasdaq rules, which exempts us from the requirement that we have</w:t>
      </w:r>
    </w:p>
    <w:p>
      <w:pPr>
        <w:spacing w:after="0" w:line="30" w:lineRule="exact"/>
        <w:rPr>
          <w:sz w:val="20"/>
          <w:szCs w:val="20"/>
          <w:color w:val="auto"/>
        </w:rPr>
      </w:pPr>
    </w:p>
    <w:p>
      <w:pPr>
        <w:ind w:left="160" w:right="100"/>
        <w:spacing w:after="0" w:line="250" w:lineRule="auto"/>
        <w:rPr>
          <w:sz w:val="20"/>
          <w:szCs w:val="20"/>
          <w:color w:val="auto"/>
        </w:rPr>
      </w:pPr>
      <w:r>
        <w:rPr>
          <w:rFonts w:ascii="Arial" w:cs="Arial" w:eastAsia="Arial" w:hAnsi="Arial"/>
          <w:sz w:val="18"/>
          <w:szCs w:val="18"/>
          <w:color w:val="auto"/>
        </w:rPr>
        <w:t xml:space="preserve">a compensation committee composed entirely of independent directors. , and do not qualify as “independent directors” under the Nasdaq rules. Our board of directors will adopt a written charter for the compensation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the Company. 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 xml:space="preserve">Prior to the completion of the Transactions,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7"/>
          <w:szCs w:val="17"/>
          <w:i w:val="1"/>
          <w:iCs w:val="1"/>
          <w:color w:val="auto"/>
        </w:rPr>
        <w:t>www.gohealth.com</w:t>
      </w:r>
      <w:r>
        <w:rPr>
          <w:rFonts w:ascii="Arial" w:cs="Arial" w:eastAsia="Arial" w:hAnsi="Arial"/>
          <w:sz w:val="17"/>
          <w:szCs w:val="17"/>
          <w:color w:val="auto"/>
        </w:rPr>
        <w:t>. In addition, we intend to post on our website all disclosures that are required by law or the Nasdaq rules concerning any amendments to, or waivers from, any provision of the code. The information on any of our websites is deemed not to be incorporated in this prospectus or to be part of this prospectus.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320" w:top="456" w:right="5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For the year ended December 31, 2019, our “named executive officers” and their positions were as follows:</w:t>
      </w:r>
    </w:p>
    <w:p>
      <w:pPr>
        <w:spacing w:after="0" w:line="35" w:lineRule="exact"/>
        <w:rPr>
          <w:sz w:val="20"/>
          <w:szCs w:val="20"/>
          <w:color w:val="auto"/>
        </w:rPr>
      </w:pPr>
    </w:p>
    <w:p>
      <w:pPr>
        <w:ind w:left="1580" w:hanging="329"/>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Brandon M. Cruz, President (together with Clinton P. Jones,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Clinton P. Jones, Chief Executive Officer (together with Brandon M. Cruz,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Shane E. Cruz, Chief Technology Officer; and</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James A. Sharman, Chief Operating Officer.</w:t>
      </w:r>
    </w:p>
    <w:p>
      <w:pPr>
        <w:spacing w:after="0" w:line="221"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Non-Equity</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325,000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4,343,304</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5,893</w:t>
            </w:r>
          </w:p>
        </w:tc>
        <w:tc>
          <w:tcPr>
            <w:tcW w:w="480" w:type="dxa"/>
            <w:vAlign w:val="bottom"/>
            <w:tcBorders>
              <w:top w:val="single" w:sz="8" w:color="CCEEFF"/>
            </w:tcBorders>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w w:val="90"/>
              </w:rPr>
              <w:t>(3)</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5,024,197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4,343,304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11,045,070</w:t>
            </w: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Technology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Sharman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15,136,805</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17,974,127</w:t>
            </w:r>
          </w:p>
        </w:tc>
        <w:tc>
          <w:tcPr>
            <w:tcW w:w="0" w:type="dxa"/>
            <w:vAlign w:val="bottom"/>
          </w:tcPr>
          <w:p>
            <w:pPr>
              <w:spacing w:after="0"/>
              <w:rPr>
                <w:sz w:val="1"/>
                <w:szCs w:val="1"/>
                <w:color w:val="auto"/>
              </w:rPr>
            </w:pPr>
          </w:p>
        </w:tc>
      </w:tr>
      <w:tr>
        <w:trPr>
          <w:trHeight w:val="227"/>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40" w:hanging="433"/>
        <w:spacing w:after="0" w:line="267" w:lineRule="auto"/>
        <w:tabs>
          <w:tab w:leader="none" w:pos="6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profits interests granted during the year ended December 31, 2019 computed in accordance with FASB ASC Topic 718, Compensation—Stock Compensation. See Note 8 of the audited consolidated financial statements included elsewhere in this prospectus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the vesting condition related to the profits interests is considered a market condition and not a performance condition. Accordingly, there is no grant date fair value below or in excess of the amount reflected in the table above for the profits interests that could be calculated and disclosed based on achievement of the underlying market condition.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80" w:hanging="433"/>
        <w:spacing w:after="0" w:line="255"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reflect annual cash performance-based bonuses earned during the year ended December 31, 2019. For additional information about the annual cash performance-based bonuses, please see the section titled “2019 Bonuses” below.</w:t>
      </w:r>
    </w:p>
    <w:p>
      <w:pPr>
        <w:ind w:left="600" w:right="880" w:hanging="433"/>
        <w:spacing w:after="0" w:line="248"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reflects (i) $293 in life and accidental death and dismemberment, or AD&amp;D, insurance premiums; and (ii) $5,600 in matching contributions under the Company’s 401(k) plan.</w:t>
      </w:r>
    </w:p>
    <w:p>
      <w:pPr>
        <w:ind w:left="600" w:hanging="433"/>
        <w:spacing w:after="0" w:line="248"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reflects (i) $270 in life and AD&amp;D insurance premiums; (ii) $5,600 in matching contributions under the Company’s 401(k) plan; (iii) a $716,725 distribution payment made to Mr. Cruz in connection with the Centerbridge Acquisition in respect of NVX Holdings, Inc.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ind w:left="600" w:right="560" w:hanging="433"/>
        <w:spacing w:after="0" w:line="318" w:lineRule="auto"/>
        <w:tabs>
          <w:tab w:leader="none" w:pos="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Salaries</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Base salaries were not changed for the year ended December 31, 2019.</w:t>
      </w:r>
    </w:p>
    <w:p>
      <w:pPr>
        <w:spacing w:after="0" w:line="186"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In connection with this offering, we expect that our executive compensation program will evolve to reflect our status as a newly publicly-traded company, while still supporting our overall business and compensation objectives. In connection with this offering, management has retained Pearl Meyer, an independent executive compensation consultant, to help advise on our post-offering executive compensation program.</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Bonuses</w:t>
      </w:r>
    </w:p>
    <w:p>
      <w:pPr>
        <w:spacing w:after="0" w:line="118" w:lineRule="exact"/>
        <w:rPr>
          <w:sz w:val="20"/>
          <w:szCs w:val="20"/>
          <w:color w:val="auto"/>
        </w:rPr>
      </w:pPr>
    </w:p>
    <w:p>
      <w:pPr>
        <w:jc w:val="both"/>
        <w:ind w:left="160" w:right="40"/>
        <w:spacing w:after="0" w:line="255"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2019 Executive Compensation and Bonus Plan, which we refer to as the “Annual Bonus Plan.” Under the Annual Bonus Plan, Annual Bonuses are determined based on achievement of Company revenue and EBITDA targets. Company targets are generally established by the Board in its discretion during the first quarter of the fiscal year.</w:t>
      </w:r>
    </w:p>
    <w:p>
      <w:pPr>
        <w:spacing w:after="0" w:line="19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Annual Bonuses are generally paid after the end of the fiscal year in which they were earned, with any payments occurring prior to the completion of our annual audit reconciled after the completion of the annual audit. In the event Company revenue or EBITDA falls below 80% of the pre-established target in any given year, no Annual Bonus is paid in respect of that target. For the fiscal year ended December 31, 2019, 60% of each named executive officer’s Annual Bonus was based on the Company’s EBITDA performance and 40% of each named executive officer’s Annual Bonus was based on the Company’s revenue performance.</w:t>
      </w:r>
    </w:p>
    <w:p>
      <w:pPr>
        <w:spacing w:after="0" w:line="193"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Annual Bonus amounts are based on individualized target amounts for the applicable year, with ultimate payouts ranging from 20% to 200% of these individualized targets. For the fiscal year ended December 31, 2019, the target Annual Bonus amounts for Brandon M. Cruz, Clinton P. Jones, and Shane E. Cruz were $175,000 and the target Annual Bonus amount for James A. Sharman was $350,000. For the fiscal year ended December 31, 2019, Annual Bonuses were paid out at 200% of target, resulting in Annual Bonuses of $350,000 each for Brandon M. Cruz, Clinton P. Jones, and Shane E. Cruz and $700,000 for James A. Sharman.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Our named executive officers currently hold profits interests in Blizzard Management Feeder, LLC. We refer to these profits interests as “Incentive Units.” Specifically, in the fiscal year ended December 31, 2019, Brandon M.</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Cruz and Clinton P. Jones were each granted 12,239,764 Incentive Units and Shane E. Cruz and James A. Sharman were each granted 4,895,906 Incentive Units, as set forth below. The Incentive Units are divided approximately one-third and two-thirds between Service Units, which generally vest in equal annual installments over five years, and Performance Units, which generally vest subject to satisfaction of performance-vesting targets, respectively.</w:t>
      </w:r>
    </w:p>
    <w:p>
      <w:pPr>
        <w:spacing w:after="0" w:line="190"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In connection with this offering, we intend to modify the vesting of Performance Units. Under such modification, satisfaction of the Performance Units’ performance-vesting targets will be measured against the initial public offering price of this offering, after which one-third (1/3) of those Performance Units that have satisfied their performance-vesting targets based on such measurement will vest six (6) months after the effective date of this prospectus and the remaining two-thirds (2/3) of the Performance Units that have satisfied their performance-vesting targets based on such measurement will vest eighteen (18) months after the effective date of this prospectus.</w:t>
      </w:r>
    </w:p>
    <w:p>
      <w:pPr>
        <w:spacing w:after="0" w:line="193"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Further, in connection with this offering, we intend to exchange each Incentive Unit for common units of Blizzard Management Feeder, LLC, which we refer to as “Management Common Units,” on a “value-for-value” basis based on the fair market value of the Incentive Units at the time of the offering and the common stock price in the offering. Following this conversion, the Management Common Units which are Service Units will be subject to the same vesting conditions as well as all other terms and conditions applicable to the Incentive Units which are Service Units under the existing Incentive Unit award agreements. Following this conversion, the Management Common Units which are Performance Units will be subject to the modified vesting conditions described above. For additional information about the profits units to which the Incentive Units correspond, please see the section titled “Profits Unit Plan” below.</w:t>
      </w:r>
    </w:p>
    <w:p>
      <w:pPr>
        <w:spacing w:after="0" w:line="197"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Under the documentation of the Incentive Units in effect as of December 31, 2019,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and the vesting of the Performance Units is based on achieving specified multiples of invested capital by Centerbridge, subject to the named executive officer’s continuous employment through the applicable vesting date.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169"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 xml:space="preserve">The Incentive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 refusal to perform material responsibilities that have been reasonably requested by the Board; (B) dishonesty to the Board with respect to any material matter; or (C) misappropriation of funds or property of the Company or any of its subsidiaries or affiliates other than the occasional, customary and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use of Company property for personal purposes; provided, in the case of each of clause (i)(A)-(C),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Incentive Units granted to our named executive officers in the fiscal year ended December 31, 2019.</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5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2019 Incentive Units</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4580" w:type="dxa"/>
            <w:vAlign w:val="bottom"/>
          </w:tcPr>
          <w:p>
            <w:pPr>
              <w:spacing w:after="0"/>
              <w:rPr>
                <w:sz w:val="15"/>
                <w:szCs w:val="15"/>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1"/>
        </w:trPr>
        <w:tc>
          <w:tcPr>
            <w:tcW w:w="1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12,239,764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Clinton P. Jones</w:t>
            </w:r>
          </w:p>
        </w:tc>
        <w:tc>
          <w:tcPr>
            <w:tcW w:w="5860" w:type="dxa"/>
            <w:vAlign w:val="bottom"/>
            <w:gridSpan w:val="3"/>
          </w:tcPr>
          <w:p>
            <w:pPr>
              <w:jc w:val="right"/>
              <w:ind w:right="40"/>
              <w:spacing w:after="0"/>
              <w:rPr>
                <w:sz w:val="20"/>
                <w:szCs w:val="20"/>
                <w:color w:val="auto"/>
              </w:rPr>
            </w:pPr>
            <w:r>
              <w:rPr>
                <w:rFonts w:ascii="Arial" w:cs="Arial" w:eastAsia="Arial" w:hAnsi="Arial"/>
                <w:sz w:val="18"/>
                <w:szCs w:val="18"/>
                <w:color w:val="auto"/>
              </w:rPr>
              <w:t>12,239,764</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Shane E. Cruz</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9"/>
              </w:rPr>
              <w:t>James A. Sharman</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We intend to adopt a 2020 Incentive Award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We expect that the 2020 Incentive Award Plan will be effective prior to the effectiveness of this offering. For additional information about the 2020 Incentive Award Plan, please see the section titled “New Incentive Plans” below.</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Elements of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4"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 and welfare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81" w:lineRule="exact"/>
        <w:rPr>
          <w:sz w:val="20"/>
          <w:szCs w:val="20"/>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221"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During the year ended December 31, 2019, we did not provide any perquisites to our employees.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2019.</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Incentive Unit Awards</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Service</w:t>
            </w:r>
          </w:p>
        </w:tc>
        <w:tc>
          <w:tcPr>
            <w:tcW w:w="46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Market Value of</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Incentive Units That</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Service Incentive</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Have Not Vested (#)</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Units That Have</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6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3"/>
                <w:szCs w:val="13"/>
                <w:color w:val="auto"/>
              </w:rPr>
            </w:pPr>
          </w:p>
        </w:tc>
        <w:tc>
          <w:tcPr>
            <w:tcW w:w="15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(2)</w:t>
            </w:r>
          </w:p>
        </w:tc>
        <w:tc>
          <w:tcPr>
            <w:tcW w:w="14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0"/>
              </w:rPr>
              <w:t>Vested (#) (3)</w:t>
            </w:r>
          </w:p>
        </w:tc>
        <w:tc>
          <w:tcPr>
            <w:tcW w:w="10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0"/>
              </w:rPr>
              <w:t>Vested ($) (2)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1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October 3, 2019</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87"/>
              </w:rPr>
              <w:t>4,039,122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1,986,440</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8,200,642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2,356,864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4,039,122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1,986,440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8,200,642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jc w:val="both"/>
        <w:ind w:left="600" w:right="100" w:hanging="433"/>
        <w:spacing w:after="0" w:line="25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w:t>
      </w:r>
    </w:p>
    <w:p>
      <w:pPr>
        <w:spacing w:after="0" w:line="3" w:lineRule="exact"/>
        <w:rPr>
          <w:rFonts w:ascii="Arial" w:cs="Arial" w:eastAsia="Arial" w:hAnsi="Arial"/>
          <w:sz w:val="18"/>
          <w:szCs w:val="18"/>
          <w:color w:val="auto"/>
        </w:rPr>
      </w:pPr>
    </w:p>
    <w:p>
      <w:pPr>
        <w:ind w:left="600" w:right="380" w:hanging="433"/>
        <w:spacing w:after="0" w:line="248"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profits interests are not publicly traded and, therefore, there was no ascertainable public market value for the profits interests as of December 31, 2019. Therefore, the profits interests have been valued on the basis set forth in Footnote 1 of the 2019 Summary Compensation Table, above.</w:t>
      </w:r>
    </w:p>
    <w:p>
      <w:pPr>
        <w:ind w:left="600" w:hanging="433"/>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Performance Units that vest subject to satisfaction of performance-vesting targets.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8" w:lineRule="exact"/>
        <w:rPr>
          <w:sz w:val="20"/>
          <w:szCs w:val="20"/>
          <w:color w:val="auto"/>
        </w:rPr>
      </w:pPr>
    </w:p>
    <w:p>
      <w:pPr>
        <w:jc w:val="both"/>
        <w:ind w:left="160" w:right="120"/>
        <w:spacing w:after="0" w:line="307" w:lineRule="auto"/>
        <w:rPr>
          <w:sz w:val="20"/>
          <w:szCs w:val="20"/>
          <w:color w:val="auto"/>
        </w:rPr>
      </w:pPr>
      <w:r>
        <w:rPr>
          <w:rFonts w:ascii="Arial" w:cs="Arial" w:eastAsia="Arial" w:hAnsi="Arial"/>
          <w:sz w:val="16"/>
          <w:szCs w:val="16"/>
          <w:color w:val="auto"/>
        </w:rPr>
        <w:t>Our named executive officers’ employment and non-compete agreements are described below. Additionally, in connection with this offering, we intend to enter into new employment agreements with each of our named executive officers. The material terms of the new employment agreements have not yet been determined; once determined, the material terms of the new employment agreements will be disclosed in a future filing.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Brandon M. Cruz Non-Compete Agreement</w:t>
      </w:r>
    </w:p>
    <w:p>
      <w:pPr>
        <w:spacing w:after="0" w:line="11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Mr. Cruz entered into a Non-Disclosure, Invention Assignment, Non-Competition and Non-Solicitation Agreement with the Company, which we refer to as a “Non-Competition Agreement,”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76"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 Mr. Cruz is not subject to any compensation arrangement entitling him to severance benefits upon a termination of employment or change in control occurring as of December 31,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Clinton P. Jones Non-Compete Agreement</w:t>
      </w:r>
    </w:p>
    <w:p>
      <w:pPr>
        <w:spacing w:after="0" w:line="11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Mr. Jones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Jones’ employment with the Company. The Non-Competition Agreement also includes an invention assignment covenant and a covenant not to disclose any confidential information of the Company or any of its affiliates at all times following a termination of Mr. Jones’ employment for any reason.</w:t>
      </w:r>
    </w:p>
    <w:p>
      <w:pPr>
        <w:spacing w:after="0" w:line="19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Mr. Jones’ Incentive Units are subject to accelerated vesting as described in the section titled “Equity Compensation,” above. Mr. Jones is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Shane E. Cruz Offer Letter</w:t>
      </w:r>
    </w:p>
    <w:p>
      <w:pPr>
        <w:spacing w:after="0" w:line="114" w:lineRule="exact"/>
        <w:rPr>
          <w:sz w:val="20"/>
          <w:szCs w:val="20"/>
          <w:color w:val="auto"/>
        </w:rPr>
      </w:pPr>
    </w:p>
    <w:p>
      <w:pPr>
        <w:ind w:left="160" w:right="220"/>
        <w:spacing w:after="0" w:line="275" w:lineRule="auto"/>
        <w:rPr>
          <w:sz w:val="20"/>
          <w:szCs w:val="20"/>
          <w:color w:val="auto"/>
        </w:rPr>
      </w:pPr>
      <w:r>
        <w:rPr>
          <w:rFonts w:ascii="Arial" w:cs="Arial" w:eastAsia="Arial" w:hAnsi="Arial"/>
          <w:sz w:val="17"/>
          <w:szCs w:val="17"/>
          <w:color w:val="auto"/>
        </w:rPr>
        <w:t>On June 7, 2012, Mr. Cruz commenced employment with the Company under an employment offer letter entered into in connection with his hiring as the Company’s Vice President of Technology, as amended on April 3, 2018 and which continued to govern his employment as the Company’s Chief Technology Officer for the year ended December 31, 2019. Mr. Cruz’s offer letter provides for a base salary, eligibility to participate in the Annual Bonus Plan, and participation in the Company’s standard benefit plans. Mr. Cruz’s offer letter has no fixed term.</w:t>
      </w:r>
    </w:p>
    <w:p>
      <w:pPr>
        <w:spacing w:after="0" w:line="174"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If Mr. Cruz’s employment is terminated by the Company without cause, Mr. Cruz will receive from the Company four months’ severance pay based on his base salary on the date of such termination.</w:t>
      </w:r>
    </w:p>
    <w:p>
      <w:pPr>
        <w:spacing w:after="0" w:line="17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Pursuant to the terms of his offer letter, Mr. Cruz also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James A. Sharman Offer Letter</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On February 5, 2018, Mr. Sharman commenced employment with the Company under an employment offer letter dated December 21, 2017 entered into in connection with his hiring as the Company’s Chief Operating Officer, which continued to govern his employment for the year ended December 31, 2019. Mr. Sharman’s offer letter provides for a base salary, eligibility to participate in the Annual Bonus Plan, eligibility to receive a profits interest grant, and participation in the Company’s standard benefit plans. Mr. Sharman’s offer letter has no fixed term.</w:t>
      </w:r>
    </w:p>
    <w:p>
      <w:pPr>
        <w:spacing w:after="0" w:line="17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If Mr. Sharman’s employment is terminated by the Company without Cause or by Mr. Sharman for Good Reason, Mr. Sharman will receive from the Company (i) six months’ severance pay based on his base salary rate on the date of such termination, to be paid in accordance with normal payroll practices beginning on the first payroll date after the 60</w:t>
      </w:r>
      <w:r>
        <w:rPr>
          <w:rFonts w:ascii="Arial" w:cs="Arial" w:eastAsia="Arial" w:hAnsi="Arial"/>
          <w:sz w:val="13"/>
          <w:szCs w:val="13"/>
          <w:color w:val="auto"/>
        </w:rPr>
        <w:t>th</w:t>
      </w:r>
      <w:r>
        <w:rPr>
          <w:rFonts w:ascii="Arial" w:cs="Arial" w:eastAsia="Arial" w:hAnsi="Arial"/>
          <w:sz w:val="16"/>
          <w:szCs w:val="16"/>
          <w:color w:val="auto"/>
        </w:rPr>
        <w:t xml:space="preserve"> day following such termination and (ii) a pro-rata Annual Bonus based on the number of days during the calendar year in which Mr. Sharman is employed with the Company, in each case subject to Mr. Sharman’s execution of a release of claims in favor of the Company and his compliance with the covenants and restrictions in his Non-Compete Agreement, described below. Additionally, upon Mr. Sharman’s death or disability, Mr. Sharman will receive from the Company the pro-rated Annual Bonus described above.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Pursuant to the terms of his offer letter, Mr. Sharman also entered into a Non-Competition Agreement with the Company prior to commencing employment, under which he is subject to a covenant not to compete with the Company and a covenant not to solicit employees or customers of the Company, each for two years after the termination of Mr. Sharman’s employment with the Company. The Non-Competition Agreement also includes an invention assignment covenant and a covenant to not disclose any confidential information of the Company or any of its affiliates at all times following a termination of Mr. Sharman’s employment for any reason.</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 xml:space="preserve">Mr. Sharman’s offer letter defines “Cause” as (i) Mr. Sharman’s gross negligence in the performance of his duties and responsibilities to the Company or any of its affiliates, or refusal or failure to follow or carry out any reasonable, written direction of the board of directors of the Company; (ii) a material breach by Mr. Sharman of any provision of his offer letter or Non-Competition Agreement that, if capable of cure, is not cured within 30 days of written notice of such breach by the Company to Mr. Sharman, provided, that the Company will not have to provide more than one notice and opportunity to cure with respect to any multiple, repeated, related or substantially similar events or circumstances; (iii) the commission of fraud, embezzlement, theft or other material dishonesty by Mr. Sharman; (iv) the commission by Mr. Sharman of, or plea by the executive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any other crime involving dishonesty or moral turpitude; or (v) any other conduct by Mr. Sharman that involves a material breach of fiduciary obligations on his part or otherwise could reasonably be expected to have a significant adverse effect upon the business, interests or reputation of the Company or any of its affiliates.</w:t>
      </w:r>
    </w:p>
    <w:p>
      <w:pPr>
        <w:spacing w:after="0" w:line="183"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Mr. Sharman’s offer letter defines, “Good Reason” as, without Mr. Sharman’s written consent, (i) a material reduction in Mr. Sharman’s salary which is not cured within 90 days following the Company’s receipt of written notice thereof from Mr. Sharman; (ii) a change in Mr. Sharman’s principal place of employment to outside of a 50 mile radius of Chicago, Illinois; (iii) a material adverse change in Mr. Sharman’s title, authority, duties, or responsibilities which is not cured within 90 days following the Company’s receipt of written notice thereof from Mr. Sharman; or (iv) any breach by the Company of any other material provision of Mr. Sharman’s offer letter, which breach is not cured within 30 days following Company’s receipt of written notice thereof from Mr. Sharman.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Sharman’s Incentive Units are subject to accelerated vesting as described in the section titled “Equity Compensation,” above.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Director Compensation</w:t>
      </w:r>
    </w:p>
    <w:p>
      <w:pPr>
        <w:spacing w:after="0" w:line="118"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None of our non-employee directors received any compensation for his or her service as a non-employee director during the year ended December 31, 2019 and none of our non-employee directors held Incentive Units (vested or unvested) as of December 31, 2019. In connection with this offering, we intend to adopt a new compensation program for our non-employee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Parent Unit Plan</w:t>
      </w:r>
    </w:p>
    <w:p>
      <w:pPr>
        <w:spacing w:after="0" w:line="118"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Incentive Units held by our named executive officers correspond to profits units issued under the GoHealth Holdings, LLC Profits Unit Plan, which we refer to as the “Parent Unit Plan,” to Blizzard Management Feeder, LLC. We refer to such units issued under the Parent Unit Plan as “Parent Units.” Parent Units and corresponding Incentive Units are issued under the same grant agreements, are subject to the same vesting conditions, and any changes to Parent Units flow through to the corresponding Incentive Units. Under the Parent Unit Plan, any acceleration of Parent Units upon a termination of employment is governed by the applicable award agreement. Additionally, GoHealth Holdings, LLC may make modifications to the Parent Unit Plan and any outstanding Parent Units as it determines to be necessary or appropriate in connection with an initial public offering. In connection with this offering, GoHealth Holdings, LLC intends to use its discretion to convert each outstanding Parent Unit into a common unit of GoHealth Holdings, LLC, which will cause a corresponding conversion of all outstanding Incentive Units into common units of Blizzard Management Feeder, LLC, as described in the section titled “Equity Compensation” above.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Incentive Plan</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In connection with this offering, we intend to adopt a new equity compensation plan, subject to approval by our stockholders, under which we may grant cash and equity incentive awards to directors, employees (including our named executive officers) and consultants in order to attract, motivate and retain the talent for which we compete. The material terms of the new equity incentive plan have not yet been determined.</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6"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 xml:space="preserve">The following are summaries of certain transactions and relationships with our directors, executive officers and stockholders and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4"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proposed site in Linden, Utah, beginning in 2022. Our lease agreement with Wilson Tech 5, LLC expires on May 11, 2030;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three months ended March 31, 2020, the Successor 2019 Period, Predecessor 2019 Period and for the year ended December 31, 2018, we made aggregate lease payments of $321,000, $298,000, $758,000 and $1,025,000, respectively under the RPT Leases. Assuming none of the RPT Leases are terminated early, the remaining amounts due under the RPT Leases in aggregate is expected to be $6.9 million.</w:t>
      </w:r>
    </w:p>
    <w:p>
      <w:pPr>
        <w:spacing w:after="0" w:line="179" w:lineRule="exact"/>
        <w:rPr>
          <w:sz w:val="20"/>
          <w:szCs w:val="20"/>
          <w:color w:val="auto"/>
        </w:rPr>
      </w:pPr>
    </w:p>
    <w:p>
      <w:pPr>
        <w:ind w:left="160" w:right="220"/>
        <w:spacing w:after="0" w:line="297" w:lineRule="auto"/>
        <w:rPr>
          <w:sz w:val="20"/>
          <w:szCs w:val="20"/>
          <w:color w:val="auto"/>
        </w:rPr>
      </w:pPr>
      <w:r>
        <w:rPr>
          <w:rFonts w:ascii="Arial" w:cs="Arial" w:eastAsia="Arial" w:hAnsi="Arial"/>
          <w:sz w:val="16"/>
          <w:szCs w:val="16"/>
          <w:color w:val="auto"/>
        </w:rPr>
        <w:t>On January 1, 2020, we entered into a non-exclusive aircraft dry lease agreement with N157BC, LLC, an entity wholly-owned and controlled by our Founders. The agreement allowed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 We expect to terminate this agreement upon consummation of the Transactions.</w:t>
      </w:r>
    </w:p>
    <w:p>
      <w:pPr>
        <w:spacing w:after="0" w:line="159"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three months ended March 31, 2020, the Successor 2019 Period, Predecessor 2019 Period and for the year ended December 31, 2018, we made aggregate payments of $18,000, $18,000, $57,000 and $42,000, respectively under this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Transactions</w:t>
      </w:r>
    </w:p>
    <w:p>
      <w:pPr>
        <w:spacing w:after="0" w:line="118"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“Our Organizational Structure.”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intend to use the net proceeds from this offering (including any net proceeds from any exercise of the underwriters’ option to purchase additional</w:t>
      </w:r>
    </w:p>
    <w:p>
      <w:pPr>
        <w:spacing w:after="0" w:line="43" w:lineRule="exact"/>
        <w:rPr>
          <w:sz w:val="20"/>
          <w:szCs w:val="20"/>
          <w:color w:val="auto"/>
        </w:rPr>
      </w:pPr>
    </w:p>
    <w:p>
      <w:pPr>
        <w:ind w:left="160"/>
        <w:spacing w:after="0"/>
        <w:tabs>
          <w:tab w:leader="none" w:pos="4140" w:val="left"/>
        </w:tabs>
        <w:rPr>
          <w:sz w:val="20"/>
          <w:szCs w:val="20"/>
          <w:color w:val="auto"/>
        </w:rPr>
      </w:pPr>
      <w:r>
        <w:rPr>
          <w:rFonts w:ascii="Arial" w:cs="Arial" w:eastAsia="Arial" w:hAnsi="Arial"/>
          <w:sz w:val="18"/>
          <w:szCs w:val="18"/>
          <w:color w:val="auto"/>
        </w:rPr>
        <w:t>shares of Class A common stock) to purchase</w:t>
      </w:r>
      <w:r>
        <w:rPr>
          <w:sz w:val="20"/>
          <w:szCs w:val="20"/>
          <w:color w:val="auto"/>
        </w:rPr>
        <w:tab/>
      </w:r>
      <w:r>
        <w:rPr>
          <w:rFonts w:ascii="Arial" w:cs="Arial" w:eastAsia="Arial" w:hAnsi="Arial"/>
          <w:sz w:val="18"/>
          <w:szCs w:val="18"/>
          <w:color w:val="auto"/>
        </w:rPr>
        <w:t>LLC</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8"/>
          <w:szCs w:val="18"/>
          <w:color w:val="auto"/>
        </w:rPr>
        <w:t>Interests (or</w:t>
      </w:r>
      <w:r>
        <w:rPr>
          <w:sz w:val="20"/>
          <w:szCs w:val="20"/>
          <w:color w:val="auto"/>
        </w:rPr>
        <w:tab/>
      </w:r>
      <w:r>
        <w:rPr>
          <w:rFonts w:ascii="Arial" w:cs="Arial" w:eastAsia="Arial" w:hAnsi="Arial"/>
          <w:sz w:val="16"/>
          <w:szCs w:val="16"/>
          <w:color w:val="auto"/>
        </w:rPr>
        <w:t>LLC Interests if the underwriters exercise in full their option to purchase additional shares of Class A common stock) directly</w:t>
      </w:r>
    </w:p>
    <w:p>
      <w:pPr>
        <w:spacing w:after="0" w:line="20"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from GoHealth Holdings, LLC at a price per unit equal to the initial public offering price per share of Class A common stock in this offering less the underwriting discount and estimated offering expenses payable by us and to pay cash to the Blocker Shareholders as partial consideration in the Blocker Merger.</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auto"/>
        </w:rPr>
        <w:t>As described in “Our Organizational Structure,” we intend to use the net proceeds from this offering to purchase newly-issued LLC Interests directly from GoHealth Holdings, LLC and to pay cash to the Blocker Shareholders as partial consideration in the Blocker Merger. In addition, GoHealth Holdings, LLC intends to use the net proceeds it receives from the sale of LLC Interests to us to partially redeem certain of the LLC Interests held by the Continuing Equity Owners, which is intended to be treated as a taxable sale of LLC Interests for U.S. federal income tax purposes. We expect to obtain an increase in our share of the tax basis of the assets of GoHealth Holdings, LLC in connection with the purchase of LLC Interests directly from GoHealth Holdings, LLC, the partial redemption of LLC Interests by GoHealth Holdings and the Blocker Merger. We will also acquire an allocable share of the existing tax basis in GoHealth Holdings, LLC’s assets in connection with the Transactions, including the Blocker Company’s share of existing tax basis, and we may obtain an increase to such allocable share of existing tax basis in connection with the consummation of the Transactions and in the future. In addition, we may obtain an increase in our share of the tax basis of the assets of GoHealth Holdings, LLC in the future, when (as described below under “—GoHealth Holdings, LLC Agreement—Agreement in Effect Upon Consummation of the Transactions—Common Unit Redemption Right”) a Continuing Equity Owner receives Class A common stock or, at our election (determined solely by our independent directors (within the meaning of the Nasdaq rules) who are disinterested), cash, as applicable, from us in connection with an exercise of such Continuing Equity Owner’s right to have LLC Interests held by such Continuing Equity Owner redeemed by GoHealth Holdings, LLC or, at our election, exchanged or when GoHealth Holdings, LLC makes, or is deemed to make, certain distributions to the Continuing Equity Owners. We intend to treat such redemptions or exchanges as our direct purchase of LLC Interests from such Continuing Equity Owner for U.S. federal income and other applicable tax purposes, regardless of whether such LLC Interests are surrendered by a Continuing Equity Owner to GoHealth Holdings, LLC for redemption or sold to us upon the exercise of our election to acquire such LLC Interests directly (any resulting basis increases, together with the basis increases arising from</w:t>
      </w:r>
    </w:p>
    <w:p>
      <w:pPr>
        <w:spacing w:after="0" w:line="1" w:lineRule="exact"/>
        <w:rPr>
          <w:sz w:val="20"/>
          <w:szCs w:val="20"/>
          <w:color w:val="auto"/>
        </w:rPr>
      </w:pPr>
    </w:p>
    <w:p>
      <w:pPr>
        <w:ind w:left="160" w:right="80" w:firstLine="7"/>
        <w:spacing w:after="0" w:line="334" w:lineRule="auto"/>
        <w:tabs>
          <w:tab w:leader="none" w:pos="40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purchase of newly-issued LLC Interests directly from GoHealth Holdings, LLC and the partial redemption of LLC Interests by GoHealth Holdings, LLC, as described under “Use of Proceeds,” and (b) certain distributions (or deemed distributions) from GoHealth Holdings, LLC, the “Basis Adjustments”). Any Basis Adjustment and our allocable share of the existing tax basis in GoHealth Holdings, LLC’s assets, including the Blocker Company’s share of existing tax basis (and increases to such allocable share of existing tax basis), may have the effect of reducing the amounts that we would otherwise pay in the future to various tax authorities. The Basis Adjustments and such existing tax basis (and increases to such allocable share of existing tax basis) may also decrease gains (or increase losses) on future dispositions of certain assets to the extent tax basis is allocated to those assets.</w:t>
      </w:r>
    </w:p>
    <w:p>
      <w:pPr>
        <w:spacing w:after="0" w:line="141" w:lineRule="exact"/>
        <w:rPr>
          <w:sz w:val="20"/>
          <w:szCs w:val="20"/>
          <w:color w:val="auto"/>
        </w:rPr>
      </w:pPr>
    </w:p>
    <w:p>
      <w:pPr>
        <w:ind w:left="160" w:right="80"/>
        <w:spacing w:after="0" w:line="286" w:lineRule="auto"/>
        <w:rPr>
          <w:sz w:val="20"/>
          <w:szCs w:val="20"/>
          <w:color w:val="auto"/>
        </w:rPr>
      </w:pPr>
      <w:r>
        <w:rPr>
          <w:rFonts w:ascii="Arial" w:cs="Arial" w:eastAsia="Arial" w:hAnsi="Arial"/>
          <w:sz w:val="16"/>
          <w:szCs w:val="16"/>
          <w:color w:val="auto"/>
        </w:rPr>
        <w:t>In connection with the transactions described above, we will enter into a Tax Receivable Agreement with GoHealth Holdings, LLC, Continuing Equity Owners and the Blocker Shareholders that will provide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w:t>
      </w:r>
    </w:p>
    <w:p>
      <w:pPr>
        <w:spacing w:after="0" w:line="178"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actual Basis Adjustments, as well as any amounts paid to the Continuing Equity Owners and the Blocker Shareholders under the Tax Receivable Agreement will vary depending on a number of factors, including:</w:t>
      </w:r>
    </w:p>
    <w:p>
      <w:pPr>
        <w:spacing w:after="0" w:line="81" w:lineRule="exact"/>
        <w:rPr>
          <w:sz w:val="20"/>
          <w:szCs w:val="20"/>
          <w:color w:val="auto"/>
        </w:rPr>
      </w:pPr>
    </w:p>
    <w:p>
      <w:pPr>
        <w:ind w:left="1140" w:right="60" w:hanging="438"/>
        <w:spacing w:after="0" w:line="255"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the timing of any future redemptions or exchanges</w:t>
      </w:r>
      <w:r>
        <w:rPr>
          <w:rFonts w:ascii="Arial" w:cs="Arial" w:eastAsia="Arial" w:hAnsi="Arial"/>
          <w:sz w:val="18"/>
          <w:szCs w:val="18"/>
          <w:color w:val="auto"/>
        </w:rPr>
        <w:t>—for instance, the increase in any tax deductions will vary depending on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which may fluctuate over time, of the depreciable or amortizable assets of GoHealth Holdings, LLC at the time of each redemption, exchange or distribution (or deemed distribution) as well as the amount of remaining existing tax basis at the time of such redemption, exchange or distribution (or deemed distribution);</w:t>
      </w:r>
    </w:p>
    <w:p>
      <w:pPr>
        <w:spacing w:after="0" w:line="96" w:lineRule="exact"/>
        <w:rPr>
          <w:rFonts w:ascii="Arial" w:cs="Arial" w:eastAsia="Arial" w:hAnsi="Arial"/>
          <w:sz w:val="18"/>
          <w:szCs w:val="18"/>
          <w:color w:val="auto"/>
        </w:rPr>
      </w:pPr>
    </w:p>
    <w:p>
      <w:pPr>
        <w:ind w:left="1140" w:hanging="438"/>
        <w:spacing w:after="0" w:line="368" w:lineRule="auto"/>
        <w:tabs>
          <w:tab w:leader="none" w:pos="1140" w:val="left"/>
        </w:tabs>
        <w:numPr>
          <w:ilvl w:val="0"/>
          <w:numId w:val="97"/>
        </w:numPr>
        <w:rPr>
          <w:rFonts w:ascii="Arial" w:cs="Arial" w:eastAsia="Arial" w:hAnsi="Arial"/>
          <w:sz w:val="14"/>
          <w:szCs w:val="14"/>
          <w:color w:val="auto"/>
        </w:rPr>
      </w:pPr>
      <w:r>
        <w:rPr>
          <w:rFonts w:ascii="Arial" w:cs="Arial" w:eastAsia="Arial" w:hAnsi="Arial"/>
          <w:sz w:val="14"/>
          <w:szCs w:val="14"/>
          <w:b w:val="1"/>
          <w:bCs w:val="1"/>
          <w:i w:val="1"/>
          <w:iCs w:val="1"/>
          <w:color w:val="auto"/>
        </w:rPr>
        <w:t>the price of shares of our Class A common stock at the time of the purchases from the Continuing Equity Owners in connection with this offering and any applicable redemptions or exchanges</w:t>
      </w:r>
      <w:r>
        <w:rPr>
          <w:rFonts w:ascii="Arial" w:cs="Arial" w:eastAsia="Arial" w:hAnsi="Arial"/>
          <w:sz w:val="14"/>
          <w:szCs w:val="14"/>
          <w:color w:val="auto"/>
        </w:rPr>
        <w:t>—the Basis Adjustments, as well as any related increase in any tax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directly related to the price of shares of our Class A common stock at the time of such purchases or future redemptions or exchanges;</w:t>
      </w:r>
    </w:p>
    <w:p>
      <w:pPr>
        <w:spacing w:after="0" w:line="21" w:lineRule="exact"/>
        <w:rPr>
          <w:rFonts w:ascii="Arial" w:cs="Arial" w:eastAsia="Arial" w:hAnsi="Arial"/>
          <w:sz w:val="14"/>
          <w:szCs w:val="14"/>
          <w:color w:val="auto"/>
        </w:rPr>
      </w:pPr>
    </w:p>
    <w:p>
      <w:pPr>
        <w:ind w:left="1140" w:right="60" w:hanging="438"/>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the extent to which such redemptions or exchanges are taxable</w:t>
      </w:r>
      <w:r>
        <w:rPr>
          <w:rFonts w:ascii="Arial" w:cs="Arial" w:eastAsia="Arial" w:hAnsi="Arial"/>
          <w:sz w:val="18"/>
          <w:szCs w:val="18"/>
          <w:color w:val="auto"/>
        </w:rPr>
        <w:t>—if a redemption or exchange is not taxable for any reason, increased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deductions will not be available; and</w:t>
      </w:r>
    </w:p>
    <w:p>
      <w:pPr>
        <w:spacing w:after="0" w:line="80" w:lineRule="exact"/>
        <w:rPr>
          <w:rFonts w:ascii="Arial" w:cs="Arial" w:eastAsia="Arial" w:hAnsi="Arial"/>
          <w:sz w:val="18"/>
          <w:szCs w:val="18"/>
          <w:color w:val="auto"/>
        </w:rPr>
      </w:pPr>
    </w:p>
    <w:p>
      <w:pPr>
        <w:ind w:left="1140" w:right="80" w:hanging="438"/>
        <w:spacing w:after="0" w:line="286"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those benefits are treated as realized under the terms of the Tax Receivable Agreement. If we do not have sufficient taxable income to realize any of the applicable tax benefits, we generally will not be required (absent a material breach of a material obligation under the Tax Receivable Agreement, change of control or other circumstances requiring an early termination payment and treating any outstanding LLC Interests held by Continuing Equity Owners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167"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Although the amount of our allocable share of existing tax basis in GoHealth Holdings, LLC’s assets acquired in connection with the Transactions with respect to which the Continuing Equity Owners and the Blocker Shareholders will be entitled to receive payments under the Tax Receivable Agreement</w:t>
      </w:r>
    </w:p>
    <w:p>
      <w:pPr>
        <w:spacing w:after="0" w:line="1" w:lineRule="exact"/>
        <w:rPr>
          <w:sz w:val="20"/>
          <w:szCs w:val="20"/>
          <w:color w:val="auto"/>
        </w:rPr>
      </w:pPr>
    </w:p>
    <w:p>
      <w:pPr>
        <w:ind w:left="160" w:right="280"/>
        <w:spacing w:after="0" w:line="256" w:lineRule="auto"/>
        <w:rPr>
          <w:sz w:val="20"/>
          <w:szCs w:val="20"/>
          <w:color w:val="auto"/>
        </w:rPr>
      </w:pPr>
      <w:r>
        <w:rPr>
          <w:rFonts w:ascii="Arial" w:cs="Arial" w:eastAsia="Arial" w:hAnsi="Arial"/>
          <w:sz w:val="18"/>
          <w:szCs w:val="18"/>
          <w:color w:val="auto"/>
        </w:rPr>
        <w:t>has been determined to be approximately $ million, the timing and amount of any related payments under the Tax Receivable Agreement is uncertain since both are dependent on our taxable income and our ability to utilize other tax attributes.</w:t>
      </w:r>
    </w:p>
    <w:p>
      <w:pPr>
        <w:spacing w:after="0" w:line="18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For purposes of the Tax Receivable Agreement, cash savings in income tax will be computed by comparing our actual income tax liability to the amount of such taxes that we would have been required to pay had there been no existing basis in GoHealth Holdings, LLC’s assets, had there been no increases to such allocable share of existing tax basis,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6"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Continuing Equity Owners an agreed-upon amount equal to the estimated present value of the remaining payments to be made under the agreement (calculated with certain assumptions, including regarding tax rates and utilization of the Basis Adjustments).</w:t>
      </w:r>
    </w:p>
    <w:p>
      <w:pPr>
        <w:spacing w:after="0" w:line="193"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The payment obligations under the Tax Receivable Agreement are obligations of GoHealth, Inc. and not of GoHealth Holdings, LLC. Although the actual timing and amount of any payments that may be made under the Tax Receivable Agreement will vary, we expect that the payments that we may be required to make to the Continuing Equity Owners and the Blocker Shareholders could be substantial. Any payments made by us to the Continuing Equity Owners and the Blocker Shareholders under the Tax Receivable Agreement will generally reduce the amount of overall cash flow that might have otherwise been available to us or to GoHealth Holdings,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our Credit Facilities or any future debt agreements. See “Unaudited Pro Forma Condensed Consolidated Financial Information.” Decisions made by us in the course of running our business, such as with respect to mergers, asset sales, other forms of business combinations or other changes in control, may influence the timing and amount of payments that are received by a redeeming Continuing Equity Owner or a Blocker Shareholder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18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In those circumstances, Continuing Equity Owners would be deemed to exchange any remaining outstanding LLC Interests for Class A common stock and would generally be entitled to payments under the Tax Receivable Agreement resulting from such deemed exchanges.</w:t>
      </w:r>
    </w:p>
    <w:p>
      <w:pPr>
        <w:spacing w:after="0" w:line="178" w:lineRule="exact"/>
        <w:rPr>
          <w:sz w:val="20"/>
          <w:szCs w:val="20"/>
          <w:color w:val="auto"/>
        </w:rPr>
      </w:pPr>
    </w:p>
    <w:p>
      <w:pPr>
        <w:ind w:left="160" w:right="420"/>
        <w:spacing w:after="0" w:line="301" w:lineRule="auto"/>
        <w:rPr>
          <w:sz w:val="20"/>
          <w:szCs w:val="20"/>
          <w:color w:val="auto"/>
        </w:rPr>
      </w:pPr>
      <w:r>
        <w:rPr>
          <w:rFonts w:ascii="Arial" w:cs="Arial" w:eastAsia="Arial" w:hAnsi="Arial"/>
          <w:sz w:val="17"/>
          <w:szCs w:val="17"/>
          <w:color w:val="auto"/>
        </w:rPr>
        <w:t>We may elect to completely terminate the Tax Receivable Agreement early only with the written approval of each of a majority of GoHealth, Inc.’s “independent directors” (within the meaning of Rule 10A-3 promulgated under the Exchange Act and the Nasdaq rules).</w:t>
      </w:r>
    </w:p>
    <w:p>
      <w:pPr>
        <w:spacing w:after="0" w:line="152"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As a result of the foregoing, we could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We also could be required to make cash payments to the Continuing Equity Owners and the Blocker Shareholders that are greater than the specified percentage of the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6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Payments under the Tax Receivable Agreement will generally be based on the tax reporting positions that we determine. We will not be reimbursed for any cash payments previously made to the Continuing Equity Owners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and the Blocker Shareholders pursuant to the Tax Receivable Agreement if any tax benefits initially claimed by us are subsequently challenged by a taxing authority and ultimately disallowed. Instead, any excess cash payments made by us to a Continuing Equity Owner or a Blocker Shareholder will be netted against any future cash payments we might otherwise be required to make under the terms of the Tax Receivable Agreement to such Continuing Equity Owner or such Blocker Shareholder, as applicable. However, a challenge to any tax benefits initially claimed by us may not arise for a number of years following the initial time of such payment or, 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 If we determine that a tax reserve or contingent liability must be established by us for generally accepted accounting principles in respect of an issue that would affect payments under the Tax Receivable Agreement, we may withhold payments to the Continuing Equity Owners and/or the Blocker Shareholders, as applicable, under the Tax Receivable Agreement and place them in an interest-bearing escrow account until the reserve or contingent liability is resolved.</w:t>
      </w:r>
    </w:p>
    <w:p>
      <w:pPr>
        <w:spacing w:after="0" w:line="169"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will have full responsibility for, and sole discretion over, all GoHealth, Inc. tax matters, including the filing and amendment of all tax returns and claims for refund and defense of all tax contests, subject to certain participation and approval rights held by Centerbridge and the Founders. If the outcome of any challenge to all or part of the Basis Adjustments or other tax benefits we claim, including as a result of acquiring our allocable share of the existing tax basis in GoHealth Holdings, LLC’s assets and increases to such allocable share of existing tax basis, would reasonably be expected to materially and adversely affect the payments to Continuing Equity Owners’ from us under the Tax Receivable Agreement, then we will not be permitted to settle or fail to contest such challenge without the consent (not to be unreasonably withheld or delayed) of Centerbridge and the Founders. The interests of Centerbridge or the Founders in any such challenge may differ from or conflict with our interests and your interests, and Centerbridge or the Founders may exercise their consent rights relating to any such challenge in a manner adverse to our interests.</w:t>
      </w:r>
    </w:p>
    <w:p>
      <w:pPr>
        <w:spacing w:after="0" w:line="166"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Under the Tax Receivable Agreement, we are required to provide the Continuing Equity Owners and Blocker Shareholders that hold an interest in the Tax Receivable Agreement with a schedule showing the calculation of payments that are due under the Tax Receivable Agreement with respect to each taxable year with respect to which a payment obligation arises within 90 days after filing our U.S. federal income tax return for such taxable year. This calculation will be based upon the advice of our tax advisors. Payments under the Tax Receivable Agreement will generally be made to the Continuing Equity Owners and the Blocker Shareholders within three business days after this schedule becomes final pursuant to the procedures set forth in the Tax Receivable Agreement, although interest on such payments will begin to accrue at a rate of LIBOR plus 100 basis points from the due date (without extensions) of such tax return. Any late payments that may be made under the Tax Receivable Agreement will continue to accrue interest at a rate equal to LIBOR plus 500 basis points, until such payments are made, generally including any late payments that we may subsequently make because we did not have enough available cash to satisfy our payment obligations at the time at which they originally arose.</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Holdings, LLC Agreement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Before Consummation of the Transactions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GoHealth Holdings, LLC and the Original Equity Owners are parties to the Amended and Restated Limited Liability Company Agreement of GoHealth Holdings, LLC (formerly known as Blizzard Parent, LLC), dated as of September 13, 2019, which governs the business operations of GoHealth Holdings, LLC and defines the relative rights and privileges associated with the existing units of GoHealth Holdings, LLC. We refer to this agreement as the Existing LLC Agreement. Under the Existing LLC Agreement, the board of managers of GoHealth Holdings, LLC has the full, exclusive and complete right, authority and discretion to manage and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control the business and affairs of GoHealth Holdings, LLC, to interpret the provisions of the Existing LLC Agreement, to make all decisions affecting the business and affairs of GoHealth Holdings, LLC, to take all such actions as it deems necessary or appropriate to accomplish the purpose of the Company, and the day-to-day business operations of GoHealth Holdings, LLC are overseen and implemented by officers of GoHealth Holdings, LLC. Each Original Equity Owner’s rights under the Existing LLC Agreement continue until the effective time of the new GoHealth Holdings, LLC operating agreement to be adopted in connection with the Transactions, as described below, at which time the Continuing Equity Owners will continue as members that hold LLC Interests with the respective rights thereunder.</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Upon Consummation of the Transactions</w:t>
      </w:r>
    </w:p>
    <w:p>
      <w:pPr>
        <w:spacing w:after="0" w:line="114" w:lineRule="exact"/>
        <w:rPr>
          <w:sz w:val="20"/>
          <w:szCs w:val="20"/>
          <w:color w:val="auto"/>
        </w:rPr>
      </w:pPr>
    </w:p>
    <w:p>
      <w:pPr>
        <w:ind w:left="160" w:right="380"/>
        <w:spacing w:after="0" w:line="301" w:lineRule="auto"/>
        <w:rPr>
          <w:sz w:val="20"/>
          <w:szCs w:val="20"/>
          <w:color w:val="auto"/>
        </w:rPr>
      </w:pPr>
      <w:r>
        <w:rPr>
          <w:rFonts w:ascii="Arial" w:cs="Arial" w:eastAsia="Arial" w:hAnsi="Arial"/>
          <w:sz w:val="17"/>
          <w:szCs w:val="17"/>
          <w:color w:val="auto"/>
        </w:rPr>
        <w:t>In connection with the consummation of the Transactions, we and the Continuing Equity Owners will enter into GoHealth Holdings, LLC’s Second Amended and Restated Limited Liability Company Agreement, which we refer to as the GoHealth Holdings, LLC Agreement.</w:t>
      </w:r>
    </w:p>
    <w:p>
      <w:pPr>
        <w:spacing w:after="0" w:line="178" w:lineRule="exact"/>
        <w:rPr>
          <w:sz w:val="20"/>
          <w:szCs w:val="20"/>
          <w:color w:val="auto"/>
        </w:rPr>
      </w:pPr>
    </w:p>
    <w:p>
      <w:pPr>
        <w:ind w:left="1140" w:hanging="438"/>
        <w:spacing w:after="0" w:line="290" w:lineRule="auto"/>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will become a member and the sole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GoHealth Holdings, LLC. As the sole manager, we will be able to control all of the day-to-day business affairs and decision-making of GoHealth Holdings, LLC without the approval of any other member. As such, we, through our officers and directors, will be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190" w:lineRule="exact"/>
        <w:rPr>
          <w:rFonts w:ascii="Arial" w:cs="Arial" w:eastAsia="Arial" w:hAnsi="Arial"/>
          <w:sz w:val="16"/>
          <w:szCs w:val="16"/>
          <w:color w:val="auto"/>
        </w:rPr>
      </w:pPr>
    </w:p>
    <w:p>
      <w:pPr>
        <w:ind w:left="1140" w:right="80" w:hanging="438"/>
        <w:spacing w:after="0" w:line="255"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will not be entitled to compensation for our services as the manager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be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216" w:lineRule="exact"/>
        <w:rPr>
          <w:rFonts w:ascii="Arial" w:cs="Arial" w:eastAsia="Arial" w:hAnsi="Arial"/>
          <w:sz w:val="18"/>
          <w:szCs w:val="18"/>
          <w:color w:val="auto"/>
        </w:rPr>
      </w:pPr>
    </w:p>
    <w:p>
      <w:pPr>
        <w:ind w:left="1140" w:hanging="438"/>
        <w:spacing w:after="0" w:line="283" w:lineRule="auto"/>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The GoHealth Holdings, LLC Agreement will require “tax distributions,” as that term is used in the agreement to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The GoHealth Holdings, LLC Agreement will also allow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hanging="438"/>
        <w:spacing w:after="0" w:line="269" w:lineRule="auto"/>
        <w:tabs>
          <w:tab w:leader="none" w:pos="114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Transfer Restrictions</w:t>
      </w:r>
      <w:r>
        <w:rPr>
          <w:rFonts w:ascii="Arial" w:cs="Arial" w:eastAsia="Arial" w:hAnsi="Arial"/>
          <w:sz w:val="17"/>
          <w:szCs w:val="17"/>
          <w:color w:val="auto"/>
        </w:rPr>
        <w:t>. The GoHealth Holdings, LLC Agreement generally does not permit transfers of LLC Interests by members,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 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178" w:lineRule="exact"/>
        <w:rPr>
          <w:rFonts w:ascii="Arial" w:cs="Arial" w:eastAsia="Arial" w:hAnsi="Arial"/>
          <w:sz w:val="17"/>
          <w:szCs w:val="17"/>
          <w:color w:val="auto"/>
        </w:rPr>
      </w:pPr>
    </w:p>
    <w:p>
      <w:pPr>
        <w:ind w:left="1140" w:right="60"/>
        <w:spacing w:after="0" w:line="267" w:lineRule="auto"/>
        <w:rPr>
          <w:rFonts w:ascii="Arial" w:cs="Arial" w:eastAsia="Arial" w:hAnsi="Arial"/>
          <w:sz w:val="17"/>
          <w:szCs w:val="17"/>
          <w:color w:val="auto"/>
        </w:rPr>
      </w:pPr>
      <w:r>
        <w:rPr>
          <w:rFonts w:ascii="Arial" w:cs="Arial" w:eastAsia="Arial" w:hAnsi="Arial"/>
          <w:sz w:val="17"/>
          <w:szCs w:val="17"/>
          <w:color w:val="auto"/>
        </w:rPr>
        <w:t>The GoHealth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to participate in such Pubco Offer by delivering a redemption notice, which shall be effective immediately prior to, and contingent upon, the consummation of such Pubco Offer. If a Pubco Offer is proposed by GoHealth, Inc., then GoHealth, Inc. is required to use its reasonable best efforts expeditiously and in good faith to take all such actions and do all such things as are necessary or desirable to enable and permit the holders of such LLC Interests to participate in such Pubco Offer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79" w:lineRule="exact"/>
        <w:rPr>
          <w:rFonts w:ascii="Arial" w:cs="Arial" w:eastAsia="Arial" w:hAnsi="Arial"/>
          <w:sz w:val="17"/>
          <w:szCs w:val="17"/>
          <w:color w:val="auto"/>
        </w:rPr>
      </w:pPr>
    </w:p>
    <w:p>
      <w:pPr>
        <w:ind w:left="1140" w:right="20"/>
        <w:spacing w:after="0" w:line="253" w:lineRule="auto"/>
        <w:rPr>
          <w:rFonts w:ascii="Arial" w:cs="Arial" w:eastAsia="Arial" w:hAnsi="Arial"/>
          <w:sz w:val="17"/>
          <w:szCs w:val="17"/>
          <w:color w:val="auto"/>
        </w:rPr>
      </w:pPr>
      <w:r>
        <w:rPr>
          <w:rFonts w:ascii="Arial" w:cs="Arial" w:eastAsia="Arial" w:hAnsi="Arial"/>
          <w:sz w:val="18"/>
          <w:szCs w:val="18"/>
          <w:color w:val="auto"/>
        </w:rPr>
        <w:t>Except for certain exceptions, any transferee of LLC Interests must assume, by operation of law or executing a joinder to the GoHealth Holdings, LLC Agreement, all of the obligations of a transferring member with respect to the transferred units, and such transferee shall be bound by any limitations and obligations under the GoHealth Holdings, LLC Agreement even if the transferee is not admitted as a member of GoHealth Holdings, LLC. A member shall remain as a member with all rights and obligations until the transferee is accepted as substitute member in accordance with GoHealth Holdings, LLC Agreement.</w:t>
      </w:r>
    </w:p>
    <w:p>
      <w:pPr>
        <w:spacing w:after="0" w:line="219" w:lineRule="exact"/>
        <w:rPr>
          <w:rFonts w:ascii="Arial" w:cs="Arial" w:eastAsia="Arial" w:hAnsi="Arial"/>
          <w:sz w:val="17"/>
          <w:szCs w:val="17"/>
          <w:color w:val="auto"/>
        </w:rPr>
      </w:pPr>
    </w:p>
    <w:p>
      <w:pPr>
        <w:ind w:left="1140" w:right="80" w:hanging="438"/>
        <w:spacing w:after="0" w:line="293" w:lineRule="auto"/>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GoHealth Holdings, LLC Agreement will recapitalize the units currently held by the existing members of GoHealth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into a new single class of LLC Interests. The GoHealth Holdings,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pro-rata share of the net profits and net losses and distributions of GoHealth Holdings, LLC.</w:t>
      </w:r>
    </w:p>
    <w:p>
      <w:pPr>
        <w:spacing w:after="0" w:line="187" w:lineRule="exact"/>
        <w:rPr>
          <w:rFonts w:ascii="Arial" w:cs="Arial" w:eastAsia="Arial" w:hAnsi="Arial"/>
          <w:sz w:val="16"/>
          <w:szCs w:val="16"/>
          <w:color w:val="auto"/>
        </w:rPr>
      </w:pPr>
    </w:p>
    <w:p>
      <w:pPr>
        <w:ind w:left="1140" w:right="60" w:hanging="438"/>
        <w:spacing w:after="0" w:line="282" w:lineRule="auto"/>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Maintenance of One-to-one Ratio between Shares of Class A Common Stock and LLC Interests Owned by the Company, and One-to-one Ratio between Shares of Class B Common Stock and LLC Interests Owned by Centerbridge and our Founders</w:t>
      </w:r>
      <w:r>
        <w:rPr>
          <w:rFonts w:ascii="Arial" w:cs="Arial" w:eastAsia="Arial" w:hAnsi="Arial"/>
          <w:sz w:val="16"/>
          <w:szCs w:val="16"/>
          <w:color w:val="auto"/>
        </w:rPr>
        <w:t>.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w:t>
      </w:r>
    </w:p>
    <w:p>
      <w:pPr>
        <w:spacing w:after="0" w:line="1" w:lineRule="exact"/>
        <w:rPr>
          <w:rFonts w:ascii="Arial" w:cs="Arial" w:eastAsia="Arial" w:hAnsi="Arial"/>
          <w:sz w:val="16"/>
          <w:szCs w:val="16"/>
          <w:color w:val="auto"/>
        </w:rPr>
      </w:pPr>
    </w:p>
    <w:p>
      <w:pPr>
        <w:ind w:left="1140"/>
        <w:spacing w:after="0" w:line="292" w:lineRule="auto"/>
        <w:rPr>
          <w:rFonts w:ascii="Arial" w:cs="Arial" w:eastAsia="Arial" w:hAnsi="Arial"/>
          <w:sz w:val="16"/>
          <w:szCs w:val="16"/>
          <w:color w:val="auto"/>
        </w:rPr>
      </w:pPr>
      <w:r>
        <w:rPr>
          <w:rFonts w:ascii="Arial" w:cs="Arial" w:eastAsia="Arial" w:hAnsi="Arial"/>
          <w:sz w:val="16"/>
          <w:szCs w:val="16"/>
          <w:color w:val="auto"/>
        </w:rPr>
        <w:t>(2)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 This ratio requirement disregards (1) shares of our Class A common stock under unvested options issued by us,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firstLine="4"/>
        <w:spacing w:after="0" w:line="282" w:lineRule="auto"/>
        <w:tabs>
          <w:tab w:leader="none" w:pos="13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 other securities, including any exercise or purchase price payable upon conversion, exercise or exchange thereof, to the equity capital of GoHealth Holdings, LLC. In addition, the Class A common stock ratio requirement disregards all LLC Interests at any time held by any other person, including the Continuing Equity Owners and the holders of options over LLC Interests. If we issue, transfer or deliver from treasury stock or repurchase shares of Class A common stock in a transaction not contemplated by the GoHealth Holdings, LLC Agreement, we as manager of GoHealth Holdings,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GoHealth Holdings,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GoHealth Holdings, LLC which (in our good faith determination) are in the aggregate substantially equivalent to our preferred stock so issued, transferred, delivered, repurchased or redeemed. GoHealth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 common stock to maintain at all times a one-to-one ratio between the number of LLC Interests owned by Centerbridge and our Founders and their permitted transferees, collectively, and the number of outstanding shares of our Class B common stock, as applicable, in each case, subject to exceptions.</w:t>
      </w:r>
    </w:p>
    <w:p>
      <w:pPr>
        <w:spacing w:after="0" w:line="196" w:lineRule="exact"/>
        <w:rPr>
          <w:rFonts w:ascii="Arial" w:cs="Arial" w:eastAsia="Arial" w:hAnsi="Arial"/>
          <w:sz w:val="16"/>
          <w:szCs w:val="16"/>
          <w:color w:val="auto"/>
        </w:rPr>
      </w:pPr>
    </w:p>
    <w:p>
      <w:pPr>
        <w:ind w:left="1140" w:hanging="438"/>
        <w:spacing w:after="0" w:line="282" w:lineRule="auto"/>
        <w:tabs>
          <w:tab w:leader="none" w:pos="114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LLC Interests upon Exercise of Options or Issuance of Other Equity Compensation</w:t>
      </w:r>
      <w:r>
        <w:rPr>
          <w:rFonts w:ascii="Arial" w:cs="Arial" w:eastAsia="Arial" w:hAnsi="Arial"/>
          <w:sz w:val="16"/>
          <w:szCs w:val="16"/>
          <w:color w:val="auto"/>
        </w:rPr>
        <w:t>. Upon the exercise of options issued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(as opposed to options issued by GoHealth Holdings, LLC), or the issuance of other types of equity compensation by us (such as the issuance of restricted or non-restricted stock, payment of bonuses in stock or settlement of stock appreciation rights in stock), we will have the right to acquire from GoHealth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GoHealth Holdings, LLC or its subsidiaries, we will make, or be deemed to make, a capital contribution in GoHealth Holdings, LLC equal to the aggregate value of such shares of Class A common stock and GoHealth Holdings, LLC will issue to us a number of LLC Interests equal to the number of shares we issued. When we issue shares of Class A common stock in settlement of stock options granted to persons that are officers or employees of GoHealth Holdings, LLC or its subsidiaries, then we will be deemed to have sold directly to the person exercising such award a portion of the value of each share of Class A common stock equal to the exercise price per share, and we will be deemed to have sold directly to GoHealth Holdings, LLC (or the applicable subsidiary of GoHealth Holdings, LLC) the difference between the exercise price and market price per share for each such share of Class A common stock. In cases where we grant other types of equity compensation to employees of GoHealth Holdings, LLC or its subsidiaries, on each applicable vesting date we will be deemed to have sold to GoHealth Holdings, LLC (or such subsidiary) the number of vested shares at a price equal to the market price per share, GoHealth Holdings, LLC (or such subsidiary) will deliver the shares to the applicable person, and we will be deemed to have made a capital contribution in GoHealth Holdings, LLC equal to the purchase price for such shares in exchange for an equal number of LLC Interests.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60"/>
          </w:cols>
          <w:pgMar w:left="320" w:top="456"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hanging="438"/>
        <w:spacing w:after="0" w:line="268" w:lineRule="auto"/>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The GoHealth Holdings, LLC Agreement will provide that the consent of GoHealth, Inc. as the managing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GoHealth Holdings, LLC and members holding a majority of the voting units will be required to voluntarily dissolve GoHealth Holdings, LLC. In addition to a voluntary dissolution, GoHealth Holdings, LLC will be dissolved upon the entry of a decree of judicial dissolution or other circumstances in accordance with Delaware law. Upon a dissolution event, the proceeds of a liquidation will be distributed in the following order: (1) first, to pay the expenses of winding up GoHealth Holdings, LLC; (2) second, to pay debts and liabilities owed to creditors of GoHealth Holdings, LLC, other than members; and (3) third, to the members pro-rata in accordance with their respective percentage ownership interests in GoHealth Holdings, LLC (as determined based on the number of LLC Interests held by a member relative to the aggregate number of all outstanding LLC Interests).</w:t>
      </w:r>
    </w:p>
    <w:p>
      <w:pPr>
        <w:spacing w:after="0" w:line="206" w:lineRule="exact"/>
        <w:rPr>
          <w:rFonts w:ascii="Arial" w:cs="Arial" w:eastAsia="Arial" w:hAnsi="Arial"/>
          <w:sz w:val="17"/>
          <w:szCs w:val="17"/>
          <w:color w:val="auto"/>
        </w:rPr>
      </w:pPr>
    </w:p>
    <w:p>
      <w:pPr>
        <w:ind w:left="1140" w:right="40" w:hanging="438"/>
        <w:spacing w:after="0" w:line="272" w:lineRule="auto"/>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We, as manager, and each member agree to maintain the confidentiality of GoHealth Holdings, LLC’s confidential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This obligation excludes information independently obtained or developed by the members, information that is in the public domain or otherwise disclosed to a member, in either such case not in violation of a confidentiality obligation of the GoHealth Holdings, LLC Agreement or approved for release by written authorization of the Chief Executive Officer, the Chief Financial Officer or the General Counsel of either GoHealth, Inc. or GoHealth Holdings, LLC.</w:t>
      </w:r>
    </w:p>
    <w:p>
      <w:pPr>
        <w:spacing w:after="0" w:line="202" w:lineRule="exact"/>
        <w:rPr>
          <w:rFonts w:ascii="Arial" w:cs="Arial" w:eastAsia="Arial" w:hAnsi="Arial"/>
          <w:sz w:val="17"/>
          <w:szCs w:val="17"/>
          <w:color w:val="auto"/>
        </w:rPr>
      </w:pPr>
    </w:p>
    <w:p>
      <w:pPr>
        <w:ind w:left="1140" w:right="440" w:hanging="438"/>
        <w:spacing w:after="0" w:line="271"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The GoHealth Holdings, LLC Agreement will provide for indemnification of the manager, members and officers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their respective subsidiaries or affiliates.</w:t>
      </w:r>
    </w:p>
    <w:p>
      <w:pPr>
        <w:spacing w:after="0" w:line="201" w:lineRule="exact"/>
        <w:rPr>
          <w:rFonts w:ascii="Arial" w:cs="Arial" w:eastAsia="Arial" w:hAnsi="Arial"/>
          <w:sz w:val="18"/>
          <w:szCs w:val="18"/>
          <w:color w:val="auto"/>
        </w:rPr>
      </w:pPr>
    </w:p>
    <w:p>
      <w:pPr>
        <w:ind w:left="1140" w:hanging="438"/>
        <w:spacing w:after="0" w:line="265" w:lineRule="auto"/>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Common Unit Redemption Right</w:t>
      </w:r>
      <w:r>
        <w:rPr>
          <w:rFonts w:ascii="Arial" w:cs="Arial" w:eastAsia="Arial" w:hAnsi="Arial"/>
          <w:sz w:val="17"/>
          <w:szCs w:val="17"/>
          <w:color w:val="auto"/>
        </w:rPr>
        <w:t>. The GoHealth Holdings, LLC Agreement will provide a redemption right to the Continuing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 which will entitle them to have their LLC Interests redeemed for, at our election (determined solely by our independent directors (within the meaning of the Nasdaq rules)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automatically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90" w:lineRule="exact"/>
        <w:rPr>
          <w:sz w:val="20"/>
          <w:szCs w:val="20"/>
          <w:color w:val="auto"/>
        </w:rPr>
      </w:pPr>
    </w:p>
    <w:p>
      <w:pPr>
        <w:ind w:left="1140" w:right="180"/>
        <w:spacing w:after="0" w:line="268" w:lineRule="auto"/>
        <w:rPr>
          <w:sz w:val="20"/>
          <w:szCs w:val="20"/>
          <w:color w:val="auto"/>
        </w:rPr>
      </w:pPr>
      <w:r>
        <w:rPr>
          <w:rFonts w:ascii="Arial" w:cs="Arial" w:eastAsia="Arial" w:hAnsi="Arial"/>
          <w:sz w:val="17"/>
          <w:szCs w:val="17"/>
          <w:color w:val="auto"/>
        </w:rPr>
        <w:t>Each Continuing Equity Owner’s redemption rights will be subject to certain customary limitations, including the expiration of any contractual lock-up period relating to the shares of our Class A common stock that may be applicable to such Continuing Equity Owner and the absence of any liens or encumbrances on such LLC Interests redeemed. Additionally, in the case we elect a cash settlement, such Continuing Equity Owner may rescind its redemption request within a specified period of time. Moreover, in the case of a settlement in Class A common stock, such redemption may be conditioned on the closing of an underwritten distribution of the shares of Class A common stock that may be issued in connection with such proposed redemption. In the case of a settlement in Class A common stock, such Continuing Equity Owner may also revoke or delay its redemption request if the following conditions exist: (1) any registration statement pursuant to which the resale of the Class A common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140" w:right="420"/>
        <w:spacing w:after="0" w:line="328" w:lineRule="auto"/>
        <w:rPr>
          <w:sz w:val="20"/>
          <w:szCs w:val="20"/>
          <w:color w:val="auto"/>
        </w:rPr>
      </w:pPr>
      <w:r>
        <w:rPr>
          <w:rFonts w:ascii="Arial" w:cs="Arial" w:eastAsia="Arial" w:hAnsi="Arial"/>
          <w:sz w:val="14"/>
          <w:szCs w:val="14"/>
          <w:color w:val="auto"/>
        </w:rPr>
        <w:t>stock to be registered for such Continuing Equity Owner at or immediately following the consummation of the redemption shall have ceased to be effective pursuant to any action or inaction by the SEC or no such resale registration statement has yet become effective;</w:t>
      </w:r>
    </w:p>
    <w:p>
      <w:pPr>
        <w:spacing w:after="0" w:line="1" w:lineRule="exact"/>
        <w:rPr>
          <w:sz w:val="20"/>
          <w:szCs w:val="20"/>
          <w:color w:val="auto"/>
        </w:rPr>
      </w:pPr>
    </w:p>
    <w:p>
      <w:pPr>
        <w:ind w:left="1140" w:right="20" w:firstLine="10"/>
        <w:spacing w:after="0" w:line="264" w:lineRule="auto"/>
        <w:tabs>
          <w:tab w:leader="none" w:pos="139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failed to cause any 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Continuing Equity Owner to have its Class A common stock registered at or immediately following the consummation of the redemption; (4) such Continuing Equity Owner is in possession of any material non-public information concerning us, the receipt of which results in such Continuing Equity Owner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Continuing Equity Owner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Continuing Equity Owner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87" w:lineRule="exact"/>
        <w:rPr>
          <w:sz w:val="20"/>
          <w:szCs w:val="20"/>
          <w:color w:val="auto"/>
        </w:rPr>
      </w:pPr>
    </w:p>
    <w:p>
      <w:pPr>
        <w:ind w:left="1140"/>
        <w:spacing w:after="0" w:line="267" w:lineRule="auto"/>
        <w:rPr>
          <w:sz w:val="20"/>
          <w:szCs w:val="20"/>
          <w:color w:val="auto"/>
        </w:rPr>
      </w:pPr>
      <w:r>
        <w:rPr>
          <w:rFonts w:ascii="Arial" w:cs="Arial" w:eastAsia="Arial" w:hAnsi="Arial"/>
          <w:sz w:val="17"/>
          <w:szCs w:val="17"/>
          <w:color w:val="auto"/>
        </w:rPr>
        <w:t>The GoHealth Holdings, LLC Agreement will require that in the case of a redemption by a Continuing Equity Owner we contribute cash or shares of our Class A common stock, as applicable, to GoHealth Holdings, LLC in exchange for an amount of newly-issued LLC Interests that will be issued to us equal to the number of LLC Interests redeemed from the Continuing Equity Owner. GoHealth Holdings, LLC will then distribute the cash or shares of our Class A common stock, as applicable, to such Continuing Equity Owner to complete the redemption. In the event of an election by a Continuing Equity Owner, we may, at our option, effect a direct exchange by GoHealth,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209" w:lineRule="exact"/>
        <w:rPr>
          <w:sz w:val="20"/>
          <w:szCs w:val="20"/>
          <w:color w:val="auto"/>
        </w:rPr>
      </w:pPr>
    </w:p>
    <w:p>
      <w:pPr>
        <w:ind w:left="1140" w:right="80" w:hanging="438"/>
        <w:spacing w:after="0" w:line="259"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In addition to certain other requirements, our consent, as manager, and the consent of members holding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Interests then outstanding and entitled to vote (excluding LLC Interests held directly or indirectly by us) will generally be required to amend or modify the GoHealth Holdings, LLC Agreement.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4" w:lineRule="exact"/>
        <w:rPr>
          <w:sz w:val="20"/>
          <w:szCs w:val="20"/>
          <w:color w:val="auto"/>
        </w:rPr>
      </w:pPr>
    </w:p>
    <w:p>
      <w:pPr>
        <w:ind w:left="160"/>
        <w:spacing w:after="0"/>
        <w:tabs>
          <w:tab w:leader="none" w:pos="7000" w:val="left"/>
        </w:tabs>
        <w:rPr>
          <w:sz w:val="20"/>
          <w:szCs w:val="20"/>
          <w:color w:val="auto"/>
        </w:rPr>
      </w:pPr>
      <w:r>
        <w:rPr>
          <w:rFonts w:ascii="Arial" w:cs="Arial" w:eastAsia="Arial" w:hAnsi="Arial"/>
          <w:sz w:val="18"/>
          <w:szCs w:val="18"/>
          <w:color w:val="auto"/>
        </w:rPr>
        <w:t>Pursuant to the Stockholders Agreement, Centerbridge will have the right to designate</w:t>
      </w:r>
      <w:r>
        <w:rPr>
          <w:sz w:val="20"/>
          <w:szCs w:val="20"/>
          <w:color w:val="auto"/>
        </w:rPr>
        <w:tab/>
      </w:r>
      <w:r>
        <w:rPr>
          <w:rFonts w:ascii="Arial" w:cs="Arial" w:eastAsia="Arial" w:hAnsi="Arial"/>
          <w:sz w:val="16"/>
          <w:szCs w:val="16"/>
          <w:color w:val="auto"/>
        </w:rPr>
        <w:t>of our directors, or the Centerbridge Directors, which</w:t>
      </w:r>
    </w:p>
    <w:p>
      <w:pPr>
        <w:spacing w:after="0" w:line="2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will be Centerbridge Directors for as long as Centerbridge directly or indirectly, beneficially owns, in the aggregate, % or more of our Class A common stock (assuming that all outstanding LLC Interests in GoHealth Holdings, LLC are redeemed for newly-issued shares of our Class A common</w:t>
      </w:r>
    </w:p>
    <w:p>
      <w:pPr>
        <w:ind w:left="160" w:right="120"/>
        <w:spacing w:after="0" w:line="249" w:lineRule="auto"/>
        <w:rPr>
          <w:sz w:val="20"/>
          <w:szCs w:val="20"/>
          <w:color w:val="auto"/>
        </w:rPr>
      </w:pPr>
      <w:r>
        <w:rPr>
          <w:rFonts w:ascii="Arial" w:cs="Arial" w:eastAsia="Arial" w:hAnsi="Arial"/>
          <w:sz w:val="18"/>
          <w:szCs w:val="18"/>
          <w:color w:val="auto"/>
        </w:rPr>
        <w:t>stock on a one-for-one basis), and our Founders shall have the right to designate of our directors, or the Founders Directors, which will be the Founders Directors for as long as our Founders directly or indirectly, beneficially own, in the aggregate, % or more of our Class A common stock (assuming that all outstanding LLC Interests are redeemed for newly-issued shares of our class A common stock on a one-for-one basis). Each of Centerbridge and our Founders will also agree to vote, or cause to vote, all of their outstanding shares of our Class A common stock and Class B common stock at any annual or special meeting of stockholders in which directors are elected, so as to cause the election of the Centerbridge Directors, Founders Directors and</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one of our Founders for as long as such individual is our Chief Executive Officer. Additionally, pursuant to the Stockholders Agreement, we shall take</w:t>
      </w:r>
    </w:p>
    <w:p>
      <w:pPr>
        <w:spacing w:after="0" w:line="43"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all commercially reasonable actions to cause (1) the board of directors to be comprised of at least directors or such other number of directors as our board of directors may determine; (2)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See “Management—Composition of our Board of Directors.”</w:t>
      </w:r>
    </w:p>
    <w:p>
      <w:pPr>
        <w:spacing w:after="0" w:line="168" w:lineRule="exact"/>
        <w:rPr>
          <w:sz w:val="20"/>
          <w:szCs w:val="20"/>
          <w:color w:val="auto"/>
        </w:rPr>
      </w:pPr>
    </w:p>
    <w:p>
      <w:pPr>
        <w:ind w:left="160" w:right="120"/>
        <w:spacing w:after="0" w:line="284" w:lineRule="auto"/>
        <w:rPr>
          <w:sz w:val="20"/>
          <w:szCs w:val="20"/>
          <w:color w:val="auto"/>
        </w:rPr>
      </w:pPr>
      <w:r>
        <w:rPr>
          <w:rFonts w:ascii="Arial" w:cs="Arial" w:eastAsia="Arial" w:hAnsi="Arial"/>
          <w:sz w:val="16"/>
          <w:szCs w:val="16"/>
          <w:color w:val="auto"/>
        </w:rPr>
        <w:t>In addition, the Stockholders Agreement provides that for as long as beneficially own, directly or indirectly, in the aggregate, %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w:t>
      </w:r>
    </w:p>
    <w:p>
      <w:pPr>
        <w:spacing w:after="0" w:line="2" w:lineRule="exact"/>
        <w:rPr>
          <w:sz w:val="20"/>
          <w:szCs w:val="20"/>
          <w:color w:val="auto"/>
        </w:rPr>
      </w:pPr>
    </w:p>
    <w:p>
      <w:pPr>
        <w:ind w:left="160"/>
        <w:spacing w:after="0"/>
        <w:tabs>
          <w:tab w:leader="none" w:pos="5460" w:val="left"/>
        </w:tabs>
        <w:rPr>
          <w:sz w:val="20"/>
          <w:szCs w:val="20"/>
          <w:color w:val="auto"/>
        </w:rPr>
      </w:pPr>
      <w:r>
        <w:rPr>
          <w:rFonts w:ascii="Arial" w:cs="Arial" w:eastAsia="Arial" w:hAnsi="Arial"/>
          <w:sz w:val="18"/>
          <w:szCs w:val="18"/>
          <w:color w:val="auto"/>
        </w:rPr>
        <w:t>consolidation or otherwise) without the prior written approval of</w:t>
      </w:r>
      <w:r>
        <w:rPr>
          <w:sz w:val="20"/>
          <w:szCs w:val="20"/>
          <w:color w:val="auto"/>
        </w:rPr>
        <w:tab/>
      </w:r>
      <w:r>
        <w:rPr>
          <w:rFonts w:ascii="Arial" w:cs="Arial" w:eastAsia="Arial" w:hAnsi="Arial"/>
          <w:sz w:val="17"/>
          <w:szCs w:val="17"/>
          <w:color w:val="auto"/>
        </w:rPr>
        <w:t>, including:</w:t>
      </w:r>
    </w:p>
    <w:p>
      <w:pPr>
        <w:spacing w:after="0" w:line="115" w:lineRule="exact"/>
        <w:rPr>
          <w:sz w:val="20"/>
          <w:szCs w:val="20"/>
          <w:color w:val="auto"/>
        </w:rPr>
      </w:pPr>
    </w:p>
    <w:p>
      <w:pPr>
        <w:ind w:left="1840" w:hanging="1138"/>
        <w:spacing w:after="0"/>
        <w:tabs>
          <w:tab w:leader="none" w:pos="18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and</w:t>
      </w:r>
    </w:p>
    <w:p>
      <w:pPr>
        <w:spacing w:after="0" w:line="127" w:lineRule="exact"/>
        <w:rPr>
          <w:rFonts w:ascii="Arial" w:cs="Arial" w:eastAsia="Arial" w:hAnsi="Arial"/>
          <w:sz w:val="18"/>
          <w:szCs w:val="18"/>
          <w:color w:val="auto"/>
        </w:rPr>
      </w:pPr>
    </w:p>
    <w:p>
      <w:pPr>
        <w:ind w:left="1840" w:hanging="1138"/>
        <w:spacing w:after="0"/>
        <w:tabs>
          <w:tab w:leader="none" w:pos="18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160"/>
        <w:spacing w:after="0"/>
        <w:tabs>
          <w:tab w:leader="none" w:pos="6020" w:val="left"/>
        </w:tabs>
        <w:rPr>
          <w:sz w:val="20"/>
          <w:szCs w:val="20"/>
          <w:color w:val="auto"/>
        </w:rPr>
      </w:pPr>
      <w:r>
        <w:rPr>
          <w:rFonts w:ascii="Arial" w:cs="Arial" w:eastAsia="Arial" w:hAnsi="Arial"/>
          <w:sz w:val="18"/>
          <w:szCs w:val="18"/>
          <w:color w:val="auto"/>
        </w:rPr>
        <w:t>The Stockholders Agreement will terminate upon the earlier to occur of</w:t>
      </w:r>
      <w:r>
        <w:rPr>
          <w:sz w:val="20"/>
          <w:szCs w:val="20"/>
          <w:color w:val="auto"/>
        </w:rPr>
        <w:tab/>
      </w:r>
      <w:r>
        <w:rPr>
          <w:rFonts w:ascii="Arial" w:cs="Arial" w:eastAsia="Arial" w:hAnsi="Arial"/>
          <w:sz w:val="14"/>
          <w:szCs w:val="14"/>
          <w:color w:val="auto"/>
        </w:rPr>
        <w: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We intend to enter into a Registration Rights Agreement with certain of the Continuing Equity Owners in connection with this offering. The Registration Rights Agreement will provide certain of the Continuing Equity Owners with “demand” registration rights whereby, at any time after 180 days following our initial public offering and the expiration of any related lock-up period, such Continuing Equity Owners can require us to register under the Securities Act the offer and sale of shares of Class A common stock issuable to them, at our election (determined solely by our independent directors (within the meaning of the Nasdaq rules) who are disinterested), upon redemption or exchange of their LLC Interests. The Registration Rights Agreement will also provide for customary “piggyback” registration rights for all parties to the agreement.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We intend to enter into an employment agreement with certain of our named executive officers in connection with this offering. See “Executive Compensation.”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 of the Class A common stock offered by this prospectus for sale to certain of our directors, officers and employees through a directed share program. See “Underwriting—Directed Share Program” for more information.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1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6" w:right="5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with respect to the beneficial ownership of our Class A common stock and Class B common stock</w:t>
      </w:r>
    </w:p>
    <w:p>
      <w:pPr>
        <w:spacing w:after="0" w:line="31" w:lineRule="exact"/>
        <w:rPr>
          <w:sz w:val="20"/>
          <w:szCs w:val="20"/>
          <w:color w:val="auto"/>
        </w:rPr>
      </w:pPr>
    </w:p>
    <w:p>
      <w:pPr>
        <w:ind w:left="160" w:right="300" w:firstLine="7"/>
        <w:spacing w:after="0" w:line="256" w:lineRule="auto"/>
        <w:tabs>
          <w:tab w:leader="none" w:pos="4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(excluding this offering), as described in “Our Organizational Structure” and (2) as adjusted to give effect to this offering, for:</w:t>
      </w:r>
    </w:p>
    <w:p>
      <w:pPr>
        <w:spacing w:after="0" w:line="93" w:lineRule="exact"/>
        <w:rPr>
          <w:rFonts w:ascii="Arial" w:cs="Arial" w:eastAsia="Arial" w:hAnsi="Arial"/>
          <w:sz w:val="18"/>
          <w:szCs w:val="18"/>
          <w:color w:val="auto"/>
        </w:rPr>
      </w:pPr>
    </w:p>
    <w:p>
      <w:pPr>
        <w:ind w:left="1140" w:hanging="438"/>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auto"/>
        </w:rPr>
        <w:t>As described in “Our Organizational Structure” and “Certain Relationships and Related Party Transactions,” each common unit (other than LLC Interests held by us) is redeemable from time to time at each holder’s option for, at our election (determined solely by our independent directors (within the meaning of the Nasdaq rules)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connection with this offering, we will issue to each Continuing Equity Owner, for nominal consideration, one share of Class B common stock for each common unit of GoHealth Holdings, LLC such Continuing Equity Owner will own, respectively. As a result, the number of shares of Class B common stock listed in the table below correlates to the number of LLC Interests Centerbridge and our Founders will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shares of Class B common stock held by the beneficial owners set forth in the table below after the consummation of the Transactions will vary, depending on the initial public offering price in this offering. The table below</w:t>
      </w:r>
    </w:p>
    <w:p>
      <w:pPr>
        <w:spacing w:after="0" w:line="4" w:lineRule="exact"/>
        <w:rPr>
          <w:sz w:val="20"/>
          <w:szCs w:val="20"/>
          <w:color w:val="auto"/>
        </w:rPr>
      </w:pPr>
    </w:p>
    <w:p>
      <w:pPr>
        <w:ind w:left="160" w:right="20"/>
        <w:spacing w:after="0" w:line="256" w:lineRule="auto"/>
        <w:rPr>
          <w:sz w:val="20"/>
          <w:szCs w:val="20"/>
          <w:color w:val="auto"/>
        </w:rPr>
      </w:pPr>
      <w:r>
        <w:rPr>
          <w:rFonts w:ascii="Arial" w:cs="Arial" w:eastAsia="Arial" w:hAnsi="Arial"/>
          <w:sz w:val="18"/>
          <w:szCs w:val="18"/>
          <w:color w:val="auto"/>
        </w:rPr>
        <w:t>assumes the shares of Class A common stock are offered at $ per share (the midpoint of the estimated price range set forth on the cover page of this prospectus). See “Our Organizational Structure.”</w:t>
      </w:r>
    </w:p>
    <w:p>
      <w:pPr>
        <w:spacing w:after="0" w:line="188" w:lineRule="exact"/>
        <w:rPr>
          <w:sz w:val="20"/>
          <w:szCs w:val="20"/>
          <w:color w:val="auto"/>
        </w:rPr>
      </w:pPr>
    </w:p>
    <w:p>
      <w:pPr>
        <w:ind w:left="160" w:right="80"/>
        <w:spacing w:after="0" w:line="281"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w:t>
      </w:r>
    </w:p>
    <w:p>
      <w:pPr>
        <w:spacing w:after="0" w:line="4"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after giving effect to the Transactions and before this offering is computed on the basis of shares of our Class A common stock outstanding and shares of our Class B common stock outstanding. The percentage ownership of each individual or entity after the Transactions is computed on the basis of shares of our Class A common stock outstanding and shares of our Class B common stock outstanding. Unless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otherwise indicated, the address of all listed stockholders is 214 West Huron Street, Chicago, Illinois 60654.</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6"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0"/>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ind w:right="38"/>
              <w:spacing w:after="0"/>
              <w:rPr>
                <w:sz w:val="20"/>
                <w:szCs w:val="20"/>
                <w:color w:val="auto"/>
              </w:rPr>
            </w:pPr>
            <w:r>
              <w:rPr>
                <w:rFonts w:ascii="Arial" w:cs="Arial" w:eastAsia="Arial" w:hAnsi="Arial"/>
                <w:sz w:val="12"/>
                <w:szCs w:val="12"/>
                <w:b w:val="1"/>
                <w:bCs w:val="1"/>
                <w:color w:val="auto"/>
                <w:w w:val="90"/>
              </w:rPr>
              <w:t>Class B</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95"/>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320"/>
              <w:spacing w:after="0" w:line="134" w:lineRule="exact"/>
              <w:rPr>
                <w:sz w:val="20"/>
                <w:szCs w:val="20"/>
                <w:color w:val="auto"/>
              </w:rPr>
            </w:pPr>
            <w:r>
              <w:rPr>
                <w:rFonts w:ascii="Arial" w:cs="Arial" w:eastAsia="Arial" w:hAnsi="Arial"/>
                <w:sz w:val="12"/>
                <w:szCs w:val="12"/>
                <w:b w:val="1"/>
                <w:bCs w:val="1"/>
                <w:color w:val="auto"/>
                <w:w w:val="93"/>
              </w:rPr>
              <w:t>Common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left="278"/>
              <w:spacing w:after="0" w:line="134"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Combined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b w:val="1"/>
                <w:bCs w:val="1"/>
                <w:color w:val="auto"/>
                <w:w w:val="95"/>
              </w:rPr>
              <w:t>Owned(1)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4"/>
              </w:rPr>
              <w:t>Owned</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4"/>
              </w:rPr>
              <w:t>Voting Power(2)</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ind w:left="78"/>
              <w:spacing w:after="0" w:line="109"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After</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After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6"/>
              </w:rPr>
              <w:t>Giving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Giving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Giving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6"/>
              </w:rPr>
              <w:t>Giving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7"/>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Transactions</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and</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5"/>
              </w:rPr>
              <w:t>Effect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and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this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and</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8"/>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4"/>
              </w:rPr>
              <w:t>Offering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this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4"/>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3"/>
              </w:rPr>
              <w:t>and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90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8"/>
              </w:rPr>
              <w:t>Offering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(With Full</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2"/>
              </w:rPr>
              <w:t>and Before</w:t>
            </w: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w w:val="89"/>
              </w:rPr>
              <w:t>Before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(No Exercise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89"/>
              </w:rPr>
              <w:t>Exercise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Exercise</w:t>
            </w:r>
          </w:p>
        </w:tc>
        <w:tc>
          <w:tcPr>
            <w:tcW w:w="0" w:type="dxa"/>
            <w:vAlign w:val="bottom"/>
          </w:tcPr>
          <w:p>
            <w:pPr>
              <w:spacing w:after="0"/>
              <w:rPr>
                <w:sz w:val="1"/>
                <w:szCs w:val="1"/>
                <w:color w:val="auto"/>
              </w:rPr>
            </w:pPr>
          </w:p>
        </w:tc>
      </w:tr>
      <w:tr>
        <w:trPr>
          <w:trHeight w:val="152"/>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w w:val="93"/>
              </w:rPr>
              <w:t>Name of beneficial owner</w:t>
            </w:r>
          </w:p>
        </w:tc>
        <w:tc>
          <w:tcPr>
            <w:tcW w:w="13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this Offering</w:t>
            </w:r>
          </w:p>
        </w:tc>
        <w:tc>
          <w:tcPr>
            <w:tcW w:w="200" w:type="dxa"/>
            <w:vAlign w:val="bottom"/>
          </w:tcPr>
          <w:p>
            <w:pPr>
              <w:spacing w:after="0"/>
              <w:rPr>
                <w:sz w:val="13"/>
                <w:szCs w:val="13"/>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3"/>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ind w:left="98"/>
              <w:spacing w:after="0"/>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5"/>
              </w:rPr>
              <w:t>this Offering</w:t>
            </w:r>
          </w:p>
        </w:tc>
        <w:tc>
          <w:tcPr>
            <w:tcW w:w="4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Option)</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19"/>
        </w:trPr>
        <w:tc>
          <w:tcPr>
            <w:tcW w:w="1380" w:type="dxa"/>
            <w:vAlign w:val="bottom"/>
            <w:tcBorders>
              <w:bottom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2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46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w w:val="92"/>
              </w:rPr>
              <w:t>Number</w:t>
            </w:r>
          </w:p>
        </w:tc>
        <w:tc>
          <w:tcPr>
            <w:tcW w:w="5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4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w w:val="96"/>
              </w:rPr>
              <w:t>Number</w:t>
            </w:r>
          </w:p>
        </w:tc>
        <w:tc>
          <w:tcPr>
            <w:tcW w:w="200" w:type="dxa"/>
            <w:vAlign w:val="bottom"/>
          </w:tcPr>
          <w:p>
            <w:pPr>
              <w:spacing w:after="0"/>
              <w:rPr>
                <w:sz w:val="9"/>
                <w:szCs w:val="9"/>
                <w:color w:val="auto"/>
              </w:rPr>
            </w:pPr>
          </w:p>
        </w:tc>
        <w:tc>
          <w:tcPr>
            <w:tcW w:w="6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i w:val="1"/>
          <w:iCs w:val="1"/>
          <w:color w:val="auto"/>
        </w:rPr>
        <w:t>5% Stockholders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Centerbridge Capital Partners III, L.P.</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546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Directors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Clinton P. Jones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Shane E. Cruz</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James A. Sharman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Rahm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63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Joseph G. Flanagan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Jeremy W. Gelber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Miriam A. Tawil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Alexander E. Timm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directors, director designees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3822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 officers as a group</w:t>
      </w:r>
    </w:p>
    <w:p>
      <w:pPr>
        <w:spacing w:after="0" w:line="17" w:lineRule="exact"/>
        <w:rPr>
          <w:sz w:val="20"/>
          <w:szCs w:val="20"/>
          <w:color w:val="auto"/>
        </w:rPr>
      </w:pPr>
    </w:p>
    <w:p>
      <w:pPr>
        <w:ind w:left="900" w:hanging="572"/>
        <w:spacing w:after="0"/>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persons)</w:t>
      </w:r>
    </w:p>
    <w:p>
      <w:pPr>
        <w:spacing w:after="0" w:line="315"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645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ind w:left="600" w:hanging="433"/>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common unit is redeemable from time to time at each holder’s option for, at our election (determined solely by our independent directors</w:t>
      </w:r>
    </w:p>
    <w:p>
      <w:pPr>
        <w:spacing w:after="0" w:line="30" w:lineRule="exact"/>
        <w:rPr>
          <w:sz w:val="20"/>
          <w:szCs w:val="20"/>
          <w:color w:val="auto"/>
        </w:rPr>
      </w:pPr>
    </w:p>
    <w:p>
      <w:pPr>
        <w:jc w:val="both"/>
        <w:ind w:left="600"/>
        <w:spacing w:after="0" w:line="279" w:lineRule="auto"/>
        <w:rPr>
          <w:sz w:val="20"/>
          <w:szCs w:val="20"/>
          <w:color w:val="auto"/>
        </w:rPr>
      </w:pPr>
      <w:r>
        <w:rPr>
          <w:rFonts w:ascii="Arial" w:cs="Arial" w:eastAsia="Arial" w:hAnsi="Arial"/>
          <w:sz w:val="16"/>
          <w:szCs w:val="16"/>
          <w:color w:val="auto"/>
        </w:rPr>
        <w:t>(within the meaning of the rules of the )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w:t>
      </w:r>
    </w:p>
    <w:p>
      <w:pPr>
        <w:ind w:left="600" w:right="20"/>
        <w:spacing w:after="0" w:line="279" w:lineRule="auto"/>
        <w:rPr>
          <w:sz w:val="20"/>
          <w:szCs w:val="20"/>
          <w:color w:val="auto"/>
        </w:rPr>
      </w:pPr>
      <w:r>
        <w:rPr>
          <w:rFonts w:ascii="Arial" w:cs="Arial" w:eastAsia="Arial" w:hAnsi="Arial"/>
          <w:sz w:val="16"/>
          <w:szCs w:val="16"/>
          <w:color w:val="auto"/>
        </w:rPr>
        <w:t>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these tables, beneficial ownership of LLC Interests has been reflected as beneficial ownership of shares of our Class A common stock for which such LLC Interests may be exchanged. When a common unit is exchanged by Centerbridge, who holds shares of our Class B common stock, a corresponding share of Class B common stock will be cancelled.</w:t>
      </w:r>
    </w:p>
    <w:p>
      <w:pPr>
        <w:spacing w:after="0" w:line="1" w:lineRule="exact"/>
        <w:rPr>
          <w:sz w:val="20"/>
          <w:szCs w:val="20"/>
          <w:color w:val="auto"/>
        </w:rPr>
      </w:pPr>
    </w:p>
    <w:p>
      <w:pPr>
        <w:ind w:left="600" w:right="160" w:hanging="433"/>
        <w:spacing w:after="0" w:line="318" w:lineRule="auto"/>
        <w:tabs>
          <w:tab w:leader="none" w:pos="6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w:t>
      </w:r>
    </w:p>
    <w:p>
      <w:pPr>
        <w:spacing w:after="0" w:line="1" w:lineRule="exact"/>
        <w:rPr>
          <w:sz w:val="20"/>
          <w:szCs w:val="20"/>
          <w:color w:val="auto"/>
        </w:rPr>
      </w:pPr>
    </w:p>
    <w:p>
      <w:pPr>
        <w:ind w:left="600" w:right="220"/>
        <w:spacing w:after="0" w:line="252" w:lineRule="auto"/>
        <w:rPr>
          <w:sz w:val="20"/>
          <w:szCs w:val="20"/>
          <w:color w:val="auto"/>
        </w:rPr>
      </w:pPr>
      <w:r>
        <w:rPr>
          <w:rFonts w:ascii="Arial" w:cs="Arial" w:eastAsia="Arial" w:hAnsi="Arial"/>
          <w:sz w:val="18"/>
          <w:szCs w:val="18"/>
          <w:color w:val="auto"/>
        </w:rPr>
        <w:t>thereof to votes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40"/>
          </w:cols>
          <w:pgMar w:left="320" w:top="456" w:right="5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A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rPr>
              <w:t>per share;</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B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w w:val="84"/>
              </w:rPr>
              <w:t>per share; and</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rPr>
              <w:t>shares of preferred stock, par value $</w:t>
            </w:r>
          </w:p>
        </w:tc>
        <w:tc>
          <w:tcPr>
            <w:tcW w:w="1640" w:type="dxa"/>
            <w:vAlign w:val="bottom"/>
          </w:tcPr>
          <w:p>
            <w:pPr>
              <w:ind w:left="80"/>
              <w:spacing w:after="0"/>
              <w:rPr>
                <w:sz w:val="20"/>
                <w:szCs w:val="20"/>
                <w:color w:val="auto"/>
              </w:rPr>
            </w:pPr>
            <w:r>
              <w:rPr>
                <w:rFonts w:ascii="Arial" w:cs="Arial" w:eastAsia="Arial" w:hAnsi="Arial"/>
                <w:sz w:val="18"/>
                <w:szCs w:val="18"/>
                <w:color w:val="auto"/>
              </w:rPr>
              <w:t>per share.</w:t>
            </w:r>
          </w:p>
        </w:tc>
      </w:tr>
    </w:tbl>
    <w:p>
      <w:pPr>
        <w:spacing w:after="0" w:line="201" w:lineRule="exact"/>
        <w:rPr>
          <w:sz w:val="20"/>
          <w:szCs w:val="20"/>
          <w:color w:val="auto"/>
        </w:rPr>
      </w:pPr>
    </w:p>
    <w:p>
      <w:pPr>
        <w:jc w:val="both"/>
        <w:ind w:left="160" w:right="80"/>
        <w:spacing w:after="0" w:line="270" w:lineRule="auto"/>
        <w:rPr>
          <w:sz w:val="20"/>
          <w:szCs w:val="20"/>
          <w:color w:val="auto"/>
        </w:rPr>
      </w:pPr>
      <w:r>
        <w:rPr>
          <w:rFonts w:ascii="Arial" w:cs="Arial" w:eastAsia="Arial" w:hAnsi="Arial"/>
          <w:sz w:val="17"/>
          <w:szCs w:val="17"/>
          <w:color w:val="auto"/>
        </w:rPr>
        <w:t>We are selling shares of Class A common stock in this offering ( shares if the underwriters exercise in full their option to purchase additional shares of our Class A common stock). All shares of our Class A common stock outstanding upon consummation of this offering will be fully</w:t>
      </w:r>
    </w:p>
    <w:p>
      <w:pPr>
        <w:spacing w:after="0" w:line="1" w:lineRule="exact"/>
        <w:rPr>
          <w:sz w:val="20"/>
          <w:szCs w:val="20"/>
          <w:color w:val="auto"/>
        </w:rPr>
      </w:pPr>
    </w:p>
    <w:p>
      <w:pPr>
        <w:ind w:left="160" w:right="860"/>
        <w:spacing w:after="0" w:line="256" w:lineRule="auto"/>
        <w:rPr>
          <w:sz w:val="20"/>
          <w:szCs w:val="20"/>
          <w:color w:val="auto"/>
        </w:rPr>
      </w:pPr>
      <w:r>
        <w:rPr>
          <w:rFonts w:ascii="Arial" w:cs="Arial" w:eastAsia="Arial" w:hAnsi="Arial"/>
          <w:sz w:val="18"/>
          <w:szCs w:val="18"/>
          <w:color w:val="auto"/>
        </w:rPr>
        <w:t>paid and non-assessable. We are issuing shares of Class B common stock to the Continuing Equity Owners in connection with the Transactions for nominal consideration.</w:t>
      </w:r>
    </w:p>
    <w:p>
      <w:pPr>
        <w:spacing w:after="0" w:line="188"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28" w:lineRule="exact"/>
        <w:rPr>
          <w:sz w:val="20"/>
          <w:szCs w:val="20"/>
          <w:color w:val="auto"/>
        </w:rPr>
      </w:pPr>
    </w:p>
    <w:p>
      <w:pPr>
        <w:jc w:val="both"/>
        <w:ind w:left="160" w:right="80"/>
        <w:spacing w:after="0" w:line="281"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4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share of our Class B common stock entitles its holders to one vote per share on all matters presented to our stockholders generally.</w:t>
      </w:r>
    </w:p>
    <w:p>
      <w:pPr>
        <w:spacing w:after="0" w:line="232"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Shares of Class B common stock will be issued in the future only to the extent necessary to maintain a one-to-one ratio between the number of LLC Interests held by the Continuing Equity Owners and the number of shares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6" w:right="5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Transactions—GoHealth Holdings, LLC Agreement.”</w:t>
      </w:r>
    </w:p>
    <w:p>
      <w:pPr>
        <w:spacing w:after="0" w:line="169"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6"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78" w:lineRule="exact"/>
        <w:rPr>
          <w:sz w:val="20"/>
          <w:szCs w:val="20"/>
          <w:color w:val="auto"/>
        </w:rPr>
      </w:pPr>
    </w:p>
    <w:p>
      <w:pPr>
        <w:ind w:left="160"/>
        <w:spacing w:after="0"/>
        <w:tabs>
          <w:tab w:leader="none" w:pos="8320" w:val="left"/>
        </w:tabs>
        <w:rPr>
          <w:sz w:val="20"/>
          <w:szCs w:val="20"/>
          <w:color w:val="auto"/>
        </w:rPr>
      </w:pPr>
      <w:r>
        <w:rPr>
          <w:rFonts w:ascii="Arial" w:cs="Arial" w:eastAsia="Arial" w:hAnsi="Arial"/>
          <w:sz w:val="18"/>
          <w:szCs w:val="18"/>
          <w:color w:val="auto"/>
        </w:rPr>
        <w:t>Upon the consummation of the Transactions, the Continuing Equity Owners will own, in the aggregate,</w:t>
      </w:r>
      <w:r>
        <w:rPr>
          <w:sz w:val="20"/>
          <w:szCs w:val="20"/>
          <w:color w:val="auto"/>
        </w:rPr>
        <w:tab/>
      </w:r>
      <w:r>
        <w:rPr>
          <w:rFonts w:ascii="Arial" w:cs="Arial" w:eastAsia="Arial" w:hAnsi="Arial"/>
          <w:sz w:val="16"/>
          <w:szCs w:val="16"/>
          <w:color w:val="auto"/>
        </w:rPr>
        <w:t>shares of our Class B common stock.</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Upon the consummation of the Transactions and the effectiveness of our amended and restated certificate of incorporation that will become effective</w:t>
      </w:r>
    </w:p>
    <w:p>
      <w:pPr>
        <w:spacing w:after="0" w:line="43" w:lineRule="exact"/>
        <w:rPr>
          <w:sz w:val="20"/>
          <w:szCs w:val="20"/>
          <w:color w:val="auto"/>
        </w:rPr>
      </w:pPr>
    </w:p>
    <w:p>
      <w:pPr>
        <w:ind w:left="160" w:right="500"/>
        <w:spacing w:after="0" w:line="256" w:lineRule="auto"/>
        <w:rPr>
          <w:sz w:val="20"/>
          <w:szCs w:val="20"/>
          <w:color w:val="auto"/>
        </w:rPr>
      </w:pPr>
      <w:r>
        <w:rPr>
          <w:rFonts w:ascii="Arial" w:cs="Arial" w:eastAsia="Arial" w:hAnsi="Arial"/>
          <w:sz w:val="18"/>
          <w:szCs w:val="18"/>
          <w:color w:val="auto"/>
        </w:rPr>
        <w:t>immediately prior to the consummation of the Transactions, the total of our authorized shares of preferred stock will be shares. Upon the consummation of the Transactions, we will have no shares of preferred stock outstanding.</w:t>
      </w:r>
    </w:p>
    <w:p>
      <w:pPr>
        <w:spacing w:after="0" w:line="188"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We intend to enter into a Registration Rights Agreement with certain of the Continuing Equity Owners in connection with this offering pursuant to which such parties will have specified rights to require us to register all or a portion of their shares under the Securities Act. See “Certain Relationships and Related Party Transactions—Registration Rights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Forum Selection</w:t>
      </w:r>
    </w:p>
    <w:p>
      <w:pPr>
        <w:spacing w:after="0" w:line="118"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will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Shares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as described under “Certain Relationships and Related Party Transactions—GoHealth Holdings, LLC Agreement—</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Agreement in Effect Upon Consummation of the Transactions—Common Unit Redemption Right,”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Classified Board of Directors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the classes as nearly equal in number as possible and each class serving three-year staggered terms. Pursuant to the terms of the Stockholders Agreement, directors designated by Centerbridge may only be removed with or without cause by the request of the party entitled to designate such director. In all other cases and at any other time, directors may only be removed from our board of directors for cause by the affirmative vote of a majority of the shares entitled to vote. See “Management—Composition of our Board of Directors.” These provisions may have the effect of deferring, delaying or discouraging hostile takeovers, or changes in control of us or our management.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18"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at any time when Centerbridge beneficially owns, in the aggregate, at least forty percent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Meetings of Stockholders</w:t>
      </w:r>
    </w:p>
    <w:p>
      <w:pPr>
        <w:spacing w:after="0" w:line="118"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Our amended and restated bylaws will provide that only the chairperson of our board of directors or a majority of our board of directors may call special meetings of our stockholders.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1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In addition, our amended and restated bylaws will establish an advance notice procedure for stockholder proposals to be brought before an annual meeting of stockholders, including proposed nominations of candidates for election to our board of directors; provided, however, that so long as Centerbridge is entitled to nominate a director pursuant to the Stockholders Agreement, such advance notice provisions will not apply to Centerbridge in connection with the nomination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18"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consummation of the Transactions, our bylaws may be amended or repealed by (i) a majority vote of our board of directors or (ii) at any time when Centerbridge beneficially owns, in the aggregate, less than forty percent (40%) in voting power of the corporation entitled to vote generally in the election of directors, by the affirmative vote of at least sixty-six and two-thirds percent (66 2/3%) of the voting power of all outstanding voting stock of the corporation entitled to vote, voting together as a single class.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203 of the DGCL</w:t>
      </w:r>
    </w:p>
    <w:p>
      <w:pPr>
        <w:spacing w:after="0" w:line="118" w:lineRule="exact"/>
        <w:rPr>
          <w:sz w:val="20"/>
          <w:szCs w:val="20"/>
          <w:color w:val="auto"/>
        </w:rPr>
      </w:pPr>
    </w:p>
    <w:p>
      <w:pPr>
        <w:ind w:left="160" w:right="140"/>
        <w:spacing w:after="0" w:line="288" w:lineRule="auto"/>
        <w:rPr>
          <w:sz w:val="20"/>
          <w:szCs w:val="20"/>
          <w:color w:val="auto"/>
        </w:rPr>
      </w:pPr>
      <w:r>
        <w:rPr>
          <w:rFonts w:ascii="Arial" w:cs="Arial" w:eastAsia="Arial" w:hAnsi="Arial"/>
          <w:sz w:val="16"/>
          <w:szCs w:val="16"/>
          <w:color w:val="auto"/>
        </w:rPr>
        <w:t>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6"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However, under our amended and restated certificate of incorporation, Centerbridge and NVX Holdings, Inc. and any of their respective affiliates will not be deemed to be interested stockholders regardless of the percentage of our outstanding voting stock owned by them, and accordingly will not be subject to such restrictions.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160"/>
        <w:spacing w:after="0" w:line="251"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Opportunity Doctrine</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Centerbridge, any of our directors who are employees of or affiliated with Centerbridge, or any director or stockholder who is not employed by us or our subsidiaries. Our amended and restated certificate of incorporation will provide that, to the fullest extent permitted by law, Centerbridge, any of our directors who are employees of or affiliated with Centerbridge, or any director or stockholder who is not employed by us or our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Centerbridge, any of our directors who are employees of or affiliated with Centerbridge, or any director or stockholder who is not employed by us or our subsidiaries acquires knowledge of a potential</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GoHealth, Inc.</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18" w:lineRule="exact"/>
        <w:rPr>
          <w:sz w:val="20"/>
          <w:szCs w:val="20"/>
          <w:color w:val="auto"/>
        </w:rPr>
      </w:pPr>
    </w:p>
    <w:p>
      <w:pPr>
        <w:jc w:val="both"/>
        <w:ind w:left="160" w:right="280"/>
        <w:spacing w:after="0" w:line="281"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Stockholders’ Derivative Actions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Trading Symbol and Market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Facilities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On September 13, 2019, in connection with the Centerbridge Acquisition, Norvax, LLC, or the Borrower, entered into a first lien credit agreement, or the Credit Agreement, which provides for the following:</w:t>
      </w:r>
    </w:p>
    <w:p>
      <w:pPr>
        <w:spacing w:after="0" w:line="81" w:lineRule="exact"/>
        <w:rPr>
          <w:sz w:val="20"/>
          <w:szCs w:val="20"/>
          <w:color w:val="auto"/>
        </w:rPr>
      </w:pPr>
    </w:p>
    <w:p>
      <w:pPr>
        <w:ind w:left="1140" w:hanging="438"/>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$300.0 million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$30.0 million aggregate principal amount senior secured revolving credit facility, or the Revolving Credit Facility.</w:t>
      </w:r>
    </w:p>
    <w:p>
      <w:pPr>
        <w:spacing w:after="0" w:line="221"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w:t>
      </w:r>
    </w:p>
    <w:p>
      <w:pPr>
        <w:spacing w:after="0" w:line="175"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As of March 31, 2020, we had $298.5 million and $117.0 million outstanding under the Term Loan Facility and the Incremental Term Loan Facility, respectively. As of March 31, 2020, our capacity under the Revolving Credit Facility was $30.0 million, with $30.0 million available for additional borrowings.</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Additionally, on May 7, 2020, the Borrower entered into an amendment to the Credit Agreement, which provides $20.0 million of additional revolving commitment under the Credit Facilities, or the Incremental Revolving Loan Facility.</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We collectively refer to the Term Loan Facility, the Revolving Credit Facility, the Incremental Term Loan Facility and the Incremental Revolving Loan Facility as the Credit Facilities.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or ABR, loans or LIBO Rate loans. Term loans, incremental term loans and revolving loans comprising each ABR borrowing under the Credit Facilities accrue interest at the ABR plus an applicable rate equal to 5.50% per annum. Term loans, incremental term loans and revolving loans comprising each LIBO Rate borrowing bear interest at the LIBO Rate plus an applicable rate equal to 6.50% per annum.</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4" w:lineRule="exact"/>
        <w:rPr>
          <w:sz w:val="20"/>
          <w:szCs w:val="20"/>
          <w:color w:val="auto"/>
        </w:rPr>
      </w:pPr>
    </w:p>
    <w:p>
      <w:pPr>
        <w:ind w:left="160" w:right="60"/>
        <w:spacing w:after="0" w:line="282" w:lineRule="auto"/>
        <w:rPr>
          <w:sz w:val="20"/>
          <w:szCs w:val="20"/>
          <w:color w:val="auto"/>
        </w:rPr>
      </w:pPr>
      <w:r>
        <w:rPr>
          <w:rFonts w:ascii="Arial" w:cs="Arial" w:eastAsia="Arial" w:hAnsi="Arial"/>
          <w:sz w:val="16"/>
          <w:szCs w:val="16"/>
          <w:color w:val="auto"/>
        </w:rPr>
        <w:t xml:space="preserve">The Credit Agreement requires that the Borrower, following the end of each fiscal year, commencing with the fiscal year ending December 31, 2020, repay the outstanding principal amount of all term loans under the Credit Facilities in an aggregate amount equal to (A) 50% of the excess cash flow of the Borrower and its restricted subsidiaries for such fiscal year if the Total Net Cash Leverage Ratio (as defined in the Credit Agreement) is greater than 4.50:1.00, which percentage is reduced to 25% if the Total Net Cash Leverage Ratio is less than or equal to 4.50:1.00 and greater than 4.00:1.00, which percentage is further reduced to 0% if the Total Net Cash Leverage Ratio is less than or equal to 4.00:1.00,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w:t>
      </w:r>
    </w:p>
    <w:p>
      <w:pPr>
        <w:spacing w:after="0" w:line="2" w:lineRule="exact"/>
        <w:rPr>
          <w:sz w:val="20"/>
          <w:szCs w:val="20"/>
          <w:color w:val="auto"/>
        </w:rPr>
      </w:pPr>
    </w:p>
    <w:p>
      <w:pPr>
        <w:ind w:left="160" w:right="100" w:firstLine="7"/>
        <w:spacing w:after="0" w:line="250" w:lineRule="auto"/>
        <w:tabs>
          <w:tab w:leader="none" w:pos="41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incremental facilities, incremental equivalent debt and/or certain refinancing indebtedness, made during such fiscal year or after such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time such prepayment is due.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60"/>
          </w:cols>
          <w:pgMar w:left="320" w:top="45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w:t>
      </w:r>
    </w:p>
    <w:p>
      <w:pPr>
        <w:spacing w:after="0" w:line="11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Term Loan Facility is payable in quarterly installments (commencing on December 31, 2019) in the principal amount of 0.25% of the original principal amount of the Term Loan Facility. The remaining unpaid balance on the Term Loan Facility, together with all accrued and unpaid interest thereon, is due and payable on or prior to September 13, 2025. The Incremental Term Loan Facility is payable in quarterly installments (commencing on June 30, 2020) in the principal amount of 0.25% of the original principal amount of the Incremental Term Loan Facility. The remaining unpaid balance on the Term Loan Facility and the Incremental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Covenants and Other Matters</w:t>
      </w:r>
    </w:p>
    <w:p>
      <w:pPr>
        <w:spacing w:after="0" w:line="118"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In addition, the Credit Agreement contains financial covenants with respect to each of the Total Net Leverage Ratio, LTV Ratio and Liquidity, as detailed below.</w:t>
      </w:r>
    </w:p>
    <w:p>
      <w:pPr>
        <w:spacing w:after="0" w:line="81" w:lineRule="exact"/>
        <w:rPr>
          <w:sz w:val="20"/>
          <w:szCs w:val="20"/>
          <w:color w:val="auto"/>
        </w:rPr>
      </w:pPr>
    </w:p>
    <w:p>
      <w:pPr>
        <w:ind w:left="1140" w:hanging="438"/>
        <w:spacing w:after="0" w:line="25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Borrower’s Total Net Cash Leverage Ratio requires the Borrower to maintain a Total Net Leverage Ratio no greater than (i) for the fiscal quarter ending on March 31, 2020 to and including the fiscal quarter ending on June 30, 2020, 4.50:1.00, (ii) for the fiscal quarter ending on September 30, 2020 to and including the fiscal quarter ending on December 31, 2020, 4.00:1.00, (iii) for the fiscal quarter ending on March 31, 2021 to and including the fiscal quarter ending on December 31, 2021, 3.50:1.00 and (iv) for the fiscal quarter ending on March 31, 2022 and each fiscal quarter ending thereafter, 3.00:1.00,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102" w:lineRule="exact"/>
        <w:rPr>
          <w:rFonts w:ascii="Arial" w:cs="Arial" w:eastAsia="Arial" w:hAnsi="Arial"/>
          <w:sz w:val="18"/>
          <w:szCs w:val="18"/>
          <w:color w:val="auto"/>
        </w:rPr>
      </w:pPr>
    </w:p>
    <w:p>
      <w:pPr>
        <w:ind w:left="1140" w:right="320" w:hanging="438"/>
        <w:spacing w:after="0" w:line="284" w:lineRule="auto"/>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LTV Covenant requires the Borrower to maintain a LTV Ratio no greater than (i) for the fiscal quarter ending on March 31, 2020 to and including the fiscal quarter ending on June 30, 2020, 2.50:1.00, (ii) for the fiscal quarter ending on September 30, 2020 to and including the fiscal quarter ending on December 31, 2020,</w:t>
      </w:r>
    </w:p>
    <w:p>
      <w:pPr>
        <w:spacing w:after="0" w:line="1" w:lineRule="exact"/>
        <w:rPr>
          <w:rFonts w:ascii="Arial" w:cs="Arial" w:eastAsia="Arial" w:hAnsi="Arial"/>
          <w:sz w:val="16"/>
          <w:szCs w:val="16"/>
          <w:color w:val="auto"/>
        </w:rPr>
      </w:pPr>
    </w:p>
    <w:p>
      <w:pPr>
        <w:ind w:left="1140" w:right="140"/>
        <w:spacing w:after="0" w:line="250" w:lineRule="auto"/>
        <w:rPr>
          <w:rFonts w:ascii="Arial" w:cs="Arial" w:eastAsia="Arial" w:hAnsi="Arial"/>
          <w:sz w:val="16"/>
          <w:szCs w:val="16"/>
          <w:color w:val="auto"/>
        </w:rPr>
      </w:pPr>
      <w:r>
        <w:rPr>
          <w:rFonts w:ascii="Arial" w:cs="Arial" w:eastAsia="Arial" w:hAnsi="Arial"/>
          <w:sz w:val="18"/>
          <w:szCs w:val="18"/>
          <w:color w:val="auto"/>
        </w:rPr>
        <w:t>2.00:1.00, (iii) for the fiscal quarter ending on March 31, 2021, 1.50:1.00, (iv) for the fiscal quarter ending on June 30, 2021 to and including the fiscal quarter ending on December 31, 2021, 1.25:1.00 and (v) for the fiscal quarter ending on March 31, 2022 and each fiscal quarter ending thereafter, 1.00:1.00,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99" w:lineRule="exact"/>
        <w:rPr>
          <w:rFonts w:ascii="Arial" w:cs="Arial" w:eastAsia="Arial" w:hAnsi="Arial"/>
          <w:sz w:val="16"/>
          <w:szCs w:val="16"/>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all times, the Minimum Liquidity Covenant requires the Borrower to maintain Liquidity of no less than $10 million.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is in compliance with all covenants as of March 31, 2020.</w:t>
      </w:r>
    </w:p>
    <w:p>
      <w:pPr>
        <w:spacing w:after="0" w:line="221" w:lineRule="exact"/>
        <w:rPr>
          <w:sz w:val="20"/>
          <w:szCs w:val="20"/>
          <w:color w:val="auto"/>
        </w:rPr>
      </w:pPr>
    </w:p>
    <w:p>
      <w:pPr>
        <w:jc w:val="both"/>
        <w:ind w:left="160" w:right="220"/>
        <w:spacing w:after="0" w:line="293"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jc w:val="both"/>
        <w:ind w:left="160" w:right="20"/>
        <w:spacing w:after="0" w:line="335" w:lineRule="auto"/>
        <w:rPr>
          <w:sz w:val="20"/>
          <w:szCs w:val="20"/>
          <w:color w:val="auto"/>
        </w:rPr>
      </w:pPr>
      <w:r>
        <w:rPr>
          <w:rFonts w:ascii="Arial" w:cs="Arial" w:eastAsia="Arial" w:hAnsi="Arial"/>
          <w:sz w:val="16"/>
          <w:szCs w:val="16"/>
          <w:color w:val="auto"/>
        </w:rPr>
        <w:t>The foregoing summary describes the material provisions of the Credit Agreement, but may not contain all information that is important to you. We urge you to read the provisions of the Credit Agreement, which has been filed as an exhibit to the registration statement of which this prospectus forms a part.</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our Continuing Equity Owners), or the perception that such sales may occur, could adversely affect the market price of our Class A common stock. Although we intend to</w:t>
      </w:r>
    </w:p>
    <w:p>
      <w:pPr>
        <w:spacing w:after="0" w:line="2" w:lineRule="exact"/>
        <w:rPr>
          <w:sz w:val="20"/>
          <w:szCs w:val="20"/>
          <w:color w:val="auto"/>
        </w:rPr>
      </w:pPr>
    </w:p>
    <w:p>
      <w:pPr>
        <w:ind w:left="160" w:right="640"/>
        <w:spacing w:after="0" w:line="256" w:lineRule="auto"/>
        <w:rPr>
          <w:sz w:val="20"/>
          <w:szCs w:val="20"/>
          <w:color w:val="auto"/>
        </w:rPr>
      </w:pPr>
      <w:r>
        <w:rPr>
          <w:rFonts w:ascii="Arial" w:cs="Arial" w:eastAsia="Arial" w:hAnsi="Arial"/>
          <w:sz w:val="18"/>
          <w:szCs w:val="18"/>
          <w:color w:val="auto"/>
        </w:rPr>
        <w:t>apply to have our Class A common stock listed on the , we cannot assure you that there will be an active public market for our Class A common stock.</w:t>
      </w:r>
    </w:p>
    <w:p>
      <w:pPr>
        <w:spacing w:after="0" w:line="188" w:lineRule="exact"/>
        <w:rPr>
          <w:sz w:val="20"/>
          <w:szCs w:val="20"/>
          <w:color w:val="auto"/>
        </w:rPr>
      </w:pPr>
    </w:p>
    <w:p>
      <w:pPr>
        <w:ind w:left="160"/>
        <w:spacing w:after="0"/>
        <w:tabs>
          <w:tab w:leader="none" w:pos="6200" w:val="left"/>
        </w:tabs>
        <w:rPr>
          <w:sz w:val="20"/>
          <w:szCs w:val="20"/>
          <w:color w:val="auto"/>
        </w:rPr>
      </w:pPr>
      <w:r>
        <w:rPr>
          <w:rFonts w:ascii="Arial" w:cs="Arial" w:eastAsia="Arial" w:hAnsi="Arial"/>
          <w:sz w:val="18"/>
          <w:szCs w:val="18"/>
          <w:color w:val="auto"/>
        </w:rPr>
        <w:t>Upon the closing of this offering, we will have outstanding an aggregate of</w:t>
      </w:r>
      <w:r>
        <w:rPr>
          <w:sz w:val="20"/>
          <w:szCs w:val="20"/>
          <w:color w:val="auto"/>
        </w:rPr>
        <w:tab/>
      </w:r>
      <w:r>
        <w:rPr>
          <w:rFonts w:ascii="Arial" w:cs="Arial" w:eastAsia="Arial" w:hAnsi="Arial"/>
          <w:sz w:val="14"/>
          <w:szCs w:val="14"/>
          <w:color w:val="auto"/>
        </w:rPr>
        <w:t>shares of Class A common stock, assuming the issuance</w:t>
      </w:r>
    </w:p>
    <w:p>
      <w:pPr>
        <w:spacing w:after="0" w:line="20" w:lineRule="exact"/>
        <w:rPr>
          <w:sz w:val="20"/>
          <w:szCs w:val="20"/>
          <w:color w:val="auto"/>
        </w:rPr>
      </w:pPr>
    </w:p>
    <w:p>
      <w:pPr>
        <w:ind w:left="160"/>
        <w:spacing w:after="0"/>
        <w:tabs>
          <w:tab w:leader="none" w:pos="1000" w:val="left"/>
          <w:tab w:leader="none" w:pos="75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offered by us in this offering and the issuance of</w:t>
      </w:r>
      <w:r>
        <w:rPr>
          <w:sz w:val="20"/>
          <w:szCs w:val="20"/>
          <w:color w:val="auto"/>
        </w:rPr>
        <w:tab/>
      </w:r>
      <w:r>
        <w:rPr>
          <w:rFonts w:ascii="Arial" w:cs="Arial" w:eastAsia="Arial" w:hAnsi="Arial"/>
          <w:sz w:val="16"/>
          <w:szCs w:val="16"/>
          <w:color w:val="auto"/>
        </w:rPr>
        <w:t>shares of Class A common stock to the Blocker</w:t>
      </w:r>
    </w:p>
    <w:p>
      <w:pPr>
        <w:spacing w:after="0" w:line="7"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Shareholders in the Transactions.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and any Class A common stock purchased by our directors, officers and employees pursuant to our Directed Share Program shall be subject to the lock-up agreements as described below under “—Lock-Up Agreements.”</w:t>
      </w:r>
    </w:p>
    <w:p>
      <w:pPr>
        <w:spacing w:after="0" w:line="193" w:lineRule="exact"/>
        <w:rPr>
          <w:sz w:val="20"/>
          <w:szCs w:val="20"/>
          <w:color w:val="auto"/>
        </w:rPr>
      </w:pPr>
    </w:p>
    <w:p>
      <w:pPr>
        <w:ind w:left="160" w:right="340"/>
        <w:spacing w:after="0" w:line="281" w:lineRule="auto"/>
        <w:rPr>
          <w:sz w:val="20"/>
          <w:szCs w:val="20"/>
          <w:color w:val="auto"/>
        </w:rPr>
      </w:pPr>
      <w:r>
        <w:rPr>
          <w:rFonts w:ascii="Arial" w:cs="Arial" w:eastAsia="Arial" w:hAnsi="Arial"/>
          <w:sz w:val="17"/>
          <w:szCs w:val="17"/>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addition, each common unit held by our Continuing Equity Owners will be redeemable, at the election of each Continuing Equity Owner, for, at our</w:t>
      </w:r>
    </w:p>
    <w:p>
      <w:pPr>
        <w:spacing w:after="0" w:line="43"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election (determined solely by our independent directors (within the meaning of the rules of the ) who are disinterested), newly-issued shares of our Class A common stock on a one-for-one basis or a cash payment equal to a volume weighted average market price of one share of Class A common stock for LLC Interest so redeemed, in each case, in accordance with the terms of the GoHealth Holdings, LLC Agreement; provided that, at</w:t>
      </w:r>
    </w:p>
    <w:p>
      <w:pPr>
        <w:ind w:left="160" w:right="80"/>
        <w:spacing w:after="0" w:line="279" w:lineRule="auto"/>
        <w:rPr>
          <w:sz w:val="20"/>
          <w:szCs w:val="20"/>
          <w:color w:val="auto"/>
        </w:rPr>
      </w:pPr>
      <w:r>
        <w:rPr>
          <w:rFonts w:ascii="Arial" w:cs="Arial" w:eastAsia="Arial" w:hAnsi="Arial"/>
          <w:sz w:val="16"/>
          <w:szCs w:val="16"/>
          <w:color w:val="auto"/>
        </w:rPr>
        <w:t>our election (determined solely by our 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Upon consummation of the Transactions, our Continuing Equity Owners will</w:t>
      </w:r>
    </w:p>
    <w:p>
      <w:pPr>
        <w:ind w:left="160" w:right="100"/>
        <w:spacing w:after="0" w:line="292" w:lineRule="auto"/>
        <w:rPr>
          <w:sz w:val="20"/>
          <w:szCs w:val="20"/>
          <w:color w:val="auto"/>
        </w:rPr>
      </w:pPr>
      <w:r>
        <w:rPr>
          <w:rFonts w:ascii="Arial" w:cs="Arial" w:eastAsia="Arial" w:hAnsi="Arial"/>
          <w:sz w:val="16"/>
          <w:szCs w:val="16"/>
          <w:color w:val="auto"/>
        </w:rPr>
        <w:t>hold LLC Interests,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certain of the Original Equity Owners that will require us, subject to customary conditions, to register under the Securities Act these shares of Class A common stock. See “Certain Relationships and Related Party Transactions—Registration Rights Agreement.”</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We, our officers and directors and the Original Equity Owners will agree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140" w:hanging="438"/>
        <w:spacing w:after="0" w:line="259"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6"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0" w:hanging="438"/>
        <w:spacing w:after="0" w:line="253"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any securities convertible into or exercisable or exchangeable for shares of our Class A common stock,</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whether any transaction described above is to be settled by delivery of our Class A common stock or such other securities, in cash or otherwise.</w:t>
      </w:r>
    </w:p>
    <w:p>
      <w:pPr>
        <w:spacing w:after="0" w:line="232"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general, a person who has beneficially owned our Class A common stock that are restricted shares for at least six months would be entitled to sell such securities, provided that (1) such person is not deemed to have been one of our affiliates at the time of, or at any time during the 90 days preceding, a sale and (2) we are subject to the Exchange Act periodic reporting requirements for at least 90 days before the sale. Persons who have beneficially owned our Class A common stock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5" w:lineRule="exact"/>
        <w:rPr>
          <w:sz w:val="20"/>
          <w:szCs w:val="20"/>
          <w:color w:val="auto"/>
        </w:rPr>
      </w:pPr>
    </w:p>
    <w:p>
      <w:pPr>
        <w:ind w:left="1580" w:hanging="329"/>
        <w:spacing w:after="0"/>
        <w:tabs>
          <w:tab w:leader="none" w:pos="15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 of the number of our Class A common stock then outstanding; or</w:t>
      </w:r>
    </w:p>
    <w:p>
      <w:pPr>
        <w:spacing w:after="0" w:line="127" w:lineRule="exact"/>
        <w:rPr>
          <w:rFonts w:ascii="Arial" w:cs="Arial" w:eastAsia="Arial" w:hAnsi="Arial"/>
          <w:sz w:val="18"/>
          <w:szCs w:val="18"/>
          <w:color w:val="auto"/>
        </w:rPr>
      </w:pPr>
    </w:p>
    <w:p>
      <w:pPr>
        <w:ind w:left="1580" w:right="60" w:hanging="329"/>
        <w:spacing w:after="0" w:line="275" w:lineRule="auto"/>
        <w:tabs>
          <w:tab w:leader="none" w:pos="15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on the Nasdaq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93"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subject to outstanding stock options and Class A common stock issued or issuable under our 2020 Plan. As of the date of this prospectus, options</w:t>
      </w:r>
    </w:p>
    <w:p>
      <w:pPr>
        <w:spacing w:after="0" w:line="1" w:lineRule="exact"/>
        <w:rPr>
          <w:sz w:val="20"/>
          <w:szCs w:val="20"/>
          <w:color w:val="auto"/>
        </w:rPr>
      </w:pPr>
    </w:p>
    <w:p>
      <w:pPr>
        <w:ind w:left="160" w:right="80"/>
        <w:spacing w:after="0" w:line="256" w:lineRule="auto"/>
        <w:rPr>
          <w:sz w:val="20"/>
          <w:szCs w:val="20"/>
          <w:color w:val="auto"/>
        </w:rPr>
      </w:pPr>
      <w:r>
        <w:rPr>
          <w:rFonts w:ascii="Arial" w:cs="Arial" w:eastAsia="Arial" w:hAnsi="Arial"/>
          <w:sz w:val="18"/>
          <w:szCs w:val="18"/>
          <w:color w:val="auto"/>
        </w:rPr>
        <w:t>to purchase LLC Interests were outstanding and stock options covering a total of approximately shares of our Class A common stock are intended to be granted to certain of our directors, executive officers and other employees in connection with this offering.</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15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740"/>
          </w:cols>
          <w:pgMar w:left="320" w:top="456" w:right="8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20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67"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0" w:lineRule="exact"/>
        <w:rPr>
          <w:sz w:val="20"/>
          <w:szCs w:val="20"/>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7" w:lineRule="exact"/>
        <w:rPr>
          <w:rFonts w:ascii="Arial" w:cs="Arial" w:eastAsia="Arial" w:hAnsi="Arial"/>
          <w:sz w:val="18"/>
          <w:szCs w:val="18"/>
          <w:color w:val="auto"/>
        </w:rPr>
      </w:pPr>
    </w:p>
    <w:p>
      <w:pPr>
        <w:ind w:left="1140" w:right="800" w:hanging="438"/>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438"/>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27" w:lineRule="exact"/>
        <w:rPr>
          <w:rFonts w:ascii="Arial" w:cs="Arial" w:eastAsia="Arial" w:hAnsi="Arial"/>
          <w:sz w:val="18"/>
          <w:szCs w:val="18"/>
          <w:color w:val="auto"/>
        </w:rPr>
      </w:pPr>
    </w:p>
    <w:p>
      <w:pPr>
        <w:ind w:left="1140" w:right="960" w:hanging="438"/>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6"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80" w:hanging="438"/>
        <w:spacing w:after="0" w:line="259"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1" w:lineRule="exact"/>
        <w:rPr>
          <w:sz w:val="20"/>
          <w:szCs w:val="20"/>
          <w:color w:val="auto"/>
        </w:rPr>
      </w:pPr>
    </w:p>
    <w:p>
      <w:pPr>
        <w:ind w:left="160" w:right="340"/>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81" w:lineRule="exact"/>
        <w:rPr>
          <w:sz w:val="20"/>
          <w:szCs w:val="20"/>
          <w:color w:val="auto"/>
        </w:rPr>
      </w:pPr>
    </w:p>
    <w:p>
      <w:pPr>
        <w:ind w:left="1140" w:right="20" w:hanging="438"/>
        <w:spacing w:after="0" w:line="259"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40"/>
          </w:cols>
          <w:pgMar w:left="320" w:top="456"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20"/>
        <w:spacing w:after="0" w:line="307" w:lineRule="auto"/>
        <w:rPr>
          <w:sz w:val="20"/>
          <w:szCs w:val="20"/>
          <w:color w:val="auto"/>
        </w:rPr>
      </w:pPr>
      <w:r>
        <w:rPr>
          <w:rFonts w:ascii="Arial" w:cs="Arial" w:eastAsia="Arial" w:hAnsi="Arial"/>
          <w:sz w:val="16"/>
          <w:szCs w:val="16"/>
          <w:color w:val="auto"/>
        </w:rPr>
        <w:t>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00"/>
          </w:cols>
          <w:pgMar w:left="320" w:top="456" w:right="5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160"/>
        <w:spacing w:after="0" w:line="307" w:lineRule="auto"/>
        <w:rPr>
          <w:sz w:val="20"/>
          <w:szCs w:val="20"/>
          <w:color w:val="auto"/>
        </w:rPr>
      </w:pPr>
      <w:r>
        <w:rPr>
          <w:rFonts w:ascii="Arial" w:cs="Arial" w:eastAsia="Arial" w:hAnsi="Arial"/>
          <w:sz w:val="16"/>
          <w:szCs w:val="16"/>
          <w:color w:val="auto"/>
        </w:rPr>
        <w:t>We, GoHealth Holdings, LLC and Goldman Sachs &amp; Co. LLC, BofA Securities, Inc., and Morgan Stanley &amp; Co. LLC, acting as representatives of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w:t>
      </w:r>
    </w:p>
    <w:p>
      <w:pPr>
        <w:spacing w:after="0" w:line="172" w:lineRule="exact"/>
        <w:rPr>
          <w:sz w:val="20"/>
          <w:szCs w:val="20"/>
          <w:color w:val="auto"/>
        </w:rPr>
      </w:pPr>
    </w:p>
    <w:p>
      <w:pPr>
        <w:ind w:left="1920"/>
        <w:spacing w:after="0"/>
        <w:tabs>
          <w:tab w:leader="none" w:pos="786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11430</wp:posOffset>
            </wp:positionV>
            <wp:extent cx="4704715" cy="135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Goldman Sachs &amp; Co. LLC</w:t>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BofA Securities,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44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04715" cy="14414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13335</wp:posOffset>
            </wp:positionV>
            <wp:extent cx="10871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8712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30480</wp:posOffset>
            </wp:positionV>
            <wp:extent cx="10871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254"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The underwriters have an option to buy up to an additional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show the per share and total underwriting discount to be paid to the underwriters by us. Such amounts are shown assuming both no</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w w:val="97"/>
              </w:rPr>
              <w:t>exercise and full exercise of the underwriters’ option to purchase</w:t>
            </w:r>
          </w:p>
        </w:tc>
        <w:tc>
          <w:tcPr>
            <w:tcW w:w="3540" w:type="dxa"/>
            <w:vAlign w:val="bottom"/>
            <w:gridSpan w:val="3"/>
          </w:tcPr>
          <w:p>
            <w:pPr>
              <w:ind w:left="340"/>
              <w:spacing w:after="0"/>
              <w:rPr>
                <w:sz w:val="20"/>
                <w:szCs w:val="20"/>
                <w:color w:val="auto"/>
              </w:rPr>
            </w:pPr>
            <w:r>
              <w:rPr>
                <w:rFonts w:ascii="Arial" w:cs="Arial" w:eastAsia="Arial" w:hAnsi="Arial"/>
                <w:sz w:val="18"/>
                <w:szCs w:val="18"/>
                <w:color w:val="auto"/>
                <w:w w:val="91"/>
              </w:rPr>
              <w:t>additional shares of Class A common stock.</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Full</w:t>
            </w:r>
          </w:p>
        </w:tc>
      </w:tr>
      <w:tr>
        <w:trPr>
          <w:trHeight w:val="170"/>
        </w:trPr>
        <w:tc>
          <w:tcPr>
            <w:tcW w:w="1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w:t>
            </w:r>
          </w:p>
        </w:tc>
      </w:tr>
      <w:tr>
        <w:trPr>
          <w:trHeight w:val="207"/>
        </w:trPr>
        <w:tc>
          <w:tcPr>
            <w:tcW w:w="176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7"/>
        </w:trPr>
        <w:tc>
          <w:tcPr>
            <w:tcW w:w="17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Shares of Class A common stock sold by the underwriters to the public will initially be offered at the initial public offering price set forth on the cover of</w:t>
      </w:r>
    </w:p>
    <w:p>
      <w:pPr>
        <w:spacing w:after="0" w:line="43" w:lineRule="exact"/>
        <w:rPr>
          <w:sz w:val="20"/>
          <w:szCs w:val="20"/>
          <w:color w:val="auto"/>
        </w:rPr>
      </w:pPr>
    </w:p>
    <w:p>
      <w:pPr>
        <w:ind w:left="160" w:right="340"/>
        <w:spacing w:after="0" w:line="270" w:lineRule="auto"/>
        <w:rPr>
          <w:sz w:val="20"/>
          <w:szCs w:val="20"/>
          <w:color w:val="auto"/>
        </w:rPr>
      </w:pPr>
      <w:r>
        <w:rPr>
          <w:rFonts w:ascii="Arial" w:cs="Arial" w:eastAsia="Arial" w:hAnsi="Arial"/>
          <w:sz w:val="17"/>
          <w:szCs w:val="17"/>
          <w:color w:val="auto"/>
        </w:rPr>
        <w:t>this prospectus. Any shares of Class A common stock sold by the underwriters to securities dealers may be sold at a discount of up to $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7"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We and our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any two of Goldman Sachs &amp; Co. LLC, BofA Securities, Inc. and Morgan Stanley &amp; Co. LLC. This agreement does not apply to any existing employee benefit plans. See “Shares Eligible for Future Sale” for a discussion of certain transfer restrictions.</w:t>
      </w:r>
    </w:p>
    <w:p>
      <w:pPr>
        <w:spacing w:after="0" w:line="176"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Prior to the offering, there has been no public market for the shares of Class A common stock. The initial public offering price has been negotiated among us and the representatives. Among the factors to be considered in determining the initial public offering price of the shares of Class A common stock, in addition to prevailing market conditions, will be our historical performance, estimates our business potential and earnings prospects, an assessment of our management and the consideration of the above factors in relation to market valuation of companies in related businesses.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22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of Class A common stock than they are required to purchase in the offering, and a short position represents the amount of such sales that have not been covered by subsequent purchases. A “covered short position” is a short position that is not greater than the amount of additional shares of Class A common stock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of Class A common stock to cover the covered short position, the underwriters will consider, among other things, the price of shares of Class A common stock available for purchase in the open market as compared to the price at which they may purchase additional shares of Class A common stock pursuant to the option described above. “Naked” short sales are any short sales that create a short position greater than the amount of additional shares of Class A common stock for which the option described above may be exercised. The underwriters must cover any such naked short position by purchasing shares of Class A common stock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86" w:lineRule="exact"/>
        <w:rPr>
          <w:sz w:val="20"/>
          <w:szCs w:val="20"/>
          <w:color w:val="auto"/>
        </w:rPr>
      </w:pPr>
    </w:p>
    <w:p>
      <w:pPr>
        <w:ind w:left="160" w:right="120"/>
        <w:spacing w:after="0" w:line="28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60"/>
        <w:spacing w:after="0"/>
        <w:tabs>
          <w:tab w:leader="none" w:pos="5160" w:val="left"/>
        </w:tabs>
        <w:rPr>
          <w:sz w:val="20"/>
          <w:szCs w:val="20"/>
          <w:color w:val="auto"/>
        </w:rPr>
      </w:pPr>
      <w:r>
        <w:rPr>
          <w:rFonts w:ascii="Arial" w:cs="Arial" w:eastAsia="Arial" w:hAnsi="Arial"/>
          <w:sz w:val="18"/>
          <w:szCs w:val="18"/>
          <w:color w:val="auto"/>
        </w:rPr>
        <w:t>activities at any time. These transactions may be effected on</w:t>
      </w:r>
      <w:r>
        <w:rPr>
          <w:sz w:val="20"/>
          <w:szCs w:val="20"/>
          <w:color w:val="auto"/>
        </w:rPr>
        <w:tab/>
      </w:r>
      <w:r>
        <w:rPr>
          <w:rFonts w:ascii="Arial" w:cs="Arial" w:eastAsia="Arial" w:hAnsi="Arial"/>
          <w:sz w:val="16"/>
          <w:szCs w:val="16"/>
          <w:color w:val="auto"/>
        </w:rPr>
        <w:t>, in the over-the-counter market or otherwise.</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Directed Share Program</w:t>
      </w:r>
    </w:p>
    <w:p>
      <w:pPr>
        <w:spacing w:after="0" w:line="11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At our request, the underwriters have reserved for sale, at the initial public offering price, up to 5% of the Class A common stock offered by this prospectus for sale to certain of our directors, officers and employees through a directed share program, or Directed Share Program. If these persons purchase reserved shares of Class A common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Any shares sold in the Directed Share Program to a party who has entered into a lock-up agreement shall be subject to the provisions of such lock-up agreement.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(each, a “Relevant State”) who are “qualified investors” within the meaning of Article 2(e) of the Prospectus Regulation. This prospectus has been prepared on the basis that any offer of shares of Class A common stock in any Relevant State will be made pursuant to an exemption under the Prospectus Regulation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the underwriters to publish a prospectus pursuant to Article 3 of the Prospectus Regulation in relation to such offer. Neither us nor the underwriters have authorized, nor do they authorize, the making of any offer of shares of Class A common stock in circumstances in which an obligation arises for us or the underwriters to publish a prospectus for such offer.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 relation to each Relevant State, no offer of shares of Class A common stock which are the subject of the offering contemplated by this prospectus to the public may be made in that Relevant State other than:</w:t>
      </w:r>
    </w:p>
    <w:p>
      <w:pPr>
        <w:spacing w:after="0" w:line="81" w:lineRule="exact"/>
        <w:rPr>
          <w:sz w:val="20"/>
          <w:szCs w:val="20"/>
          <w:color w:val="auto"/>
        </w:rPr>
      </w:pPr>
    </w:p>
    <w:p>
      <w:pPr>
        <w:ind w:left="1140" w:hanging="545"/>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14"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(the “FSMA”)) in connection with the issue or sale of the shares of Class A common stock may only be communicated or caused to be communicated in circumstances in which Section 21(1) of the FSMA does not apply to us.</w:t>
      </w:r>
    </w:p>
    <w:p>
      <w:pPr>
        <w:spacing w:after="0" w:line="18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Class A common stock in, from or otherwise involving the United Kingdom.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Canada</w:t>
      </w:r>
    </w:p>
    <w:p>
      <w:pPr>
        <w:spacing w:after="0" w:line="114"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2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60"/>
          </w:cols>
          <w:pgMar w:left="320" w:top="456"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Hong Kong</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shares of Class A common stock have not been and will not be offered or sold in Hong Kong by means of any document other than (i) to “professional investors” within the meaning of the Securities and Futures Ordinance of Hong Kong (Cap. 571, Laws of Hong Kong) (the “SFO”) and any rules made thereunder, or (ii) in other circumstances which do not result in the document being a “prospectus” within the meaning of the Companies (Winding Up and Miscellaneous Provisions) Ordinance of Hong Kong (Cap. 32, Laws of Hong Kong) (the “C(WUMP)O”) or which do not constitute an offer to the public within the meaning of the C(WUMP)O; and no advertisement, invitation or document relating to the shares of Class A common stock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SFO and any rules made thereunder.</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Singapore</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(each as defined in Section 2(1) of the SFA) of that corporation shall not be transferable for 6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or securities-based derivatives pursuant to Section 275(1A) of the SFA, (3) where no consideration is or will be given for the transfer, (4) where the transfer is by operation of law, (5) as specified in Section 276(7) of the SFA, or (6) as specified in Regulation 37A of the Securities and Futures (Offers of Investments) (Shares and Securities-based Derivatives Contracts) Regulations 2018 of Singapore (“Regulation 37A”).</w:t>
      </w:r>
    </w:p>
    <w:p>
      <w:pPr>
        <w:spacing w:after="0" w:line="183"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Class A common stock under Section 275 of the SFA except: (1) to an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securities-based derivatives or other assets),</w:t>
      </w:r>
    </w:p>
    <w:p>
      <w:pPr>
        <w:spacing w:after="0" w:line="2" w:lineRule="exact"/>
        <w:rPr>
          <w:sz w:val="20"/>
          <w:szCs w:val="20"/>
          <w:color w:val="auto"/>
        </w:rPr>
      </w:pPr>
    </w:p>
    <w:p>
      <w:pPr>
        <w:ind w:left="160" w:right="20" w:firstLine="7"/>
        <w:spacing w:after="0" w:line="256" w:lineRule="auto"/>
        <w:tabs>
          <w:tab w:leader="none" w:pos="4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37A.</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Japan</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 have not been and will not be offered or sold, directly or indirectly, in Japan or to or for the account or benefit of any resident of Japan (including any person resident in Japan or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the FIEA and otherwise in compliance with any relevant laws and regulations of Japan.</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14"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9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4"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Australia</w:t>
      </w:r>
    </w:p>
    <w:p>
      <w:pPr>
        <w:spacing w:after="0" w:line="114"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56"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9"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0" w:lineRule="exact"/>
        <w:rPr>
          <w:sz w:val="20"/>
          <w:szCs w:val="20"/>
          <w:color w:val="auto"/>
        </w:rPr>
      </w:pPr>
    </w:p>
    <w:p>
      <w:pPr>
        <w:ind w:left="160"/>
        <w:spacing w:after="0"/>
        <w:tabs>
          <w:tab w:leader="none" w:pos="9820" w:val="left"/>
        </w:tabs>
        <w:rPr>
          <w:sz w:val="20"/>
          <w:szCs w:val="20"/>
          <w:color w:val="auto"/>
        </w:rPr>
      </w:pPr>
      <w:r>
        <w:rPr>
          <w:rFonts w:ascii="Arial" w:cs="Arial" w:eastAsia="Arial" w:hAnsi="Arial"/>
          <w:sz w:val="17"/>
          <w:szCs w:val="17"/>
          <w:color w:val="auto"/>
        </w:rPr>
        <w:t>We estimate that our share of the total expenses of the offering, excluding the underwriting discount, will be approximately $</w:t>
      </w:r>
      <w:r>
        <w:rPr>
          <w:sz w:val="20"/>
          <w:szCs w:val="20"/>
          <w:color w:val="auto"/>
        </w:rPr>
        <w:tab/>
      </w:r>
      <w:r>
        <w:rPr>
          <w:rFonts w:ascii="Arial" w:cs="Arial" w:eastAsia="Arial" w:hAnsi="Arial"/>
          <w:sz w:val="14"/>
          <w:szCs w:val="14"/>
          <w:color w:val="auto"/>
        </w:rPr>
        <w:t>.</w:t>
      </w:r>
    </w:p>
    <w:p>
      <w:pPr>
        <w:spacing w:after="0" w:line="232"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and GoHealth Holdings, LLC have agreed to indemnify the several underwriters against certain liabilities, including liabilities under the Securities Act.</w:t>
      </w:r>
    </w:p>
    <w:p>
      <w:pPr>
        <w:spacing w:after="0" w:line="175"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New York, New York. Sidley Austin LLP, New York, New York, has acted as counsel for the underwriters in connection with certain legal matters related to this offering.</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consolidated financial statements of GoHealth Holdings, LLC and its subsidiaries at December 31, 2019 (Successor period) and 2018 (Predecessor period), and for the period from September 13, 2019 to December 31, 2019 (Successor period), the period from January 1, 2019 to September 12, 2019 and the year ended December 31, 2018 (Predecessor period),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financial statement of GoHealth, Inc. as of March 27, 2020, appearing in this prospectus and registration statement has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97"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00"/>
          </w:cols>
          <w:pgMar w:left="320" w:top="456" w:right="5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460" w:type="dxa"/>
            <w:vAlign w:val="bottom"/>
            <w:gridSpan w:val="5"/>
          </w:tcPr>
          <w:p>
            <w:pPr>
              <w:spacing w:after="0"/>
              <w:rPr>
                <w:sz w:val="20"/>
                <w:szCs w:val="20"/>
                <w:color w:val="auto"/>
              </w:rPr>
            </w:pPr>
            <w:r>
              <w:rPr>
                <w:rFonts w:ascii="Arial" w:cs="Arial" w:eastAsia="Arial" w:hAnsi="Arial"/>
                <w:sz w:val="14"/>
                <w:szCs w:val="14"/>
                <w:b w:val="1"/>
                <w:bCs w:val="1"/>
                <w:color w:val="auto"/>
              </w:rPr>
              <w:t>Audited Consolidated Financial Statements</w:t>
            </w: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73"/>
        </w:trPr>
        <w:tc>
          <w:tcPr>
            <w:tcW w:w="2660" w:type="dxa"/>
            <w:vAlign w:val="bottom"/>
            <w:tcBorders>
              <w:top w:val="single" w:sz="8" w:color="auto"/>
            </w:tcBorders>
            <w:gridSpan w:val="3"/>
          </w:tcPr>
          <w:p>
            <w:pPr>
              <w:spacing w:after="0" w:line="173" w:lineRule="exact"/>
              <w:rPr>
                <w:sz w:val="20"/>
                <w:szCs w:val="20"/>
                <w:color w:val="auto"/>
              </w:rPr>
            </w:pPr>
            <w:r>
              <w:rPr>
                <w:rFonts w:ascii="Arial" w:cs="Arial" w:eastAsia="Arial" w:hAnsi="Arial"/>
                <w:sz w:val="18"/>
                <w:szCs w:val="18"/>
                <w:b w:val="1"/>
                <w:bCs w:val="1"/>
                <w:color w:val="auto"/>
              </w:rPr>
              <w:t>GoHealth, Inc.</w:t>
            </w:r>
          </w:p>
        </w:tc>
        <w:tc>
          <w:tcPr>
            <w:tcW w:w="7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Balance sheet as of March 27,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F-2</w:t>
            </w:r>
          </w:p>
        </w:tc>
      </w:tr>
      <w:tr>
        <w:trPr>
          <w:trHeight w:val="227"/>
        </w:trPr>
        <w:tc>
          <w:tcPr>
            <w:tcW w:w="10460" w:type="dxa"/>
            <w:vAlign w:val="bottom"/>
            <w:gridSpan w:val="5"/>
          </w:tcPr>
          <w:p>
            <w:pPr>
              <w:spacing w:after="0"/>
              <w:rPr>
                <w:sz w:val="20"/>
                <w:szCs w:val="20"/>
                <w:color w:val="auto"/>
              </w:rPr>
            </w:pPr>
            <w:r>
              <w:rPr>
                <w:rFonts w:ascii="Arial" w:cs="Arial" w:eastAsia="Arial" w:hAnsi="Arial"/>
                <w:sz w:val="18"/>
                <w:szCs w:val="18"/>
                <w:color w:val="auto"/>
              </w:rPr>
              <w:t>Notes to balance sheet</w:t>
            </w:r>
          </w:p>
        </w:tc>
        <w:tc>
          <w:tcPr>
            <w:tcW w:w="400" w:type="dxa"/>
            <w:vAlign w:val="bottom"/>
          </w:tcPr>
          <w:p>
            <w:pPr>
              <w:ind w:left="60"/>
              <w:spacing w:after="0"/>
              <w:rPr>
                <w:sz w:val="20"/>
                <w:szCs w:val="20"/>
                <w:color w:val="auto"/>
              </w:rPr>
            </w:pPr>
            <w:r>
              <w:rPr>
                <w:rFonts w:ascii="Arial" w:cs="Arial" w:eastAsia="Arial" w:hAnsi="Arial"/>
                <w:sz w:val="18"/>
                <w:szCs w:val="18"/>
                <w:color w:val="auto"/>
              </w:rPr>
              <w:t>F-3</w:t>
            </w:r>
          </w:p>
        </w:tc>
      </w:tr>
      <w:tr>
        <w:trPr>
          <w:trHeight w:val="308"/>
        </w:trPr>
        <w:tc>
          <w:tcPr>
            <w:tcW w:w="10460" w:type="dxa"/>
            <w:vAlign w:val="bottom"/>
            <w:gridSpan w:val="5"/>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00" w:type="dxa"/>
            <w:vAlign w:val="bottom"/>
          </w:tcPr>
          <w:p>
            <w:pPr>
              <w:spacing w:after="0"/>
              <w:rPr>
                <w:sz w:val="24"/>
                <w:szCs w:val="24"/>
                <w:color w:val="auto"/>
              </w:rPr>
            </w:pP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F-4</w:t>
            </w:r>
          </w:p>
        </w:tc>
      </w:tr>
      <w:tr>
        <w:trPr>
          <w:trHeight w:val="214"/>
        </w:trPr>
        <w:tc>
          <w:tcPr>
            <w:tcW w:w="10460" w:type="dxa"/>
            <w:vAlign w:val="bottom"/>
            <w:gridSpan w:val="5"/>
          </w:tcPr>
          <w:p>
            <w:pPr>
              <w:spacing w:after="0"/>
              <w:rPr>
                <w:rFonts w:ascii="Arial" w:cs="Arial" w:eastAsia="Arial" w:hAnsi="Arial"/>
                <w:sz w:val="18"/>
                <w:szCs w:val="18"/>
                <w:u w:val="single" w:color="auto"/>
                <w:color w:val="0000EE"/>
                <w:w w:val="91"/>
              </w:rPr>
            </w:pPr>
            <w:hyperlink w:anchor="page219">
              <w:r>
                <w:rPr>
                  <w:rFonts w:ascii="Arial" w:cs="Arial" w:eastAsia="Arial" w:hAnsi="Arial"/>
                  <w:sz w:val="18"/>
                  <w:szCs w:val="18"/>
                  <w:u w:val="single" w:color="auto"/>
                  <w:color w:val="0000EE"/>
                  <w:w w:val="91"/>
                </w:rPr>
                <w:t>Consolidated statements of income (loss)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F-5</w:t>
            </w:r>
          </w:p>
        </w:tc>
      </w:tr>
      <w:tr>
        <w:trPr>
          <w:trHeight w:val="188"/>
        </w:trPr>
        <w:tc>
          <w:tcPr>
            <w:tcW w:w="9760" w:type="dxa"/>
            <w:vAlign w:val="bottom"/>
            <w:tcBorders>
              <w:bottom w:val="single" w:sz="8" w:color="0000EE"/>
            </w:tcBorders>
            <w:gridSpan w:val="4"/>
          </w:tcPr>
          <w:p>
            <w:pPr>
              <w:spacing w:after="0" w:line="189" w:lineRule="exact"/>
              <w:rPr>
                <w:rFonts w:ascii="Arial" w:cs="Arial" w:eastAsia="Arial" w:hAnsi="Arial"/>
                <w:sz w:val="18"/>
                <w:szCs w:val="18"/>
                <w:color w:val="0000EE"/>
                <w:w w:val="87"/>
              </w:rPr>
            </w:pPr>
            <w:hyperlink w:anchor="page220">
              <w:r>
                <w:rPr>
                  <w:rFonts w:ascii="Arial" w:cs="Arial" w:eastAsia="Arial" w:hAnsi="Arial"/>
                  <w:sz w:val="18"/>
                  <w:szCs w:val="18"/>
                  <w:color w:val="0000EE"/>
                  <w:w w:val="87"/>
                </w:rPr>
                <w:t>Consolidated statements of comprehensive income (loss) for the Successor 2019 Period, the Predecessor 2019 Period and the year ended</w:t>
              </w:r>
            </w:hyperlink>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180" w:type="dxa"/>
            <w:vAlign w:val="bottom"/>
          </w:tcPr>
          <w:p>
            <w:pPr>
              <w:spacing w:after="0"/>
              <w:rPr>
                <w:sz w:val="16"/>
                <w:szCs w:val="16"/>
                <w:color w:val="auto"/>
              </w:rPr>
            </w:pPr>
          </w:p>
        </w:tc>
        <w:tc>
          <w:tcPr>
            <w:tcW w:w="10280" w:type="dxa"/>
            <w:vAlign w:val="bottom"/>
            <w:gridSpan w:val="4"/>
          </w:tcPr>
          <w:p>
            <w:pPr>
              <w:spacing w:after="0" w:line="194" w:lineRule="exact"/>
              <w:rPr>
                <w:rFonts w:ascii="Arial" w:cs="Arial" w:eastAsia="Arial" w:hAnsi="Arial"/>
                <w:sz w:val="18"/>
                <w:szCs w:val="18"/>
                <w:color w:val="0000EE"/>
              </w:rPr>
            </w:pPr>
            <w:hyperlink w:anchor="page220">
              <w:r>
                <w:rPr>
                  <w:rFonts w:ascii="Arial" w:cs="Arial" w:eastAsia="Arial" w:hAnsi="Arial"/>
                  <w:sz w:val="18"/>
                  <w:szCs w:val="18"/>
                  <w:color w:val="0000EE"/>
                </w:rPr>
                <w:t>December 31, 2018</w:t>
              </w:r>
            </w:hyperlink>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10460" w:type="dxa"/>
            <w:vAlign w:val="bottom"/>
            <w:gridSpan w:val="5"/>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Consolidated balance sheets as of December 31, 2019 and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F-7</w:t>
            </w:r>
          </w:p>
        </w:tc>
      </w:tr>
      <w:tr>
        <w:trPr>
          <w:trHeight w:val="214"/>
        </w:trPr>
        <w:tc>
          <w:tcPr>
            <w:tcW w:w="10460" w:type="dxa"/>
            <w:vAlign w:val="bottom"/>
            <w:gridSpan w:val="5"/>
          </w:tcPr>
          <w:p>
            <w:pPr>
              <w:spacing w:after="0"/>
              <w:rPr>
                <w:sz w:val="20"/>
                <w:szCs w:val="20"/>
                <w:color w:val="auto"/>
              </w:rPr>
            </w:pPr>
            <w:r>
              <w:rPr>
                <w:rFonts w:ascii="Arial" w:cs="Arial" w:eastAsia="Arial" w:hAnsi="Arial"/>
                <w:sz w:val="18"/>
                <w:szCs w:val="18"/>
                <w:color w:val="auto"/>
                <w:w w:val="88"/>
              </w:rPr>
              <w:t>Consolidated statements of changes in members’ equity as of Successor 2019 Period, Predecessor 2019 Period and the year ended December 31,</w:t>
            </w:r>
          </w:p>
        </w:tc>
        <w:tc>
          <w:tcPr>
            <w:tcW w:w="400" w:type="dxa"/>
            <w:vAlign w:val="bottom"/>
          </w:tcPr>
          <w:p>
            <w:pPr>
              <w:spacing w:after="0"/>
              <w:rPr>
                <w:sz w:val="18"/>
                <w:szCs w:val="18"/>
                <w:color w:val="auto"/>
              </w:rPr>
            </w:pPr>
          </w:p>
        </w:tc>
      </w:tr>
      <w:tr>
        <w:trPr>
          <w:trHeight w:val="214"/>
        </w:trPr>
        <w:tc>
          <w:tcPr>
            <w:tcW w:w="15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F-8</w:t>
            </w:r>
          </w:p>
        </w:tc>
      </w:tr>
      <w:tr>
        <w:trPr>
          <w:trHeight w:val="214"/>
        </w:trPr>
        <w:tc>
          <w:tcPr>
            <w:tcW w:w="10460" w:type="dxa"/>
            <w:vAlign w:val="bottom"/>
            <w:gridSpan w:val="5"/>
          </w:tcPr>
          <w:p>
            <w:pPr>
              <w:spacing w:after="0"/>
              <w:rPr>
                <w:rFonts w:ascii="Arial" w:cs="Arial" w:eastAsia="Arial" w:hAnsi="Arial"/>
                <w:sz w:val="18"/>
                <w:szCs w:val="18"/>
                <w:u w:val="single" w:color="auto"/>
                <w:color w:val="0000EE"/>
                <w:w w:val="93"/>
              </w:rPr>
            </w:pPr>
            <w:hyperlink w:anchor="page223">
              <w:r>
                <w:rPr>
                  <w:rFonts w:ascii="Arial" w:cs="Arial" w:eastAsia="Arial" w:hAnsi="Arial"/>
                  <w:sz w:val="18"/>
                  <w:szCs w:val="18"/>
                  <w:u w:val="single" w:color="auto"/>
                  <w:color w:val="0000EE"/>
                  <w:w w:val="93"/>
                </w:rPr>
                <w:t>Consolidated statements of cash flows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F-9</w:t>
            </w:r>
          </w:p>
        </w:tc>
      </w:tr>
      <w:tr>
        <w:trPr>
          <w:trHeight w:val="227"/>
        </w:trPr>
        <w:tc>
          <w:tcPr>
            <w:tcW w:w="10460" w:type="dxa"/>
            <w:vAlign w:val="bottom"/>
            <w:gridSpan w:val="5"/>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Notes to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F-10</w:t>
            </w:r>
          </w:p>
        </w:tc>
      </w:tr>
      <w:tr>
        <w:trPr>
          <w:trHeight w:val="321"/>
        </w:trPr>
        <w:tc>
          <w:tcPr>
            <w:tcW w:w="10460" w:type="dxa"/>
            <w:vAlign w:val="bottom"/>
            <w:gridSpan w:val="5"/>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00" w:type="dxa"/>
            <w:vAlign w:val="bottom"/>
          </w:tcPr>
          <w:p>
            <w:pPr>
              <w:spacing w:after="0"/>
              <w:rPr>
                <w:sz w:val="24"/>
                <w:szCs w:val="24"/>
                <w:color w:val="auto"/>
              </w:rPr>
            </w:pPr>
          </w:p>
        </w:tc>
      </w:tr>
      <w:tr>
        <w:trPr>
          <w:trHeight w:val="308"/>
        </w:trPr>
        <w:tc>
          <w:tcPr>
            <w:tcW w:w="10460" w:type="dxa"/>
            <w:vAlign w:val="bottom"/>
            <w:gridSpan w:val="5"/>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00" w:type="dxa"/>
            <w:vAlign w:val="bottom"/>
          </w:tcPr>
          <w:p>
            <w:pPr>
              <w:spacing w:after="0"/>
              <w:rPr>
                <w:sz w:val="24"/>
                <w:szCs w:val="24"/>
                <w:color w:val="auto"/>
              </w:rPr>
            </w:pP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Condensed consolidated statements of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F-42</w:t>
            </w: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Condensed consolidated statements of comprehensive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F-43</w:t>
            </w: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Condensed consolidated balance sheets as of March 31, 2020 and December 31,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Condensed consolidated statements of changes in members’ equity as of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r>
      <w:tr>
        <w:trPr>
          <w:trHeight w:val="214"/>
        </w:trPr>
        <w:tc>
          <w:tcPr>
            <w:tcW w:w="10460" w:type="dxa"/>
            <w:vAlign w:val="bottom"/>
            <w:gridSpan w:val="5"/>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Condensed consolidated statements of cash flows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r>
      <w:tr>
        <w:trPr>
          <w:trHeight w:val="227"/>
        </w:trPr>
        <w:tc>
          <w:tcPr>
            <w:tcW w:w="10460" w:type="dxa"/>
            <w:vAlign w:val="bottom"/>
            <w:gridSpan w:val="5"/>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Notes to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r>
    </w:tbl>
    <w:p>
      <w:pPr>
        <w:sectPr>
          <w:pgSz w:w="11900" w:h="16838" w:orient="portrait"/>
          <w:cols w:equalWidth="0" w:num="1">
            <w:col w:w="11020"/>
          </w:cols>
          <w:pgMar w:left="320" w:top="456" w:right="5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 the Shareholder and Board of Directors of GoHealth, Inc.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w:t>
      </w:r>
    </w:p>
    <w:p>
      <w:pPr>
        <w:spacing w:after="0" w:line="114"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We have audited the accompanying balance sheet of GoHealth, Inc. (the “Company”) as of March 27, 2020, and the related notes (collectively referred to as the “financial statement”). In our opinion, the financial statement presents fairly, in all material respects, the financial position of GoHealth, Inc. at March 27, 2020, in conformity with U.S. generally accepted accounting principles.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92"/>
              </w:rPr>
              <w:t>GoHealth, Inc.</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9900" w:type="dxa"/>
            <w:vAlign w:val="bottom"/>
          </w:tcPr>
          <w:p>
            <w:pPr>
              <w:jc w:val="center"/>
              <w:ind w:left="931"/>
              <w:spacing w:after="0"/>
              <w:rPr>
                <w:sz w:val="20"/>
                <w:szCs w:val="20"/>
                <w:color w:val="auto"/>
              </w:rPr>
            </w:pPr>
            <w:r>
              <w:rPr>
                <w:rFonts w:ascii="Arial" w:cs="Arial" w:eastAsia="Arial" w:hAnsi="Arial"/>
                <w:sz w:val="18"/>
                <w:szCs w:val="18"/>
                <w:color w:val="auto"/>
                <w:w w:val="90"/>
              </w:rPr>
              <w:t>(dollars in actuals)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7"/>
        </w:trPr>
        <w:tc>
          <w:tcPr>
            <w:tcW w:w="99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27,</w:t>
            </w:r>
          </w:p>
        </w:tc>
      </w:tr>
      <w:tr>
        <w:trPr>
          <w:trHeight w:val="170"/>
        </w:trPr>
        <w:tc>
          <w:tcPr>
            <w:tcW w:w="9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4"/>
        </w:trPr>
        <w:tc>
          <w:tcPr>
            <w:tcW w:w="99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$0.001 par value, 1,000 shares authorized, issued and outstanding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balance sheet.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Balance Sheet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jc w:val="both"/>
        <w:ind w:left="160" w:right="160"/>
        <w:spacing w:after="0" w:line="255" w:lineRule="auto"/>
        <w:rPr>
          <w:sz w:val="20"/>
          <w:szCs w:val="20"/>
          <w:color w:val="auto"/>
        </w:rPr>
      </w:pPr>
      <w:r>
        <w:rPr>
          <w:rFonts w:ascii="Arial" w:cs="Arial" w:eastAsia="Arial" w:hAnsi="Arial"/>
          <w:sz w:val="18"/>
          <w:szCs w:val="18"/>
          <w:color w:val="auto"/>
        </w:rPr>
        <w:t>GoHealth, Inc. (the “Company”) was incorporated in Delaware on March 27, 2020. Pursuant to a reorganization into a holding company structure, the Company will be a holding company and its principal asset will be a controlling equity interest in GoHealth Holdings, LLC (“GHH, LLC”), formerly known as Blizzard Parent, LLC. As the sole managing member of GHH, LLC, the Company will operate and control all of the business and affairs of GHH, LLC, and through GHH, LLC and its subsidiaries, conduct its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balance sheet is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cash as of the balance sheet date was cash on hand held in deposit, and is carried at fair value, which approximates carrying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Stockholder’s Equity</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March 27, 2020, the Company was authorized to issue 1,000 shares of common stock, $0.001 par value. On March 27, 2020, the Company issued 1,000 shares of common stock for $1, all of which were owned by GHH, LLC.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Subsequent Events</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Company has evaluated subsequent events through May 8, 2020, the date on which the balance sheet was available for issuance, and is not aware of any subsequent events that would require recognition or disclosure in the financial statement.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320" w:top="456"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right="4360"/>
        <w:spacing w:after="0" w:line="374" w:lineRule="auto"/>
        <w:rPr>
          <w:sz w:val="20"/>
          <w:szCs w:val="20"/>
          <w:color w:val="auto"/>
        </w:rPr>
      </w:pPr>
      <w:r>
        <w:rPr>
          <w:rFonts w:ascii="Arial" w:cs="Arial" w:eastAsia="Arial" w:hAnsi="Arial"/>
          <w:sz w:val="18"/>
          <w:szCs w:val="18"/>
          <w:b w:val="1"/>
          <w:bCs w:val="1"/>
          <w:color w:val="auto"/>
        </w:rPr>
        <w:t xml:space="preserve">To the Members and Board of Directors of GoHealth Holdings, LLC and Subsidiaries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audited the accompanying consolidated balance sheets of GoHealth Holdings, LLC and subsidiaries (Successor) (the “Company”) as of December 31, 2019 (Successor period) and 2018 (Predecessor period), the related consolidated statements of income (loss), comprehensive income (loss), changes in members’ equity and cash flows for the period from September 13, 2019 to December 31, 2019 (Successor period), the period from January 1, 2019 to September 12, 2019 and the year ended December 31, 2018 (Predecessor period), and the related notes (collectively referred to as the “consolidated financial statements”). In our opinion, the consolidated financial statements present fairly, in all material respects, the financial position of the Company at December 31, 2019 (Successor period) and 2018 (Predecessor period), and the results of its operations and its cash flows for the period from September 13, 2019 to December 31, 2019 (Successor period), the period from January 1, 2019 to September 12, 2019 and the year ended December 31, 2018 (Predecessor period), in conformity with U.S. generally accepted accounting principles.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4" w:lineRule="exact"/>
        <w:rPr>
          <w:sz w:val="20"/>
          <w:szCs w:val="20"/>
          <w:color w:val="auto"/>
        </w:rPr>
      </w:pPr>
    </w:p>
    <w:p>
      <w:pPr>
        <w:ind w:left="160" w:right="320"/>
        <w:spacing w:after="0" w:line="335"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revenue as a result of the full retrospective adoption of Accounting Standards Update (“ASU”) No. 2014-09 “Revenue from Contracts with Customers (Topic 606),” as amended.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6"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91"/>
              </w:rPr>
              <w:t>GoHealth Holdings, LLC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89"/>
              </w:rPr>
              <w:t>Consolidated Statements of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jc w:val="center"/>
              <w:ind w:left="3751"/>
              <w:spacing w:after="0"/>
              <w:rPr>
                <w:sz w:val="20"/>
                <w:szCs w:val="20"/>
                <w:color w:val="auto"/>
              </w:rPr>
            </w:pPr>
            <w:r>
              <w:rPr>
                <w:rFonts w:ascii="Arial" w:cs="Arial" w:eastAsia="Arial" w:hAnsi="Arial"/>
                <w:sz w:val="18"/>
                <w:szCs w:val="18"/>
                <w:color w:val="auto"/>
                <w:w w:val="89"/>
              </w:rPr>
              <w:t>(dollars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1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284,393</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-4050030</wp:posOffset>
            </wp:positionV>
            <wp:extent cx="6929755" cy="40595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40595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3"/>
        <w:spacing w:after="0"/>
        <w:tabs>
          <w:tab w:leader="none" w:pos="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175,834    $  144,378</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55,176</w:t>
      </w:r>
      <w:r>
        <w:rPr>
          <w:rFonts w:ascii="Arial" w:cs="Arial" w:eastAsia="Arial" w:hAnsi="Arial"/>
          <w:sz w:val="16"/>
          <w:szCs w:val="16"/>
          <w:color w:val="auto"/>
        </w:rPr>
        <w:t>81,827</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339"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79,169</w:t>
      </w:r>
      <w:r>
        <w:rPr>
          <w:sz w:val="20"/>
          <w:szCs w:val="20"/>
          <w:color w:val="auto"/>
        </w:rPr>
        <w:tab/>
      </w:r>
      <w:r>
        <w:rPr>
          <w:rFonts w:ascii="Arial" w:cs="Arial" w:eastAsia="Arial" w:hAnsi="Arial"/>
          <w:sz w:val="18"/>
          <w:szCs w:val="18"/>
          <w:color w:val="auto"/>
        </w:rPr>
        <w:t>79,582</w:t>
      </w:r>
    </w:p>
    <w:p>
      <w:pPr>
        <w:spacing w:after="0" w:line="20"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37,769</w:t>
      </w:r>
      <w:r>
        <w:rPr>
          <w:sz w:val="20"/>
          <w:szCs w:val="20"/>
          <w:color w:val="auto"/>
        </w:rPr>
        <w:tab/>
      </w:r>
      <w:r>
        <w:rPr>
          <w:rFonts w:ascii="Arial" w:cs="Arial" w:eastAsia="Arial" w:hAnsi="Arial"/>
          <w:sz w:val="18"/>
          <w:szCs w:val="18"/>
          <w:color w:val="auto"/>
        </w:rPr>
        <w:t>28,129</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49,149</w:t>
      </w:r>
      <w:r>
        <w:rPr>
          <w:sz w:val="20"/>
          <w:szCs w:val="20"/>
          <w:color w:val="auto"/>
        </w:rPr>
        <w:tab/>
      </w:r>
      <w:r>
        <w:rPr>
          <w:rFonts w:ascii="Arial" w:cs="Arial" w:eastAsia="Arial" w:hAnsi="Arial"/>
          <w:sz w:val="18"/>
          <w:szCs w:val="18"/>
          <w:color w:val="auto"/>
        </w:rPr>
        <w:t>46,076</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40,312</w:t>
      </w:r>
      <w:r>
        <w:rPr>
          <w:sz w:val="20"/>
          <w:szCs w:val="20"/>
          <w:color w:val="auto"/>
        </w:rPr>
        <w:tab/>
      </w:r>
      <w:r>
        <w:rPr>
          <w:rFonts w:ascii="Arial" w:cs="Arial" w:eastAsia="Arial" w:hAnsi="Arial"/>
          <w:sz w:val="18"/>
          <w:szCs w:val="18"/>
          <w:color w:val="auto"/>
        </w:rPr>
        <w:t>16,197</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79,219</w:t>
      </w:r>
      <w:r>
        <w:rPr>
          <w:sz w:val="20"/>
          <w:szCs w:val="20"/>
          <w:color w:val="auto"/>
        </w:rPr>
        <w:tab/>
      </w:r>
      <w:r>
        <w:rPr>
          <w:rFonts w:ascii="Arial" w:cs="Arial" w:eastAsia="Arial" w:hAnsi="Arial"/>
          <w:sz w:val="18"/>
          <w:szCs w:val="18"/>
          <w:color w:val="auto"/>
        </w:rPr>
        <w:t>27,458</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287,885</w:t>
      </w:r>
      <w:r>
        <w:rPr>
          <w:sz w:val="20"/>
          <w:szCs w:val="20"/>
          <w:color w:val="auto"/>
        </w:rPr>
        <w:tab/>
      </w:r>
      <w:r>
        <w:rPr>
          <w:rFonts w:ascii="Arial" w:cs="Arial" w:eastAsia="Arial" w:hAnsi="Arial"/>
          <w:sz w:val="17"/>
          <w:szCs w:val="17"/>
          <w:color w:val="auto"/>
        </w:rPr>
        <w:t>197,442</w:t>
      </w:r>
    </w:p>
    <w:p>
      <w:pPr>
        <w:spacing w:after="0" w:line="45"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(56,875)</w:t>
      </w:r>
      <w:r>
        <w:rPr>
          <w:sz w:val="20"/>
          <w:szCs w:val="20"/>
          <w:color w:val="auto"/>
        </w:rPr>
        <w:tab/>
      </w:r>
      <w:r>
        <w:rPr>
          <w:rFonts w:ascii="Arial" w:cs="Arial" w:eastAsia="Arial" w:hAnsi="Arial"/>
          <w:sz w:val="18"/>
          <w:szCs w:val="18"/>
          <w:color w:val="auto"/>
        </w:rPr>
        <w:t>28,763</w:t>
      </w:r>
    </w:p>
    <w:p>
      <w:pPr>
        <w:spacing w:after="0" w:line="11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20" w:lineRule="exact"/>
        <w:rPr>
          <w:sz w:val="20"/>
          <w:szCs w:val="20"/>
          <w:color w:val="auto"/>
        </w:rPr>
      </w:pPr>
    </w:p>
    <w:p>
      <w:pPr>
        <w:ind w:left="1680" w:hanging="1123"/>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(379)</w:t>
      </w:r>
    </w:p>
    <w:p>
      <w:pPr>
        <w:spacing w:after="0" w:line="3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(57,129)</w:t>
      </w:r>
      <w:r>
        <w:rPr>
          <w:rFonts w:ascii="Arial" w:cs="Arial" w:eastAsia="Arial" w:hAnsi="Arial"/>
          <w:sz w:val="16"/>
          <w:szCs w:val="16"/>
          <w:color w:val="auto"/>
        </w:rPr>
        <w:t>28,160</w:t>
      </w:r>
    </w:p>
    <w:p>
      <w:pPr>
        <w:spacing w:after="0" w:line="114" w:lineRule="exact"/>
        <w:rPr>
          <w:sz w:val="20"/>
          <w:szCs w:val="20"/>
          <w:color w:val="auto"/>
        </w:rPr>
      </w:pPr>
    </w:p>
    <w:p>
      <w:pPr>
        <w:ind w:left="1840" w:hanging="1201"/>
        <w:spacing w:after="0"/>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46</w:t>
      </w:r>
    </w:p>
    <w:p>
      <w:pPr>
        <w:spacing w:after="0" w:line="3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7"/>
          <w:szCs w:val="17"/>
          <w:color w:val="auto"/>
        </w:rPr>
        <w:t>(57,063)</w:t>
      </w:r>
      <w:r>
        <w:rPr>
          <w:sz w:val="20"/>
          <w:szCs w:val="20"/>
          <w:color w:val="auto"/>
        </w:rPr>
        <w:tab/>
      </w:r>
      <w:r>
        <w:rPr>
          <w:rFonts w:ascii="Arial" w:cs="Arial" w:eastAsia="Arial" w:hAnsi="Arial"/>
          <w:sz w:val="17"/>
          <w:szCs w:val="17"/>
          <w:color w:val="auto"/>
        </w:rPr>
        <w:t>28,114</w:t>
      </w:r>
    </w:p>
    <w:p>
      <w:pPr>
        <w:spacing w:after="0" w:line="121" w:lineRule="exact"/>
        <w:rPr>
          <w:sz w:val="20"/>
          <w:szCs w:val="20"/>
          <w:color w:val="auto"/>
        </w:rPr>
      </w:pPr>
    </w:p>
    <w:p>
      <w:pPr>
        <w:jc w:val="both"/>
        <w:ind w:firstLine="602"/>
        <w:spacing w:after="0" w:line="306"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(57,063</w:t>
      </w:r>
      <w:r>
        <w:rPr>
          <w:rFonts w:ascii="Arial" w:cs="Arial" w:eastAsia="Arial" w:hAnsi="Arial"/>
          <w:sz w:val="18"/>
          <w:szCs w:val="18"/>
          <w:color w:val="auto"/>
        </w:rPr>
        <w:t xml:space="preserve">) </w:t>
      </w:r>
      <w:r>
        <w:rPr>
          <w:rFonts w:ascii="Arial" w:cs="Arial" w:eastAsia="Arial" w:hAnsi="Arial"/>
          <w:sz w:val="18"/>
          <w:szCs w:val="18"/>
          <w:u w:val="single" w:color="auto"/>
          <w:color w:val="auto"/>
        </w:rPr>
        <w:t>$ 28,117</w:t>
      </w:r>
    </w:p>
    <w:p>
      <w:pPr>
        <w:sectPr>
          <w:pgSz w:w="11900" w:h="16838" w:orient="portrait"/>
          <w:cols w:equalWidth="0" w:num="2">
            <w:col w:w="8240" w:space="720"/>
            <w:col w:w="2080"/>
          </w:cols>
          <w:pgMar w:left="320" w:top="456" w:right="5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58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4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Less: Net comprehensive loss attributable to non-controlling interests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comprehensive income (loss) attributable to GoHealth Holdings, LLC and</w:t>
            </w: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15,978</w:t>
            </w: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52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12,276</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$904 in 2019 and $835 in 2018</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24,461</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9,855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101,078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54,028</w:t>
            </w: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281,853</w:t>
            </w: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76,842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782,783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13,582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22,568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56,003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18,336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113,065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47,984</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97,489</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288,233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242,700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629,086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Redeemable Class B units – $10.00 par value; 4,930,000 issued and outstanding as of December 31, 2018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246,000</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Preferred units – $1.00 par value; 541,263,042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547,542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Class A Common units – $1.00 par value; 237,938,682 units authorized, issued and outstanding at December 31, 2019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218,911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w w:val="94"/>
              </w:rPr>
              <w:t>Class B Common units – $1.00 par value; 102,061,318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93,708</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Preferred Earnout Units – no par value; none authorized, issued, and outstanding at December 31, 2019</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Profits Units – no par value; 97,918,116 units authorized; 78,398,133 units issued; and none outstanding as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A units – $10.00 par value; 8,365,000 units issued and outstanding as of December 31,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Class B units – $10.00 par value; 220,000 units issued and outstanding as of December 31, 2018</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Retained earnings (deficit)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52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 (deficit)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860,144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(186,653)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vMerge w:val="restart"/>
          </w:tcPr>
          <w:p>
            <w:pPr>
              <w:jc w:val="right"/>
              <w:ind w:right="400"/>
              <w:spacing w:after="0"/>
              <w:rPr>
                <w:sz w:val="20"/>
                <w:szCs w:val="20"/>
                <w:color w:val="auto"/>
              </w:rPr>
            </w:pPr>
            <w:r>
              <w:rPr>
                <w:rFonts w:ascii="Arial" w:cs="Arial" w:eastAsia="Arial" w:hAnsi="Arial"/>
                <w:sz w:val="12"/>
                <w:szCs w:val="12"/>
                <w:b w:val="1"/>
                <w:bCs w:val="1"/>
                <w:color w:val="auto"/>
              </w:rPr>
              <w:t>Class A</w:t>
            </w:r>
          </w:p>
        </w:tc>
        <w:tc>
          <w:tcPr>
            <w:tcW w:w="108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Class B</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2"/>
                <w:szCs w:val="12"/>
                <w:b w:val="1"/>
                <w:bCs w:val="1"/>
                <w:color w:val="auto"/>
              </w:rPr>
              <w:t>Preferred Units</w:t>
            </w:r>
          </w:p>
        </w:tc>
        <w:tc>
          <w:tcPr>
            <w:tcW w:w="112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rPr>
              <w:t>Common Units</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rPr>
              <w:t>Class A Units</w:t>
            </w:r>
          </w:p>
        </w:tc>
        <w:tc>
          <w:tcPr>
            <w:tcW w:w="1000" w:type="dxa"/>
            <w:vAlign w:val="bottom"/>
            <w:gridSpan w:val="6"/>
            <w:vMerge w:val="restart"/>
          </w:tcPr>
          <w:p>
            <w:pPr>
              <w:jc w:val="right"/>
              <w:ind w:right="200"/>
              <w:spacing w:after="0"/>
              <w:rPr>
                <w:sz w:val="20"/>
                <w:szCs w:val="20"/>
                <w:color w:val="auto"/>
              </w:rPr>
            </w:pPr>
            <w:r>
              <w:rPr>
                <w:rFonts w:ascii="Arial" w:cs="Arial" w:eastAsia="Arial" w:hAnsi="Arial"/>
                <w:sz w:val="12"/>
                <w:szCs w:val="12"/>
                <w:b w:val="1"/>
                <w:bCs w:val="1"/>
                <w:color w:val="auto"/>
              </w:rPr>
              <w:t>Class B Units</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2660" w:type="dxa"/>
            <w:vAlign w:val="bottom"/>
            <w:gridSpan w:val="11"/>
            <w:vMerge w:val="restart"/>
          </w:tcPr>
          <w:p>
            <w:pPr>
              <w:spacing w:after="0" w:line="134" w:lineRule="exact"/>
              <w:rPr>
                <w:sz w:val="20"/>
                <w:szCs w:val="20"/>
                <w:color w:val="auto"/>
              </w:rPr>
            </w:pPr>
            <w:r>
              <w:rPr>
                <w:rFonts w:ascii="Arial" w:cs="Arial" w:eastAsia="Arial" w:hAnsi="Arial"/>
                <w:sz w:val="12"/>
                <w:szCs w:val="12"/>
                <w:b w:val="1"/>
                <w:bCs w:val="1"/>
                <w:color w:val="auto"/>
              </w:rPr>
              <w:t>Earnings   Non-Controlling  Comprehensive</w:t>
            </w:r>
          </w:p>
        </w:tc>
        <w:tc>
          <w:tcPr>
            <w:tcW w:w="80" w:type="dxa"/>
            <w:vAlign w:val="bottom"/>
          </w:tcPr>
          <w:p>
            <w:pPr>
              <w:spacing w:after="0"/>
              <w:rPr>
                <w:sz w:val="7"/>
                <w:szCs w:val="7"/>
                <w:color w:val="auto"/>
              </w:rPr>
            </w:pPr>
          </w:p>
        </w:tc>
        <w:tc>
          <w:tcPr>
            <w:tcW w:w="540" w:type="dxa"/>
            <w:vAlign w:val="bottom"/>
            <w:gridSpan w:val="2"/>
            <w:vMerge w:val="restart"/>
          </w:tcPr>
          <w:p>
            <w:pPr>
              <w:jc w:val="right"/>
              <w:ind w:right="180"/>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gridSpan w:val="11"/>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Units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Interests</w:t>
            </w:r>
          </w:p>
        </w:tc>
        <w:tc>
          <w:tcPr>
            <w:tcW w:w="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(Loss) Income</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Predecessor:</w:t>
            </w: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January 1,2018, before the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rPr>
                <w:sz w:val="20"/>
                <w:szCs w:val="20"/>
                <w:color w:val="auto"/>
              </w:rPr>
            </w:pPr>
            <w:r>
              <w:rPr>
                <w:rFonts w:ascii="Arial" w:cs="Arial" w:eastAsia="Arial" w:hAnsi="Arial"/>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(49,238)</w:t>
            </w:r>
          </w:p>
        </w:tc>
        <w:tc>
          <w:tcPr>
            <w:tcW w:w="20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(48,787)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Cumulative effect of adoption of</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ASC 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Balance at January 1, 2018, after the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(20,631)</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Reclassification of Redeemable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Class B to Class B Units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Member distributions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Acquisition of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Net income (loss)</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15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December 31, 2018</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(189,102)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(186,653)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Conversion of Redeemable Class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360"/>
              <w:spacing w:after="0" w:line="134" w:lineRule="exact"/>
              <w:rPr>
                <w:sz w:val="20"/>
                <w:szCs w:val="20"/>
                <w:color w:val="auto"/>
              </w:rPr>
            </w:pPr>
            <w:r>
              <w:rPr>
                <w:rFonts w:ascii="Arial" w:cs="Arial" w:eastAsia="Arial" w:hAnsi="Arial"/>
                <w:sz w:val="12"/>
                <w:szCs w:val="12"/>
                <w:color w:val="auto"/>
                <w:w w:val="98"/>
              </w:rPr>
              <w:t>Units and Class B Units to Class 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Units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386,604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(2,200)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384,404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September 12, 2019</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13,515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87"/>
              </w:rPr>
              <w:t>386,839</w:t>
            </w:r>
          </w:p>
        </w:tc>
        <w:tc>
          <w:tcPr>
            <w:tcW w:w="3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(384,569)</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Successor: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September 13, 2019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541,263</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w w:val="99"/>
              </w:rPr>
              <w:t>$541,263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237,939</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$214,145</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102,061</w:t>
            </w: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$ 91,855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847,263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(3,545)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w w:val="99"/>
              </w:rPr>
              <w:t>Share-based compensation expense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4,318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1,853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December 31, 2019</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6"/>
              </w:rPr>
              <w:t>541,263</w:t>
            </w:r>
          </w:p>
        </w:tc>
        <w:tc>
          <w:tcPr>
            <w:tcW w:w="6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547,542</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237,939</w:t>
            </w: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$ 218,911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102,061</w:t>
            </w:r>
          </w:p>
        </w:tc>
        <w:tc>
          <w:tcPr>
            <w:tcW w:w="58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$ 93,708</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860,144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gridSpan w:val="2"/>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13,</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15,995</w:t>
            </w:r>
          </w:p>
        </w:tc>
        <w:tc>
          <w:tcPr>
            <w:tcW w:w="480" w:type="dxa"/>
            <w:vAlign w:val="bottom"/>
            <w:tcBorders>
              <w:left w:val="single" w:sz="8" w:color="auto"/>
            </w:tcBorders>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(57,063)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income (loss) to net cash (used in) provided by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28,217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70,700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(15,113)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(203,956)</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(2,316)</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17,860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80,828</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4"/>
              </w:rPr>
              <w:t>9,281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(807,591)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(2,419)</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(810,010)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payments under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Payments under revolving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(59,915)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(9,283)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received upon issuance of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541,263</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Member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830,879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9"/>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58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708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122</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September 13, 2019 through December 31, 2019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January 1, 2019 through September 12,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Year Ended December 31, 2018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p>
      <w:pPr>
        <w:ind w:left="160" w:right="4740" w:firstLine="7"/>
        <w:spacing w:after="0" w:line="374" w:lineRule="auto"/>
        <w:tabs>
          <w:tab w:leader="none" w:pos="338"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 xml:space="preserve">As a result of the Acquisition, which is discussed further in </w:t>
      </w:r>
      <w:r>
        <w:rPr>
          <w:rFonts w:ascii="Arial" w:cs="Arial" w:eastAsia="Arial" w:hAnsi="Arial"/>
          <w:sz w:val="16"/>
          <w:szCs w:val="16"/>
          <w:i w:val="1"/>
          <w:iCs w:val="1"/>
          <w:color w:val="auto"/>
        </w:rPr>
        <w:t>Note 2 – Acquisition</w:t>
      </w:r>
      <w:r>
        <w:rPr>
          <w:rFonts w:ascii="Arial" w:cs="Arial" w:eastAsia="Arial" w:hAnsi="Arial"/>
          <w:sz w:val="16"/>
          <w:szCs w:val="16"/>
          <w:color w:val="auto"/>
        </w:rPr>
        <w:t>,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Prior to September 13, 2019, the consolidated financial statements include the accounts of the “Predecessor” company. References to the “Successor 2019 Period” refer to the period from September 13, 2019 through December 31, 2019. References to the “Predecessor 2019 Period” refer to the period from January 1, 2019 through September 12, 2019, prior to the Acquisition.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 xml:space="preserve">Effective January 1, 2019, the Company adopted the requirements of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method,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 xml:space="preserve">requires adjusting prior periods as if ASC 606 had been in effect as of the beginning of the earliest period presented. Thus, the accompanying consolidated predecessor balance sheet of Norvax as of December 31, 2018, as well as the accompanying consolidated statements of income (loss), comprehensive income (loss), changes in members’ equity, and cash flows for the year then ended, have been adjusted to reflect the adoption of ASC 606, as have all related disclosures. The adoption had a material impact on the Company’s consolidated financial statements. See “Revenue Recognition” below for additional information on ASC 606 and </w:t>
      </w:r>
      <w:r>
        <w:rPr>
          <w:rFonts w:ascii="Arial" w:cs="Arial" w:eastAsia="Arial" w:hAnsi="Arial"/>
          <w:sz w:val="17"/>
          <w:szCs w:val="17"/>
          <w:i w:val="1"/>
          <w:iCs w:val="1"/>
          <w:color w:val="auto"/>
        </w:rPr>
        <w:t>Note 13 – Adoption Impact of New Revenue Standard</w:t>
      </w:r>
      <w:r>
        <w:rPr>
          <w:rFonts w:ascii="Arial" w:cs="Arial" w:eastAsia="Arial" w:hAnsi="Arial"/>
          <w:sz w:val="17"/>
          <w:szCs w:val="17"/>
          <w:color w:val="auto"/>
        </w:rPr>
        <w:t xml:space="preserve"> for further discussion of the adoption and the impact on the Company’s previously reported historical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December 31, 2019, and 2018, the Company’s cash balances in the United States exceeded the FDIC-insured limits by $12,026 and $255,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93"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18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December 31, 2019, five customers each represented 10% or more of the Company’s total accounts receivable and, in aggregate, represented 87%, or $21,220, of the Company’s total accounts receivable. As of December 31, 2018, three customers each represented 10% or more of the Company’s total accounts receivable and, in aggregate, represented 58%, or $5,681, of the Company’s total accounts receivable. No other customers represented 10% or more of the Company’s total accounts receivable at December 31, 2019 and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(loss) income. Gains and losses from foreign currency transactions are included in other income (expense) and are immaterial for all periods presented.</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8"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Receivable</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years ended December 31, 2019 or 2018.</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Payable</w:t>
      </w:r>
    </w:p>
    <w:p>
      <w:pPr>
        <w:spacing w:after="0" w:line="118"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Commissions payable represent the estimated share of policy renewal commissions earned by the Company’s external channel agents. The current portion of commissions payable are future renewal commissions expected to be paid within one year, while the non-current portion of commissions payable are expected to be paid beyond one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Description</w:t>
            </w:r>
          </w:p>
        </w:tc>
        <w:tc>
          <w:tcPr>
            <w:tcW w:w="472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6"/>
        </w:trPr>
        <w:tc>
          <w:tcPr>
            <w:tcW w:w="5800" w:type="dxa"/>
            <w:vAlign w:val="bottom"/>
            <w:gridSpan w:val="2"/>
          </w:tcPr>
          <w:p>
            <w:pPr>
              <w:spacing w:after="0" w:line="187" w:lineRule="exact"/>
              <w:rPr>
                <w:sz w:val="20"/>
                <w:szCs w:val="20"/>
                <w:color w:val="auto"/>
              </w:rPr>
            </w:pPr>
            <w:r>
              <w:rPr>
                <w:rFonts w:ascii="Arial" w:cs="Arial" w:eastAsia="Arial" w:hAnsi="Arial"/>
                <w:sz w:val="18"/>
                <w:szCs w:val="18"/>
                <w:color w:val="auto"/>
              </w:rPr>
              <w:t>Computer equipment and software</w:t>
            </w:r>
          </w:p>
        </w:tc>
        <w:tc>
          <w:tcPr>
            <w:tcW w:w="5120" w:type="dxa"/>
            <w:vAlign w:val="bottom"/>
          </w:tcPr>
          <w:p>
            <w:pPr>
              <w:jc w:val="center"/>
              <w:spacing w:after="0" w:line="187" w:lineRule="exact"/>
              <w:rPr>
                <w:sz w:val="20"/>
                <w:szCs w:val="20"/>
                <w:color w:val="auto"/>
              </w:rPr>
            </w:pPr>
            <w:r>
              <w:rPr>
                <w:rFonts w:ascii="Arial" w:cs="Arial" w:eastAsia="Arial" w:hAnsi="Arial"/>
                <w:sz w:val="18"/>
                <w:szCs w:val="18"/>
                <w:color w:val="auto"/>
                <w:w w:val="88"/>
              </w:rPr>
              <w:t>3 years</w:t>
            </w: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Office equipment and furniture</w:t>
            </w: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Lesser of useful life (typically 5 years) or remaining lease term</w:t>
            </w:r>
          </w:p>
        </w:tc>
      </w:tr>
    </w:tbl>
    <w:p>
      <w:pPr>
        <w:spacing w:after="0" w:line="20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Expenditures for major renewals and improvements that extend the useful life of property and equipment are capitalized. Expenditure of maintenance and repairs are charged to expense as incurred.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 xml:space="preserve">The Company accounts for costs incurred to develop and maintain source code software and other internally developed software applications, primarily consisting of employee-related and third-party contractor costs, pursuant to ASC Topic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Income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The Company tests goodwill for impairment on an annual basis in the fourth quarter of each year or whenever events or changes in circumstances indicate that the goodwill may be impaired.</w:t>
      </w:r>
    </w:p>
    <w:p>
      <w:pPr>
        <w:spacing w:after="0" w:line="17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asset or group of assets may not be recoverable. If the carrying amount of an indefinite-lived intangible asset exceeds its fair value, an impairment loss is recognized in an amount equal to that excess.</w:t>
      </w:r>
    </w:p>
    <w:p>
      <w:pPr>
        <w:spacing w:after="0" w:line="164" w:lineRule="exact"/>
        <w:rPr>
          <w:sz w:val="20"/>
          <w:szCs w:val="20"/>
          <w:color w:val="auto"/>
        </w:rPr>
      </w:pPr>
    </w:p>
    <w:p>
      <w:pPr>
        <w:ind w:left="160" w:right="620"/>
        <w:spacing w:after="0" w:line="335"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28" w:lineRule="exact"/>
        <w:rPr>
          <w:sz w:val="20"/>
          <w:szCs w:val="20"/>
          <w:color w:val="auto"/>
        </w:rPr>
      </w:pPr>
    </w:p>
    <w:p>
      <w:pPr>
        <w:ind w:left="160" w:right="300"/>
        <w:spacing w:after="0" w:line="253" w:lineRule="auto"/>
        <w:rPr>
          <w:sz w:val="20"/>
          <w:szCs w:val="20"/>
          <w:color w:val="auto"/>
        </w:rPr>
      </w:pPr>
      <w:r>
        <w:rPr>
          <w:rFonts w:ascii="Arial" w:cs="Arial" w:eastAsia="Arial" w:hAnsi="Arial"/>
          <w:sz w:val="18"/>
          <w:szCs w:val="18"/>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 xml:space="preserve">The Company applies the accounting guidance related to fair value measurements and discloses information on all financial instruments reported at fair value that enables an assessment of the inputs used in determining the reported fair values.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further discussion around fair value determinations.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 The Company adopted ASC 606 using the full retrospective method and, accordingly, its historical financial statements and related disclosures have been recasted herein to reflect the adoption of ASC 606 for all periods presented.</w:t>
      </w:r>
    </w:p>
    <w:p>
      <w:pPr>
        <w:spacing w:after="0" w:line="174"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92" w:lineRule="exact"/>
        <w:rPr>
          <w:sz w:val="20"/>
          <w:szCs w:val="20"/>
          <w:color w:val="auto"/>
        </w:rPr>
      </w:pPr>
    </w:p>
    <w:p>
      <w:pPr>
        <w:ind w:left="1140" w:right="100" w:hanging="438"/>
        <w:spacing w:after="0" w:line="270" w:lineRule="auto"/>
        <w:tabs>
          <w:tab w:leader="none" w:pos="11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As a result of the implementation of ASC 606,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Deferred Revenue</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Deferred revenue includes deferred technology licensing implementation fees and amounts collected from development funds or technology licensing customers in advance of the Company satisfying its performance obligations for such customers. The Company expects to recognize revenue associated with these remaining performance obligations in the next 12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5"/>
              <w:spacing w:after="0" w:line="118" w:lineRule="exact"/>
              <w:rPr>
                <w:sz w:val="20"/>
                <w:szCs w:val="20"/>
                <w:color w:val="auto"/>
              </w:rPr>
            </w:pPr>
            <w:r>
              <w:rPr>
                <w:rFonts w:ascii="Arial" w:cs="Arial" w:eastAsia="Arial" w:hAnsi="Arial"/>
                <w:sz w:val="13"/>
                <w:szCs w:val="13"/>
                <w:b w:val="1"/>
                <w:bCs w:val="1"/>
                <w:color w:val="auto"/>
              </w:rPr>
              <w:t>Period from</w:t>
            </w:r>
          </w:p>
        </w:tc>
        <w:tc>
          <w:tcPr>
            <w:tcW w:w="620" w:type="dxa"/>
            <w:vAlign w:val="bottom"/>
            <w:gridSpan w:val="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88"/>
              </w:rPr>
              <w:t>September 13, 2019</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780"/>
              <w:spacing w:after="0" w:line="147"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12,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Medicare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119,828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84,218</w:t>
            </w: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9,354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35,320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33,861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15,409</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39,519</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Ancillary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308,491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231,010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Incremental Costs to Obtain a Contract</w:t>
      </w:r>
    </w:p>
    <w:p>
      <w:pPr>
        <w:spacing w:after="0" w:line="118"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Revenue</w:t>
      </w:r>
    </w:p>
    <w:p>
      <w:pPr>
        <w:spacing w:after="0" w:line="118" w:lineRule="exact"/>
        <w:rPr>
          <w:sz w:val="20"/>
          <w:szCs w:val="20"/>
          <w:color w:val="auto"/>
        </w:rPr>
      </w:pPr>
    </w:p>
    <w:p>
      <w:pPr>
        <w:jc w:val="both"/>
        <w:ind w:left="160" w:right="200"/>
        <w:spacing w:after="0" w:line="307"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Advertising</w:t>
      </w:r>
    </w:p>
    <w:p>
      <w:pPr>
        <w:spacing w:after="0" w:line="118"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Advertising expenses consist of costs incurred to acquire consumers through online, television, and direct mail advertisements. Advertising costs incurred in the Successor 2019 Period, Predecessor 2019 Period, and in the year ended December 31, 2018, totaled $18,844, $29,308, and $25,613, respectively.</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records the amounts received as a reduction of the marketing costs incurred.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Care and Enrollment</w:t>
      </w:r>
    </w:p>
    <w:p>
      <w:pPr>
        <w:spacing w:after="0" w:line="118" w:lineRule="exact"/>
        <w:rPr>
          <w:sz w:val="20"/>
          <w:szCs w:val="20"/>
          <w:color w:val="auto"/>
        </w:rPr>
      </w:pPr>
    </w:p>
    <w:p>
      <w:pPr>
        <w:ind w:left="160" w:right="640"/>
        <w:spacing w:after="0" w:line="335"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18"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General and administrative expenses include compensation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 Expense</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Company grants time-vesting units and performance-vesting profit units. Compensation expense for time-vesting units is recognized on a straight-line basis over the requisite service period.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its investment in the Company. Such an exit event is not considered probable until it consummates. The estimated grant date fair value of the Company’s profit interests is determined using a Monte Carlo simulation and Level 3 inputs.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Assumptions utilized in the model for valuing the awards include expected volatility, dividend yield and risk-free interest rate. Additionally, forfeitures are accounted for as they occur.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maintains a tax-qualified 401(k) retirement plan (the Plan) that provides eligible employees with an opportunity to save for retirement on a tax-advantaged basis. Eligible employees may defer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90"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contributes 50% of the first 4% of compensation a participant contributes to the Plan. These matching contributions are expensed as incurred. The Company recognized expense of $150, $346 and $392 for the Successor 2019 Period, the Predecessor 2019 Period, and the year ended December 31, 2018, respectively, related to these matching contributions. The Company also may make non-elective contributions to the 401(k) plan, which, if made, vest 20% after two years and 20% annually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 xml:space="preserve">The Company accounts for income taxes under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The Company is a limited liability company and has elected to be treated as a partnership for income tax purposes. The Company is not directly liable for income taxes for federal purposes.</w:t>
      </w:r>
    </w:p>
    <w:p>
      <w:pPr>
        <w:spacing w:after="0" w:line="175" w:lineRule="exact"/>
        <w:rPr>
          <w:sz w:val="20"/>
          <w:szCs w:val="20"/>
          <w:color w:val="auto"/>
        </w:rPr>
      </w:pPr>
    </w:p>
    <w:p>
      <w:pPr>
        <w:ind w:left="160" w:right="220"/>
        <w:spacing w:after="0" w:line="281" w:lineRule="auto"/>
        <w:rPr>
          <w:sz w:val="20"/>
          <w:szCs w:val="20"/>
          <w:color w:val="auto"/>
        </w:rPr>
      </w:pPr>
      <w:r>
        <w:rPr>
          <w:rFonts w:ascii="Arial" w:cs="Arial" w:eastAsia="Arial" w:hAnsi="Arial"/>
          <w:sz w:val="17"/>
          <w:szCs w:val="17"/>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December 31, 2019 and 2018, there is no liability for uncertain tax positions recorded on the accompanying Consolidated Balance Sheets.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(Topic 350). Under the new standard, goodwill impairment is measured as the amount by which a reporting unit’s carrying value exceeds its fair value, not to exceed the carrying value of goodwill. This ASU eliminates existing guidance that requires an entity to determine goodwill impairment by calculating the implied fair value of goodwill by hypothetically assigning the fair value of a reporting unit to all of its assets and liabilities as if that reporting unit had been acquired in a business combination. This ASU is applied on a prospective basis and is effective for the Company on January 1, 2021, however, early adoption is permitted. The Company adopted this standard in 2019 and the adoption did not significantly impact the consolidated financial statements.</w:t>
      </w:r>
    </w:p>
    <w:p>
      <w:pPr>
        <w:spacing w:after="0" w:line="16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2019-10, </w:t>
      </w:r>
      <w:r>
        <w:rPr>
          <w:rFonts w:ascii="Arial" w:cs="Arial" w:eastAsia="Arial" w:hAnsi="Arial"/>
          <w:sz w:val="16"/>
          <w:szCs w:val="16"/>
          <w:i w:val="1"/>
          <w:iCs w:val="1"/>
          <w:color w:val="auto"/>
        </w:rPr>
        <w:t>Financial Instruments—Credit Losses (Topic 326),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and Leases (Topic 842): Effective Dates</w:t>
      </w:r>
      <w:r>
        <w:rPr>
          <w:rFonts w:ascii="Arial" w:cs="Arial" w:eastAsia="Arial" w:hAnsi="Arial"/>
          <w:sz w:val="16"/>
          <w:szCs w:val="16"/>
          <w:color w:val="auto"/>
        </w:rPr>
        <w:t>, issued November 2019, the guidance in ASU 2016-02, as amended,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2020, and interim periods within fiscal years beginning after December 15, 2021. Early adoption is permitted. The Company is currently evaluating the new guidance to determine the impact it will have on its consolidated financial statements.</w:t>
      </w:r>
    </w:p>
    <w:p>
      <w:pPr>
        <w:spacing w:after="0" w:line="166"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is currently evaluating the new guidance to determine the impact it will have on its consolidated financial statements.</w:t>
      </w:r>
    </w:p>
    <w:p>
      <w:pPr>
        <w:spacing w:after="0" w:line="16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w:t>
      </w:r>
    </w:p>
    <w:p>
      <w:pPr>
        <w:spacing w:after="0" w:line="19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Disclosure Framework—Changes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w:t>
      </w:r>
      <w:r>
        <w:rPr>
          <w:rFonts w:ascii="Arial" w:cs="Arial" w:eastAsia="Arial" w:hAnsi="Arial"/>
          <w:sz w:val="16"/>
          <w:szCs w:val="16"/>
          <w:color w:val="auto"/>
        </w:rPr>
        <w:t>t (Topic 820), which amended the disclosure requirements under ASC 820. This update clarifies and unifies the disclosure of Level 3</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plans to adopt this standard on January 1, 2020, and does not expect the adoption to have a material effect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right="8760" w:firstLine="7"/>
        <w:spacing w:after="0" w:line="421" w:lineRule="auto"/>
        <w:tabs>
          <w:tab w:leader="none" w:pos="338"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0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Transaction costs incurred by the Company were $6,245 and $2,267 for the Successor 2019 Period and the Predecessor 2019 Period, respectively, and are recorded within transaction costs in the Consolidated Statements of Income (Loss). The elements of the purchase consideration are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(loss) from operations. The full amount available relative to the 2019 target was earned as of December 31, 2019, and, as a result, the Company recorded a $75,000 fair value adjustment to the contingent consideration liability for achieving the 2019 target. The Company recorded a fair value adjustment of $4,300 to reduce the contingent consideration liability related to the 2020 target due to changes in forecasts.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Trade names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496,000</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120" w:type="dxa"/>
            <w:vAlign w:val="bottom"/>
          </w:tcPr>
          <w:p>
            <w:pPr>
              <w:spacing w:after="0"/>
              <w:rPr>
                <w:sz w:val="24"/>
                <w:szCs w:val="24"/>
                <w:color w:val="auto"/>
              </w:rPr>
            </w:pPr>
          </w:p>
        </w:tc>
        <w:tc>
          <w:tcPr>
            <w:tcW w:w="3420" w:type="dxa"/>
            <w:vAlign w:val="bottom"/>
            <w:gridSpan w:val="2"/>
          </w:tcPr>
          <w:p>
            <w:pPr>
              <w:jc w:val="right"/>
              <w:ind w:right="2588"/>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Acquisition was accounted for using the acquisition method of accounting. The Company’s consolidated financial statements reflect the preliminary allocation of the purchase price to the assets and liabilities assumed based on fair value as of the date of the acquisition.</w:t>
      </w:r>
    </w:p>
    <w:p>
      <w:pPr>
        <w:spacing w:after="0" w:line="17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Had the Acquisition been completed on January 1, 2018, net revenues would be unchanged and the net loss would be approximately $29,500 and $95,380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$98,213 for the year ended December 31, 2019 are non-recurring pro forma adjustments.</w:t>
      </w:r>
    </w:p>
    <w:p>
      <w:pPr>
        <w:spacing w:after="0" w:line="281" w:lineRule="exact"/>
        <w:rPr>
          <w:sz w:val="20"/>
          <w:szCs w:val="20"/>
          <w:color w:val="auto"/>
        </w:rPr>
      </w:pPr>
    </w:p>
    <w:p>
      <w:pPr>
        <w:ind w:left="160" w:right="8180" w:firstLine="7"/>
        <w:spacing w:after="0" w:line="396" w:lineRule="auto"/>
        <w:tabs>
          <w:tab w:leader="none" w:pos="338"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178,975</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 revenue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175,834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(39,391)</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221"/>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382,931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101,078</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commissions receivable balance as of December 31, 2019 and 2018, primarily relates to Medicare Advantage Plans sold during the fourth quarters of 2019 and 2018 with effective dates in 2020 and 2019,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equipment, and capitalized software, net, consist of the following:</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4"/>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left w:val="single" w:sz="8" w:color="auto"/>
            </w:tcBorders>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0"/>
        </w:trPr>
        <w:tc>
          <w:tcPr>
            <w:tcW w:w="60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equipment, and capitalized software,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w:t>
            </w:r>
          </w:p>
        </w:tc>
        <w:tc>
          <w:tcPr>
            <w:tcW w:w="30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Depreciation expense for the Successor 2019 Period, the Predecessor 2019 Period, and the year ended December 31, 2018, was $421, $1,262 and $1,547, respectively. These amounts include $91 in the Successor 2019 Period, $73 in the Predecessor 2019 Period and $96 in 2018 of depreciation of assets recorded under capital leases.</w:t>
      </w:r>
    </w:p>
    <w:p>
      <w:pPr>
        <w:spacing w:after="0" w:line="186"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color w:val="auto"/>
        </w:rPr>
        <w:t>Amortization expense related to capitalized software was $100, $2,985 and $4,613 for the period from September 13, 2019 through December 31, 2019, the period from January 1, 2019 through September 12, 2019 and the year ended December 31, 2018, respectively.</w:t>
      </w:r>
    </w:p>
    <w:p>
      <w:pPr>
        <w:sectPr>
          <w:pgSz w:w="11900" w:h="16838" w:orient="portrait"/>
          <w:cols w:equalWidth="0" w:num="1">
            <w:col w:w="11040"/>
          </w:cols>
          <w:pgMar w:left="320" w:top="456" w:right="539" w:bottom="1440" w:gutter="0" w:footer="0" w:header="0"/>
        </w:sect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Liabilities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920" w:type="dxa"/>
            <w:vAlign w:val="bottom"/>
            <w:vMerge w:val="restart"/>
          </w:tcPr>
          <w:p>
            <w:pPr>
              <w:spacing w:after="0"/>
              <w:rPr>
                <w:sz w:val="20"/>
                <w:szCs w:val="20"/>
                <w:color w:val="auto"/>
              </w:rPr>
            </w:pPr>
            <w:r>
              <w:rPr>
                <w:rFonts w:ascii="Arial" w:cs="Arial" w:eastAsia="Arial" w:hAnsi="Arial"/>
                <w:sz w:val="18"/>
                <w:szCs w:val="18"/>
                <w:color w:val="auto"/>
              </w:rPr>
              <w:t>Bonuses and commissions</w:t>
            </w: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Marketing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b w:val="1"/>
                <w:bCs w:val="1"/>
                <w:color w:val="auto"/>
              </w:rPr>
              <w:t>Accrued liabilities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920" w:type="dxa"/>
            <w:vAlign w:val="bottom"/>
          </w:tcPr>
          <w:p>
            <w:pPr>
              <w:spacing w:after="0"/>
              <w:rPr>
                <w:sz w:val="24"/>
                <w:szCs w:val="24"/>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-1246505</wp:posOffset>
            </wp:positionV>
            <wp:extent cx="5265420" cy="1019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65420" cy="1019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Predecessor</w:t>
      </w:r>
    </w:p>
    <w:p>
      <w:pPr>
        <w:spacing w:after="0" w:line="14" w:lineRule="exact"/>
        <w:rPr>
          <w:sz w:val="20"/>
          <w:szCs w:val="20"/>
          <w:color w:val="auto"/>
        </w:rPr>
      </w:pPr>
    </w:p>
    <w:p>
      <w:pPr>
        <w:jc w:val="center"/>
        <w:ind w:right="1320"/>
        <w:spacing w:after="0"/>
        <w:rPr>
          <w:sz w:val="20"/>
          <w:szCs w:val="20"/>
          <w:color w:val="auto"/>
        </w:rPr>
      </w:pPr>
      <w:r>
        <w:rPr>
          <w:rFonts w:ascii="Arial" w:cs="Arial" w:eastAsia="Arial" w:hAnsi="Arial"/>
          <w:sz w:val="12"/>
          <w:szCs w:val="12"/>
          <w:b w:val="1"/>
          <w:bCs w:val="1"/>
          <w:color w:val="auto"/>
        </w:rPr>
        <w:t>December 31,</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2018</w:t>
      </w:r>
    </w:p>
    <w:p>
      <w:pPr>
        <w:spacing w:after="0" w:line="8" w:lineRule="exact"/>
        <w:rPr>
          <w:sz w:val="20"/>
          <w:szCs w:val="20"/>
          <w:color w:val="auto"/>
        </w:rPr>
      </w:pPr>
    </w:p>
    <w:p>
      <w:pPr>
        <w:ind w:left="440" w:hanging="433"/>
        <w:spacing w:after="0"/>
        <w:tabs>
          <w:tab w:leader="none" w:pos="4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5,372</w:t>
      </w:r>
    </w:p>
    <w:p>
      <w:pPr>
        <w:spacing w:after="0" w:line="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1,975</w:t>
      </w:r>
    </w:p>
    <w:p>
      <w:pPr>
        <w:spacing w:after="0" w:line="5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8"/>
          <w:szCs w:val="18"/>
          <w:color w:val="auto"/>
        </w:rPr>
        <w:t>—</w:t>
      </w:r>
    </w:p>
    <w:p>
      <w:pPr>
        <w:spacing w:after="0" w:line="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2,373</w:t>
      </w:r>
    </w:p>
    <w:p>
      <w:pPr>
        <w:spacing w:after="0" w:line="63" w:lineRule="exact"/>
        <w:rPr>
          <w:sz w:val="20"/>
          <w:szCs w:val="20"/>
          <w:color w:val="auto"/>
        </w:rPr>
      </w:pPr>
    </w:p>
    <w:p>
      <w:pPr>
        <w:ind w:left="440" w:hanging="433"/>
        <w:spacing w:after="0"/>
        <w:tabs>
          <w:tab w:leader="none" w:pos="440" w:val="left"/>
        </w:tabs>
        <w:numPr>
          <w:ilvl w:val="0"/>
          <w:numId w:val="130"/>
        </w:numPr>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9,720</w:t>
      </w:r>
    </w:p>
    <w:p>
      <w:pPr>
        <w:sectPr>
          <w:pgSz w:w="11900" w:h="16838" w:orient="portrait"/>
          <w:cols w:equalWidth="0" w:num="2">
            <w:col w:w="8540" w:space="340"/>
            <w:col w:w="2160"/>
          </w:cols>
          <w:pgMar w:left="320" w:top="456" w:right="5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20"/>
          </w:cols>
          <w:pgMar w:left="320" w:top="456" w:right="55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00"/>
          </w:cols>
          <w:pgMar w:left="320" w:top="456" w:right="55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0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auto"/>
        </w:rPr>
        <w:t>The fair value of the contingent consideration was measured using a Monte Carlo simulation and is discounted using a rate that appropriately captures the risk associated with the obligation.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13, 2019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$172,000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Successor 2019 Period earnout fair value adjustment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earnout fair value adjustment</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r>
      <w:tr>
        <w:trPr>
          <w:trHeight w:val="221"/>
        </w:trPr>
        <w:tc>
          <w:tcPr>
            <w:tcW w:w="7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carrying amount of certain financial instruments, including cash, accounts receivable, commissions receivable, accounts payable, accrued expenses, and commissions payable approximate fair value due to the short maturity of these instruments. Commissions receivable are recorded at constrained lifetime values.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carrying amounts, accumulated amortization, net carrying value and weighted average remaining life of the Company’s definite-lived amortizable intangible assets, as well as its definite-lived intangible trademarks, are presented in the table below (weighted-average useful life is as of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88"/>
              </w:rPr>
              <w:t>December 31, 2019 (Successor)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ind w:left="102"/>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474,743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225,040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728,000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28,217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699,783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782,783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intangible assets or goodwill in the Predecessor 2019 Period or at December 31,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expected amortization expense related to intangible assets in future periods is as follows: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4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Developed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47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Technology</w:t>
            </w:r>
          </w:p>
        </w:tc>
        <w:tc>
          <w:tcPr>
            <w:tcW w:w="14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2020</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70,857</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120,458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474,743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699,783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380"/>
        <w:spacing w:after="0" w:line="259" w:lineRule="auto"/>
        <w:rPr>
          <w:sz w:val="20"/>
          <w:szCs w:val="20"/>
          <w:color w:val="auto"/>
        </w:rPr>
      </w:pPr>
      <w:r>
        <w:rPr>
          <w:rFonts w:ascii="Arial" w:cs="Arial" w:eastAsia="Arial" w:hAnsi="Arial"/>
          <w:sz w:val="18"/>
          <w:szCs w:val="18"/>
          <w:color w:val="auto"/>
        </w:rPr>
        <w:t>The Company allocated $380,327 and $6,226 of the goodwill recognized in connection with the Acquisition to its Medicare—Internal segment and Medicare—External segment, respectively, based on an estimate of the relative fair value of each segment. There was no impairment of goodwill or intangible assets for the Successor 2019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LONG TERM DEBT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long-term debt consisted of the following: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6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2"/>
              </w:rPr>
              <w:t>Interest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Predecessor Credit Facility</w:t>
            </w:r>
          </w:p>
        </w:tc>
        <w:tc>
          <w:tcPr>
            <w:tcW w:w="1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 - 8.55%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299,250</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unamortized debt discount and capitalized issuance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(8,017)</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291,233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8"/>
              </w:rPr>
              <w:t>Maturities of long-term debt for each of the next five years and thereafter are as follows: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restart"/>
          </w:tcPr>
          <w:p>
            <w:pPr>
              <w:spacing w:after="0"/>
              <w:rPr>
                <w:sz w:val="21"/>
                <w:szCs w:val="21"/>
                <w:color w:val="auto"/>
              </w:rPr>
            </w:pPr>
          </w:p>
        </w:tc>
        <w:tc>
          <w:tcPr>
            <w:tcW w:w="5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284,250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w:t>
      </w:r>
    </w:p>
    <w:p>
      <w:pPr>
        <w:spacing w:after="0" w:line="221"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 million of incremental term loans, or the “Incremental Term Loan Facility”. The Company collectively refers to the Term Loan Facility, the Revolving Credit Facility, and the Incremental Term Loan Facility as the “Credit Facilities”.</w:t>
      </w:r>
    </w:p>
    <w:p>
      <w:pPr>
        <w:spacing w:after="0" w:line="18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incurred $9,283 of debt issuance costs associated with the Credit Facility, which is being amortized over the life of the debt under the effective interest rate method to interest expense.</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 of December 31, 2019, the Company had a principal amount of $299,250 outstanding on the Term Loan Facility and no amounts outstanding on the Revolving Credit Facility. The Revolving Credit Facility had remaining capacity of $30,000 as of December 31, 2019.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The current applicable rate for ABR term loans and revolving loans is 5.50% per annum and ranges from 4.75% to 5.50% per annum, in each case, based upon specified leverage ratios. Term loans and revolving loans comprising each LIBOR borrowing bear interest at the LIBOR plus an applicable rate. The current applicable rate for LIBOR term loans and revolving loans is 6.50% per annum and ranges from 5.75% to 6.50% per annum, in each case, based upon specified leverage ratios.</w:t>
      </w:r>
    </w:p>
    <w:p>
      <w:pPr>
        <w:spacing w:after="0" w:line="19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8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jc w:val="both"/>
        <w:ind w:left="160" w:right="28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Term Loan Facility is payable in quarterly installments (commencing on December 31, 2019) in the principal amount of 0.25% of the original principal amount. The remaining unpaid balance on the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December 31, 2019.</w:t>
      </w:r>
    </w:p>
    <w:p>
      <w:pPr>
        <w:spacing w:after="0" w:line="175" w:lineRule="exact"/>
        <w:rPr>
          <w:sz w:val="20"/>
          <w:szCs w:val="20"/>
          <w:color w:val="auto"/>
        </w:rPr>
      </w:pPr>
    </w:p>
    <w:p>
      <w:pPr>
        <w:jc w:val="both"/>
        <w:ind w:left="160" w:right="16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 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15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456" w:right="5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$196,700 in the year ended December 31, 2018. These amounts appear as Class B unit accretion on the Consolidated Statements of Changes in Members’ Equity.</w:t>
      </w:r>
    </w:p>
    <w:p>
      <w:pPr>
        <w:spacing w:after="0" w:line="15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recorded accretion of $138,404 to adjust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share-based compensation expense by operating function for the following periods:</w:t>
      </w:r>
    </w:p>
    <w:p>
      <w:pPr>
        <w:sectPr>
          <w:pgSz w:w="11900" w:h="16838" w:orient="portrait"/>
          <w:cols w:equalWidth="0" w:num="1">
            <w:col w:w="10960"/>
          </w:cols>
          <w:pgMar w:left="320" w:top="456" w:right="619" w:bottom="1440" w:gutter="0" w:footer="0" w:header="0"/>
        </w:sectPr>
      </w:pP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920" w:type="dxa"/>
            <w:vAlign w:val="bottom"/>
            <w:vMerge w:val="restart"/>
          </w:tcPr>
          <w:p>
            <w:pPr>
              <w:spacing w:after="0"/>
              <w:rPr>
                <w:sz w:val="20"/>
                <w:szCs w:val="20"/>
                <w:color w:val="auto"/>
              </w:rPr>
            </w:pPr>
            <w:r>
              <w:rPr>
                <w:rFonts w:ascii="Arial" w:cs="Arial" w:eastAsia="Arial" w:hAnsi="Arial"/>
                <w:sz w:val="18"/>
                <w:szCs w:val="18"/>
                <w:color w:val="auto"/>
              </w:rPr>
              <w:t>Marking and advertising</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6920" w:type="dxa"/>
            <w:vAlign w:val="bottom"/>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-1298575</wp:posOffset>
            </wp:positionV>
            <wp:extent cx="6649720" cy="14014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49720" cy="1401445"/>
                    </a:xfrm>
                    <a:prstGeom prst="rect">
                      <a:avLst/>
                    </a:prstGeom>
                    <a:noFill/>
                  </pic:spPr>
                </pic:pic>
              </a:graphicData>
            </a:graphic>
          </wp:anchor>
        </w:drawing>
      </w:r>
    </w:p>
    <w:p>
      <w:pPr>
        <w:spacing w:after="0" w:line="166" w:lineRule="exact"/>
        <w:rPr>
          <w:sz w:val="20"/>
          <w:szCs w:val="20"/>
          <w:color w:val="auto"/>
        </w:rPr>
      </w:pPr>
    </w:p>
    <w:p>
      <w:pPr>
        <w:ind w:left="600" w:hanging="433"/>
        <w:spacing w:after="0"/>
        <w:tabs>
          <w:tab w:leader="none" w:pos="60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Includes Class C incentive plan and incentive share plan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1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r>
              <w:rPr>
                <w:rFonts w:ascii="Arial" w:cs="Arial" w:eastAsia="Arial" w:hAnsi="Arial"/>
                <w:sz w:val="12"/>
                <w:szCs w:val="12"/>
                <w:b w:val="1"/>
                <w:bCs w:val="1"/>
                <w:color w:val="auto"/>
                <w:w w:val="89"/>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1,674</w:t>
            </w:r>
          </w:p>
        </w:tc>
        <w:tc>
          <w:tcPr>
            <w:tcW w:w="160" w:type="dxa"/>
            <w:vAlign w:val="bottom"/>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4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8400" w:space="340"/>
            <w:col w:w="2220"/>
          </w:cols>
          <w:pgMar w:left="320" w:top="456" w:right="619" w:bottom="1440" w:gutter="0" w:footer="0" w:header="0"/>
          <w:type w:val="continuous"/>
        </w:sectPr>
      </w:pP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Effective September 13, 2019 and in conjunction with the Acquisition, the Company authorized the grants of non-voting Profit Units. The Profits Units are issued by Blizzard Management Feeder, LLC, to employees 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60"/>
          </w:cols>
          <w:pgMar w:left="320" w:top="456" w:right="61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7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its investment in the Company. Such an exit event is not considered probable until it consummates.</w:t>
      </w:r>
    </w:p>
    <w:p>
      <w:pPr>
        <w:spacing w:after="0" w:line="193"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share-based compensation awards issued to employees of the Company by Blizzard Management Feeder, LLC, is as follows: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Time Vesting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Vesting</w:t>
            </w: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Grant per Unit</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per Unit</w:t>
            </w:r>
          </w:p>
        </w:tc>
        <w:tc>
          <w:tcPr>
            <w:tcW w:w="0" w:type="dxa"/>
            <w:vAlign w:val="bottom"/>
          </w:tcPr>
          <w:p>
            <w:pPr>
              <w:spacing w:after="0"/>
              <w:rPr>
                <w:sz w:val="1"/>
                <w:szCs w:val="1"/>
                <w:color w:val="auto"/>
              </w:rPr>
            </w:pPr>
          </w:p>
        </w:tc>
      </w:tr>
      <w:tr>
        <w:trPr>
          <w:trHeight w:val="207"/>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13, 2019</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25,871,374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52,526,759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Unvested units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25,871,374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52,526,759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 of the Profit Units is determined using a Monte Carlo simulation and the following assumptions: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September 13, 2019</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through</w:t>
            </w:r>
          </w:p>
        </w:tc>
      </w:tr>
      <w:tr>
        <w:trPr>
          <w:trHeight w:val="170"/>
        </w:trPr>
        <w:tc>
          <w:tcPr>
            <w:tcW w:w="6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2019</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w:t>
            </w: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27"/>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expected life is based on estimates of the likely timing of a liquidity event. Volatility was determined based on an analysis of publicly traded peers.</w:t>
      </w:r>
    </w:p>
    <w:p>
      <w:pPr>
        <w:spacing w:after="0" w:line="244" w:lineRule="exact"/>
        <w:rPr>
          <w:sz w:val="20"/>
          <w:szCs w:val="20"/>
          <w:color w:val="auto"/>
        </w:rPr>
      </w:pPr>
    </w:p>
    <w:p>
      <w:pPr>
        <w:ind w:left="160" w:right="320"/>
        <w:spacing w:after="0" w:line="368" w:lineRule="auto"/>
        <w:rPr>
          <w:sz w:val="20"/>
          <w:szCs w:val="20"/>
          <w:color w:val="auto"/>
        </w:rPr>
      </w:pPr>
      <w:r>
        <w:rPr>
          <w:rFonts w:ascii="Arial" w:cs="Arial" w:eastAsia="Arial" w:hAnsi="Arial"/>
          <w:sz w:val="14"/>
          <w:szCs w:val="14"/>
          <w:color w:val="auto"/>
        </w:rPr>
        <w:t>As of December 31, 2019, there was $8,819 of unamortized share-based compensation expense related to the Time-Vesting Units and these costs are expected to be recognized over a remaining weighted average period of 4.8 years. There was $16,284 of unrecognized share-based compensation expense related to the Performance-Vesting Units. The Company will recognize these costs upon the achievement of a contingent exit event.</w:t>
      </w:r>
    </w:p>
    <w:p>
      <w:pPr>
        <w:spacing w:after="0" w:line="11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Company granted an additional 6,001,788 of Profits Units in 2020, of which 1,980,580 and 4,021,208 were Time-Vesting Units and Performance-Vesting Units,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7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September 13, 2019, GoHealth Holdings, LLC acquired a 100% interest in Norvax. Per the Class C Plan, all eligible unvested units became vested and the Company recorded $73,938 of compensation expense in the Predecessor 2019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7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$13,122 in incentive share expense in the Predecessor 2019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provision for income taxes consists of the following for the Predecessor 2019 Period, the Successor 2019 Period, and the year ended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2018:</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8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Income (loss)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U.S.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(57,227)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620" w:type="dxa"/>
            <w:vAlign w:val="bottom"/>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both December 31, 2019 and 2018, the Company had no state tax net operating loss carryforwards or state tax credit carryforwards.</w:t>
      </w:r>
    </w:p>
    <w:p>
      <w:pPr>
        <w:spacing w:after="0" w:line="335" w:lineRule="exact"/>
        <w:rPr>
          <w:sz w:val="20"/>
          <w:szCs w:val="20"/>
          <w:color w:val="auto"/>
        </w:rPr>
      </w:pPr>
    </w:p>
    <w:p>
      <w:pPr>
        <w:ind w:left="160" w:right="7120" w:firstLine="7"/>
        <w:spacing w:after="0" w:line="374" w:lineRule="auto"/>
        <w:tabs>
          <w:tab w:leader="none" w:pos="427"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of December 31, 2019, the Company had $821 of assets acquired under capital leases, for which the net book value was $725. The Company has capital lease arrangements to obtain computer equipment and furniture for the Company’s operations.</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 The Company recognized rent expense of $1,979, $3,102 and $2,795 for the Successor 2019 Period, the Predecessor 2019 Period, and year ended December 31, 2018, respectively.</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6" w:right="5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Future minimum lease payments required under non-cancelable capital and operating leases as of December 31, 2019 were as follows:</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0"/>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r>
      <w:tr>
        <w:trPr>
          <w:trHeight w:val="207"/>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w:t>
            </w: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12,708</w:t>
            </w: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 minimum lease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 and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 net of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period from September 13, 2019 through December 31, 2019, the period from January 1, 2019 through September 12, 2019 and the year ended December 31, 2018, the Company made aggregate lease payments of $298, $758, and $1,025, respectively, under these leases. In November 2019, the Company entered into an agreement with 215 W Superior LLC, to lease additional office space beginning in January 2020 and expiring on December 31, 2030. The lease’s first year annual rent is $145, with annual increases of $0.50 per square foot thereafter.</w:t>
      </w:r>
    </w:p>
    <w:p>
      <w:pPr>
        <w:spacing w:after="0" w:line="197"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$7,855.94 per flight hour for use of the aircraft.</w:t>
      </w:r>
    </w:p>
    <w:p>
      <w:pPr>
        <w:spacing w:after="0" w:line="293" w:lineRule="exact"/>
        <w:rPr>
          <w:sz w:val="20"/>
          <w:szCs w:val="20"/>
          <w:color w:val="auto"/>
        </w:rPr>
      </w:pPr>
    </w:p>
    <w:p>
      <w:pPr>
        <w:ind w:left="160" w:right="5700" w:firstLine="7"/>
        <w:spacing w:after="0" w:line="374" w:lineRule="auto"/>
        <w:tabs>
          <w:tab w:leader="none" w:pos="42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 xml:space="preserve">reporting purposes in accordance with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Company’s business structure is comprised of four operating and reportable segments:</w:t>
      </w:r>
    </w:p>
    <w:p>
      <w:pPr>
        <w:spacing w:after="0" w:line="77" w:lineRule="exact"/>
        <w:rPr>
          <w:sz w:val="20"/>
          <w:szCs w:val="20"/>
          <w:color w:val="auto"/>
        </w:rPr>
      </w:pPr>
    </w:p>
    <w:p>
      <w:pPr>
        <w:jc w:val="both"/>
        <w:ind w:left="1140" w:right="600" w:hanging="438"/>
        <w:spacing w:after="0" w:line="26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Medicare Internal and External: </w:t>
      </w:r>
      <w:r>
        <w:rPr>
          <w:rFonts w:ascii="Arial" w:cs="Arial" w:eastAsia="Arial" w:hAnsi="Arial"/>
          <w:sz w:val="18"/>
          <w:szCs w:val="18"/>
          <w:color w:val="auto"/>
        </w:rPr>
        <w:t>The Medicare internal and external segments consist primarily of revenues earned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Medicare Supplement, Prescription Drug Plans, and Medicare Special Needs Plans (or “SNPs”), for multiple carriers.</w:t>
      </w:r>
    </w:p>
    <w:p>
      <w:pPr>
        <w:spacing w:after="0" w:line="87" w:lineRule="exact"/>
        <w:rPr>
          <w:rFonts w:ascii="Arial" w:cs="Arial" w:eastAsia="Arial" w:hAnsi="Arial"/>
          <w:sz w:val="18"/>
          <w:szCs w:val="18"/>
          <w:color w:val="auto"/>
        </w:rPr>
      </w:pPr>
    </w:p>
    <w:p>
      <w:pPr>
        <w:ind w:left="1140" w:right="200" w:hanging="438"/>
        <w:spacing w:after="0" w:line="26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Individual and Family Plan and Other (“IFP and Other”) Internal and External: </w:t>
      </w:r>
      <w:r>
        <w:rPr>
          <w:rFonts w:ascii="Arial" w:cs="Arial" w:eastAsia="Arial" w:hAnsi="Arial"/>
          <w:sz w:val="18"/>
          <w:szCs w:val="18"/>
          <w:color w:val="auto"/>
        </w:rPr>
        <w:t>The IFP and Other internal and external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primarily of revenues earned from sales of individual and family plans, dental plans, vision plans and other ancillary plans to individuals that are not Medicare-eligible.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Internal and External segments relative to both Medicare and IFP are defined as follows:</w:t>
      </w:r>
    </w:p>
    <w:p>
      <w:pPr>
        <w:spacing w:after="0" w:line="127" w:lineRule="exact"/>
        <w:rPr>
          <w:sz w:val="20"/>
          <w:szCs w:val="20"/>
          <w:color w:val="auto"/>
        </w:rPr>
      </w:pPr>
    </w:p>
    <w:p>
      <w:pPr>
        <w:ind w:left="1140" w:hanging="438"/>
        <w:spacing w:after="0" w:line="272" w:lineRule="auto"/>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two internal segments primarily consist of sales of products and plans by Company-employed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82" w:lineRule="exact"/>
        <w:rPr>
          <w:rFonts w:ascii="Arial" w:cs="Arial" w:eastAsia="Arial" w:hAnsi="Arial"/>
          <w:sz w:val="17"/>
          <w:szCs w:val="17"/>
          <w:color w:val="auto"/>
        </w:rPr>
      </w:pPr>
    </w:p>
    <w:p>
      <w:pPr>
        <w:ind w:left="1140" w:right="180" w:hanging="438"/>
        <w:spacing w:after="0" w:line="293"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two external segments represent sales of products and plans under the Company’s carrier contracts using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summary results of the Company’s operating segments for the following periods: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215,322</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274,474</w:t>
            </w:r>
          </w:p>
        </w:tc>
        <w:tc>
          <w:tcPr>
            <w:tcW w:w="0" w:type="dxa"/>
            <w:vAlign w:val="bottom"/>
          </w:tcPr>
          <w:p>
            <w:pPr>
              <w:spacing w:after="0"/>
              <w:rPr>
                <w:sz w:val="1"/>
                <w:szCs w:val="1"/>
                <w:color w:val="auto"/>
              </w:rPr>
            </w:pPr>
          </w:p>
        </w:tc>
      </w:tr>
      <w:tr>
        <w:trPr>
          <w:trHeight w:val="307"/>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21"/>
        </w:trPr>
        <w:tc>
          <w:tcPr>
            <w:tcW w:w="7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126,210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8"/>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136,794</w:t>
            </w: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7"/>
        </w:trPr>
        <w:tc>
          <w:tcPr>
            <w:tcW w:w="752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139,027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-4517390</wp:posOffset>
            </wp:positionV>
            <wp:extent cx="6929755" cy="45262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9755" cy="4526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00" w:hanging="29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102,196   $   53,365</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55,981</w:t>
      </w:r>
      <w:r>
        <w:rPr>
          <w:rFonts w:ascii="Arial" w:cs="Arial" w:eastAsia="Arial" w:hAnsi="Arial"/>
          <w:sz w:val="16"/>
          <w:szCs w:val="16"/>
          <w:color w:val="auto"/>
        </w:rPr>
        <w:t>58,834</w:t>
      </w:r>
    </w:p>
    <w:p>
      <w:pPr>
        <w:spacing w:after="0" w:line="2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158,177</w:t>
      </w:r>
      <w:r>
        <w:rPr>
          <w:sz w:val="20"/>
          <w:szCs w:val="20"/>
          <w:color w:val="auto"/>
        </w:rPr>
        <w:tab/>
      </w:r>
      <w:r>
        <w:rPr>
          <w:rFonts w:ascii="Arial" w:cs="Arial" w:eastAsia="Arial" w:hAnsi="Arial"/>
          <w:sz w:val="17"/>
          <w:szCs w:val="17"/>
          <w:color w:val="auto"/>
        </w:rPr>
        <w:t>112,199</w:t>
      </w:r>
    </w:p>
    <w:p>
      <w:pPr>
        <w:spacing w:after="0" w:line="339"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37,909</w:t>
      </w:r>
      <w:r>
        <w:rPr>
          <w:sz w:val="20"/>
          <w:szCs w:val="20"/>
          <w:color w:val="auto"/>
        </w:rPr>
        <w:tab/>
      </w:r>
      <w:r>
        <w:rPr>
          <w:rFonts w:ascii="Arial" w:cs="Arial" w:eastAsia="Arial" w:hAnsi="Arial"/>
          <w:sz w:val="18"/>
          <w:szCs w:val="18"/>
          <w:color w:val="auto"/>
        </w:rPr>
        <w:t>63,009</w:t>
      </w:r>
    </w:p>
    <w:p>
      <w:pPr>
        <w:spacing w:after="0" w:line="20"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34,924</w:t>
      </w:r>
      <w:r>
        <w:rPr>
          <w:sz w:val="20"/>
          <w:szCs w:val="20"/>
          <w:color w:val="auto"/>
        </w:rPr>
        <w:tab/>
      </w:r>
      <w:r>
        <w:rPr>
          <w:rFonts w:ascii="Arial" w:cs="Arial" w:eastAsia="Arial" w:hAnsi="Arial"/>
          <w:sz w:val="18"/>
          <w:szCs w:val="18"/>
          <w:color w:val="auto"/>
        </w:rPr>
        <w:t>50,997</w:t>
      </w:r>
    </w:p>
    <w:p>
      <w:pPr>
        <w:spacing w:after="0" w:line="21"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7"/>
          <w:szCs w:val="17"/>
          <w:color w:val="auto"/>
        </w:rPr>
        <w:t>72,833</w:t>
      </w:r>
      <w:r>
        <w:rPr>
          <w:sz w:val="20"/>
          <w:szCs w:val="20"/>
          <w:color w:val="auto"/>
        </w:rPr>
        <w:tab/>
      </w:r>
      <w:r>
        <w:rPr>
          <w:rFonts w:ascii="Arial" w:cs="Arial" w:eastAsia="Arial" w:hAnsi="Arial"/>
          <w:sz w:val="17"/>
          <w:szCs w:val="17"/>
          <w:color w:val="auto"/>
        </w:rPr>
        <w:t>114,006</w:t>
      </w:r>
    </w:p>
    <w:p>
      <w:pPr>
        <w:spacing w:after="0" w:line="4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200" w:lineRule="exact"/>
        <w:rPr>
          <w:sz w:val="20"/>
          <w:szCs w:val="20"/>
          <w:color w:val="auto"/>
        </w:rPr>
      </w:pPr>
    </w:p>
    <w:p>
      <w:pPr>
        <w:spacing w:after="0" w:line="353"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40,024</w:t>
      </w:r>
      <w:r>
        <w:rPr>
          <w:sz w:val="20"/>
          <w:szCs w:val="20"/>
          <w:color w:val="auto"/>
        </w:rPr>
        <w:tab/>
      </w:r>
      <w:r>
        <w:rPr>
          <w:rFonts w:ascii="Arial" w:cs="Arial" w:eastAsia="Arial" w:hAnsi="Arial"/>
          <w:sz w:val="18"/>
          <w:szCs w:val="18"/>
          <w:color w:val="auto"/>
        </w:rPr>
        <w:t>24,183</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4,893</w:t>
      </w:r>
      <w:r>
        <w:rPr>
          <w:sz w:val="20"/>
          <w:szCs w:val="20"/>
          <w:color w:val="auto"/>
        </w:rPr>
        <w:tab/>
      </w:r>
      <w:r>
        <w:rPr>
          <w:rFonts w:ascii="Arial" w:cs="Arial" w:eastAsia="Arial" w:hAnsi="Arial"/>
          <w:sz w:val="18"/>
          <w:szCs w:val="18"/>
          <w:color w:val="auto"/>
        </w:rPr>
        <w:t>9,034</w:t>
      </w:r>
    </w:p>
    <w:p>
      <w:pPr>
        <w:spacing w:after="0" w:line="21"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44,917</w:t>
      </w:r>
      <w:r>
        <w:rPr>
          <w:sz w:val="20"/>
          <w:szCs w:val="20"/>
          <w:color w:val="auto"/>
        </w:rPr>
        <w:tab/>
      </w:r>
      <w:r>
        <w:rPr>
          <w:rFonts w:ascii="Arial" w:cs="Arial" w:eastAsia="Arial" w:hAnsi="Arial"/>
          <w:sz w:val="18"/>
          <w:szCs w:val="18"/>
          <w:color w:val="auto"/>
        </w:rPr>
        <w:t>33,217</w:t>
      </w:r>
    </w:p>
    <w:p>
      <w:pPr>
        <w:spacing w:after="0" w:line="221"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2,195</w:t>
      </w:r>
      <w:r>
        <w:rPr>
          <w:sz w:val="20"/>
          <w:szCs w:val="20"/>
          <w:color w:val="auto"/>
        </w:rPr>
        <w:tab/>
      </w:r>
      <w:r>
        <w:rPr>
          <w:rFonts w:ascii="Arial" w:cs="Arial" w:eastAsia="Arial" w:hAnsi="Arial"/>
          <w:sz w:val="18"/>
          <w:szCs w:val="18"/>
          <w:color w:val="auto"/>
        </w:rPr>
        <w:t>9,707</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1,748</w:t>
      </w:r>
      <w:r>
        <w:rPr>
          <w:sz w:val="20"/>
          <w:szCs w:val="20"/>
          <w:color w:val="auto"/>
        </w:rPr>
        <w:tab/>
      </w:r>
      <w:r>
        <w:rPr>
          <w:rFonts w:ascii="Arial" w:cs="Arial" w:eastAsia="Arial" w:hAnsi="Arial"/>
          <w:sz w:val="18"/>
          <w:szCs w:val="18"/>
          <w:color w:val="auto"/>
        </w:rPr>
        <w:t>2,848</w:t>
      </w:r>
    </w:p>
    <w:p>
      <w:pPr>
        <w:spacing w:after="0" w:line="21"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color w:val="auto"/>
        </w:rPr>
        <w:t>3,943</w:t>
      </w:r>
      <w:r>
        <w:rPr>
          <w:sz w:val="20"/>
          <w:szCs w:val="20"/>
          <w:color w:val="auto"/>
        </w:rPr>
        <w:tab/>
      </w:r>
      <w:r>
        <w:rPr>
          <w:rFonts w:ascii="Arial" w:cs="Arial" w:eastAsia="Arial" w:hAnsi="Arial"/>
          <w:sz w:val="18"/>
          <w:szCs w:val="18"/>
          <w:color w:val="auto"/>
        </w:rPr>
        <w:t>12,555</w:t>
      </w:r>
    </w:p>
    <w:p>
      <w:pPr>
        <w:spacing w:after="0" w:line="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48,860</w:t>
      </w:r>
      <w:r>
        <w:rPr>
          <w:sz w:val="20"/>
          <w:szCs w:val="20"/>
          <w:color w:val="auto"/>
        </w:rPr>
        <w:tab/>
      </w:r>
      <w:r>
        <w:rPr>
          <w:rFonts w:ascii="Arial" w:cs="Arial" w:eastAsia="Arial" w:hAnsi="Arial"/>
          <w:sz w:val="18"/>
          <w:szCs w:val="18"/>
          <w:color w:val="auto"/>
        </w:rPr>
        <w:t>45,773</w:t>
      </w:r>
    </w:p>
    <w:p>
      <w:pPr>
        <w:spacing w:after="0" w:line="20"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color w:val="auto"/>
        </w:rPr>
        <w:t>103,469</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17,009</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7" w:lineRule="exact"/>
        <w:rPr>
          <w:sz w:val="20"/>
          <w:szCs w:val="20"/>
          <w:color w:val="auto"/>
        </w:rPr>
      </w:pPr>
    </w:p>
    <w:p>
      <w:pPr>
        <w:jc w:val="right"/>
        <w:ind w:firstLine="557"/>
        <w:spacing w:after="0" w:line="318" w:lineRule="auto"/>
        <w:tabs>
          <w:tab w:leader="none" w:pos="159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(379) </w:t>
      </w:r>
      <w:r>
        <w:rPr>
          <w:rFonts w:ascii="Arial" w:cs="Arial" w:eastAsia="Arial" w:hAnsi="Arial"/>
          <w:sz w:val="17"/>
          <w:szCs w:val="17"/>
          <w:u w:val="single" w:color="auto"/>
          <w:color w:val="auto"/>
        </w:rPr>
        <w:t>$   (57,129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   28,160</w:t>
      </w:r>
    </w:p>
    <w:p>
      <w:pPr>
        <w:spacing w:after="0" w:line="191" w:lineRule="exact"/>
        <w:rPr>
          <w:sz w:val="20"/>
          <w:szCs w:val="20"/>
          <w:color w:val="auto"/>
        </w:rPr>
      </w:pPr>
    </w:p>
    <w:p>
      <w:pPr>
        <w:sectPr>
          <w:pgSz w:w="11900" w:h="16838" w:orient="portrait"/>
          <w:cols w:equalWidth="0" w:num="2">
            <w:col w:w="8540" w:space="500"/>
            <w:col w:w="2000"/>
          </w:cols>
          <w:pgMar w:left="320" w:top="456" w:right="539" w:bottom="1440" w:gutter="0" w:footer="0" w:header="0"/>
        </w:sectPr>
      </w:pPr>
    </w:p>
    <w:p>
      <w:pPr>
        <w:ind w:left="160" w:right="140"/>
        <w:spacing w:after="0" w:line="272" w:lineRule="auto"/>
        <w:rPr>
          <w:sz w:val="20"/>
          <w:szCs w:val="20"/>
          <w:color w:val="auto"/>
        </w:rPr>
      </w:pPr>
      <w:r>
        <w:rPr>
          <w:rFonts w:ascii="Arial" w:cs="Arial" w:eastAsia="Arial" w:hAnsi="Arial"/>
          <w:sz w:val="17"/>
          <w:szCs w:val="17"/>
          <w:color w:val="auto"/>
        </w:rPr>
        <w:t>Operating expenses that are directly attributable to a segment are reported within the applicable segment. Indirect marketing and advertising, customer care and enrollment and technology operating expenses are allocated to each segment based on various measures, including headcount and policy submissions. Other indirect general and administrative operating expenses are managed in a corporate shared services environment and, since these expenses are not the responsibility of segment operating management, are not allocated to the operating segments and are presented as a reconciling item to the Company’s consolidated financial results within a line item designated as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7645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5460" w:right="1500" w:hanging="5293"/>
        <w:spacing w:after="0" w:line="441" w:lineRule="auto"/>
        <w:tabs>
          <w:tab w:leader="none" w:pos="60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Includes the Class C share-based compensation and incentive share plan expense recorded in connection with the Acquisition F-37</w:t>
      </w:r>
    </w:p>
    <w:p>
      <w:pPr>
        <w:sectPr>
          <w:pgSz w:w="11900" w:h="16838" w:orient="portrait"/>
          <w:cols w:equalWidth="0" w:num="1">
            <w:col w:w="11040"/>
          </w:cols>
          <w:pgMar w:left="320" w:top="456" w:right="53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660"/>
        <w:spacing w:after="0" w:line="301" w:lineRule="auto"/>
        <w:rPr>
          <w:sz w:val="20"/>
          <w:szCs w:val="20"/>
          <w:color w:val="auto"/>
        </w:rPr>
      </w:pPr>
      <w:r>
        <w:rPr>
          <w:rFonts w:ascii="Arial" w:cs="Arial" w:eastAsia="Arial" w:hAnsi="Arial"/>
          <w:sz w:val="17"/>
          <w:szCs w:val="17"/>
          <w:color w:val="auto"/>
        </w:rPr>
        <w:t>Substantially all revenue for the years ended December 31, 2019 and 2018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sectPr>
      </w:pP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3540" w:type="dxa"/>
            <w:vAlign w:val="bottom"/>
            <w:gridSpan w:val="3"/>
          </w:tcPr>
          <w:p>
            <w:pPr>
              <w:jc w:val="center"/>
              <w:ind w:left="23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25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Arial" w:cs="Arial" w:eastAsia="Arial" w:hAnsi="Arial"/>
                <w:sz w:val="18"/>
                <w:szCs w:val="18"/>
                <w:color w:val="auto"/>
              </w:rPr>
              <w:t>Anthem</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-847725</wp:posOffset>
            </wp:positionV>
            <wp:extent cx="5817235" cy="8489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17235" cy="84899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ADOPTION IMPACT OF NEW REVENUE STANDARD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10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9" w:lineRule="exact"/>
        <w:rPr>
          <w:sz w:val="20"/>
          <w:szCs w:val="20"/>
          <w:color w:val="auto"/>
        </w:rPr>
      </w:pPr>
    </w:p>
    <w:p>
      <w:pPr>
        <w:sectPr>
          <w:pgSz w:w="11900" w:h="16838" w:orient="portrait"/>
          <w:cols w:equalWidth="0" w:num="2">
            <w:col w:w="7700" w:space="320"/>
            <w:col w:w="3000"/>
          </w:cols>
          <w:pgMar w:left="320" w:top="456" w:right="559" w:bottom="1440" w:gutter="0" w:footer="0" w:header="0"/>
          <w:type w:val="continuous"/>
        </w:sectPr>
      </w:pPr>
    </w:p>
    <w:p>
      <w:pPr>
        <w:ind w:left="160"/>
        <w:spacing w:after="0" w:line="290"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1 - Summary of Business and Significant Accounting Policies</w:t>
      </w:r>
      <w:r>
        <w:rPr>
          <w:rFonts w:ascii="Arial" w:cs="Arial" w:eastAsia="Arial" w:hAnsi="Arial"/>
          <w:sz w:val="16"/>
          <w:szCs w:val="16"/>
          <w:color w:val="auto"/>
        </w:rPr>
        <w:t>,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The Company adopted ASC 606 effective January 1, 2019, on a full retrospective basis, and recorded a cumulative effect adjustment of $28,607 to increase retained earnings (deficit) as of January 1, 2018. The Company has applied the standard to all contracts.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20"/>
          </w:cols>
          <w:pgMar w:left="320" w:top="456" w:right="559" w:bottom="1440" w:gutter="0" w:footer="0" w:header="0"/>
          <w:type w:val="continuous"/>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present the impact of the adoption of ASC 606 on the Company’s previously reported historical results for the periods presented: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Balance Sheet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512"/>
              <w:spacing w:after="0"/>
              <w:rPr>
                <w:sz w:val="20"/>
                <w:szCs w:val="20"/>
                <w:color w:val="auto"/>
              </w:rPr>
            </w:pPr>
            <w:r>
              <w:rPr>
                <w:rFonts w:ascii="Arial" w:cs="Arial" w:eastAsia="Arial" w:hAnsi="Arial"/>
                <w:sz w:val="14"/>
                <w:szCs w:val="14"/>
                <w:b w:val="1"/>
                <w:bCs w:val="1"/>
                <w:color w:val="auto"/>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8" w:lineRule="exact"/>
              <w:rPr>
                <w:sz w:val="20"/>
                <w:szCs w:val="20"/>
                <w:color w:val="auto"/>
              </w:rPr>
            </w:pPr>
            <w:r>
              <w:rPr>
                <w:rFonts w:ascii="Arial" w:cs="Arial" w:eastAsia="Arial" w:hAnsi="Arial"/>
                <w:sz w:val="13"/>
                <w:szCs w:val="13"/>
                <w:b w:val="1"/>
                <w:bCs w:val="1"/>
                <w:color w:val="auto"/>
                <w:w w:val="98"/>
              </w:rPr>
              <w:t>ASC 606</w:t>
            </w:r>
          </w:p>
        </w:tc>
        <w:tc>
          <w:tcPr>
            <w:tcW w:w="8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6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Adoption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 – current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38,685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(3,669)</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76,842</w:t>
            </w: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76,842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18,336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non-current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35,100</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Incentive share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Redeemable Class B units – $10.00 par value; 4,930,000 issued and outstanding as of December 31,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246,000</w:t>
            </w: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Class A units – $10.00 par value; 8,365,000 issued and outstanding as of December 31, 2018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Class B units – $10.00 par value; 220,000 issued and outstanding as of December 31, 2018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(246,812)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(186,653)</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Redeemable Class B units and members’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5280"/>
              <w:spacing w:after="0"/>
              <w:rPr>
                <w:sz w:val="20"/>
                <w:szCs w:val="20"/>
                <w:color w:val="auto"/>
              </w:rPr>
            </w:pPr>
            <w:r>
              <w:rPr>
                <w:rFonts w:ascii="Arial" w:cs="Arial" w:eastAsia="Arial" w:hAnsi="Arial"/>
                <w:sz w:val="18"/>
                <w:szCs w:val="18"/>
                <w:color w:val="auto"/>
              </w:rPr>
              <w:t>F-39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Income Statement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right="9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Arial" w:cs="Arial" w:eastAsia="Arial" w:hAnsi="Arial"/>
                <w:sz w:val="13"/>
                <w:szCs w:val="13"/>
                <w:b w:val="1"/>
                <w:bCs w:val="1"/>
                <w:color w:val="auto"/>
                <w:w w:val="98"/>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$167,260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58,945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$226,205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51,308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28,274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28,129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44,509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16,197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27,458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27,458</w:t>
            </w: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167,601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28,763</w:t>
            </w:r>
          </w:p>
        </w:tc>
        <w:tc>
          <w:tcPr>
            <w:tcW w:w="0" w:type="dxa"/>
            <w:vAlign w:val="bottom"/>
          </w:tcPr>
          <w:p>
            <w:pPr>
              <w:spacing w:after="0"/>
              <w:rPr>
                <w:sz w:val="1"/>
                <w:szCs w:val="1"/>
                <w:color w:val="auto"/>
              </w:rPr>
            </w:pPr>
          </w:p>
        </w:tc>
      </w:tr>
      <w:tr>
        <w:trPr>
          <w:trHeight w:val="319"/>
        </w:trPr>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 attributable to GoHealth Holdings, LLC</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Cash Flow Impact – Operating Activities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Arial" w:cs="Arial" w:eastAsia="Arial" w:hAnsi="Arial"/>
                <w:sz w:val="13"/>
                <w:szCs w:val="13"/>
                <w:b w:val="1"/>
                <w:bCs w:val="1"/>
                <w:color w:val="auto"/>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29,103</w:t>
            </w:r>
          </w:p>
        </w:tc>
        <w:tc>
          <w:tcPr>
            <w:tcW w:w="2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(8,023)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Commissions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(65,445)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(2,172)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$ 5,443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900" w:type="dxa"/>
            <w:vAlign w:val="bottom"/>
          </w:tcPr>
          <w:p>
            <w:pPr>
              <w:ind w:left="52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 xml:space="preserve">Management has reviewed its December 31, 2019, consolidated financial statements for subsequent events through May 8, 2020, the date the financial statements were available to be issued. Other than the subsequent events described in </w:t>
      </w:r>
      <w:r>
        <w:rPr>
          <w:rFonts w:ascii="Arial" w:cs="Arial" w:eastAsia="Arial" w:hAnsi="Arial"/>
          <w:sz w:val="18"/>
          <w:szCs w:val="18"/>
          <w:i w:val="1"/>
          <w:iCs w:val="1"/>
          <w:color w:val="auto"/>
        </w:rPr>
        <w:t>Note 6 – Long Term Debt, Note 8 – 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11 – Related-Party Transactions, </w:t>
      </w:r>
      <w:r>
        <w:rPr>
          <w:rFonts w:ascii="Arial" w:cs="Arial" w:eastAsia="Arial" w:hAnsi="Arial"/>
          <w:sz w:val="18"/>
          <w:szCs w:val="18"/>
          <w:color w:val="auto"/>
        </w:rPr>
        <w:t>the Company is not aware of any subsequent events that would require recognition or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320" w:top="456" w:right="5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860" w:type="dxa"/>
            <w:vAlign w:val="bottom"/>
            <w:tcBorders>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860" w:type="dxa"/>
            <w:vAlign w:val="bottom"/>
            <w:tcBorders>
              <w:left w:val="single" w:sz="8" w:color="auto"/>
            </w:tcBorders>
          </w:tcPr>
          <w:p>
            <w:pPr>
              <w:spacing w:after="0"/>
              <w:rPr>
                <w:sz w:val="12"/>
                <w:szCs w:val="12"/>
                <w:color w:val="auto"/>
              </w:rPr>
            </w:pPr>
          </w:p>
        </w:tc>
        <w:tc>
          <w:tcPr>
            <w:tcW w:w="11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860" w:type="dxa"/>
            <w:vAlign w:val="bottom"/>
            <w:tcBorders>
              <w:left w:val="single" w:sz="8" w:color="auto"/>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112,510</w:t>
            </w:r>
          </w:p>
        </w:tc>
        <w:tc>
          <w:tcPr>
            <w:tcW w:w="9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42,134</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26,073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23,978</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10,491</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135,183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6,756</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(939)</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(937)</w:t>
            </w:r>
          </w:p>
        </w:tc>
        <w:tc>
          <w:tcPr>
            <w:tcW w:w="9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6"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6" w:right="4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gridSpan w:val="2"/>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(Unaudited)</w:t>
            </w: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152,423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$651 in 2020 and $904 in 2019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24,461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223,028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143,769</w:t>
            </w: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330,617</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281,853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759,269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782,783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386,553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12,718</w:t>
            </w: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11,740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34,536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56,003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4,170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81,209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113,065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113,516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97,489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397,652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288,233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247,100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242,700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758,838</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629,086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Members’ Equity:</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Preferred units – $1.00 par value; 541,263,042 units authorized, issued and outstanding at March 31, 2020 and December 31,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546,972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547,542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8"/>
              </w:rPr>
              <w:t>Class A Common units – $1.00 par value; 237,938,682 units authorized, issued and outstanding at March 31, 2020 and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219,139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B Common units – $1.00 par value; 108,727,667 and 102,061,318 units authorized, issued and outstanding at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March 31, 2020 and December 31, 2019, respectively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103,593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3"/>
              </w:rPr>
              <w:t>Senior Preferred Earnout Units – no par value; none authorized, issued, and outstanding at March 31, 2020 or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40" w:type="dxa"/>
            <w:vAlign w:val="bottom"/>
            <w:gridSpan w:val="2"/>
          </w:tcPr>
          <w:p>
            <w:pPr>
              <w:ind w:left="4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Profits Units – no par value; 97,918,116 units authorized at March 31, 2020 and December 31, 2019; 84,399,921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78,398,133 units issued at March 31, 2020 and December 31, 2019, respectively; and none outstanding at March 31, 2020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December 31, 2019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7"/>
                <w:szCs w:val="17"/>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869,602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860,144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Three Months Ended March 31, 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Class A</w:t>
            </w:r>
          </w:p>
        </w:tc>
        <w:tc>
          <w:tcPr>
            <w:tcW w:w="14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6"/>
                <w:szCs w:val="6"/>
                <w:color w:val="auto"/>
              </w:rPr>
            </w:pPr>
          </w:p>
        </w:tc>
        <w:tc>
          <w:tcPr>
            <w:tcW w:w="9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0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Preferred Units</w:t>
            </w:r>
          </w:p>
        </w:tc>
        <w:tc>
          <w:tcPr>
            <w:tcW w:w="160" w:type="dxa"/>
            <w:vAlign w:val="bottom"/>
            <w:vMerge w:val="restart"/>
          </w:tcPr>
          <w:p>
            <w:pPr>
              <w:spacing w:after="0"/>
              <w:rPr>
                <w:sz w:val="5"/>
                <w:szCs w:val="5"/>
                <w:color w:val="auto"/>
              </w:rPr>
            </w:pPr>
          </w:p>
        </w:tc>
        <w:tc>
          <w:tcPr>
            <w:tcW w:w="1300" w:type="dxa"/>
            <w:vAlign w:val="bottom"/>
            <w:gridSpan w:val="5"/>
            <w:vMerge w:val="restart"/>
          </w:tcPr>
          <w:p>
            <w:pPr>
              <w:jc w:val="right"/>
              <w:ind w:right="109"/>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3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9"/>
              </w:rPr>
              <w:t>Class A Units</w:t>
            </w:r>
          </w:p>
        </w:tc>
        <w:tc>
          <w:tcPr>
            <w:tcW w:w="12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5"/>
              </w:rPr>
              <w:t>Class B Units</w:t>
            </w:r>
          </w:p>
        </w:tc>
        <w:tc>
          <w:tcPr>
            <w:tcW w:w="12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5"/>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40" w:type="dxa"/>
            <w:vAlign w:val="bottom"/>
            <w:tcBorders>
              <w:bottom w:val="single" w:sz="8" w:color="auto"/>
            </w:tcBorders>
            <w:gridSpan w:val="5"/>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gridSpan w:val="3"/>
            <w:vMerge w:val="restart"/>
          </w:tcPr>
          <w:p>
            <w:pPr>
              <w:jc w:val="right"/>
              <w:ind w:right="200"/>
              <w:spacing w:after="0" w:line="147"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(Loss) Income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Successor:</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$547,542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$218,911</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102,061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93,708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$ 860,144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Issuance of</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common units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479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Net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6"/>
                <w:szCs w:val="16"/>
                <w:color w:val="auto"/>
              </w:rPr>
              <w:t>(251)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546,972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219,139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103,593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$ 869,602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11"/>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11"/>
          </w:tcPr>
          <w:p>
            <w:pPr>
              <w:spacing w:after="0"/>
              <w:rPr>
                <w:sz w:val="20"/>
                <w:szCs w:val="20"/>
                <w:color w:val="auto"/>
              </w:rPr>
            </w:pPr>
            <w:r>
              <w:rPr>
                <w:rFonts w:ascii="Arial" w:cs="Arial" w:eastAsia="Arial" w:hAnsi="Arial"/>
                <w:sz w:val="14"/>
                <w:szCs w:val="14"/>
                <w:b w:val="1"/>
                <w:bCs w:val="1"/>
                <w:color w:val="auto"/>
                <w:w w:val="99"/>
              </w:rPr>
              <w:t>Three Months Ended March 31, 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Predecessor:</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(189,102)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$(186,653)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Redeemable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B unit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(115,000)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(115,000)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197"/>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(299,100)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(296,697)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7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20" w:type="dxa"/>
            <w:vAlign w:val="bottom"/>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(937)</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633</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18,365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(5,859)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(10,828)</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(5,441)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7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Purchases of property, equipment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31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117,000</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Principal payments under term loans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capital lease obligations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revolving credit facilities, net of 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(6,011)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received upon issuance of common units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7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76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Three Month Period Ended March 31, 2020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Three Month Period Ended March 31,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unaudited)</w:t>
      </w:r>
    </w:p>
    <w:p>
      <w:pPr>
        <w:spacing w:after="0" w:line="204" w:lineRule="exact"/>
        <w:rPr>
          <w:sz w:val="20"/>
          <w:szCs w:val="20"/>
          <w:color w:val="auto"/>
        </w:rPr>
      </w:pPr>
    </w:p>
    <w:p>
      <w:pPr>
        <w:ind w:left="160" w:right="4740" w:firstLine="7"/>
        <w:spacing w:after="0" w:line="374" w:lineRule="auto"/>
        <w:tabs>
          <w:tab w:leader="none" w:pos="338"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condensed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180"/>
        <w:spacing w:after="0" w:line="252" w:lineRule="auto"/>
        <w:rPr>
          <w:sz w:val="20"/>
          <w:szCs w:val="20"/>
          <w:color w:val="auto"/>
        </w:rPr>
      </w:pPr>
      <w:r>
        <w:rPr>
          <w:rFonts w:ascii="Arial" w:cs="Arial" w:eastAsia="Arial" w:hAnsi="Arial"/>
          <w:sz w:val="18"/>
          <w:szCs w:val="18"/>
          <w:color w:val="auto"/>
        </w:rPr>
        <w:t xml:space="preserve">As a result of the Acquisition, which is discussed further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These interim financial statements should be read in conjunction with the Company’s audited consolidated financial statements and notes thereto as of and for the year ended December 31, 2019, which are included elsewhere in this Registration Statement on Form S-1. Interim results are not necessarily indicative of results for the full fiscal year due to seasonality and other factors.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60"/>
          </w:cols>
          <w:pgMar w:left="320" w:top="456"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24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March 31, 2020 and December 31, 2019, the Company’s cash balances in the United States exceeded the FDIC-insured limits by $151,904 and $11,936,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March 31, 2020, three customers each represented 10% or more of the Company’s total accounts receivable and, in aggregate, represented 66%, or $4,268, of the Company’s total accounts receivable. As of December 31, 2019, five customers each represented 10% or more of the Company’s total accounts receivable and, in aggregate, represented 87%, or $21,220, of the Company’s total accounts receivable. No other customers represented 10% or more of the Company’s total accounts receivable at March 31, 2020 and December 31, 2019.</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86"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6" w:right="5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goods or services. Accordingly, the Company recognizes revenue for its services in accordance with the following five steps outlined in ASC 606:</w:t>
      </w:r>
    </w:p>
    <w:p>
      <w:pPr>
        <w:spacing w:after="0" w:line="139" w:lineRule="exact"/>
        <w:rPr>
          <w:sz w:val="20"/>
          <w:szCs w:val="20"/>
          <w:color w:val="auto"/>
        </w:rPr>
      </w:pPr>
    </w:p>
    <w:p>
      <w:pPr>
        <w:ind w:left="1140" w:right="100" w:hanging="438"/>
        <w:spacing w:after="0" w:line="270" w:lineRule="auto"/>
        <w:tabs>
          <w:tab w:leader="none" w:pos="11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320" w:top="456" w:right="5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3"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0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460" w:type="dxa"/>
            <w:vAlign w:val="bottom"/>
            <w:gridSpan w:val="2"/>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March 31, 2020</w:t>
            </w:r>
          </w:p>
        </w:tc>
        <w:tc>
          <w:tcPr>
            <w:tcW w:w="32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94"/>
        </w:trPr>
        <w:tc>
          <w:tcPr>
            <w:tcW w:w="6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lef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Medicare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99,291</w:t>
            </w:r>
          </w:p>
        </w:tc>
        <w:tc>
          <w:tcPr>
            <w:tcW w:w="460" w:type="dxa"/>
            <w:vAlign w:val="bottom"/>
            <w:tcBorders>
              <w:lef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0"/>
        </w:trPr>
        <w:tc>
          <w:tcPr>
            <w:tcW w:w="660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Ancillary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28,500</w:t>
            </w: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Disclosure Framework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w:t>
      </w:r>
      <w:r>
        <w:rPr>
          <w:rFonts w:ascii="Arial" w:cs="Arial" w:eastAsia="Arial" w:hAnsi="Arial"/>
          <w:sz w:val="18"/>
          <w:szCs w:val="18"/>
          <w:color w:val="auto"/>
        </w:rPr>
        <w:t>t (Topic 820), which amended the disclosure requirements under ASC 820. This update clarifies and unifies the disclosure of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instruments.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6"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69"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16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 (Topic 606)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Effective Dates for Certain Entities</w:t>
      </w:r>
      <w:r>
        <w:rPr>
          <w:rFonts w:ascii="Arial" w:cs="Arial" w:eastAsia="Arial" w:hAnsi="Arial"/>
          <w:sz w:val="16"/>
          <w:szCs w:val="16"/>
          <w:color w:val="auto"/>
        </w:rPr>
        <w:t>, issued June 2020, the guidance in ASU 2016-02, as amended, is effective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6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97" w:lineRule="exact"/>
        <w:rPr>
          <w:sz w:val="20"/>
          <w:szCs w:val="20"/>
          <w:color w:val="auto"/>
        </w:rPr>
      </w:pPr>
    </w:p>
    <w:p>
      <w:pPr>
        <w:ind w:left="160" w:right="8780" w:firstLine="7"/>
        <w:spacing w:after="0" w:line="421" w:lineRule="auto"/>
        <w:tabs>
          <w:tab w:leader="none" w:pos="338"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2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Arial" w:cs="Arial" w:eastAsia="Arial" w:hAnsi="Arial"/>
                <w:sz w:val="18"/>
                <w:szCs w:val="18"/>
                <w:color w:val="auto"/>
              </w:rPr>
              <w:t>The elements of the purchase consideration are as follows: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21"/>
        </w:trPr>
        <w:tc>
          <w:tcPr>
            <w:tcW w:w="6920" w:type="dxa"/>
            <w:vAlign w:val="bottom"/>
            <w:gridSpan w:val="2"/>
          </w:tcPr>
          <w:p>
            <w:pPr>
              <w:ind w:left="1760"/>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160" w:type="dxa"/>
            <w:vAlign w:val="bottom"/>
            <w:vMerge w:val="restart"/>
          </w:tcPr>
          <w:p>
            <w:pPr>
              <w:ind w:left="3540"/>
              <w:spacing w:after="0"/>
              <w:rPr>
                <w:sz w:val="20"/>
                <w:szCs w:val="20"/>
                <w:color w:val="auto"/>
              </w:rPr>
            </w:pPr>
            <w:r>
              <w:rPr>
                <w:rFonts w:ascii="Arial" w:cs="Arial" w:eastAsia="Arial" w:hAnsi="Arial"/>
                <w:sz w:val="18"/>
                <w:szCs w:val="18"/>
                <w:color w:val="auto"/>
              </w:rPr>
              <w:t>F-52</w:t>
            </w: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7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from operations.</w:t>
      </w:r>
    </w:p>
    <w:p>
      <w:pPr>
        <w:spacing w:after="0" w:line="17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full amount available relative to the 2019 target was earned as of December 31, 2019. On May 15, 2020, the contingent consideration related to the 2019 target of $200,000 was settled with the issuance of 113,407,000 Class A Common units, 48,644,750 Class B Common units, and 100,000,000 Senior Preferred Earnout Units.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496,000</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8"/>
                <w:szCs w:val="18"/>
                <w:color w:val="auto"/>
              </w:rPr>
            </w:pP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386,553</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277" w:lineRule="exact"/>
        <w:rPr>
          <w:sz w:val="20"/>
          <w:szCs w:val="20"/>
          <w:color w:val="auto"/>
        </w:rPr>
      </w:pPr>
    </w:p>
    <w:p>
      <w:pPr>
        <w:ind w:left="160" w:right="8160" w:firstLine="7"/>
        <w:spacing w:after="0" w:line="396" w:lineRule="auto"/>
        <w:tabs>
          <w:tab w:leader="none" w:pos="338"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Successor</w:t>
            </w:r>
          </w:p>
        </w:tc>
      </w:tr>
      <w:tr>
        <w:trPr>
          <w:trHeight w:val="118"/>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12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Commission revenue</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112,510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receipts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(106,651)</w:t>
            </w:r>
          </w:p>
        </w:tc>
      </w:tr>
      <w:tr>
        <w:trPr>
          <w:trHeight w:val="221"/>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b w:val="1"/>
                <w:bCs w:val="1"/>
                <w:color w:val="auto"/>
              </w:rPr>
              <w:t>Ending balance</w:t>
            </w: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388,790</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4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shd w:val="clear" w:color="auto" w:fill="CCEEFF"/>
          </w:tcPr>
          <w:p>
            <w:pPr>
              <w:spacing w:after="0"/>
              <w:rPr>
                <w:sz w:val="18"/>
                <w:szCs w:val="18"/>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60" w:type="dxa"/>
            <w:vAlign w:val="bottom"/>
            <w:gridSpan w:val="2"/>
          </w:tcPr>
          <w:p>
            <w:pPr>
              <w:ind w:left="780"/>
              <w:spacing w:after="0"/>
              <w:rPr>
                <w:sz w:val="20"/>
                <w:szCs w:val="20"/>
                <w:color w:val="auto"/>
              </w:rPr>
            </w:pPr>
            <w:r>
              <w:rPr>
                <w:rFonts w:ascii="Arial" w:cs="Arial" w:eastAsia="Arial" w:hAnsi="Arial"/>
                <w:sz w:val="18"/>
                <w:szCs w:val="18"/>
                <w:color w:val="auto"/>
              </w:rPr>
              <w:t>F-53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three months ended March 31, 2020, the Company recognized $14,577 of revenue that was deferred as of December 31, 2019.</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40"/>
          </w:cols>
          <w:pgMar w:left="320" w:top="456" w:right="51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fair value of the contingent consideration was measured using a Monte Carlo simulation and is discounted using a rate that appropriately captures the risk associated with the obligation. The weighted average discount rate used to value the contingent consideration as of March 31, 2020, was approximately 13% and was based on an analysis of publicly traded peers. Expected volatility was estimated to be 45%, based on an analysis of publicly traded peers that ranged from approximately 40% to 117%.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$242,700</w:t>
            </w:r>
          </w:p>
        </w:tc>
        <w:tc>
          <w:tcPr>
            <w:tcW w:w="60" w:type="dxa"/>
            <w:vAlign w:val="bottom"/>
            <w:shd w:val="clear" w:color="auto" w:fill="CCEEFF"/>
          </w:tcPr>
          <w:p>
            <w:pPr>
              <w:spacing w:after="0"/>
              <w:rPr>
                <w:sz w:val="18"/>
                <w:szCs w:val="18"/>
                <w:color w:val="auto"/>
              </w:rPr>
            </w:pPr>
          </w:p>
        </w:tc>
      </w:tr>
      <w:tr>
        <w:trPr>
          <w:trHeight w:val="221"/>
        </w:trPr>
        <w:tc>
          <w:tcPr>
            <w:tcW w:w="7540" w:type="dxa"/>
            <w:vAlign w:val="bottom"/>
          </w:tcPr>
          <w:p>
            <w:pPr>
              <w:spacing w:after="0"/>
              <w:rPr>
                <w:sz w:val="20"/>
                <w:szCs w:val="20"/>
                <w:color w:val="auto"/>
              </w:rPr>
            </w:pPr>
            <w:r>
              <w:rPr>
                <w:rFonts w:ascii="Arial" w:cs="Arial" w:eastAsia="Arial" w:hAnsi="Arial"/>
                <w:sz w:val="18"/>
                <w:szCs w:val="18"/>
                <w:color w:val="auto"/>
              </w:rPr>
              <w:t>2020 earnout fair value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247,100</w:t>
            </w:r>
          </w:p>
        </w:tc>
        <w:tc>
          <w:tcPr>
            <w:tcW w:w="6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6" w:right="519" w:bottom="1440" w:gutter="0" w:footer="0" w:header="0"/>
          <w:type w:val="continuous"/>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carrying amounts, accumulated amortization, and net carrying value of the Company’s definite-lived amortizable intangible assets, as well as its definite-lived intangible trademarks, are presented in the tables below:</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10"/>
          </w:tcPr>
          <w:p>
            <w:pPr>
              <w:jc w:val="right"/>
              <w:ind w:right="48"/>
              <w:spacing w:after="0"/>
              <w:rPr>
                <w:sz w:val="20"/>
                <w:szCs w:val="20"/>
                <w:color w:val="auto"/>
              </w:rPr>
            </w:pPr>
            <w:r>
              <w:rPr>
                <w:rFonts w:ascii="Arial" w:cs="Arial" w:eastAsia="Arial" w:hAnsi="Arial"/>
                <w:sz w:val="14"/>
                <w:szCs w:val="14"/>
                <w:b w:val="1"/>
                <w:bCs w:val="1"/>
                <w:color w:val="auto"/>
                <w:w w:val="94"/>
              </w:rPr>
              <w:t>March 31, 2020 (Successor)</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38,971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457,029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12,760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219,240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51,731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676,269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759,269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21,257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474,743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225,040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28,217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699,783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782,783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89"/>
              </w:rPr>
              <w:t>There was no impairment of goodwill or intangible assets for the three months ended March 31, 2020.</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6. LONG TERM DEBT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2"/>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rPr>
                <w:sz w:val="24"/>
                <w:szCs w:val="24"/>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2"/>
                <w:szCs w:val="12"/>
                <w:color w:val="auto"/>
              </w:rPr>
            </w:pPr>
          </w:p>
        </w:tc>
        <w:tc>
          <w:tcPr>
            <w:tcW w:w="9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8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8.11% - 8.41%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$ 415,500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unamortized debt discount and issuance costs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$ 397,652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5460" w:right="2200" w:hanging="4758"/>
        <w:spacing w:after="0" w:line="441" w:lineRule="auto"/>
        <w:tabs>
          <w:tab w:leader="none" w:pos="11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 F-55</w:t>
      </w:r>
    </w:p>
    <w:p>
      <w:pPr>
        <w:sectPr>
          <w:pgSz w:w="11900" w:h="16838" w:orient="portrait"/>
          <w:cols w:equalWidth="0" w:num="1">
            <w:col w:w="11080"/>
          </w:cols>
          <w:pgMar w:left="320" w:top="456"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$117,000 of incremental term loans, or the “Incremental Term Loan Facility”. On March 23, 2020, the Company issued 6,666,667 Class B Common units to a lender that is party to the Company’s Credit Agreement for $10,000 in proceeds.</w:t>
      </w:r>
    </w:p>
    <w:p>
      <w:pPr>
        <w:spacing w:after="0" w:line="186"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On May 7, 2020, the Company entered into a second amendment to the Credit Agreement, which provided $20,000 of incremental revolving credit, or the “Incremental Revolving Credit Facility”. The Company collectively refers to the Term Loan Facility, the Revolving Credit Facility, the Incremental Term Loan Facility, and the Incremental Revolving Credit Facility as the “Credit Facilities”.</w:t>
      </w:r>
    </w:p>
    <w:p>
      <w:pPr>
        <w:spacing w:after="0" w:line="18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The Company incurred $9,283 and $6,011 of debt issuance costs associated with the Term Loan Facility and the Incremental Term Loan Facility, respectively, which are being amortized over the life of the debt under the effective interest rate method to interest expense.</w:t>
      </w:r>
    </w:p>
    <w:p>
      <w:pPr>
        <w:spacing w:after="0" w:line="15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As of March 31, 2020, the Company had a principal amount of $298,500 and $117,000 outstanding on the Term Loan Facility and Incremental Term Loan Facility, respectively. The Company had no amounts outstanding on the Revolving Credit Facility, which had remaining capacity of $30,000 as of March 31,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50"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and the Incremental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6" w:right="51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and the Incremental Revolving Credit Facility do not amortize and are due and payable on September 13, 2024.</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March 31, 2020.</w:t>
      </w:r>
    </w:p>
    <w:p>
      <w:pPr>
        <w:spacing w:after="0" w:line="175" w:lineRule="exact"/>
        <w:rPr>
          <w:sz w:val="20"/>
          <w:szCs w:val="20"/>
          <w:color w:val="auto"/>
        </w:rPr>
      </w:pPr>
    </w:p>
    <w:p>
      <w:pPr>
        <w:jc w:val="both"/>
        <w:ind w:left="160" w:right="14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00"/>
          </w:cols>
          <w:pgMar w:left="320" w:top="456" w:right="5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7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6"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20"/>
          </w:cols>
          <w:pgMar w:left="320" w:top="456" w:right="5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$115,000 in the three months ended March 31, 2019. These amounts appear as Redeemable Class B unit accretion on the condensed consolidated statements of changes in members’ equity.</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adjusted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the share-based compensation expense by operating function for the three months ended March 31, 2020:</w:t>
      </w:r>
    </w:p>
    <w:p>
      <w:pPr>
        <w:spacing w:after="0" w:line="251"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r>
      <w:tr>
        <w:trPr>
          <w:trHeight w:val="118"/>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8"/>
              <w:spacing w:after="0" w:line="118" w:lineRule="exact"/>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0"/>
                <w:szCs w:val="10"/>
                <w:color w:val="auto"/>
              </w:rPr>
            </w:pPr>
          </w:p>
        </w:tc>
      </w:tr>
      <w:tr>
        <w:trPr>
          <w:trHeight w:val="147"/>
        </w:trPr>
        <w:tc>
          <w:tcPr>
            <w:tcW w:w="6300" w:type="dxa"/>
            <w:vAlign w:val="bottom"/>
          </w:tcPr>
          <w:p>
            <w:pPr>
              <w:spacing w:after="0"/>
              <w:rPr>
                <w:sz w:val="12"/>
                <w:szCs w:val="12"/>
                <w:color w:val="auto"/>
              </w:rPr>
            </w:pPr>
          </w:p>
        </w:tc>
        <w:tc>
          <w:tcPr>
            <w:tcW w:w="110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Ended March 31,</w:t>
            </w:r>
          </w:p>
        </w:tc>
      </w:tr>
      <w:tr>
        <w:trPr>
          <w:trHeight w:val="170"/>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Marking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Effective September 13, 2019 and in conjunction with the Acquisition, the Company authorized the grants of non-voting Profit Units. The Profits Units are issued by Blizzard Management Feeder, LLC, to employees on 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20"/>
          </w:cols>
          <w:pgMar w:left="320" w:top="456" w:right="5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each individual will vest upon a liquidity event based on the extent to which the distributions received by the Preferred and the Common exceed their investment in the Company (“Performance-Vesting Units”).</w:t>
      </w:r>
    </w:p>
    <w:p>
      <w:pPr>
        <w:spacing w:after="0" w:line="17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its investment in the Company. Such an exit event is not considered probable until it consummates.</w:t>
      </w:r>
    </w:p>
    <w:p>
      <w:pPr>
        <w:spacing w:after="0" w:line="193" w:lineRule="exact"/>
        <w:rPr>
          <w:sz w:val="20"/>
          <w:szCs w:val="20"/>
          <w:color w:val="auto"/>
        </w:rPr>
      </w:pPr>
    </w:p>
    <w:p>
      <w:pPr>
        <w:ind w:left="160" w:right="4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granted 6,001,788 of Profits Units in the three months ended March 31, 2020, of which 1,980,580 and 4,021,208 were Time-Vesting Units and Performance-Vesting Units, respectively.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Company’s effective tax rate for the first quarter of 2020 and 2019 was 0.14% and 0.05%, respectively. The effective tax rate for each period is lower than the statutory tax rate primarily due to the effect of tax-exempt entity status.</w:t>
      </w:r>
    </w:p>
    <w:p>
      <w:pPr>
        <w:spacing w:after="0" w:line="277" w:lineRule="exact"/>
        <w:rPr>
          <w:sz w:val="20"/>
          <w:szCs w:val="20"/>
          <w:color w:val="auto"/>
        </w:rPr>
      </w:pPr>
    </w:p>
    <w:p>
      <w:pPr>
        <w:ind w:left="160" w:right="7160" w:firstLine="7"/>
        <w:spacing w:after="0" w:line="374" w:lineRule="auto"/>
        <w:tabs>
          <w:tab w:leader="none" w:pos="427"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20"/>
          </w:cols>
          <w:pgMar w:left="320" w:top="456" w:right="5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months ended March 31, 2020 and 2019, the Company made aggregate lease payments of $321 and $245, respectively, under these leases.</w:t>
      </w:r>
    </w:p>
    <w:p>
      <w:pPr>
        <w:spacing w:after="0" w:line="190"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2020, the Company recorded expense of $747 under this lease, all of which was unpaid and recorded as accounts payable in the condensed consolidated balance sheet as of March 31, 2020.</w:t>
      </w:r>
    </w:p>
    <w:p>
      <w:pPr>
        <w:spacing w:after="0" w:line="16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On May 12, 2020, the Company entered into a lease agreement with Wilson Tech 5, which is controlled by significant shareholders, for a proposed site in Linden, Utah, beginning in 2022. This lease agreement expires on May 11, 2030.</w:t>
      </w:r>
    </w:p>
    <w:p>
      <w:pPr>
        <w:spacing w:after="0" w:line="277" w:lineRule="exact"/>
        <w:rPr>
          <w:sz w:val="20"/>
          <w:szCs w:val="20"/>
          <w:color w:val="auto"/>
        </w:rPr>
      </w:pPr>
    </w:p>
    <w:p>
      <w:pPr>
        <w:ind w:left="160" w:right="5700" w:firstLine="7"/>
        <w:spacing w:after="0" w:line="374" w:lineRule="auto"/>
        <w:tabs>
          <w:tab w:leader="none" w:pos="427"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5"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External.</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6"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summary results of the Company’s operating segments for the following periods: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8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160" w:type="dxa"/>
            <w:vAlign w:val="bottom"/>
          </w:tcPr>
          <w:p>
            <w:pPr>
              <w:spacing w:after="0"/>
              <w:rPr>
                <w:sz w:val="12"/>
                <w:szCs w:val="12"/>
                <w:color w:val="auto"/>
              </w:rPr>
            </w:pPr>
          </w:p>
        </w:tc>
        <w:tc>
          <w:tcPr>
            <w:tcW w:w="1120" w:type="dxa"/>
            <w:vAlign w:val="bottom"/>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8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6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8"/>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-4194810</wp:posOffset>
            </wp:positionV>
            <wp:extent cx="6929755" cy="4203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420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
        <w:spacing w:after="0"/>
        <w:rPr>
          <w:sz w:val="20"/>
          <w:szCs w:val="20"/>
          <w:color w:val="auto"/>
        </w:rPr>
      </w:pPr>
      <w:r>
        <w:rPr>
          <w:rFonts w:ascii="Arial" w:cs="Arial" w:eastAsia="Arial" w:hAnsi="Arial"/>
          <w:sz w:val="14"/>
          <w:szCs w:val="14"/>
          <w:b w:val="1"/>
          <w:bCs w:val="1"/>
          <w:color w:val="auto"/>
        </w:rPr>
        <w:t>Predecessor</w:t>
      </w:r>
    </w:p>
    <w:p>
      <w:pPr>
        <w:spacing w:after="0" w:line="2" w:lineRule="exact"/>
        <w:rPr>
          <w:sz w:val="20"/>
          <w:szCs w:val="20"/>
          <w:color w:val="auto"/>
        </w:rPr>
      </w:pPr>
    </w:p>
    <w:p>
      <w:pPr>
        <w:ind w:left="90"/>
        <w:spacing w:after="0"/>
        <w:rPr>
          <w:sz w:val="20"/>
          <w:szCs w:val="20"/>
          <w:color w:val="auto"/>
        </w:rPr>
      </w:pPr>
      <w:r>
        <w:rPr>
          <w:rFonts w:ascii="Arial" w:cs="Arial" w:eastAsia="Arial" w:hAnsi="Arial"/>
          <w:sz w:val="14"/>
          <w:szCs w:val="14"/>
          <w:b w:val="1"/>
          <w:bCs w:val="1"/>
          <w:color w:val="auto"/>
        </w:rPr>
        <w:t>Three Months</w:t>
      </w:r>
    </w:p>
    <w:p>
      <w:pPr>
        <w:jc w:val="center"/>
        <w:ind w:right="-9"/>
        <w:spacing w:after="0" w:line="236" w:lineRule="auto"/>
        <w:rPr>
          <w:sz w:val="20"/>
          <w:szCs w:val="20"/>
          <w:color w:val="auto"/>
        </w:rPr>
      </w:pPr>
      <w:r>
        <w:rPr>
          <w:rFonts w:ascii="Arial" w:cs="Arial" w:eastAsia="Arial" w:hAnsi="Arial"/>
          <w:sz w:val="13"/>
          <w:szCs w:val="13"/>
          <w:b w:val="1"/>
          <w:bCs w:val="1"/>
          <w:color w:val="auto"/>
        </w:rPr>
        <w:t>Ended March 31,</w:t>
      </w:r>
    </w:p>
    <w:p>
      <w:pPr>
        <w:jc w:val="center"/>
        <w:ind w:right="-9"/>
        <w:spacing w:after="0"/>
        <w:rPr>
          <w:sz w:val="20"/>
          <w:szCs w:val="20"/>
          <w:color w:val="auto"/>
        </w:rPr>
      </w:pPr>
      <w:r>
        <w:rPr>
          <w:rFonts w:ascii="Arial" w:cs="Arial" w:eastAsia="Arial" w:hAnsi="Arial"/>
          <w:sz w:val="14"/>
          <w:szCs w:val="14"/>
          <w:b w:val="1"/>
          <w:bCs w:val="1"/>
          <w:color w:val="auto"/>
        </w:rPr>
        <w:t>2019</w:t>
      </w:r>
    </w:p>
    <w:p>
      <w:pPr>
        <w:spacing w:after="0" w:line="200" w:lineRule="exact"/>
        <w:rPr>
          <w:sz w:val="20"/>
          <w:szCs w:val="20"/>
          <w:color w:val="auto"/>
        </w:rPr>
      </w:pPr>
    </w:p>
    <w:p>
      <w:pPr>
        <w:spacing w:after="0" w:line="206" w:lineRule="exact"/>
        <w:rPr>
          <w:sz w:val="20"/>
          <w:szCs w:val="20"/>
          <w:color w:val="auto"/>
        </w:rPr>
      </w:pPr>
    </w:p>
    <w:p>
      <w:pPr>
        <w:ind w:left="570" w:hanging="570"/>
        <w:spacing w:after="0"/>
        <w:tabs>
          <w:tab w:leader="none" w:pos="57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20,911</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20,335</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41,246</w:t>
      </w:r>
    </w:p>
    <w:p>
      <w:pPr>
        <w:spacing w:after="0" w:line="373"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14,440</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13,403</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27,843</w:t>
      </w:r>
    </w:p>
    <w:p>
      <w:pPr>
        <w:spacing w:after="0" w:line="79"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69,089</w:t>
      </w:r>
    </w:p>
    <w:p>
      <w:pPr>
        <w:spacing w:after="0" w:line="200" w:lineRule="exact"/>
        <w:rPr>
          <w:sz w:val="20"/>
          <w:szCs w:val="20"/>
          <w:color w:val="auto"/>
        </w:rPr>
      </w:pPr>
    </w:p>
    <w:p>
      <w:pPr>
        <w:spacing w:after="0" w:line="388" w:lineRule="exact"/>
        <w:rPr>
          <w:sz w:val="20"/>
          <w:szCs w:val="20"/>
          <w:color w:val="auto"/>
        </w:rPr>
      </w:pPr>
    </w:p>
    <w:p>
      <w:pPr>
        <w:ind w:left="650"/>
        <w:spacing w:after="0"/>
        <w:rPr>
          <w:sz w:val="20"/>
          <w:szCs w:val="20"/>
          <w:color w:val="auto"/>
        </w:rPr>
      </w:pPr>
      <w:r>
        <w:rPr>
          <w:rFonts w:ascii="Arial" w:cs="Arial" w:eastAsia="Arial" w:hAnsi="Arial"/>
          <w:sz w:val="14"/>
          <w:szCs w:val="14"/>
          <w:color w:val="auto"/>
        </w:rPr>
        <w:t>4,864</w:t>
      </w:r>
    </w:p>
    <w:p>
      <w:pPr>
        <w:spacing w:after="0" w:line="66" w:lineRule="exact"/>
        <w:rPr>
          <w:sz w:val="20"/>
          <w:szCs w:val="20"/>
          <w:color w:val="auto"/>
        </w:rPr>
      </w:pPr>
    </w:p>
    <w:p>
      <w:pPr>
        <w:ind w:left="650"/>
        <w:spacing w:after="0"/>
        <w:rPr>
          <w:sz w:val="20"/>
          <w:szCs w:val="20"/>
          <w:color w:val="auto"/>
        </w:rPr>
      </w:pPr>
      <w:r>
        <w:rPr>
          <w:rFonts w:ascii="Arial" w:cs="Arial" w:eastAsia="Arial" w:hAnsi="Arial"/>
          <w:sz w:val="14"/>
          <w:szCs w:val="14"/>
          <w:color w:val="auto"/>
        </w:rPr>
        <w:t>3,380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881</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1,263</w:t>
      </w:r>
    </w:p>
    <w:p>
      <w:pPr>
        <w:spacing w:after="0" w:line="67" w:lineRule="exact"/>
        <w:rPr>
          <w:sz w:val="20"/>
          <w:szCs w:val="20"/>
          <w:color w:val="auto"/>
        </w:rPr>
      </w:pPr>
    </w:p>
    <w:p>
      <w:pPr>
        <w:ind w:left="650"/>
        <w:spacing w:after="0"/>
        <w:rPr>
          <w:sz w:val="20"/>
          <w:szCs w:val="20"/>
          <w:color w:val="auto"/>
        </w:rPr>
      </w:pPr>
      <w:r>
        <w:rPr>
          <w:rFonts w:ascii="Arial" w:cs="Arial" w:eastAsia="Arial" w:hAnsi="Arial"/>
          <w:sz w:val="14"/>
          <w:szCs w:val="14"/>
          <w:color w:val="auto"/>
        </w:rPr>
        <w:t>2,144</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10,388</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5,346</w:t>
      </w:r>
    </w:p>
    <w:p>
      <w:pPr>
        <w:spacing w:after="0" w:line="53"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870"/>
        <w:spacing w:after="0"/>
        <w:rPr>
          <w:sz w:val="20"/>
          <w:szCs w:val="20"/>
          <w:color w:val="auto"/>
        </w:rPr>
      </w:pPr>
      <w:r>
        <w:rPr>
          <w:rFonts w:ascii="Arial" w:cs="Arial" w:eastAsia="Arial" w:hAnsi="Arial"/>
          <w:sz w:val="16"/>
          <w:szCs w:val="16"/>
          <w:color w:val="auto"/>
        </w:rPr>
        <w:t>28</w:t>
      </w:r>
    </w:p>
    <w:p>
      <w:pPr>
        <w:spacing w:after="0" w:line="30" w:lineRule="exact"/>
        <w:rPr>
          <w:sz w:val="20"/>
          <w:szCs w:val="20"/>
          <w:color w:val="auto"/>
        </w:rPr>
      </w:pPr>
    </w:p>
    <w:p>
      <w:pPr>
        <w:ind w:left="870"/>
        <w:spacing w:after="0"/>
        <w:rPr>
          <w:sz w:val="20"/>
          <w:szCs w:val="20"/>
          <w:color w:val="auto"/>
        </w:rPr>
      </w:pPr>
      <w:r>
        <w:rPr>
          <w:rFonts w:ascii="Arial" w:cs="Arial" w:eastAsia="Arial" w:hAnsi="Arial"/>
          <w:sz w:val="16"/>
          <w:szCs w:val="16"/>
          <w:color w:val="auto"/>
        </w:rPr>
        <w:t>10</w:t>
      </w:r>
    </w:p>
    <w:p>
      <w:pPr>
        <w:spacing w:after="0" w:line="44" w:lineRule="exact"/>
        <w:rPr>
          <w:sz w:val="20"/>
          <w:szCs w:val="20"/>
          <w:color w:val="auto"/>
        </w:rPr>
      </w:pPr>
    </w:p>
    <w:p>
      <w:pPr>
        <w:ind w:left="650" w:hanging="650"/>
        <w:spacing w:after="0"/>
        <w:tabs>
          <w:tab w:leader="none" w:pos="65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5,004</w:t>
      </w:r>
    </w:p>
    <w:p>
      <w:pPr>
        <w:spacing w:after="0" w:line="307" w:lineRule="exact"/>
        <w:rPr>
          <w:sz w:val="20"/>
          <w:szCs w:val="20"/>
          <w:color w:val="auto"/>
        </w:rPr>
      </w:pPr>
    </w:p>
    <w:p>
      <w:pPr>
        <w:sectPr>
          <w:pgSz w:w="11900" w:h="16838" w:orient="portrait"/>
          <w:cols w:equalWidth="0" w:num="2">
            <w:col w:w="9440" w:space="530"/>
            <w:col w:w="1050"/>
          </w:cols>
          <w:pgMar w:left="320" w:top="456" w:right="559" w:bottom="1440" w:gutter="0" w:footer="0" w:header="0"/>
        </w:sectPr>
      </w:pPr>
    </w:p>
    <w:p>
      <w:pPr>
        <w:spacing w:after="0" w:line="13"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Substantially all revenue for the three months ended March 31, 2020 and 2019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type w:val="continuous"/>
        </w:sectPr>
      </w:pP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0"/>
        </w:trPr>
        <w:tc>
          <w:tcPr>
            <w:tcW w:w="228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34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11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20"/>
                <w:szCs w:val="20"/>
                <w:color w:val="auto"/>
              </w:rPr>
            </w:pPr>
            <w:r>
              <w:rPr>
                <w:rFonts w:ascii="Arial" w:cs="Arial" w:eastAsia="Arial" w:hAnsi="Arial"/>
                <w:sz w:val="18"/>
                <w:szCs w:val="18"/>
                <w:color w:val="auto"/>
              </w:rPr>
              <w:t>Anthem</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1"/>
        </w:trPr>
        <w:tc>
          <w:tcPr>
            <w:tcW w:w="2280" w:type="dxa"/>
            <w:vAlign w:val="bottom"/>
          </w:tcPr>
          <w:p>
            <w:pPr>
              <w:spacing w:after="0"/>
              <w:rPr>
                <w:sz w:val="24"/>
                <w:szCs w:val="24"/>
                <w:color w:val="auto"/>
              </w:rPr>
            </w:pPr>
          </w:p>
        </w:tc>
        <w:tc>
          <w:tcPr>
            <w:tcW w:w="4540" w:type="dxa"/>
            <w:vAlign w:val="bottom"/>
            <w:gridSpan w:val="3"/>
          </w:tcPr>
          <w:p>
            <w:pPr>
              <w:jc w:val="right"/>
              <w:ind w:right="2500"/>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-703580</wp:posOffset>
            </wp:positionV>
            <wp:extent cx="5265420" cy="4756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6542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Predecessor</w:t>
      </w:r>
    </w:p>
    <w:p>
      <w:pPr>
        <w:spacing w:after="0" w:line="15"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u w:val="single" w:color="auto"/>
          <w:color w:val="auto"/>
        </w:rPr>
        <w:t>March 31, 2019</w:t>
      </w:r>
    </w:p>
    <w:p>
      <w:pPr>
        <w:spacing w:after="0" w:line="19"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28%</w:t>
      </w:r>
    </w:p>
    <w:p>
      <w:pPr>
        <w:spacing w:after="0" w:line="4"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8300" w:space="320"/>
            <w:col w:w="2400"/>
          </w:cols>
          <w:pgMar w:left="320" w:top="456" w:right="559" w:bottom="1440" w:gutter="0" w:footer="0" w:header="0"/>
          <w:type w:val="continuous"/>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SUBSEQUENT EVENTS</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 xml:space="preserve">Management has reviewed its March 31, 2020, condensed consolidated financial statements for subsequent events through June 15, 2020, the date the financial statements were available to be issued. Other than the subsequent events described in </w:t>
      </w:r>
      <w:r>
        <w:rPr>
          <w:rFonts w:ascii="Arial" w:cs="Arial" w:eastAsia="Arial" w:hAnsi="Arial"/>
          <w:sz w:val="17"/>
          <w:szCs w:val="17"/>
          <w:i w:val="1"/>
          <w:iCs w:val="1"/>
          <w:color w:val="auto"/>
        </w:rPr>
        <w:t>Note 1 – Summary of Business and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Note 2 – Acquisition, Note 6 – Long Term Debt,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11 – Related-Party Transactions</w:t>
      </w:r>
      <w:r>
        <w:rPr>
          <w:rFonts w:ascii="Arial" w:cs="Arial" w:eastAsia="Arial" w:hAnsi="Arial"/>
          <w:sz w:val="17"/>
          <w:szCs w:val="17"/>
          <w:color w:val="auto"/>
        </w:rPr>
        <w:t>, the Company is not aware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that would require recognition or disclosure in the consolidated financial statements.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860"/>
          </w:cols>
          <w:pgMar w:left="320" w:top="456" w:right="719" w:bottom="1440" w:gutter="0" w:footer="0" w:header="0"/>
        </w:sectPr>
      </w:pPr>
    </w:p>
    <w:bookmarkStart w:id="278" w:name="page279"/>
    <w:bookmarkEnd w:id="2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929640</wp:posOffset>
            </wp:positionV>
            <wp:extent cx="2658110" cy="5861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80"/>
        <w:spacing w:after="0"/>
        <w:rPr>
          <w:sz w:val="20"/>
          <w:szCs w:val="20"/>
          <w:color w:val="auto"/>
        </w:rPr>
      </w:pPr>
      <w:r>
        <w:rPr>
          <w:rFonts w:ascii="Arial" w:cs="Arial" w:eastAsia="Arial" w:hAnsi="Arial"/>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995680</wp:posOffset>
            </wp:positionV>
            <wp:extent cx="1460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407670</wp:posOffset>
            </wp:positionV>
            <wp:extent cx="1460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BofA Securities</w:t>
      </w:r>
    </w:p>
    <w:p>
      <w:pPr>
        <w:spacing w:after="0" w:line="200" w:lineRule="exact"/>
        <w:rPr>
          <w:sz w:val="20"/>
          <w:szCs w:val="20"/>
          <w:color w:val="auto"/>
        </w:rPr>
      </w:pPr>
    </w:p>
    <w:p>
      <w:pPr>
        <w:spacing w:after="0" w:line="229" w:lineRule="exact"/>
        <w:rPr>
          <w:sz w:val="20"/>
          <w:szCs w:val="20"/>
          <w:color w:val="auto"/>
        </w:rPr>
      </w:pPr>
    </w:p>
    <w:p>
      <w:pPr>
        <w:ind w:left="464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997585</wp:posOffset>
            </wp:positionV>
            <wp:extent cx="14605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139"/>
          </w:cols>
          <w:pgMar w:left="320" w:top="45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 2020</w:t>
      </w:r>
    </w:p>
    <w:p>
      <w:pPr>
        <w:sectPr>
          <w:pgSz w:w="11900" w:h="16838" w:orient="portrait"/>
          <w:cols w:equalWidth="0" w:num="1">
            <w:col w:w="10139"/>
          </w:cols>
          <w:pgMar w:left="320" w:top="456" w:right="1440" w:bottom="0" w:gutter="0" w:footer="0" w:header="0"/>
          <w:type w:val="continuous"/>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972185</wp:posOffset>
            </wp:positionV>
            <wp:extent cx="6929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1040130</wp:posOffset>
            </wp:positionV>
            <wp:extent cx="692975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following table sets forth all fees and expenses, other than the underwriting discount payable solely by GoHealth, Inc. in connection with the offer and sale of the securities being registered. All amounts shown are estimated except for the SEC registration fee, the Financial Industry Regulatory Authority, Inc., or FINRA, filing fee and the Nasdaq listing fee.</w:t>
      </w:r>
    </w:p>
    <w:p>
      <w:pPr>
        <w:sectPr>
          <w:pgSz w:w="11900" w:h="16838" w:orient="portrait"/>
          <w:cols w:equalWidth="0" w:num="1">
            <w:col w:w="11040"/>
          </w:cols>
          <w:pgMar w:left="320" w:top="456" w:right="539" w:bottom="1440" w:gutter="0" w:footer="0" w:header="0"/>
        </w:sectPr>
      </w:pPr>
    </w:p>
    <w:p>
      <w:pPr>
        <w:spacing w:after="0" w:line="21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-121920</wp:posOffset>
            </wp:positionV>
            <wp:extent cx="4704715" cy="135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FINRA filing fee</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Printing and engraving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Accounting fees and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-114935</wp:posOffset>
            </wp:positionV>
            <wp:extent cx="4704715" cy="135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Transfer agent fees and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453" w:hanging="453"/>
        <w:spacing w:after="0"/>
        <w:tabs>
          <w:tab w:leader="none" w:pos="4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79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1" w:lineRule="exact"/>
        <w:rPr>
          <w:sz w:val="20"/>
          <w:szCs w:val="20"/>
          <w:color w:val="auto"/>
        </w:rPr>
      </w:pPr>
    </w:p>
    <w:p>
      <w:pPr>
        <w:ind w:left="453" w:hanging="453"/>
        <w:spacing w:after="0"/>
        <w:tabs>
          <w:tab w:leader="none" w:pos="4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479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479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7" w:space="720"/>
            <w:col w:w="2313"/>
          </w:cols>
          <w:pgMar w:left="320" w:top="456" w:right="539" w:bottom="1440" w:gutter="0" w:footer="0" w:header="0"/>
          <w:type w:val="continuous"/>
        </w:sectPr>
      </w:pPr>
    </w:p>
    <w:p>
      <w:pPr>
        <w:spacing w:after="0" w:line="101" w:lineRule="exact"/>
        <w:rPr>
          <w:sz w:val="20"/>
          <w:szCs w:val="20"/>
          <w:color w:val="auto"/>
        </w:rPr>
      </w:pPr>
    </w:p>
    <w:p>
      <w:pPr>
        <w:ind w:left="600" w:hanging="433"/>
        <w:spacing w:after="0"/>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14"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6" w:right="539"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Upon consummation of the Transactions, our amended and restated certificate of incorporation and amended and restated bylaws will provide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amended and restated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On March 27, 2020, GoHealth, Inc. agreed to issue 1,000 shares of common stock, par value $0.001 per share, which will be redeemed upon the consummation of the Transactions, to GoHealth Holdings, LLC in exchange for $1.00. The issuance was exempt from registration under Section 4(a)(2) of the Securities Act, as a transaction by an issuer not involving any public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27" w:lineRule="exact"/>
        <w:rPr>
          <w:sz w:val="20"/>
          <w:szCs w:val="20"/>
          <w:color w:val="auto"/>
        </w:rPr>
      </w:pPr>
    </w:p>
    <w:p>
      <w:pPr>
        <w:ind w:left="600" w:hanging="433"/>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9" w:lineRule="exact"/>
        <w:rPr>
          <w:sz w:val="20"/>
          <w:szCs w:val="20"/>
          <w:color w:val="auto"/>
        </w:rPr>
      </w:pPr>
    </w:p>
    <w:p>
      <w:pPr>
        <w:jc w:val="center"/>
        <w:ind w:right="1008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jc w:val="center"/>
        <w:ind w:right="100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-3810</wp:posOffset>
            </wp:positionV>
            <wp:extent cx="2889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1.1*</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Underwriting Agreement.</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3.1*</w:t>
            </w:r>
          </w:p>
        </w:tc>
        <w:tc>
          <w:tcPr>
            <w:tcW w:w="9760" w:type="dxa"/>
            <w:vAlign w:val="bottom"/>
          </w:tcPr>
          <w:p>
            <w:pPr>
              <w:ind w:left="380"/>
              <w:spacing w:after="0"/>
              <w:rPr>
                <w:sz w:val="20"/>
                <w:szCs w:val="20"/>
                <w:color w:val="auto"/>
              </w:rPr>
            </w:pPr>
            <w:r>
              <w:rPr>
                <w:rFonts w:ascii="Arial" w:cs="Arial" w:eastAsia="Arial" w:hAnsi="Arial"/>
                <w:sz w:val="18"/>
                <w:szCs w:val="18"/>
                <w:color w:val="auto"/>
              </w:rPr>
              <w:t>Certificate of Incorporation of GoHealth, Inc., as in effect prior to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3.2*</w:t>
            </w:r>
          </w:p>
        </w:tc>
        <w:tc>
          <w:tcPr>
            <w:tcW w:w="9760" w:type="dxa"/>
            <w:vAlign w:val="bottom"/>
          </w:tcPr>
          <w:p>
            <w:pPr>
              <w:ind w:left="380"/>
              <w:spacing w:after="0"/>
              <w:rPr>
                <w:sz w:val="20"/>
                <w:szCs w:val="20"/>
                <w:color w:val="auto"/>
              </w:rPr>
            </w:pPr>
            <w:r>
              <w:rPr>
                <w:rFonts w:ascii="Arial" w:cs="Arial" w:eastAsia="Arial" w:hAnsi="Arial"/>
                <w:sz w:val="18"/>
                <w:szCs w:val="18"/>
                <w:color w:val="auto"/>
                <w:w w:val="95"/>
              </w:rPr>
              <w:t>Form of Amended and Restated Certificate of Incorporation of GoHealth, Inc., to be in effect upon the consummation of the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3.3*</w:t>
            </w:r>
          </w:p>
        </w:tc>
        <w:tc>
          <w:tcPr>
            <w:tcW w:w="9760" w:type="dxa"/>
            <w:vAlign w:val="bottom"/>
          </w:tcPr>
          <w:p>
            <w:pPr>
              <w:ind w:left="380"/>
              <w:spacing w:after="0"/>
              <w:rPr>
                <w:sz w:val="20"/>
                <w:szCs w:val="20"/>
                <w:color w:val="auto"/>
              </w:rPr>
            </w:pPr>
            <w:r>
              <w:rPr>
                <w:rFonts w:ascii="Arial" w:cs="Arial" w:eastAsia="Arial" w:hAnsi="Arial"/>
                <w:sz w:val="18"/>
                <w:szCs w:val="18"/>
                <w:color w:val="auto"/>
              </w:rPr>
              <w:t>Bylaws of GoHealth, Inc., as in effect prior to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3.4*</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Amended and Restated Bylaws of GoHealth, Inc. to be in effect upon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4.1*</w:t>
            </w:r>
          </w:p>
        </w:tc>
        <w:tc>
          <w:tcPr>
            <w:tcW w:w="9760" w:type="dxa"/>
            <w:vAlign w:val="bottom"/>
          </w:tcPr>
          <w:p>
            <w:pPr>
              <w:ind w:left="380"/>
              <w:spacing w:after="0"/>
              <w:rPr>
                <w:sz w:val="20"/>
                <w:szCs w:val="20"/>
                <w:color w:val="auto"/>
              </w:rPr>
            </w:pPr>
            <w:r>
              <w:rPr>
                <w:rFonts w:ascii="Arial" w:cs="Arial" w:eastAsia="Arial" w:hAnsi="Arial"/>
                <w:sz w:val="18"/>
                <w:szCs w:val="18"/>
                <w:color w:val="auto"/>
              </w:rPr>
              <w:t>Specimen Stock Certificate evidencing the shares of Class A common stock.</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rPr>
              <w:t>5.1*</w:t>
            </w:r>
          </w:p>
        </w:tc>
        <w:tc>
          <w:tcPr>
            <w:tcW w:w="9760" w:type="dxa"/>
            <w:vAlign w:val="bottom"/>
          </w:tcPr>
          <w:p>
            <w:pPr>
              <w:ind w:left="380"/>
              <w:spacing w:after="0"/>
              <w:rPr>
                <w:sz w:val="20"/>
                <w:szCs w:val="20"/>
                <w:color w:val="auto"/>
              </w:rPr>
            </w:pPr>
            <w:r>
              <w:rPr>
                <w:rFonts w:ascii="Arial" w:cs="Arial" w:eastAsia="Arial" w:hAnsi="Arial"/>
                <w:sz w:val="18"/>
                <w:szCs w:val="18"/>
                <w:color w:val="auto"/>
              </w:rPr>
              <w:t>Opinion of Latham &amp; Watkins LLP.</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10.1*</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Tax Receivable Agreement, to be effective upon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10.2*</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LLC Agreement of GoHealth Holdings, LLC, to be effective upon the consummation of the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Transactions.</w:t>
            </w:r>
          </w:p>
        </w:tc>
      </w:tr>
      <w:tr>
        <w:trPr>
          <w:trHeight w:val="334"/>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10.3*</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Stockholders Agreement, to be effective upon the consummation of the Transactions.</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10.4*</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Registration Rights Agreement, to be effective upon the consummation of the Transactions.</w:t>
            </w:r>
          </w:p>
        </w:tc>
      </w:tr>
      <w:tr>
        <w:trPr>
          <w:trHeight w:val="308"/>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10.5*</w:t>
            </w:r>
          </w:p>
        </w:tc>
        <w:tc>
          <w:tcPr>
            <w:tcW w:w="9760" w:type="dxa"/>
            <w:vAlign w:val="bottom"/>
          </w:tcPr>
          <w:p>
            <w:pPr>
              <w:ind w:left="380"/>
              <w:spacing w:after="0"/>
              <w:rPr>
                <w:sz w:val="20"/>
                <w:szCs w:val="20"/>
                <w:color w:val="auto"/>
              </w:rPr>
            </w:pPr>
            <w:r>
              <w:rPr>
                <w:rFonts w:ascii="Arial" w:cs="Arial" w:eastAsia="Arial" w:hAnsi="Arial"/>
                <w:sz w:val="18"/>
                <w:szCs w:val="18"/>
                <w:color w:val="auto"/>
                <w:w w:val="93"/>
              </w:rPr>
              <w:t>Amendment No. 2 to Credit Agreement, dated as of May 7, 2020, among Norvax, LLC, as borrower, Blizzard Midco, LLC, as a</w:t>
            </w:r>
          </w:p>
        </w:tc>
      </w:tr>
      <w:tr>
        <w:trPr>
          <w:trHeight w:val="214"/>
        </w:trPr>
        <w:tc>
          <w:tcPr>
            <w:tcW w:w="860" w:type="dxa"/>
            <w:vAlign w:val="bottom"/>
          </w:tcPr>
          <w:p>
            <w:pPr>
              <w:spacing w:after="0"/>
              <w:rPr>
                <w:sz w:val="18"/>
                <w:szCs w:val="18"/>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w w:val="89"/>
              </w:rPr>
              <w:t>guarantor, the other guarantors party thereto, Owl Rock Capital Corporation, as administrative agent, collateral agent and swingline</w:t>
            </w:r>
          </w:p>
        </w:tc>
      </w:tr>
      <w:tr>
        <w:trPr>
          <w:trHeight w:val="227"/>
        </w:trPr>
        <w:tc>
          <w:tcPr>
            <w:tcW w:w="860" w:type="dxa"/>
            <w:vAlign w:val="bottom"/>
          </w:tcPr>
          <w:p>
            <w:pPr>
              <w:spacing w:after="0"/>
              <w:rPr>
                <w:sz w:val="19"/>
                <w:szCs w:val="19"/>
                <w:color w:val="auto"/>
              </w:rPr>
            </w:pPr>
          </w:p>
        </w:tc>
        <w:tc>
          <w:tcPr>
            <w:tcW w:w="9760" w:type="dxa"/>
            <w:vAlign w:val="bottom"/>
          </w:tcPr>
          <w:p>
            <w:pPr>
              <w:ind w:left="380"/>
              <w:spacing w:after="0"/>
              <w:rPr>
                <w:sz w:val="20"/>
                <w:szCs w:val="20"/>
                <w:color w:val="auto"/>
              </w:rPr>
            </w:pPr>
            <w:r>
              <w:rPr>
                <w:rFonts w:ascii="Arial" w:cs="Arial" w:eastAsia="Arial" w:hAnsi="Arial"/>
                <w:sz w:val="18"/>
                <w:szCs w:val="18"/>
                <w:color w:val="auto"/>
              </w:rPr>
              <w:t>lender and the other lenders from time to time party thereto.</w:t>
            </w:r>
          </w:p>
        </w:tc>
      </w:tr>
      <w:tr>
        <w:trPr>
          <w:trHeight w:val="321"/>
        </w:trPr>
        <w:tc>
          <w:tcPr>
            <w:tcW w:w="860" w:type="dxa"/>
            <w:vAlign w:val="bottom"/>
          </w:tcPr>
          <w:p>
            <w:pPr>
              <w:jc w:val="right"/>
              <w:ind w:right="271"/>
              <w:spacing w:after="0"/>
              <w:rPr>
                <w:sz w:val="20"/>
                <w:szCs w:val="20"/>
                <w:color w:val="auto"/>
              </w:rPr>
            </w:pPr>
            <w:r>
              <w:rPr>
                <w:rFonts w:ascii="Arial" w:cs="Arial" w:eastAsia="Arial" w:hAnsi="Arial"/>
                <w:sz w:val="18"/>
                <w:szCs w:val="18"/>
                <w:color w:val="auto"/>
                <w:w w:val="92"/>
              </w:rPr>
              <w:t>10.7*#</w:t>
            </w:r>
          </w:p>
        </w:tc>
        <w:tc>
          <w:tcPr>
            <w:tcW w:w="9760" w:type="dxa"/>
            <w:vAlign w:val="bottom"/>
          </w:tcPr>
          <w:p>
            <w:pPr>
              <w:ind w:left="380"/>
              <w:spacing w:after="0"/>
              <w:rPr>
                <w:sz w:val="20"/>
                <w:szCs w:val="20"/>
                <w:color w:val="auto"/>
              </w:rPr>
            </w:pPr>
            <w:r>
              <w:rPr>
                <w:rFonts w:ascii="Arial" w:cs="Arial" w:eastAsia="Arial" w:hAnsi="Arial"/>
                <w:sz w:val="18"/>
                <w:szCs w:val="18"/>
                <w:color w:val="auto"/>
              </w:rPr>
              <w:t>2020 Incentive Award Plan.</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10.8*</w:t>
            </w:r>
          </w:p>
        </w:tc>
        <w:tc>
          <w:tcPr>
            <w:tcW w:w="9760" w:type="dxa"/>
            <w:vAlign w:val="bottom"/>
          </w:tcPr>
          <w:p>
            <w:pPr>
              <w:ind w:left="380"/>
              <w:spacing w:after="0"/>
              <w:rPr>
                <w:sz w:val="20"/>
                <w:szCs w:val="20"/>
                <w:color w:val="auto"/>
              </w:rPr>
            </w:pPr>
            <w:r>
              <w:rPr>
                <w:rFonts w:ascii="Arial" w:cs="Arial" w:eastAsia="Arial" w:hAnsi="Arial"/>
                <w:sz w:val="18"/>
                <w:szCs w:val="18"/>
                <w:color w:val="auto"/>
              </w:rPr>
              <w:t>Form of Indemnification Agreement.</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21.1*</w:t>
            </w:r>
          </w:p>
        </w:tc>
        <w:tc>
          <w:tcPr>
            <w:tcW w:w="9760" w:type="dxa"/>
            <w:vAlign w:val="bottom"/>
          </w:tcPr>
          <w:p>
            <w:pPr>
              <w:ind w:left="380"/>
              <w:spacing w:after="0"/>
              <w:rPr>
                <w:sz w:val="20"/>
                <w:szCs w:val="20"/>
                <w:color w:val="auto"/>
              </w:rPr>
            </w:pPr>
            <w:r>
              <w:rPr>
                <w:rFonts w:ascii="Arial" w:cs="Arial" w:eastAsia="Arial" w:hAnsi="Arial"/>
                <w:sz w:val="18"/>
                <w:szCs w:val="18"/>
                <w:color w:val="auto"/>
              </w:rPr>
              <w:t>List of Subsidiaries of GoHealth, Inc.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23.1*</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Ernst &amp; Young LLP, as to GoHealth, Inc.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23.2*</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Ernst &amp; Young LLP, as to GoHealth Holdings, LLC.</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23.3*</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Latham &amp; Watkins LLP (contained in its opinion filed as Exhibit 5.1 hereto).</w:t>
            </w:r>
          </w:p>
        </w:tc>
      </w:tr>
      <w:tr>
        <w:trPr>
          <w:trHeight w:val="321"/>
        </w:trPr>
        <w:tc>
          <w:tcPr>
            <w:tcW w:w="860" w:type="dxa"/>
            <w:vAlign w:val="bottom"/>
          </w:tcPr>
          <w:p>
            <w:pPr>
              <w:jc w:val="right"/>
              <w:ind w:right="371"/>
              <w:spacing w:after="0"/>
              <w:rPr>
                <w:sz w:val="20"/>
                <w:szCs w:val="20"/>
                <w:color w:val="auto"/>
              </w:rPr>
            </w:pPr>
            <w:r>
              <w:rPr>
                <w:rFonts w:ascii="Arial" w:cs="Arial" w:eastAsia="Arial" w:hAnsi="Arial"/>
                <w:sz w:val="18"/>
                <w:szCs w:val="18"/>
                <w:color w:val="auto"/>
                <w:w w:val="90"/>
              </w:rPr>
              <w:t>24.1*</w:t>
            </w:r>
          </w:p>
        </w:tc>
        <w:tc>
          <w:tcPr>
            <w:tcW w:w="9760" w:type="dxa"/>
            <w:vAlign w:val="bottom"/>
          </w:tcPr>
          <w:p>
            <w:pPr>
              <w:ind w:left="38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157"/>
        </w:numPr>
        <w:rPr>
          <w:rFonts w:ascii="Arial" w:cs="Arial" w:eastAsia="Arial" w:hAnsi="Arial"/>
          <w:sz w:val="18"/>
          <w:szCs w:val="18"/>
          <w:i w:val="1"/>
          <w:iCs w:val="1"/>
          <w:color w:val="auto"/>
        </w:rPr>
      </w:pPr>
      <w:r>
        <w:rPr>
          <w:rFonts w:ascii="Arial" w:cs="Arial" w:eastAsia="Arial" w:hAnsi="Arial"/>
          <w:sz w:val="18"/>
          <w:szCs w:val="18"/>
          <w:color w:val="auto"/>
        </w:rPr>
        <w:t>To be filed by amendment</w:t>
      </w:r>
    </w:p>
    <w:p>
      <w:pPr>
        <w:spacing w:after="0" w:line="20" w:lineRule="exact"/>
        <w:rPr>
          <w:sz w:val="20"/>
          <w:szCs w:val="20"/>
          <w:color w:val="auto"/>
        </w:rPr>
      </w:pPr>
    </w:p>
    <w:p>
      <w:pPr>
        <w:ind w:left="600" w:hanging="433"/>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7" w:lineRule="exact"/>
        <w:rPr>
          <w:sz w:val="20"/>
          <w:szCs w:val="20"/>
          <w:color w:val="auto"/>
        </w:rPr>
      </w:pPr>
    </w:p>
    <w:p>
      <w:pPr>
        <w:ind w:left="600" w:hanging="433"/>
        <w:spacing w:after="0" w:line="335" w:lineRule="auto"/>
        <w:tabs>
          <w:tab w:leader="none" w:pos="6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4" w:lineRule="exact"/>
        <w:rPr>
          <w:rFonts w:ascii="Arial" w:cs="Arial" w:eastAsia="Arial" w:hAnsi="Arial"/>
          <w:sz w:val="16"/>
          <w:szCs w:val="16"/>
          <w:color w:val="auto"/>
        </w:rPr>
      </w:pPr>
    </w:p>
    <w:p>
      <w:pPr>
        <w:ind w:left="600" w:right="500" w:hanging="433"/>
        <w:spacing w:after="0" w:line="271" w:lineRule="auto"/>
        <w:tabs>
          <w:tab w:leader="none" w:pos="6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GoHealth, Inc. pursuant to the foregoing provisions, or otherwise,</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00"/>
          </w:cols>
          <w:pgMar w:left="320" w:top="456" w:right="6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90" w:lineRule="auto"/>
        <w:rPr>
          <w:sz w:val="20"/>
          <w:szCs w:val="20"/>
          <w:color w:val="auto"/>
        </w:rPr>
      </w:pPr>
      <w:r>
        <w:rPr>
          <w:rFonts w:ascii="Arial" w:cs="Arial" w:eastAsia="Arial" w:hAnsi="Arial"/>
          <w:sz w:val="16"/>
          <w:szCs w:val="16"/>
          <w:color w:val="auto"/>
        </w:rPr>
        <w:t>GoHealth, Inc. has been advised that in the opinion of the SEC such indemnification is against public policy as expressed in the Securities Act and is, therefore, unenforceable. In the event that a claim for indemnification against such liabilities (other than the payment by GoHealth, Inc. of expenses incurred or paid by a director, officer or controlling person of GoHealth, Inc. in the successful defense of any action, suit or proceeding) is asserted by such director, officer or controlling person in connection with the securities being registered, GoHealth,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sz w:val="20"/>
          <w:szCs w:val="20"/>
          <w:color w:val="auto"/>
        </w:rPr>
      </w:pPr>
    </w:p>
    <w:p>
      <w:pPr>
        <w:ind w:left="600" w:hanging="433"/>
        <w:spacing w:after="0"/>
        <w:tabs>
          <w:tab w:leader="none" w:pos="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27" w:lineRule="exact"/>
        <w:rPr>
          <w:rFonts w:ascii="Arial" w:cs="Arial" w:eastAsia="Arial" w:hAnsi="Arial"/>
          <w:sz w:val="18"/>
          <w:szCs w:val="18"/>
          <w:color w:val="auto"/>
        </w:rPr>
      </w:pPr>
    </w:p>
    <w:p>
      <w:pPr>
        <w:ind w:left="1140" w:hanging="545"/>
        <w:spacing w:after="0" w:line="307" w:lineRule="auto"/>
        <w:tabs>
          <w:tab w:leader="none" w:pos="11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GoHealth, Inc. pursuant to Rule 424(b)(1) or (4) or 497(h) under the Securities Act shall be deemed to be part of this registration statement as of the time it was declared effective.</w:t>
      </w:r>
    </w:p>
    <w:p>
      <w:pPr>
        <w:spacing w:after="0" w:line="56" w:lineRule="exact"/>
        <w:rPr>
          <w:rFonts w:ascii="Arial" w:cs="Arial" w:eastAsia="Arial" w:hAnsi="Arial"/>
          <w:sz w:val="16"/>
          <w:szCs w:val="16"/>
          <w:color w:val="auto"/>
        </w:rPr>
      </w:pPr>
    </w:p>
    <w:p>
      <w:pPr>
        <w:ind w:left="1140" w:right="140" w:hanging="545"/>
        <w:spacing w:after="0" w:line="259" w:lineRule="auto"/>
        <w:tabs>
          <w:tab w:leader="none" w:pos="11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6" w:right="5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Pursuant to the requirements of the Securities Act of 1933, as amended, GoHealth, Inc. has duly caused this registration statement to be signed on its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160" w:type="dxa"/>
            <w:vAlign w:val="bottom"/>
          </w:tcPr>
          <w:p>
            <w:pPr>
              <w:spacing w:after="0"/>
              <w:rPr>
                <w:sz w:val="20"/>
                <w:szCs w:val="20"/>
                <w:color w:val="auto"/>
              </w:rPr>
            </w:pPr>
            <w:r>
              <w:rPr>
                <w:rFonts w:ascii="Arial" w:cs="Arial" w:eastAsia="Arial" w:hAnsi="Arial"/>
                <w:sz w:val="18"/>
                <w:szCs w:val="18"/>
                <w:color w:val="auto"/>
                <w:w w:val="95"/>
              </w:rPr>
              <w:t>behalf by the undersigned, thereunto duly authorized, in the city of Chicago, state of Illinois, on this   day of</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GoHealth, Inc.</w:t>
      </w:r>
    </w:p>
    <w:p>
      <w:pPr>
        <w:spacing w:after="0" w:line="32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5393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Clinton P. Jones</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GoHealth,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9"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40" w:type="dxa"/>
            <w:vAlign w:val="bottom"/>
          </w:tcPr>
          <w:p>
            <w:pPr>
              <w:ind w:left="1620"/>
              <w:spacing w:after="0"/>
              <w:rPr>
                <w:sz w:val="20"/>
                <w:szCs w:val="20"/>
                <w:color w:val="auto"/>
              </w:rPr>
            </w:pPr>
            <w:r>
              <w:rPr>
                <w:rFonts w:ascii="Arial" w:cs="Arial" w:eastAsia="Arial" w:hAnsi="Arial"/>
                <w:sz w:val="14"/>
                <w:szCs w:val="14"/>
                <w:b w:val="1"/>
                <w:bCs w:val="1"/>
                <w:color w:val="auto"/>
              </w:rPr>
              <w:t>Signature</w:t>
            </w:r>
          </w:p>
        </w:tc>
        <w:tc>
          <w:tcPr>
            <w:tcW w:w="534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jc w:val="right"/>
              <w:ind w:right="773"/>
              <w:spacing w:after="0"/>
              <w:rPr>
                <w:sz w:val="20"/>
                <w:szCs w:val="20"/>
                <w:color w:val="auto"/>
              </w:rPr>
            </w:pPr>
            <w:r>
              <w:rPr>
                <w:rFonts w:ascii="Arial" w:cs="Arial" w:eastAsia="Arial" w:hAnsi="Arial"/>
                <w:sz w:val="14"/>
                <w:szCs w:val="14"/>
                <w:b w:val="1"/>
                <w:bCs w:val="1"/>
                <w:color w:val="auto"/>
              </w:rPr>
              <w:t>Date</w:t>
            </w:r>
          </w:p>
        </w:tc>
      </w:tr>
      <w:tr>
        <w:trPr>
          <w:trHeight w:val="202"/>
        </w:trPr>
        <w:tc>
          <w:tcPr>
            <w:tcW w:w="20" w:type="dxa"/>
            <w:vAlign w:val="bottom"/>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5340" w:type="dxa"/>
            <w:vAlign w:val="bottom"/>
          </w:tcPr>
          <w:p>
            <w:pPr>
              <w:ind w:left="100"/>
              <w:spacing w:after="0" w:line="201" w:lineRule="exact"/>
              <w:rPr>
                <w:sz w:val="20"/>
                <w:szCs w:val="20"/>
                <w:color w:val="auto"/>
              </w:rPr>
            </w:pPr>
            <w:r>
              <w:rPr>
                <w:rFonts w:ascii="Arial" w:cs="Arial" w:eastAsia="Arial" w:hAnsi="Arial"/>
                <w:sz w:val="18"/>
                <w:szCs w:val="18"/>
                <w:color w:val="auto"/>
              </w:rPr>
              <w:t>Chief Executive Officer and Director (Principal Executive</w:t>
            </w:r>
          </w:p>
        </w:tc>
        <w:tc>
          <w:tcPr>
            <w:tcW w:w="17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Clinton P.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320"/>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7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Travis J.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Brandon M. Cruz</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Rahm Emanuel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Joseph G. Flanagan</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Jeremy W. Gelber</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Miriam A. Tawil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Alexander E. Timm</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sectPr>
      <w:pgSz w:w="11900" w:h="16838" w:orient="portrait"/>
      <w:cols w:equalWidth="0" w:num="1">
        <w:col w:w="11080"/>
      </w:cols>
      <w:pgMar w:left="320" w:top="45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1)"/>
      <w:numFmt w:val="decimal"/>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1)"/>
      <w:numFmt w:val="decimal"/>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1)"/>
      <w:numFmt w:val="decimal"/>
      <w:start w:val="1"/>
    </w:lvl>
  </w:abstractNum>
  <w:abstractNum w:abstractNumId="23">
    <w:nsid w:val="39EE015C"/>
    <w:multiLevelType w:val="hybridMultilevel"/>
    <w:lvl w:ilvl="0">
      <w:lvlJc w:val="left"/>
      <w:lvlText w:val="%1"/>
      <w:numFmt w:val="decimal"/>
      <w:start w:val="1"/>
    </w:lvl>
    <w:lvl w:ilvl="1">
      <w:lvlJc w:val="left"/>
      <w:lvlText w:val="(%2)"/>
      <w:numFmt w:val="lowerLetter"/>
      <w:start w:val="1"/>
    </w:lvl>
  </w:abstractNum>
  <w:abstractNum w:abstractNumId="24">
    <w:nsid w:val="57FC4FBB"/>
    <w:multiLevelType w:val="hybridMultilevel"/>
    <w:lvl w:ilvl="0">
      <w:lvlJc w:val="left"/>
      <w:lvlText w:val="(%1)"/>
      <w:numFmt w:val="decimal"/>
      <w:start w:val="3"/>
    </w:lvl>
    <w:lvl w:ilvl="1">
      <w:lvlJc w:val="left"/>
      <w:lvlText w:val="%2"/>
      <w:numFmt w:val="lowerLetter"/>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1)"/>
      <w:numFmt w:val="decimal"/>
      <w:start w:val="2"/>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1)"/>
      <w:numFmt w:val="decimal"/>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1)"/>
      <w:numFmt w:val="upperLetter"/>
      <w:start w:val="2"/>
    </w:lvl>
  </w:abstractNum>
  <w:abstractNum w:abstractNumId="45">
    <w:nsid w:val="3FA62ACA"/>
    <w:multiLevelType w:val="hybridMultilevel"/>
    <w:lvl w:ilvl="0">
      <w:lvlJc w:val="left"/>
      <w:lvlText w:val="(%1)"/>
      <w:numFmt w:val="decimal"/>
      <w:start w:val="2"/>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lvl w:ilvl="1">
      <w:lvlJc w:val="left"/>
      <w:lvlText w:val="(%2)"/>
      <w:numFmt w:val="lowerRoman"/>
      <w:start w:val="3"/>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1)"/>
      <w:numFmt w:val="decimal"/>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1)"/>
      <w:numFmt w:val="lowerLetter"/>
      <w:start w:val="1"/>
    </w:lvl>
  </w:abstractNum>
  <w:abstractNum w:abstractNumId="59">
    <w:nsid w:val="51088277"/>
    <w:multiLevelType w:val="hybridMultilevel"/>
    <w:lvl w:ilvl="0">
      <w:lvlJc w:val="left"/>
      <w:lvlText w:val="(%1)"/>
      <w:numFmt w:val="decimal"/>
      <w:start w:val="2"/>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1)"/>
      <w:numFmt w:val="decimal"/>
      <w:start w:val="3"/>
    </w:lvl>
  </w:abstractNum>
  <w:abstractNum w:abstractNumId="62">
    <w:nsid w:val="415E286C"/>
    <w:multiLevelType w:val="hybridMultilevel"/>
    <w:lvl w:ilvl="0">
      <w:lvlJc w:val="left"/>
      <w:lvlText w:val="(%1)"/>
      <w:numFmt w:val="decimal"/>
      <w:start w:val="1"/>
    </w:lvl>
  </w:abstractNum>
  <w:abstractNum w:abstractNumId="63">
    <w:nsid w:val="7C58FD05"/>
    <w:multiLevelType w:val="hybridMultilevel"/>
    <w:lvl w:ilvl="0">
      <w:lvlJc w:val="left"/>
      <w:lvlText w:val="(%1)"/>
      <w:numFmt w:val="decimal"/>
      <w:start w:val="2"/>
    </w:lvl>
  </w:abstractNum>
  <w:abstractNum w:abstractNumId="64">
    <w:nsid w:val="23D86AAC"/>
    <w:multiLevelType w:val="hybridMultilevel"/>
    <w:lvl w:ilvl="0">
      <w:lvlJc w:val="left"/>
      <w:lvlText w:val="(%1)"/>
      <w:numFmt w:val="decimal"/>
      <w:start w:val="3"/>
    </w:lvl>
  </w:abstractNum>
  <w:abstractNum w:abstractNumId="65">
    <w:nsid w:val="45E6D486"/>
    <w:multiLevelType w:val="hybridMultilevel"/>
    <w:lvl w:ilvl="0">
      <w:lvlJc w:val="left"/>
      <w:lvlText w:val="(%1)"/>
      <w:numFmt w:val="decimal"/>
      <w:start w:val="4"/>
    </w:lvl>
  </w:abstractNum>
  <w:abstractNum w:abstractNumId="66">
    <w:nsid w:val="5C10FE21"/>
    <w:multiLevelType w:val="hybridMultilevel"/>
    <w:lvl w:ilvl="0">
      <w:lvlJc w:val="left"/>
      <w:lvlText w:val="(%1)"/>
      <w:numFmt w:val="decimal"/>
      <w:start w:val="5"/>
    </w:lvl>
  </w:abstractNum>
  <w:abstractNum w:abstractNumId="67">
    <w:nsid w:val="E7FFA2B"/>
    <w:multiLevelType w:val="hybridMultilevel"/>
    <w:lvl w:ilvl="0">
      <w:lvlJc w:val="left"/>
      <w:lvlText w:val="(%1)"/>
      <w:numFmt w:val="decimal"/>
      <w:start w:val="6"/>
    </w:lvl>
  </w:abstractNum>
  <w:abstractNum w:abstractNumId="68">
    <w:nsid w:val="3C5991AA"/>
    <w:multiLevelType w:val="hybridMultilevel"/>
    <w:lvl w:ilvl="0">
      <w:lvlJc w:val="left"/>
      <w:lvlText w:val="(%1)"/>
      <w:numFmt w:val="lowerRoman"/>
      <w:start w:val="4"/>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1"/>
      <w:numFmt w:val="decimal"/>
      <w:start w:val="747"/>
    </w:lvl>
  </w:abstractNum>
  <w:abstractNum w:abstractNumId="73">
    <w:nsid w:val="6C80EC70"/>
    <w:multiLevelType w:val="hybridMultilevel"/>
    <w:lvl w:ilvl="0">
      <w:lvlJc w:val="left"/>
      <w:lvlText w:val="(%1)"/>
      <w:numFmt w:val="decimal"/>
      <w:start w:val="1"/>
    </w:lvl>
  </w:abstractNum>
  <w:abstractNum w:abstractNumId="74">
    <w:nsid w:val="379E21B5"/>
    <w:multiLevelType w:val="hybridMultilevel"/>
    <w:lvl w:ilvl="0">
      <w:lvlJc w:val="left"/>
      <w:lvlText w:val="(%1)"/>
      <w:numFmt w:val="decimal"/>
      <w:start w:val="2"/>
    </w:lvl>
  </w:abstractNum>
  <w:abstractNum w:abstractNumId="75">
    <w:nsid w:val="69E373"/>
    <w:multiLevelType w:val="hybridMultilevel"/>
    <w:lvl w:ilvl="0">
      <w:lvlJc w:val="left"/>
      <w:lvlText w:val="(%1)"/>
      <w:numFmt w:val="decimal"/>
      <w:start w:val="1"/>
    </w:lvl>
  </w:abstractNum>
  <w:abstractNum w:abstractNumId="76">
    <w:nsid w:val="2C27173B"/>
    <w:multiLevelType w:val="hybridMultilevel"/>
    <w:lvl w:ilvl="0">
      <w:lvlJc w:val="left"/>
      <w:lvlText w:val="(%1)"/>
      <w:numFmt w:val="decimal"/>
      <w:start w:val="1"/>
    </w:lvl>
  </w:abstractNum>
  <w:abstractNum w:abstractNumId="77">
    <w:nsid w:val="4C9B0904"/>
    <w:multiLevelType w:val="hybridMultilevel"/>
    <w:lvl w:ilvl="0">
      <w:lvlJc w:val="left"/>
      <w:lvlText w:val="(%1)"/>
      <w:numFmt w:val="decimal"/>
      <w:start w:val="3"/>
    </w:lvl>
  </w:abstractNum>
  <w:abstractNum w:abstractNumId="78">
    <w:nsid w:val="6AA7B75C"/>
    <w:multiLevelType w:val="hybridMultilevel"/>
    <w:lvl w:ilvl="0">
      <w:lvlJc w:val="left"/>
      <w:lvlText w:val="(%1)"/>
      <w:numFmt w:val="lowerRoman"/>
      <w:start w:val="2"/>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1)"/>
      <w:numFmt w:val="decimal"/>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1)"/>
      <w:numFmt w:val="decimal"/>
      <w:start w:val="1"/>
    </w:lvl>
  </w:abstractNum>
  <w:abstractNum w:abstractNumId="92">
    <w:nsid w:val="2C6E4AFD"/>
    <w:multiLevelType w:val="hybridMultilevel"/>
    <w:lvl w:ilvl="0">
      <w:lvlJc w:val="left"/>
      <w:lvlText w:val="(%1)"/>
      <w:numFmt w:val="decimal"/>
      <w:start w:val="2"/>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1)"/>
      <w:numFmt w:val="decimal"/>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lvl w:ilvl="1">
      <w:lvlJc w:val="left"/>
      <w:lvlText w:val="(%2)"/>
      <w:numFmt w:val="decimal"/>
      <w:start w:val="2"/>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1)"/>
      <w:numFmt w:val="decimal"/>
      <w:start w:val="2"/>
    </w:lvl>
  </w:abstractNum>
  <w:abstractNum w:abstractNumId="102">
    <w:nsid w:val="5399C654"/>
    <w:multiLevelType w:val="hybridMultilevel"/>
    <w:lvl w:ilvl="0">
      <w:lvlJc w:val="left"/>
      <w:lvlText w:val="•"/>
      <w:numFmt w:val="bullet"/>
      <w:start w:val="1"/>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1)"/>
      <w:numFmt w:val="decimal"/>
      <w:start w:val="1"/>
    </w:lvl>
    <w:lvl w:ilvl="1">
      <w:lvlJc w:val="left"/>
      <w:lvlText w:val="•"/>
      <w:numFmt w:val="bullet"/>
      <w:start w:val="1"/>
    </w:lvl>
  </w:abstractNum>
  <w:abstractNum w:abstractNumId="105">
    <w:nsid w:val="B37E80A"/>
    <w:multiLevelType w:val="hybridMultilevel"/>
    <w:lvl w:ilvl="0">
      <w:lvlJc w:val="left"/>
      <w:lvlText w:val="*"/>
      <w:numFmt w:val="bullet"/>
      <w:start w:val="1"/>
    </w:lvl>
    <w:lvl w:ilvl="1">
      <w:lvlJc w:val="left"/>
      <w:lvlText w:val="("/>
      <w:numFmt w:val="bullet"/>
      <w:start w:val="1"/>
    </w:lvl>
  </w:abstractNum>
  <w:abstractNum w:abstractNumId="106">
    <w:nsid w:val="2157F6BC"/>
    <w:multiLevelType w:val="hybridMultilevel"/>
    <w:lvl w:ilvl="0">
      <w:lvlJc w:val="left"/>
      <w:lvlText w:val="(%1)"/>
      <w:numFmt w:val="decimal"/>
      <w:start w:val="1"/>
    </w:lvl>
  </w:abstractNum>
  <w:abstractNum w:abstractNumId="107">
    <w:nsid w:val="704E1DD5"/>
    <w:multiLevelType w:val="hybridMultilevel"/>
    <w:lvl w:ilvl="0">
      <w:lvlJc w:val="left"/>
      <w:lvlText w:val="(%1)"/>
      <w:numFmt w:val="decimal"/>
      <w:start w:val="2"/>
    </w:lvl>
  </w:abstractNum>
  <w:abstractNum w:abstractNumId="108">
    <w:nsid w:val="57D2F10E"/>
    <w:multiLevelType w:val="hybridMultilevel"/>
    <w:lvl w:ilvl="0">
      <w:lvlJc w:val="left"/>
      <w:lvlText w:val="•"/>
      <w:numFmt w:val="bullet"/>
      <w:start w:val="1"/>
    </w:lvl>
  </w:abstractNum>
  <w:abstractNum w:abstractNumId="109">
    <w:nsid w:val="BFFAE18"/>
    <w:multiLevelType w:val="hybridMultilevel"/>
    <w:lvl w:ilvl="0">
      <w:lvlJc w:val="left"/>
      <w:lvlText w:val="(%1)"/>
      <w:numFmt w:val="lowerRoman"/>
      <w:start w:val="10"/>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
      <w:numFmt w:val="bullet"/>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
      <w:numFmt w:val="bullet"/>
      <w:start w:val="1"/>
    </w:lvl>
  </w:abstractNum>
  <w:abstractNum w:abstractNumId="118">
    <w:nsid w:val="2A31B62D"/>
    <w:multiLevelType w:val="hybridMultilevel"/>
    <w:lvl w:ilvl="0">
      <w:lvlJc w:val="left"/>
      <w:lvlText w:val="(%1)"/>
      <w:numFmt w:val="lowerLetter"/>
      <w:start w:val="1"/>
    </w:lvl>
  </w:abstractNum>
  <w:abstractNum w:abstractNumId="119">
    <w:nsid w:val="1849C29B"/>
    <w:multiLevelType w:val="hybridMultilevel"/>
    <w:lvl w:ilvl="0">
      <w:lvlJc w:val="left"/>
      <w:lvlText w:val="(%1)"/>
      <w:numFmt w:val="decimal"/>
      <w:start w:val="3"/>
    </w:lvl>
  </w:abstractNum>
  <w:abstractNum w:abstractNumId="120">
    <w:nsid w:val="7DFF9D09"/>
    <w:multiLevelType w:val="hybridMultilevel"/>
    <w:lvl w:ilvl="0">
      <w:lvlJc w:val="left"/>
      <w:lvlText w:val="$"/>
      <w:numFmt w:val="bullet"/>
      <w:start w:val="1"/>
    </w:lvl>
  </w:abstractNum>
  <w:abstractNum w:abstractNumId="121">
    <w:nsid w:val="754342"/>
    <w:multiLevelType w:val="hybridMultilevel"/>
    <w:lvl w:ilvl="0">
      <w:lvlJc w:val="left"/>
      <w:lvlText w:val="(%1)"/>
      <w:numFmt w:val="decimal"/>
      <w:start w:val="114"/>
    </w:lvl>
  </w:abstractNum>
  <w:abstractNum w:abstractNumId="122">
    <w:nsid w:val="69E7F3E5"/>
    <w:multiLevelType w:val="hybridMultilevel"/>
    <w:lvl w:ilvl="0">
      <w:lvlJc w:val="left"/>
      <w:lvlText w:val="(%1)"/>
      <w:numFmt w:val="decimal"/>
      <w:start w:val="66"/>
    </w:lvl>
  </w:abstractNum>
  <w:abstractNum w:abstractNumId="123">
    <w:nsid w:val="2A6DE806"/>
    <w:multiLevelType w:val="hybridMultilevel"/>
    <w:lvl w:ilvl="0">
      <w:lvlJc w:val="left"/>
      <w:lvlText w:val="\emdash "/>
      <w:numFmt w:val="bullet"/>
      <w:start w:val="1"/>
    </w:lvl>
  </w:abstractNum>
  <w:abstractNum w:abstractNumId="124">
    <w:nsid w:val="1816F8C4"/>
    <w:multiLevelType w:val="hybridMultilevel"/>
    <w:lvl w:ilvl="0">
      <w:lvlJc w:val="left"/>
      <w:lvlText w:val="%1."/>
      <w:numFmt w:val="decimal"/>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1."/>
      <w:numFmt w:val="decimal"/>
      <w:start w:val="2"/>
    </w:lvl>
  </w:abstractNum>
  <w:abstractNum w:abstractNumId="127">
    <w:nsid w:val="759F82CD"/>
    <w:multiLevelType w:val="hybridMultilevel"/>
    <w:lvl w:ilvl="0">
      <w:lvlJc w:val="left"/>
      <w:lvlText w:val="%1."/>
      <w:numFmt w:val="decimal"/>
      <w:start w:val="3"/>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
      <w:numFmt w:val="bullet"/>
      <w:start w:val="1"/>
    </w:lvl>
  </w:abstractNum>
  <w:abstractNum w:abstractNumId="130">
    <w:nsid w:val="F819E7F"/>
    <w:multiLevelType w:val="hybridMultilevel"/>
    <w:lvl w:ilvl="0">
      <w:lvlJc w:val="left"/>
      <w:lvlText w:val="•"/>
      <w:numFmt w:val="bullet"/>
      <w:start w:val="1"/>
    </w:lvl>
  </w:abstractNum>
  <w:abstractNum w:abstractNumId="131">
    <w:nsid w:val="57C7D42D"/>
    <w:multiLevelType w:val="hybridMultilevel"/>
    <w:lvl w:ilvl="0">
      <w:lvlJc w:val="left"/>
      <w:lvlText w:val="•"/>
      <w:numFmt w:val="bullet"/>
      <w:start w:val="1"/>
    </w:lvl>
  </w:abstractNum>
  <w:abstractNum w:abstractNumId="132">
    <w:nsid w:val="312167AD"/>
    <w:multiLevelType w:val="hybridMultilevel"/>
    <w:lvl w:ilvl="0">
      <w:lvlJc w:val="left"/>
      <w:lvlText w:val="%1."/>
      <w:numFmt w:val="decimal"/>
      <w:start w:val="7"/>
    </w:lvl>
  </w:abstractNum>
  <w:abstractNum w:abstractNumId="133">
    <w:nsid w:val="631B64D4"/>
    <w:multiLevelType w:val="hybridMultilevel"/>
    <w:lvl w:ilvl="0">
      <w:lvlJc w:val="left"/>
      <w:lvlText w:val="1"/>
      <w:numFmt w:val="bullet"/>
      <w:start w:val="1"/>
    </w:lvl>
  </w:abstractNum>
  <w:abstractNum w:abstractNumId="134">
    <w:nsid w:val="78B5E776"/>
    <w:multiLevelType w:val="hybridMultilevel"/>
    <w:lvl w:ilvl="0">
      <w:lvlJc w:val="left"/>
      <w:lvlText w:val="%1."/>
      <w:numFmt w:val="decimal"/>
      <w:start w:val="10"/>
    </w:lvl>
  </w:abstractNum>
  <w:abstractNum w:abstractNumId="135">
    <w:nsid w:val="75486E47"/>
    <w:multiLevelType w:val="hybridMultilevel"/>
    <w:lvl w:ilvl="0">
      <w:lvlJc w:val="left"/>
      <w:lvlText w:val="%1."/>
      <w:numFmt w:val="decimal"/>
      <w:start w:val="12"/>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
      <w:numFmt w:val="bullet"/>
      <w:start w:val="1"/>
    </w:lvl>
  </w:abstractNum>
  <w:abstractNum w:abstractNumId="138">
    <w:nsid w:val="65968C1C"/>
    <w:multiLevelType w:val="hybridMultilevel"/>
    <w:lvl w:ilvl="0">
      <w:lvlJc w:val="left"/>
      <w:lvlText w:val="$"/>
      <w:numFmt w:val="bullet"/>
      <w:start w:val="1"/>
    </w:lvl>
  </w:abstractNum>
  <w:abstractNum w:abstractNumId="139">
    <w:nsid w:val="46263DEC"/>
    <w:multiLevelType w:val="hybridMultilevel"/>
    <w:lvl w:ilvl="0">
      <w:lvlJc w:val="left"/>
      <w:lvlText w:val="(%1)"/>
      <w:numFmt w:val="decimal"/>
      <w:start w:val="114"/>
    </w:lvl>
  </w:abstractNum>
  <w:abstractNum w:abstractNumId="140">
    <w:nsid w:val="260D8C4A"/>
    <w:multiLevelType w:val="hybridMultilevel"/>
    <w:lvl w:ilvl="0">
      <w:lvlJc w:val="left"/>
      <w:lvlText w:val="1"/>
      <w:numFmt w:val="bullet"/>
      <w:start w:val="1"/>
    </w:lvl>
  </w:abstractNum>
  <w:abstractNum w:abstractNumId="141">
    <w:nsid w:val="73D4D3C4"/>
    <w:multiLevelType w:val="hybridMultilevel"/>
    <w:lvl w:ilvl="0">
      <w:lvlJc w:val="left"/>
      <w:lvlText w:val="%1."/>
      <w:numFmt w:val="decimal"/>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1."/>
      <w:numFmt w:val="decimal"/>
      <w:start w:val="2"/>
    </w:lvl>
  </w:abstractNum>
  <w:abstractNum w:abstractNumId="144">
    <w:nsid w:val="3FC32E20"/>
    <w:multiLevelType w:val="hybridMultilevel"/>
    <w:lvl w:ilvl="0">
      <w:lvlJc w:val="left"/>
      <w:lvlText w:val="%1."/>
      <w:numFmt w:val="decimal"/>
      <w:start w:val="3"/>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1."/>
      <w:numFmt w:val="decimal"/>
      <w:start w:val="7"/>
    </w:lvl>
  </w:abstractNum>
  <w:abstractNum w:abstractNumId="148">
    <w:nsid w:val="6EAA85FB"/>
    <w:multiLevelType w:val="hybridMultilevel"/>
    <w:lvl w:ilvl="0">
      <w:lvlJc w:val="left"/>
      <w:lvlText w:val="%1."/>
      <w:numFmt w:val="decimal"/>
      <w:start w:val="10"/>
    </w:lvl>
  </w:abstractNum>
  <w:abstractNum w:abstractNumId="149">
    <w:nsid w:val="3F06ECB2"/>
    <w:multiLevelType w:val="hybridMultilevel"/>
    <w:lvl w:ilvl="0">
      <w:lvlJc w:val="left"/>
      <w:lvlText w:val="%1."/>
      <w:numFmt w:val="decimal"/>
      <w:start w:val="12"/>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
      <w:numFmt w:val="bullet"/>
      <w:start w:val="1"/>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2020-06-19T23:08:45Z</dcterms:created>
  <dcterms:modified xsi:type="dcterms:W3CDTF">2020-06-19T23:08:45Z</dcterms:modified>
</cp:coreProperties>
</file>