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November 7, 2024</w:t>
      </w:r>
    </w:p>
    <w:p>
      <w:pPr>
        <w:spacing w:after="0" w:line="2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GoHealth, Inc.</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9"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_________________________</w:t>
      </w:r>
    </w:p>
    <w:p>
      <w:pPr>
        <w:spacing w:after="0" w:line="163" w:lineRule="exact"/>
        <w:rPr>
          <w:sz w:val="24"/>
          <w:szCs w:val="24"/>
          <w:color w:val="auto"/>
        </w:rPr>
      </w:pPr>
    </w:p>
    <w:tbl>
      <w:tblPr>
        <w:tblLayout w:type="fixed"/>
        <w:tblInd w:w="560" w:type="dxa"/>
        <w:tblCellMar>
          <w:top w:w="0" w:type="dxa"/>
          <w:left w:w="0" w:type="dxa"/>
          <w:bottom w:w="0" w:type="dxa"/>
          <w:right w:w="0" w:type="dxa"/>
        </w:tblCellMar>
      </w:tblPr>
      <w:tr>
        <w:trPr>
          <w:trHeight w:val="196"/>
        </w:trPr>
        <w:tc>
          <w:tcPr>
            <w:tcW w:w="3000" w:type="dxa"/>
            <w:vAlign w:val="bottom"/>
          </w:tcPr>
          <w:p>
            <w:pPr>
              <w:jc w:val="center"/>
              <w:ind w:right="88"/>
              <w:spacing w:after="0"/>
              <w:rPr>
                <w:sz w:val="20"/>
                <w:szCs w:val="20"/>
                <w:color w:val="auto"/>
              </w:rPr>
            </w:pPr>
            <w:r>
              <w:rPr>
                <w:rFonts w:ascii="Arial" w:cs="Arial" w:eastAsia="Arial" w:hAnsi="Arial"/>
                <w:sz w:val="14"/>
                <w:szCs w:val="14"/>
                <w:b w:val="1"/>
                <w:bCs w:val="1"/>
                <w:color w:val="auto"/>
              </w:rPr>
              <w:t>Delaware</w:t>
            </w:r>
          </w:p>
        </w:tc>
        <w:tc>
          <w:tcPr>
            <w:tcW w:w="4280" w:type="dxa"/>
            <w:vAlign w:val="bottom"/>
          </w:tcPr>
          <w:p>
            <w:pPr>
              <w:jc w:val="right"/>
              <w:ind w:right="1803"/>
              <w:spacing w:after="0"/>
              <w:rPr>
                <w:sz w:val="20"/>
                <w:szCs w:val="20"/>
                <w:color w:val="auto"/>
              </w:rPr>
            </w:pPr>
            <w:r>
              <w:rPr>
                <w:rFonts w:ascii="Arial" w:cs="Arial" w:eastAsia="Arial" w:hAnsi="Arial"/>
                <w:sz w:val="14"/>
                <w:szCs w:val="14"/>
                <w:b w:val="1"/>
                <w:bCs w:val="1"/>
                <w:color w:val="auto"/>
              </w:rPr>
              <w:t>001-39390</w:t>
            </w:r>
          </w:p>
        </w:tc>
        <w:tc>
          <w:tcPr>
            <w:tcW w:w="2540" w:type="dxa"/>
            <w:vAlign w:val="bottom"/>
          </w:tcPr>
          <w:p>
            <w:pPr>
              <w:jc w:val="right"/>
              <w:ind w:right="648"/>
              <w:spacing w:after="0"/>
              <w:rPr>
                <w:sz w:val="20"/>
                <w:szCs w:val="20"/>
                <w:color w:val="auto"/>
              </w:rPr>
            </w:pPr>
            <w:r>
              <w:rPr>
                <w:rFonts w:ascii="Arial" w:cs="Arial" w:eastAsia="Arial" w:hAnsi="Arial"/>
                <w:sz w:val="14"/>
                <w:szCs w:val="14"/>
                <w:b w:val="1"/>
                <w:bCs w:val="1"/>
                <w:color w:val="auto"/>
              </w:rPr>
              <w:t>85-0563805</w:t>
            </w:r>
          </w:p>
        </w:tc>
        <w:tc>
          <w:tcPr>
            <w:tcW w:w="0" w:type="dxa"/>
            <w:vAlign w:val="bottom"/>
          </w:tcPr>
          <w:p>
            <w:pPr>
              <w:spacing w:after="0"/>
              <w:rPr>
                <w:sz w:val="1"/>
                <w:szCs w:val="1"/>
                <w:color w:val="auto"/>
              </w:rPr>
            </w:pPr>
          </w:p>
        </w:tc>
      </w:tr>
      <w:tr>
        <w:trPr>
          <w:trHeight w:val="223"/>
        </w:trPr>
        <w:tc>
          <w:tcPr>
            <w:tcW w:w="3000" w:type="dxa"/>
            <w:vAlign w:val="bottom"/>
          </w:tcPr>
          <w:p>
            <w:pPr>
              <w:jc w:val="center"/>
              <w:ind w:right="88"/>
              <w:spacing w:after="0"/>
              <w:rPr>
                <w:sz w:val="20"/>
                <w:szCs w:val="20"/>
                <w:color w:val="auto"/>
              </w:rPr>
            </w:pPr>
            <w:r>
              <w:rPr>
                <w:rFonts w:ascii="Arial" w:cs="Arial" w:eastAsia="Arial" w:hAnsi="Arial"/>
                <w:sz w:val="14"/>
                <w:szCs w:val="14"/>
                <w:color w:val="auto"/>
              </w:rPr>
              <w:t>(State or other jurisdiction of incorporation)</w:t>
            </w:r>
          </w:p>
        </w:tc>
        <w:tc>
          <w:tcPr>
            <w:tcW w:w="4280" w:type="dxa"/>
            <w:vAlign w:val="bottom"/>
          </w:tcPr>
          <w:p>
            <w:pPr>
              <w:jc w:val="center"/>
              <w:ind w:right="83"/>
              <w:spacing w:after="0"/>
              <w:rPr>
                <w:sz w:val="20"/>
                <w:szCs w:val="20"/>
                <w:color w:val="auto"/>
              </w:rPr>
            </w:pPr>
            <w:r>
              <w:rPr>
                <w:rFonts w:ascii="Arial" w:cs="Arial" w:eastAsia="Arial" w:hAnsi="Arial"/>
                <w:sz w:val="14"/>
                <w:szCs w:val="14"/>
                <w:color w:val="auto"/>
              </w:rPr>
              <w:t>(Commission File Number)</w:t>
            </w:r>
          </w:p>
        </w:tc>
        <w:tc>
          <w:tcPr>
            <w:tcW w:w="2540" w:type="dxa"/>
            <w:vAlign w:val="bottom"/>
          </w:tcPr>
          <w:p>
            <w:pPr>
              <w:jc w:val="center"/>
              <w:ind w:left="248"/>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465"/>
        </w:trPr>
        <w:tc>
          <w:tcPr>
            <w:tcW w:w="3000" w:type="dxa"/>
            <w:vAlign w:val="bottom"/>
          </w:tcPr>
          <w:p>
            <w:pPr>
              <w:jc w:val="center"/>
              <w:ind w:right="88"/>
              <w:spacing w:after="0"/>
              <w:rPr>
                <w:sz w:val="20"/>
                <w:szCs w:val="20"/>
                <w:color w:val="auto"/>
              </w:rPr>
            </w:pPr>
            <w:r>
              <w:rPr>
                <w:rFonts w:ascii="Arial" w:cs="Arial" w:eastAsia="Arial" w:hAnsi="Arial"/>
                <w:sz w:val="14"/>
                <w:szCs w:val="14"/>
                <w:b w:val="1"/>
                <w:bCs w:val="1"/>
                <w:color w:val="auto"/>
              </w:rPr>
              <w:t>222 W Merchandise Mart Plaza Suite 1750</w:t>
            </w:r>
          </w:p>
        </w:tc>
        <w:tc>
          <w:tcPr>
            <w:tcW w:w="4280" w:type="dxa"/>
            <w:vAlign w:val="bottom"/>
          </w:tcPr>
          <w:p>
            <w:pPr>
              <w:spacing w:after="0"/>
              <w:rPr>
                <w:sz w:val="24"/>
                <w:szCs w:val="24"/>
                <w:color w:val="auto"/>
              </w:rPr>
            </w:pPr>
          </w:p>
        </w:tc>
        <w:tc>
          <w:tcPr>
            <w:tcW w:w="2540" w:type="dxa"/>
            <w:vAlign w:val="bottom"/>
            <w:vMerge w:val="restart"/>
          </w:tcPr>
          <w:p>
            <w:pPr>
              <w:jc w:val="right"/>
              <w:ind w:right="848"/>
              <w:spacing w:after="0"/>
              <w:rPr>
                <w:sz w:val="20"/>
                <w:szCs w:val="20"/>
                <w:color w:val="auto"/>
              </w:rPr>
            </w:pPr>
            <w:r>
              <w:rPr>
                <w:rFonts w:ascii="Arial" w:cs="Arial" w:eastAsia="Arial" w:hAnsi="Arial"/>
                <w:sz w:val="14"/>
                <w:szCs w:val="14"/>
                <w:b w:val="1"/>
                <w:bCs w:val="1"/>
                <w:color w:val="auto"/>
              </w:rPr>
              <w:t>60654</w:t>
            </w:r>
          </w:p>
        </w:tc>
        <w:tc>
          <w:tcPr>
            <w:tcW w:w="0" w:type="dxa"/>
            <w:vAlign w:val="bottom"/>
          </w:tcPr>
          <w:p>
            <w:pPr>
              <w:spacing w:after="0"/>
              <w:rPr>
                <w:sz w:val="1"/>
                <w:szCs w:val="1"/>
                <w:color w:val="auto"/>
              </w:rPr>
            </w:pPr>
          </w:p>
        </w:tc>
      </w:tr>
      <w:tr>
        <w:trPr>
          <w:trHeight w:val="108"/>
        </w:trPr>
        <w:tc>
          <w:tcPr>
            <w:tcW w:w="30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Chicago, Illinois</w:t>
            </w:r>
          </w:p>
        </w:tc>
        <w:tc>
          <w:tcPr>
            <w:tcW w:w="428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00" w:type="dxa"/>
            <w:vAlign w:val="bottom"/>
            <w:vMerge w:val="continue"/>
          </w:tcPr>
          <w:p>
            <w:pPr>
              <w:spacing w:after="0"/>
              <w:rPr>
                <w:sz w:val="10"/>
                <w:szCs w:val="10"/>
                <w:color w:val="auto"/>
              </w:rPr>
            </w:pPr>
          </w:p>
        </w:tc>
        <w:tc>
          <w:tcPr>
            <w:tcW w:w="42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000" w:type="dxa"/>
            <w:vAlign w:val="bottom"/>
          </w:tcPr>
          <w:p>
            <w:pPr>
              <w:jc w:val="center"/>
              <w:ind w:right="108"/>
              <w:spacing w:after="0"/>
              <w:rPr>
                <w:sz w:val="20"/>
                <w:szCs w:val="20"/>
                <w:color w:val="auto"/>
              </w:rPr>
            </w:pPr>
            <w:r>
              <w:rPr>
                <w:rFonts w:ascii="Arial" w:cs="Arial" w:eastAsia="Arial" w:hAnsi="Arial"/>
                <w:sz w:val="14"/>
                <w:szCs w:val="14"/>
                <w:color w:val="auto"/>
              </w:rPr>
              <w:t>(Address of principal executive offices)</w:t>
            </w:r>
          </w:p>
        </w:tc>
        <w:tc>
          <w:tcPr>
            <w:tcW w:w="4280" w:type="dxa"/>
            <w:vAlign w:val="bottom"/>
          </w:tcPr>
          <w:p>
            <w:pPr>
              <w:spacing w:after="0"/>
              <w:rPr>
                <w:sz w:val="19"/>
                <w:szCs w:val="19"/>
                <w:color w:val="auto"/>
              </w:rPr>
            </w:pPr>
          </w:p>
        </w:tc>
        <w:tc>
          <w:tcPr>
            <w:tcW w:w="2540" w:type="dxa"/>
            <w:vAlign w:val="bottom"/>
          </w:tcPr>
          <w:p>
            <w:pPr>
              <w:jc w:val="center"/>
              <w:ind w:left="2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419"/>
        </w:trPr>
        <w:tc>
          <w:tcPr>
            <w:tcW w:w="3000" w:type="dxa"/>
            <w:vAlign w:val="bottom"/>
          </w:tcPr>
          <w:p>
            <w:pPr>
              <w:spacing w:after="0"/>
              <w:rPr>
                <w:sz w:val="24"/>
                <w:szCs w:val="24"/>
                <w:color w:val="auto"/>
              </w:rPr>
            </w:pPr>
          </w:p>
        </w:tc>
        <w:tc>
          <w:tcPr>
            <w:tcW w:w="4280" w:type="dxa"/>
            <w:vAlign w:val="bottom"/>
          </w:tcPr>
          <w:p>
            <w:pPr>
              <w:jc w:val="right"/>
              <w:ind w:right="1583"/>
              <w:spacing w:after="0"/>
              <w:rPr>
                <w:sz w:val="20"/>
                <w:szCs w:val="20"/>
                <w:color w:val="auto"/>
              </w:rPr>
            </w:pPr>
            <w:r>
              <w:rPr>
                <w:rFonts w:ascii="Arial" w:cs="Arial" w:eastAsia="Arial" w:hAnsi="Arial"/>
                <w:sz w:val="16"/>
                <w:szCs w:val="16"/>
                <w:b w:val="1"/>
                <w:bCs w:val="1"/>
                <w:color w:val="auto"/>
              </w:rPr>
              <w:t>(312) 386-8200</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000" w:type="dxa"/>
            <w:vAlign w:val="bottom"/>
          </w:tcPr>
          <w:p>
            <w:pPr>
              <w:spacing w:after="0"/>
              <w:rPr>
                <w:sz w:val="24"/>
                <w:szCs w:val="24"/>
                <w:color w:val="auto"/>
              </w:rPr>
            </w:pPr>
          </w:p>
        </w:tc>
        <w:tc>
          <w:tcPr>
            <w:tcW w:w="4280" w:type="dxa"/>
            <w:vAlign w:val="bottom"/>
          </w:tcPr>
          <w:p>
            <w:pPr>
              <w:jc w:val="center"/>
              <w:ind w:right="83"/>
              <w:spacing w:after="0"/>
              <w:rPr>
                <w:sz w:val="20"/>
                <w:szCs w:val="20"/>
                <w:color w:val="auto"/>
              </w:rPr>
            </w:pPr>
            <w:r>
              <w:rPr>
                <w:rFonts w:ascii="Arial" w:cs="Arial" w:eastAsia="Arial" w:hAnsi="Arial"/>
                <w:sz w:val="16"/>
                <w:szCs w:val="16"/>
                <w:color w:val="auto"/>
              </w:rPr>
              <w:t>(Registrant’s telephone number, including area code)</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000" w:type="dxa"/>
            <w:vAlign w:val="bottom"/>
          </w:tcPr>
          <w:p>
            <w:pPr>
              <w:spacing w:after="0"/>
              <w:rPr>
                <w:sz w:val="24"/>
                <w:szCs w:val="24"/>
                <w:color w:val="auto"/>
              </w:rPr>
            </w:pPr>
          </w:p>
        </w:tc>
        <w:tc>
          <w:tcPr>
            <w:tcW w:w="4280" w:type="dxa"/>
            <w:vAlign w:val="bottom"/>
          </w:tcPr>
          <w:p>
            <w:pPr>
              <w:jc w:val="center"/>
              <w:ind w:right="83"/>
              <w:spacing w:after="0"/>
              <w:rPr>
                <w:sz w:val="20"/>
                <w:szCs w:val="20"/>
                <w:color w:val="auto"/>
              </w:rPr>
            </w:pPr>
            <w:r>
              <w:rPr>
                <w:rFonts w:ascii="Arial" w:cs="Arial" w:eastAsia="Arial" w:hAnsi="Arial"/>
                <w:sz w:val="16"/>
                <w:szCs w:val="16"/>
                <w:b w:val="1"/>
                <w:bCs w:val="1"/>
                <w:color w:val="auto"/>
              </w:rPr>
              <w:t>N/A</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31"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01"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4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99"/>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17"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13"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On November 7, 2024, GoHealth, Inc. issued a press release announcing its financial results for the quarter ended September 30, 2024. A copy of the press release is furnished as Exhibit 99.1 to this Current Report on Form 8-K.</w:t>
      </w:r>
    </w:p>
    <w:p>
      <w:pPr>
        <w:spacing w:after="0" w:line="3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1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69"/>
        </w:trPr>
        <w:tc>
          <w:tcPr>
            <w:tcW w:w="1300" w:type="dxa"/>
            <w:vAlign w:val="bottom"/>
            <w:tcBorders>
              <w:top w:val="single" w:sz="8" w:color="auto"/>
            </w:tcBorders>
          </w:tcPr>
          <w:p>
            <w:pPr>
              <w:jc w:val="right"/>
              <w:ind w:right="419"/>
              <w:spacing w:after="0" w:line="169"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dated November 7, 2024</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34"/>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68"/>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92"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November 7, 2024</w:t>
      </w:r>
      <w:r>
        <w:rPr>
          <w:sz w:val="20"/>
          <w:szCs w:val="20"/>
          <w:color w:val="auto"/>
        </w:rPr>
        <w:tab/>
      </w:r>
      <w:r>
        <w:rPr>
          <w:rFonts w:ascii="Arial" w:cs="Arial" w:eastAsia="Arial" w:hAnsi="Arial"/>
          <w:sz w:val="16"/>
          <w:szCs w:val="16"/>
          <w:color w:val="auto"/>
        </w:rPr>
        <w:t>By: /s/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Brendan Shanahan</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 and Chief Accounting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1003" w:right="359" w:bottom="1440" w:gutter="0" w:footer="0" w:header="0"/>
        </w:sectPr>
      </w:pPr>
    </w:p>
    <w:bookmarkStart w:id="3" w:name="page4"/>
    <w:bookmarkEnd w:id="3"/>
    <w:p>
      <w:pPr>
        <w:ind w:left="1030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19050</wp:posOffset>
            </wp:positionV>
            <wp:extent cx="1397000"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000" cy="386080"/>
                    </a:xfrm>
                    <a:prstGeom prst="rect">
                      <a:avLst/>
                    </a:prstGeom>
                    <a:noFill/>
                  </pic:spPr>
                </pic:pic>
              </a:graphicData>
            </a:graphic>
          </wp:anchor>
        </w:drawing>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151D8E"/>
        </w:rPr>
        <w:t>GoHealth Reports Third Quarter 2024 Results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CHICAGO, November 7, 2024 — GoHealth, Inc. (NASDAQ: GOCO) (“GoHealth” or the “Company”), a leading health insurance marketplace and Medicare-focused digital health company, today announced financial results for the three and nine months ended September 30, 2024.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151D8E"/>
        </w:rPr>
        <w:t>Third Quarter Highlights</w:t>
      </w:r>
    </w:p>
    <w:p>
      <w:pPr>
        <w:spacing w:after="0" w:line="11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Third quarter 2024 net revenues of $118.3 million, a $13.7 million decrease compared to $132.0 million in the prior year period.</w:t>
      </w:r>
    </w:p>
    <w:p>
      <w:pPr>
        <w:spacing w:after="0" w:line="126" w:lineRule="exact"/>
        <w:rPr>
          <w:rFonts w:ascii="Arial" w:cs="Arial" w:eastAsia="Arial" w:hAnsi="Arial"/>
          <w:sz w:val="16"/>
          <w:szCs w:val="16"/>
          <w:color w:val="auto"/>
        </w:rPr>
      </w:pPr>
    </w:p>
    <w:p>
      <w:pPr>
        <w:jc w:val="both"/>
        <w:ind w:left="660" w:right="900" w:hanging="328"/>
        <w:spacing w:after="0" w:line="26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Third quarter 2024 Submissions were 166,195, a 2.9% increase compared to 161,550 Submissions in the prior year period, with strong contributions from GoHealth’s internal captive agents, partially offset by a decline in Submissions from the external GoPartner Solutions (“GPS”) agents.</w:t>
      </w:r>
    </w:p>
    <w:p>
      <w:pPr>
        <w:spacing w:after="0" w:line="7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Third quarter 2024 net income of $15.4 million, an improvement of $71.6 million compared to a net loss of $56.2 million in the prior year period.</w:t>
      </w:r>
    </w:p>
    <w:p>
      <w:pPr>
        <w:spacing w:after="0" w:line="113" w:lineRule="exact"/>
        <w:rPr>
          <w:rFonts w:ascii="Arial" w:cs="Arial" w:eastAsia="Arial" w:hAnsi="Arial"/>
          <w:sz w:val="16"/>
          <w:szCs w:val="16"/>
          <w:color w:val="auto"/>
        </w:rPr>
      </w:pPr>
    </w:p>
    <w:p>
      <w:pPr>
        <w:ind w:left="660" w:right="380" w:hanging="328"/>
        <w:spacing w:after="0" w:line="23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Third quarter 2024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negative $12.1 million, a decrease of $0.6 million compared to negative $11.5 million in the prior year period.</w:t>
      </w:r>
    </w:p>
    <w:p>
      <w:pPr>
        <w:spacing w:after="0" w:line="82" w:lineRule="exact"/>
        <w:rPr>
          <w:rFonts w:ascii="Arial" w:cs="Arial" w:eastAsia="Arial" w:hAnsi="Arial"/>
          <w:sz w:val="16"/>
          <w:szCs w:val="16"/>
          <w:color w:val="auto"/>
        </w:rPr>
      </w:pPr>
    </w:p>
    <w:p>
      <w:pPr>
        <w:ind w:left="660" w:right="44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Third quarter 2024 trailing twelve months (“TTM”) positive cash flow from operations of $35.1 million, an increase of $38.3 million compared to TTM negative cash flow from operations of $3.2 million in the prior year period.</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Refinanced Credit Facility, establishing new five-year term with new lender group.</w:t>
      </w:r>
    </w:p>
    <w:p>
      <w:pPr>
        <w:spacing w:after="0" w:line="113" w:lineRule="exact"/>
        <w:rPr>
          <w:rFonts w:ascii="Arial" w:cs="Arial" w:eastAsia="Arial" w:hAnsi="Arial"/>
          <w:sz w:val="16"/>
          <w:szCs w:val="16"/>
          <w:color w:val="auto"/>
        </w:rPr>
      </w:pPr>
    </w:p>
    <w:p>
      <w:pPr>
        <w:ind w:left="660" w:right="52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Completed the strategic acquisition of e-TeleQuote Insurance, Inc. (“e-TeleQuote”), adding approximately $90.5 million in contract assets and $22.5 million in cash (inclusive of the Company’s initial $5.0 million investment), and recording a $77.4 million gain on bargain purchase, reinforcing GoHealth’s aspirations to expand its market leadership and operational capacity.</w:t>
      </w:r>
    </w:p>
    <w:p>
      <w:pPr>
        <w:spacing w:after="0" w:line="56" w:lineRule="exact"/>
        <w:rPr>
          <w:rFonts w:ascii="Arial" w:cs="Arial" w:eastAsia="Arial" w:hAnsi="Arial"/>
          <w:sz w:val="16"/>
          <w:szCs w:val="16"/>
          <w:color w:val="auto"/>
        </w:rPr>
      </w:pPr>
    </w:p>
    <w:p>
      <w:pPr>
        <w:ind w:left="660" w:right="640" w:hanging="328"/>
        <w:spacing w:after="0" w:line="23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Achieved an 11.0% improvement in Direct Operating Cost per Submission</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in the third quarter of 2024 compared to the prior year period, through advancements in artificial intelligence (“AI”), automation, and marketing efficiencies, along with targeted operational improvements.</w:t>
      </w:r>
    </w:p>
    <w:p>
      <w:pPr>
        <w:spacing w:after="0" w:line="8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Appointed Brendan Shanahan as Chief Financial Officer, who brings over 30 years of healthcare and financial strategy expertise to GoHealth.</w:t>
      </w:r>
    </w:p>
    <w:p>
      <w:pPr>
        <w:spacing w:after="0" w:line="356"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“Our third-quarter results underscore the strength of our ongoing transformation into a Medicare engagement company. We’ve helped over 650,000 consumers navigate Medicare options through tools like PlanFit CheckUp, and with the addition of e-TeleQuote’s 400 agents, we’re prepared to efficiently serve the demand surge we are seeing in this year’s Medicare Annual Enrollment Period (“AEP”). We believe these developments reinforce GoHealth’s leadership in the eBroker space, positioning us for sustained growth and profitability,” said Vijay Kotte, CEO of GoHealth.</w:t>
      </w:r>
    </w:p>
    <w:p>
      <w:pPr>
        <w:spacing w:after="0" w:line="19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acquisition of e-TeleQuote not only added $90.5 million in contract assets and $22.5 million in cash (inclusive of our initial $5.0 million investment), but also provided a substantial gain on bargain purchase of $77.4 million, boosting our financial position,” Kotte continued. “This strategic move expanded our agent capacity ahead of a pivotal AEP, which we believe will enable us to capitalize on market demand. As the competitive landscape shifts, GoHealth aims to stand out, ready to support the millions of consumers facing benefit reductions or coverage losses.”</w:t>
      </w:r>
    </w:p>
    <w:p>
      <w:pPr>
        <w:spacing w:after="0" w:line="203" w:lineRule="exact"/>
        <w:rPr>
          <w:sz w:val="20"/>
          <w:szCs w:val="20"/>
          <w:color w:val="auto"/>
        </w:rPr>
      </w:pPr>
    </w:p>
    <w:p>
      <w:pPr>
        <w:jc w:val="both"/>
        <w:ind w:right="60"/>
        <w:spacing w:after="0" w:line="244" w:lineRule="auto"/>
        <w:rPr>
          <w:sz w:val="20"/>
          <w:szCs w:val="20"/>
          <w:color w:val="auto"/>
        </w:rPr>
      </w:pPr>
      <w:r>
        <w:rPr>
          <w:rFonts w:ascii="Arial" w:cs="Arial" w:eastAsia="Arial" w:hAnsi="Arial"/>
          <w:sz w:val="16"/>
          <w:szCs w:val="16"/>
          <w:color w:val="auto"/>
        </w:rPr>
        <w:t>“GoHealth’s third-quarter results reflect disciplined cost management, as we reduced our Direct Operating Cost per Submission</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by 11.0%, despite broader market challenges. These efficiency gains and a focus on high-quality lead generation underscore our commitment to driving profitable growth, especially as we progress through AEP,” said Brendan Shanahan, CFO of GoHealth. “With over $77 million gained through the e-TeleQuote acquisition, we believe we’re positioned with the liquidity and flexibility needed to drive long-term value, even as we expand our agent base during this critical AEP.”</w:t>
      </w:r>
    </w:p>
    <w:p>
      <w:pPr>
        <w:spacing w:after="0" w:line="21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“This AEP, we’re seeing unprecedented disruption, with over two million consumers losing coverage and more than six million experiencing reduced benefits. We believe GoHealth’s investments in AI-driven technology, an expanded agent network, and our focus on consumer engagement uniquely position us to lead through these market changes, delivering both growth and improved customer experience,” said Kotte.</w:t>
      </w:r>
    </w:p>
    <w:p>
      <w:pPr>
        <w:spacing w:after="0" w:line="29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Direct Operating Cost per Submission is an operating metric. For a definition of Direct Operating Cost per Submission and an explanation of its calculation, please see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6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151D8E"/>
        </w:rPr>
        <w:t>Conference Call Details</w:t>
      </w:r>
    </w:p>
    <w:p>
      <w:pPr>
        <w:spacing w:after="0" w:line="24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Company will host a conference call today, Thursday, November 7, 2024 at 8:00 a.m. (ET) to discuss its financial results. A live audio webcast of the conference call will be available via GoHealth's Investor Relations website, https://investors.gohealth.com/. A replay of the call will be available via webcast for on-demand listening shortly after the completion of the call.</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About GoHealth, Inc.</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GoHealth is a leading health insurance marketplace and Medicare-focused digital health company whose purpose is to compassionately ensure consumers’ peace of mind when making healthcare decisions so they can focus on living life. For many of these consumers, enrolling in a health insurance plan is confusing and difficult, and seemingly small differences between health plans may lead to significant out-of-pocket costs or lack of access to critical providers and medicines. GoHealth’s proprietary technology platform leverages modern machine-learning algorithms, powered by over two decades of insurance purchasing behavior, to reimagine the process of matching a health plan to a consumer’s specific needs. Its unbiased, technology-driven marketplace coupled with highly skilled licensed agents has facilitated the enrollment of millions of consumers in Medicare plans since GoHealth’s inception. For more information, visit https://www.gohealth.com.</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Shave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JShave@gohealth.com</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8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151D8E"/>
        </w:rPr>
        <w:t>Forward-Looking Statements</w:t>
      </w:r>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debt service obligations, adoption and use of artificial intelligence technologies, the impact on our business from the acquisition of e-TeleQuote Insurance, Inc. (“e-TeleQuote”) and our ability to successfully integrate e-TeleQuote’s operations, technologies and employees into our business, are forward-looking statements.</w:t>
      </w:r>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press release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These forward-looking statements speak only as of the date of this press release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2023 (“2023 Annual Report on Form 10-K”) and in our other filings with the Securities and Exchange Commission. The factors described in our 2023 Annual Report on Form 10-K should not be construed as exhaustive and should be read together with the other cautionary statements included in this press release, as well as the cautionary statements and other risk factors set forth in the Quarterly Report on Form 10-Q for the first fiscal quarter ended March 31, 2024, the Quarterly Report on Form 10-Q for the second fiscal quarter ended June 30, 2024, the forthcoming Quarterly Report on Form 10-Q for the third quarter ended September 30, 2024 and in our other filings with the Securities and Exchange Commission.</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You should read this press release and the documents that we reference in this press release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Non-GAAP Financial Measures</w:t>
      </w:r>
    </w:p>
    <w:p>
      <w:pPr>
        <w:spacing w:after="0" w:line="24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Throughout this press release, we use a number of non-GAAP financial measures. Non-GAAP financial measures are supplemental measures of our performance that are derived from our consolidated financial information, but which are not presented in our Condensed Consolidated Financial Statements prepared in accordance with U.S. generally accepted accounting principles (“GAAP”). We define these non-GAAP financial measures as follows:</w:t>
      </w:r>
    </w:p>
    <w:p>
      <w:pPr>
        <w:spacing w:after="0" w:line="205" w:lineRule="exact"/>
        <w:rPr>
          <w:sz w:val="20"/>
          <w:szCs w:val="20"/>
          <w:color w:val="auto"/>
        </w:rPr>
      </w:pPr>
    </w:p>
    <w:p>
      <w:pPr>
        <w:ind w:left="660" w:right="18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certain items summarized in the table furnished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in this press release.</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represents net income (loss) before interest expense, income tax expense (benefit) and depreciation and amortization expense.</w:t>
      </w: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the primary financial performance measure used by management to evaluate the business and monitor the results of operations, as well as a 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81" w:right="339" w:bottom="1440" w:gutter="0" w:footer="0" w:header="0"/>
        </w:sectPr>
      </w:pPr>
    </w:p>
    <w:bookmarkStart w:id="6" w:name="page7"/>
    <w:bookmarkEnd w:id="6"/>
    <w:p>
      <w:pPr>
        <w:ind w:right="200"/>
        <w:spacing w:after="0" w:line="275" w:lineRule="auto"/>
        <w:rPr>
          <w:sz w:val="20"/>
          <w:szCs w:val="20"/>
          <w:color w:val="auto"/>
        </w:rPr>
      </w:pPr>
      <w:r>
        <w:rPr>
          <w:rFonts w:ascii="Arial" w:cs="Arial" w:eastAsia="Arial" w:hAnsi="Arial"/>
          <w:sz w:val="16"/>
          <w:szCs w:val="16"/>
          <w:color w:val="auto"/>
        </w:rPr>
        <w:t>Margin to its most directly comparable GAAP financial measure are presented in the tables furnished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Key Performance Indicators</w:t>
      </w:r>
    </w:p>
    <w:p>
      <w:pPr>
        <w:spacing w:after="0" w:line="262"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The most relevant business and operating metrics are as follows:</w:t>
      </w:r>
    </w:p>
    <w:p>
      <w:pPr>
        <w:spacing w:after="0" w:line="183" w:lineRule="exact"/>
        <w:rPr>
          <w:sz w:val="20"/>
          <w:szCs w:val="20"/>
          <w:color w:val="auto"/>
        </w:rPr>
      </w:pPr>
    </w:p>
    <w:p>
      <w:pPr>
        <w:ind w:left="660" w:right="40" w:hanging="328"/>
        <w:spacing w:after="0" w:line="27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of Submission” </w:t>
      </w:r>
      <w:r>
        <w:rPr>
          <w:rFonts w:ascii="Arial" w:cs="Arial" w:eastAsia="Arial" w:hAnsi="Arial"/>
          <w:sz w:val="16"/>
          <w:szCs w:val="16"/>
          <w:color w:val="auto"/>
        </w:rPr>
        <w:t>is an operating metric that represents costs directly attributable to Submissions generated during a particular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and excludes costs that are indirect or fixed. Direct Operating Cost of Submission is comprised of the portion of the respective operating expenses for revenue share, marketing and advertising and consumer care and enrollment that are directly related to the Submissions generated in the particular period. Direct Operating Cost of Submission, most recently referred to as “Direct Cost of Submission,” reflects a name change only.</w:t>
      </w:r>
    </w:p>
    <w:p>
      <w:pPr>
        <w:spacing w:after="0" w:line="194" w:lineRule="exact"/>
        <w:rPr>
          <w:rFonts w:ascii="Arial" w:cs="Arial" w:eastAsia="Arial" w:hAnsi="Arial"/>
          <w:sz w:val="16"/>
          <w:szCs w:val="16"/>
          <w:color w:val="auto"/>
        </w:rPr>
      </w:pPr>
    </w:p>
    <w:p>
      <w:pPr>
        <w:ind w:left="660" w:right="2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per Submission” </w:t>
      </w:r>
      <w:r>
        <w:rPr>
          <w:rFonts w:ascii="Arial" w:cs="Arial" w:eastAsia="Arial" w:hAnsi="Arial"/>
          <w:sz w:val="16"/>
          <w:szCs w:val="16"/>
          <w:color w:val="auto"/>
        </w:rPr>
        <w:t>is an operating metric that represents the average performance of Submissions generated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period. Direct Operating Cost per Submission refers to (x) Direct Operating Cost of Submission for a particular period divided by (y) the number of Submissions generated for such period. Direct Operating Cost per Submission, most recently referred to as “Direct Cost per Submission” reflects a name change only.</w:t>
      </w:r>
    </w:p>
    <w:p>
      <w:pPr>
        <w:spacing w:after="0" w:line="199" w:lineRule="exact"/>
        <w:rPr>
          <w:rFonts w:ascii="Arial" w:cs="Arial" w:eastAsia="Arial" w:hAnsi="Arial"/>
          <w:sz w:val="16"/>
          <w:szCs w:val="16"/>
          <w:color w:val="auto"/>
        </w:rPr>
      </w:pPr>
    </w:p>
    <w:p>
      <w:pPr>
        <w:ind w:left="660" w:right="4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“Sales/Direct Operating Cost of Submission” </w:t>
      </w:r>
      <w:r>
        <w:rPr>
          <w:rFonts w:ascii="Arial" w:cs="Arial" w:eastAsia="Arial" w:hAnsi="Arial"/>
          <w:sz w:val="16"/>
          <w:szCs w:val="16"/>
          <w:color w:val="auto"/>
        </w:rPr>
        <w:t>represents (x) the numerator of Sales per Submission, as defined below, divided by (y) Direct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Cost of Submission. Sales/Direct Operating Cost of Submission, most recently referred to as “Sales/Direct Cost of Submission” reflects a name change only.</w:t>
      </w:r>
    </w:p>
    <w:p>
      <w:pPr>
        <w:spacing w:after="0" w:line="204" w:lineRule="exact"/>
        <w:rPr>
          <w:rFonts w:ascii="Arial" w:cs="Arial" w:eastAsia="Arial" w:hAnsi="Arial"/>
          <w:sz w:val="16"/>
          <w:szCs w:val="16"/>
          <w:color w:val="auto"/>
        </w:rPr>
      </w:pPr>
    </w:p>
    <w:p>
      <w:pPr>
        <w:ind w:left="660" w:right="20" w:hanging="328"/>
        <w:spacing w:after="0" w:line="257"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“Sales per Submission” </w:t>
      </w:r>
      <w:r>
        <w:rPr>
          <w:rFonts w:ascii="Arial" w:cs="Arial" w:eastAsia="Arial" w:hAnsi="Arial"/>
          <w:sz w:val="16"/>
          <w:szCs w:val="16"/>
          <w:color w:val="auto"/>
        </w:rPr>
        <w:t>is an operating metric that represents the average performance of Submissions generated during a particular period. Sales</w:t>
      </w:r>
      <w:r>
        <w:rPr>
          <w:rFonts w:ascii="Arial" w:cs="Arial" w:eastAsia="Arial" w:hAnsi="Arial"/>
          <w:sz w:val="16"/>
          <w:szCs w:val="16"/>
          <w:i w:val="1"/>
          <w:iCs w:val="1"/>
          <w:color w:val="auto"/>
        </w:rPr>
        <w:t xml:space="preserve"> </w:t>
      </w:r>
      <w:r>
        <w:rPr>
          <w:rFonts w:ascii="Arial" w:cs="Arial" w:eastAsia="Arial" w:hAnsi="Arial"/>
          <w:sz w:val="16"/>
          <w:szCs w:val="16"/>
          <w:color w:val="auto"/>
        </w:rPr>
        <w:t>per Submission measures revenues only from the Submissions generated in the period and excludes items that are unrelated to such Submissions, including any impact of revenue adjustments recorded in the period, but relating to performance obligations satisfied in prior periods. Sales per Submission equals (x) the sum of (i) agency revenues, comprised of the expected amount of initial commission revenue and any renewal commissions to be paid from the health plan partners on such placement as long as the policyholder remains with the same insurance product, as well as partner marketing and other revenue and (ii) non-agency revenues, comprised of the enrollment and engagement services for which cash is collected in advance or in close proximity to the point in time revenue is recognized, divided by (y) the number of Submissions generated for such period.</w:t>
      </w:r>
    </w:p>
    <w:p>
      <w:pPr>
        <w:spacing w:after="0" w:line="219" w:lineRule="exact"/>
        <w:rPr>
          <w:rFonts w:ascii="Arial" w:cs="Arial" w:eastAsia="Arial" w:hAnsi="Arial"/>
          <w:sz w:val="16"/>
          <w:szCs w:val="16"/>
          <w:color w:val="auto"/>
        </w:rPr>
      </w:pPr>
    </w:p>
    <w:p>
      <w:pPr>
        <w:ind w:left="660" w:right="8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“Submission” </w:t>
      </w:r>
      <w:r>
        <w:rPr>
          <w:rFonts w:ascii="Arial" w:cs="Arial" w:eastAsia="Arial" w:hAnsi="Arial"/>
          <w:sz w:val="16"/>
          <w:szCs w:val="16"/>
          <w:color w:val="auto"/>
        </w:rPr>
        <w:t>refers to either (i) a completed application with our licensed agent that is submitted to the health plan partner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health plan partner during the indicated period, excluding applications through our Non-Encompass BPO Services or (ii) a transfer by our agent to the health plan partner through the Encompass operating model during the indicated period.</w:t>
      </w:r>
    </w:p>
    <w:p>
      <w:pPr>
        <w:spacing w:after="0" w:line="191"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Direct Operating Cost of Submission, Direct Operating Cost per Submission, Sales/Direct Operating Cost of Submission, Sales per Submission and Submissions are key operating metrics we use to understand our underlying financial performance and trends.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Certain Definitions and Key Terms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press release, unless the context otherwise requires:</w:t>
      </w:r>
    </w:p>
    <w:p>
      <w:pPr>
        <w:spacing w:after="0" w:line="262" w:lineRule="exact"/>
        <w:rPr>
          <w:sz w:val="20"/>
          <w:szCs w:val="20"/>
          <w:color w:val="auto"/>
        </w:rPr>
      </w:pPr>
    </w:p>
    <w:p>
      <w:pPr>
        <w:jc w:val="both"/>
        <w:ind w:left="660" w:right="140" w:hanging="328"/>
        <w:spacing w:after="0" w:line="266" w:lineRule="auto"/>
        <w:tabs>
          <w:tab w:leader="none" w:pos="649"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“LTV” </w:t>
      </w:r>
      <w:r>
        <w:rPr>
          <w:rFonts w:ascii="Arial" w:cs="Arial" w:eastAsia="Arial" w:hAnsi="Arial"/>
          <w:sz w:val="16"/>
          <w:szCs w:val="16"/>
          <w:color w:val="auto"/>
        </w:rPr>
        <w:t>refers to the Lifetime Value of Commissions, which we define as aggregate commissions estimated to be collected over the estimated life of</w:t>
      </w:r>
      <w:r>
        <w:rPr>
          <w:rFonts w:ascii="Arial" w:cs="Arial" w:eastAsia="Arial" w:hAnsi="Arial"/>
          <w:sz w:val="16"/>
          <w:szCs w:val="16"/>
          <w:i w:val="1"/>
          <w:iCs w:val="1"/>
          <w:color w:val="auto"/>
        </w:rPr>
        <w:t xml:space="preserve"> </w:t>
      </w:r>
      <w:r>
        <w:rPr>
          <w:rFonts w:ascii="Arial" w:cs="Arial" w:eastAsia="Arial" w:hAnsi="Arial"/>
          <w:sz w:val="16"/>
          <w:szCs w:val="16"/>
          <w:color w:val="auto"/>
        </w:rPr>
        <w:t>all commissionable Submissions for the relevant period based on multiple factors, including but not limited to, contracted commission rates, health plan partner mix and expected policy persistency with applied constraints.</w:t>
      </w:r>
    </w:p>
    <w:p>
      <w:pPr>
        <w:spacing w:after="0" w:line="211" w:lineRule="exact"/>
        <w:rPr>
          <w:rFonts w:ascii="Arial" w:cs="Arial" w:eastAsia="Arial" w:hAnsi="Arial"/>
          <w:sz w:val="16"/>
          <w:szCs w:val="16"/>
          <w:i w:val="1"/>
          <w:iCs w:val="1"/>
          <w:color w:val="auto"/>
        </w:rPr>
      </w:pPr>
    </w:p>
    <w:p>
      <w:pPr>
        <w:ind w:left="660" w:right="380" w:hanging="328"/>
        <w:spacing w:after="0" w:line="286" w:lineRule="auto"/>
        <w:tabs>
          <w:tab w:leader="none" w:pos="649"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“Non-Encompass BPO Services” </w:t>
      </w:r>
      <w:r>
        <w:rPr>
          <w:rFonts w:ascii="Arial" w:cs="Arial" w:eastAsia="Arial" w:hAnsi="Arial"/>
          <w:sz w:val="16"/>
          <w:szCs w:val="16"/>
          <w:color w:val="auto"/>
        </w:rPr>
        <w:t>refer to programs in which GoHealth-employed agents are dedicated to certain health plans and agencies we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with outside of the Encompass operating model.</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7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6"/>
          </w:tcPr>
          <w:p>
            <w:pPr>
              <w:jc w:val="right"/>
              <w:ind w:right="400"/>
              <w:spacing w:after="0"/>
              <w:rPr>
                <w:sz w:val="20"/>
                <w:szCs w:val="20"/>
                <w:color w:val="auto"/>
              </w:rPr>
            </w:pPr>
            <w:r>
              <w:rPr>
                <w:rFonts w:ascii="Arial" w:cs="Arial" w:eastAsia="Arial" w:hAnsi="Arial"/>
                <w:sz w:val="14"/>
                <w:szCs w:val="14"/>
                <w:color w:val="auto"/>
              </w:rPr>
              <w:t>Three months ended Sep.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gridSpan w:val="3"/>
          </w:tcPr>
          <w:p>
            <w:pPr>
              <w:jc w:val="right"/>
              <w:ind w:right="2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gridSpan w:val="3"/>
          </w:tcPr>
          <w:p>
            <w:pPr>
              <w:jc w:val="right"/>
              <w:ind w:right="40"/>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44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 and per share amounts)</w:t>
            </w:r>
          </w:p>
        </w:tc>
        <w:tc>
          <w:tcPr>
            <w:tcW w:w="100" w:type="dxa"/>
            <w:vAlign w:val="bottom"/>
            <w:shd w:val="clear" w:color="auto" w:fill="929292"/>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vMerge w:val="restart"/>
          </w:tcPr>
          <w:p>
            <w:pPr>
              <w:jc w:val="right"/>
              <w:ind w:right="540"/>
              <w:spacing w:after="0"/>
              <w:rPr>
                <w:sz w:val="20"/>
                <w:szCs w:val="20"/>
                <w:color w:val="auto"/>
              </w:rPr>
            </w:pPr>
            <w:r>
              <w:rPr>
                <w:rFonts w:ascii="Arial" w:cs="Arial" w:eastAsia="Arial" w:hAnsi="Arial"/>
                <w:sz w:val="14"/>
                <w:szCs w:val="14"/>
                <w:color w:val="auto"/>
              </w:rPr>
              <w:t>Dollars</w:t>
            </w:r>
          </w:p>
        </w:tc>
        <w:tc>
          <w:tcPr>
            <w:tcW w:w="102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 of Net</w:t>
            </w:r>
          </w:p>
        </w:tc>
        <w:tc>
          <w:tcPr>
            <w:tcW w:w="200" w:type="dxa"/>
            <w:vAlign w:val="bottom"/>
          </w:tcPr>
          <w:p>
            <w:pPr>
              <w:spacing w:after="0"/>
              <w:rPr>
                <w:sz w:val="13"/>
                <w:szCs w:val="13"/>
                <w:color w:val="auto"/>
              </w:rPr>
            </w:pPr>
          </w:p>
        </w:tc>
        <w:tc>
          <w:tcPr>
            <w:tcW w:w="1100" w:type="dxa"/>
            <w:vAlign w:val="bottom"/>
            <w:gridSpan w:val="3"/>
            <w:vMerge w:val="restart"/>
          </w:tcPr>
          <w:p>
            <w:pPr>
              <w:jc w:val="right"/>
              <w:ind w:right="560"/>
              <w:spacing w:after="0"/>
              <w:rPr>
                <w:sz w:val="20"/>
                <w:szCs w:val="20"/>
                <w:color w:val="auto"/>
              </w:rPr>
            </w:pPr>
            <w:r>
              <w:rPr>
                <w:rFonts w:ascii="Arial" w:cs="Arial" w:eastAsia="Arial" w:hAnsi="Arial"/>
                <w:sz w:val="14"/>
                <w:szCs w:val="14"/>
                <w:color w:val="auto"/>
              </w:rPr>
              <w:t>Dollars</w:t>
            </w:r>
          </w:p>
        </w:tc>
        <w:tc>
          <w:tcPr>
            <w:tcW w:w="100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 of Net</w:t>
            </w:r>
          </w:p>
        </w:tc>
        <w:tc>
          <w:tcPr>
            <w:tcW w:w="12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color w:val="auto"/>
              </w:rPr>
              <w:t>$ Change</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85"/>
        </w:trPr>
        <w:tc>
          <w:tcPr>
            <w:tcW w:w="444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tcBorders>
              <w:top w:val="single" w:sz="8" w:color="B6B6B6"/>
            </w:tcBorders>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top w:val="single" w:sz="8" w:color="B6B6B6"/>
            </w:tcBorders>
            <w:shd w:val="clear" w:color="auto" w:fill="929292"/>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118,292</w:t>
            </w:r>
          </w:p>
        </w:tc>
        <w:tc>
          <w:tcPr>
            <w:tcW w:w="100" w:type="dxa"/>
            <w:vAlign w:val="bottom"/>
          </w:tcPr>
          <w:p>
            <w:pPr>
              <w:spacing w:after="0"/>
              <w:rPr>
                <w:sz w:val="16"/>
                <w:szCs w:val="16"/>
                <w:color w:val="auto"/>
              </w:rPr>
            </w:pPr>
          </w:p>
        </w:tc>
        <w:tc>
          <w:tcPr>
            <w:tcW w:w="140" w:type="dxa"/>
            <w:vAlign w:val="bottom"/>
            <w:tcBorders>
              <w:top w:val="single" w:sz="8" w:color="B6B6B6"/>
            </w:tcBorders>
          </w:tcPr>
          <w:p>
            <w:pPr>
              <w:spacing w:after="0"/>
              <w:rPr>
                <w:sz w:val="16"/>
                <w:szCs w:val="16"/>
                <w:color w:val="auto"/>
              </w:rPr>
            </w:pP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B6B6B6"/>
            </w:tcBorders>
          </w:tcPr>
          <w:p>
            <w:pPr>
              <w:jc w:val="right"/>
              <w:ind w:right="108"/>
              <w:spacing w:after="0"/>
              <w:rPr>
                <w:sz w:val="20"/>
                <w:szCs w:val="20"/>
                <w:color w:val="auto"/>
              </w:rPr>
            </w:pPr>
            <w:r>
              <w:rPr>
                <w:rFonts w:ascii="Arial" w:cs="Arial" w:eastAsia="Arial" w:hAnsi="Arial"/>
                <w:sz w:val="14"/>
                <w:szCs w:val="14"/>
                <w:color w:val="auto"/>
              </w:rPr>
              <w:t>132,037</w:t>
            </w:r>
          </w:p>
        </w:tc>
        <w:tc>
          <w:tcPr>
            <w:tcW w:w="100" w:type="dxa"/>
            <w:vAlign w:val="bottom"/>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(13,745)</w:t>
            </w:r>
          </w:p>
        </w:tc>
        <w:tc>
          <w:tcPr>
            <w:tcW w:w="80" w:type="dxa"/>
            <w:vAlign w:val="bottom"/>
          </w:tcPr>
          <w:p>
            <w:pPr>
              <w:spacing w:after="0"/>
              <w:rPr>
                <w:sz w:val="16"/>
                <w:szCs w:val="16"/>
                <w:color w:val="auto"/>
              </w:rPr>
            </w:pPr>
          </w:p>
        </w:tc>
        <w:tc>
          <w:tcPr>
            <w:tcW w:w="10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2"/>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19,683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35,992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(16,309)</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45,270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39,416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5,854</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Consumer care and enrollment</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45,556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46,472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(916)</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9,801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11,652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(1,851)</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17,140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12,967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4,173</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32.2 %</w:t>
            </w:r>
          </w:p>
        </w:tc>
        <w:tc>
          <w:tcPr>
            <w:tcW w:w="0" w:type="dxa"/>
            <w:vAlign w:val="bottom"/>
          </w:tcPr>
          <w:p>
            <w:pPr>
              <w:spacing w:after="0"/>
              <w:rPr>
                <w:sz w:val="1"/>
                <w:szCs w:val="1"/>
                <w:color w:val="auto"/>
              </w:rPr>
            </w:pPr>
          </w:p>
        </w:tc>
      </w:tr>
      <w:tr>
        <w:trPr>
          <w:trHeight w:val="204"/>
        </w:trPr>
        <w:tc>
          <w:tcPr>
            <w:tcW w:w="444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128"/>
              <w:spacing w:after="0"/>
              <w:rPr>
                <w:sz w:val="20"/>
                <w:szCs w:val="20"/>
                <w:color w:val="auto"/>
              </w:rPr>
            </w:pPr>
            <w:r>
              <w:rPr>
                <w:rFonts w:ascii="Arial" w:cs="Arial" w:eastAsia="Arial" w:hAnsi="Arial"/>
                <w:sz w:val="14"/>
                <w:szCs w:val="14"/>
                <w:color w:val="auto"/>
              </w:rPr>
              <w:t>160,964</w:t>
            </w:r>
          </w:p>
        </w:tc>
        <w:tc>
          <w:tcPr>
            <w:tcW w:w="100" w:type="dxa"/>
            <w:vAlign w:val="bottom"/>
          </w:tcPr>
          <w:p>
            <w:pPr>
              <w:spacing w:after="0"/>
              <w:rPr>
                <w:sz w:val="17"/>
                <w:szCs w:val="17"/>
                <w:color w:val="auto"/>
              </w:rPr>
            </w:pPr>
          </w:p>
        </w:tc>
        <w:tc>
          <w:tcPr>
            <w:tcW w:w="140" w:type="dxa"/>
            <w:vAlign w:val="bottom"/>
            <w:tcBorders>
              <w:top w:val="single" w:sz="8" w:color="B6B6B6"/>
              <w:bottom w:val="single" w:sz="8" w:color="B6B6B6"/>
            </w:tcBorders>
          </w:tcPr>
          <w:p>
            <w:pPr>
              <w:spacing w:after="0"/>
              <w:rPr>
                <w:sz w:val="17"/>
                <w:szCs w:val="17"/>
                <w:color w:val="auto"/>
              </w:rPr>
            </w:pPr>
          </w:p>
        </w:tc>
        <w:tc>
          <w:tcPr>
            <w:tcW w:w="9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136.1 %</w:t>
            </w:r>
          </w:p>
        </w:tc>
        <w:tc>
          <w:tcPr>
            <w:tcW w:w="100" w:type="dxa"/>
            <w:vAlign w:val="bottom"/>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4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170,013</w:t>
            </w:r>
          </w:p>
        </w:tc>
        <w:tc>
          <w:tcPr>
            <w:tcW w:w="100" w:type="dxa"/>
            <w:vAlign w:val="bottom"/>
          </w:tcPr>
          <w:p>
            <w:pPr>
              <w:spacing w:after="0"/>
              <w:rPr>
                <w:sz w:val="17"/>
                <w:szCs w:val="17"/>
                <w:color w:val="auto"/>
              </w:rPr>
            </w:pPr>
          </w:p>
        </w:tc>
        <w:tc>
          <w:tcPr>
            <w:tcW w:w="160" w:type="dxa"/>
            <w:vAlign w:val="bottom"/>
            <w:tcBorders>
              <w:top w:val="single" w:sz="8" w:color="B6B6B6"/>
              <w:bottom w:val="single" w:sz="8" w:color="B6B6B6"/>
            </w:tcBorders>
          </w:tcPr>
          <w:p>
            <w:pPr>
              <w:spacing w:after="0"/>
              <w:rPr>
                <w:sz w:val="17"/>
                <w:szCs w:val="17"/>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128.8 %</w:t>
            </w:r>
          </w:p>
        </w:tc>
        <w:tc>
          <w:tcPr>
            <w:tcW w:w="100" w:type="dxa"/>
            <w:vAlign w:val="bottom"/>
          </w:tcPr>
          <w:p>
            <w:pPr>
              <w:spacing w:after="0"/>
              <w:rPr>
                <w:sz w:val="17"/>
                <w:szCs w:val="17"/>
                <w:color w:val="auto"/>
              </w:rPr>
            </w:pPr>
          </w:p>
        </w:tc>
        <w:tc>
          <w:tcPr>
            <w:tcW w:w="120" w:type="dxa"/>
            <w:vAlign w:val="bottom"/>
            <w:tcBorders>
              <w:top w:val="single" w:sz="8" w:color="B6B6B6"/>
              <w:bottom w:val="single" w:sz="8" w:color="B6B6B6"/>
            </w:tcBorders>
          </w:tcPr>
          <w:p>
            <w:pPr>
              <w:spacing w:after="0"/>
              <w:rPr>
                <w:sz w:val="17"/>
                <w:szCs w:val="17"/>
                <w:color w:val="auto"/>
              </w:rPr>
            </w:pPr>
          </w:p>
        </w:tc>
        <w:tc>
          <w:tcPr>
            <w:tcW w:w="8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(9,049)</w:t>
            </w:r>
          </w:p>
        </w:tc>
        <w:tc>
          <w:tcPr>
            <w:tcW w:w="80" w:type="dxa"/>
            <w:vAlign w:val="bottom"/>
          </w:tcPr>
          <w:p>
            <w:pPr>
              <w:spacing w:after="0"/>
              <w:rPr>
                <w:sz w:val="17"/>
                <w:szCs w:val="17"/>
                <w:color w:val="auto"/>
              </w:rPr>
            </w:pPr>
          </w:p>
        </w:tc>
        <w:tc>
          <w:tcPr>
            <w:tcW w:w="10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4"/>
        </w:trPr>
        <w:tc>
          <w:tcPr>
            <w:tcW w:w="444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(42,672)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(37,976)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(4,696)</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19,086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17,565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1,521</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8.7 %</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4"/>
                <w:szCs w:val="14"/>
                <w:color w:val="auto"/>
              </w:rPr>
              <w:t>Gain on bargain purchase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(77,363)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(77,363)</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(521)</w:t>
            </w:r>
          </w:p>
        </w:tc>
        <w:tc>
          <w:tcPr>
            <w:tcW w:w="80" w:type="dxa"/>
            <w:vAlign w:val="bottom"/>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15,355</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13.0 %</w:t>
            </w:r>
          </w:p>
        </w:tc>
        <w:tc>
          <w:tcPr>
            <w:tcW w:w="10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(56,312)</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71,667</w:t>
            </w:r>
          </w:p>
        </w:tc>
        <w:tc>
          <w:tcPr>
            <w:tcW w:w="80" w:type="dxa"/>
            <w:vAlign w:val="bottom"/>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194"/>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929292"/>
            </w:tcBorders>
            <w:shd w:val="clear" w:color="auto" w:fill="929292"/>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15,366</w:t>
            </w:r>
          </w:p>
        </w:tc>
        <w:tc>
          <w:tcPr>
            <w:tcW w:w="100" w:type="dxa"/>
            <w:vAlign w:val="bottom"/>
          </w:tcPr>
          <w:p>
            <w:pPr>
              <w:spacing w:after="0"/>
              <w:rPr>
                <w:sz w:val="16"/>
                <w:szCs w:val="16"/>
                <w:color w:val="auto"/>
              </w:rPr>
            </w:pPr>
          </w:p>
        </w:tc>
        <w:tc>
          <w:tcPr>
            <w:tcW w:w="140" w:type="dxa"/>
            <w:vAlign w:val="bottom"/>
            <w:tcBorders>
              <w:top w:val="single" w:sz="8" w:color="B6B6B6"/>
            </w:tcBorders>
          </w:tcPr>
          <w:p>
            <w:pPr>
              <w:spacing w:after="0"/>
              <w:rPr>
                <w:sz w:val="16"/>
                <w:szCs w:val="16"/>
                <w:color w:val="auto"/>
              </w:rPr>
            </w:pP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13.0 %</w:t>
            </w:r>
          </w:p>
        </w:tc>
        <w:tc>
          <w:tcPr>
            <w:tcW w:w="100" w:type="dxa"/>
            <w:vAlign w:val="bottom"/>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B6B6B6"/>
            </w:tcBorders>
          </w:tcPr>
          <w:p>
            <w:pPr>
              <w:jc w:val="right"/>
              <w:ind w:right="68"/>
              <w:spacing w:after="0"/>
              <w:rPr>
                <w:sz w:val="20"/>
                <w:szCs w:val="20"/>
                <w:color w:val="auto"/>
              </w:rPr>
            </w:pPr>
            <w:r>
              <w:rPr>
                <w:rFonts w:ascii="Arial" w:cs="Arial" w:eastAsia="Arial" w:hAnsi="Arial"/>
                <w:sz w:val="14"/>
                <w:szCs w:val="14"/>
                <w:color w:val="auto"/>
              </w:rPr>
              <w:t>(56,204)</w:t>
            </w:r>
          </w:p>
        </w:tc>
        <w:tc>
          <w:tcPr>
            <w:tcW w:w="100" w:type="dxa"/>
            <w:vAlign w:val="bottom"/>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6"/>
                <w:szCs w:val="16"/>
                <w:color w:val="auto"/>
              </w:rPr>
            </w:pPr>
          </w:p>
        </w:tc>
        <w:tc>
          <w:tcPr>
            <w:tcW w:w="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71,570</w:t>
            </w:r>
          </w:p>
        </w:tc>
        <w:tc>
          <w:tcPr>
            <w:tcW w:w="80" w:type="dxa"/>
            <w:vAlign w:val="bottom"/>
          </w:tcPr>
          <w:p>
            <w:pPr>
              <w:spacing w:after="0"/>
              <w:rPr>
                <w:sz w:val="16"/>
                <w:szCs w:val="16"/>
                <w:color w:val="auto"/>
              </w:rPr>
            </w:pPr>
          </w:p>
        </w:tc>
        <w:tc>
          <w:tcPr>
            <w:tcW w:w="10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207"/>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8,591</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7.3 %</w:t>
            </w:r>
          </w:p>
        </w:tc>
        <w:tc>
          <w:tcPr>
            <w:tcW w:w="10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(32,294)</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40,885</w:t>
            </w:r>
          </w:p>
        </w:tc>
        <w:tc>
          <w:tcPr>
            <w:tcW w:w="80" w:type="dxa"/>
            <w:vAlign w:val="bottom"/>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00"/>
        </w:trPr>
        <w:tc>
          <w:tcPr>
            <w:tcW w:w="44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6,775</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5.7 %</w:t>
            </w:r>
          </w:p>
        </w:tc>
        <w:tc>
          <w:tcPr>
            <w:tcW w:w="100" w:type="dxa"/>
            <w:vAlign w:val="bottom"/>
          </w:tcPr>
          <w:p>
            <w:pPr>
              <w:spacing w:after="0"/>
              <w:rPr>
                <w:sz w:val="17"/>
                <w:szCs w:val="17"/>
                <w:color w:val="auto"/>
              </w:rPr>
            </w:pPr>
          </w:p>
        </w:tc>
        <w:tc>
          <w:tcPr>
            <w:tcW w:w="2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b w:val="1"/>
                <w:bCs w:val="1"/>
                <w:color w:val="auto"/>
              </w:rPr>
              <w:t>(23,910)</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7"/>
                <w:szCs w:val="17"/>
                <w:color w:val="auto"/>
              </w:rPr>
            </w:pPr>
          </w:p>
        </w:tc>
        <w:tc>
          <w:tcPr>
            <w:tcW w:w="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30,685</w:t>
            </w:r>
          </w:p>
        </w:tc>
        <w:tc>
          <w:tcPr>
            <w:tcW w:w="80" w:type="dxa"/>
            <w:vAlign w:val="bottom"/>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(128.3)%</w:t>
            </w:r>
          </w:p>
        </w:tc>
        <w:tc>
          <w:tcPr>
            <w:tcW w:w="0" w:type="dxa"/>
            <w:vAlign w:val="bottom"/>
          </w:tcPr>
          <w:p>
            <w:pPr>
              <w:spacing w:after="0"/>
              <w:rPr>
                <w:sz w:val="1"/>
                <w:szCs w:val="1"/>
                <w:color w:val="auto"/>
              </w:rPr>
            </w:pPr>
          </w:p>
        </w:tc>
      </w:tr>
      <w:tr>
        <w:trPr>
          <w:trHeight w:val="21"/>
        </w:trPr>
        <w:tc>
          <w:tcPr>
            <w:tcW w:w="4440" w:type="dxa"/>
            <w:vAlign w:val="bottom"/>
            <w:vMerge w:val="restart"/>
          </w:tcPr>
          <w:p>
            <w:pPr>
              <w:ind w:left="20"/>
              <w:spacing w:after="0"/>
              <w:rPr>
                <w:sz w:val="20"/>
                <w:szCs w:val="20"/>
                <w:color w:val="auto"/>
              </w:rPr>
            </w:pPr>
            <w:r>
              <w:rPr>
                <w:rFonts w:ascii="Arial" w:cs="Arial" w:eastAsia="Arial" w:hAnsi="Arial"/>
                <w:sz w:val="14"/>
                <w:szCs w:val="14"/>
                <w:color w:val="auto"/>
              </w:rPr>
              <w:t>Net Income (Loss) Margin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8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8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44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Net income (loss) per share: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w:t>
            </w:r>
          </w:p>
        </w:tc>
        <w:tc>
          <w:tcPr>
            <w:tcW w:w="100" w:type="dxa"/>
            <w:vAlign w:val="bottom"/>
            <w:shd w:val="clear" w:color="auto" w:fill="929292"/>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diluted</w:t>
            </w:r>
          </w:p>
        </w:tc>
        <w:tc>
          <w:tcPr>
            <w:tcW w:w="100" w:type="dxa"/>
            <w:vAlign w:val="bottom"/>
            <w:shd w:val="clear" w:color="auto" w:fill="929292"/>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440" w:type="dxa"/>
            <w:vAlign w:val="bottom"/>
          </w:tcPr>
          <w:p>
            <w:pPr>
              <w:ind w:left="20"/>
              <w:spacing w:after="0"/>
              <w:rPr>
                <w:sz w:val="20"/>
                <w:szCs w:val="20"/>
                <w:color w:val="auto"/>
              </w:rPr>
            </w:pPr>
            <w:r>
              <w:rPr>
                <w:rFonts w:ascii="Arial" w:cs="Arial" w:eastAsia="Arial" w:hAnsi="Arial"/>
                <w:sz w:val="14"/>
                <w:szCs w:val="14"/>
                <w:color w:val="auto"/>
              </w:rPr>
              <w:t>Weighted-average shares of Class A common stock outstanding —</w:t>
            </w:r>
          </w:p>
        </w:tc>
        <w:tc>
          <w:tcPr>
            <w:tcW w:w="100" w:type="dxa"/>
            <w:vAlign w:val="bottom"/>
            <w:shd w:val="clear" w:color="auto" w:fill="929292"/>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10,077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9,489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0"/>
              <w:spacing w:after="0" w:line="149" w:lineRule="exact"/>
              <w:rPr>
                <w:sz w:val="20"/>
                <w:szCs w:val="20"/>
                <w:color w:val="auto"/>
              </w:rPr>
            </w:pPr>
            <w:r>
              <w:rPr>
                <w:rFonts w:ascii="Arial" w:cs="Arial" w:eastAsia="Arial" w:hAnsi="Arial"/>
                <w:sz w:val="14"/>
                <w:szCs w:val="14"/>
                <w:color w:val="auto"/>
              </w:rPr>
              <w:t>Weighted-average shares of Class A common stock outstanding —</w:t>
            </w:r>
          </w:p>
        </w:tc>
        <w:tc>
          <w:tcPr>
            <w:tcW w:w="100" w:type="dxa"/>
            <w:vAlign w:val="bottom"/>
            <w:shd w:val="clear" w:color="auto" w:fill="929292"/>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14,580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9,489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40" w:type="dxa"/>
            <w:vAlign w:val="bottom"/>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100" w:type="dxa"/>
            <w:vAlign w:val="bottom"/>
            <w:shd w:val="clear" w:color="auto" w:fill="929292"/>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929292"/>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60,860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(12,482)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929292"/>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(12,106)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(11,475)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4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929292"/>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7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6"/>
          </w:tcPr>
          <w:p>
            <w:pPr>
              <w:ind w:left="40"/>
              <w:spacing w:after="0"/>
              <w:rPr>
                <w:sz w:val="20"/>
                <w:szCs w:val="20"/>
                <w:color w:val="auto"/>
              </w:rPr>
            </w:pPr>
            <w:r>
              <w:rPr>
                <w:rFonts w:ascii="Arial" w:cs="Arial" w:eastAsia="Arial" w:hAnsi="Arial"/>
                <w:sz w:val="14"/>
                <w:szCs w:val="14"/>
                <w:color w:val="auto"/>
              </w:rPr>
              <w:t>Nine months ended Sep.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gridSpan w:val="3"/>
          </w:tcPr>
          <w:p>
            <w:pPr>
              <w:jc w:val="right"/>
              <w:ind w:right="60"/>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gridSpan w:val="3"/>
          </w:tcPr>
          <w:p>
            <w:pPr>
              <w:jc w:val="right"/>
              <w:ind w:right="60"/>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B6B6B6"/>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6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 and per share amounts)</w:t>
            </w:r>
          </w:p>
        </w:tc>
        <w:tc>
          <w:tcPr>
            <w:tcW w:w="100" w:type="dxa"/>
            <w:vAlign w:val="bottom"/>
            <w:shd w:val="clear" w:color="auto" w:fill="929292"/>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vMerge w:val="restart"/>
          </w:tcPr>
          <w:p>
            <w:pPr>
              <w:jc w:val="right"/>
              <w:ind w:right="580"/>
              <w:spacing w:after="0"/>
              <w:rPr>
                <w:sz w:val="20"/>
                <w:szCs w:val="20"/>
                <w:color w:val="auto"/>
              </w:rPr>
            </w:pPr>
            <w:r>
              <w:rPr>
                <w:rFonts w:ascii="Arial" w:cs="Arial" w:eastAsia="Arial" w:hAnsi="Arial"/>
                <w:sz w:val="14"/>
                <w:szCs w:val="14"/>
                <w:color w:val="auto"/>
              </w:rPr>
              <w:t>Dollars</w:t>
            </w:r>
          </w:p>
        </w:tc>
        <w:tc>
          <w:tcPr>
            <w:tcW w:w="1000" w:type="dxa"/>
            <w:vAlign w:val="bottom"/>
            <w:gridSpan w:val="2"/>
          </w:tcPr>
          <w:p>
            <w:pPr>
              <w:ind w:left="80"/>
              <w:spacing w:after="0" w:line="151" w:lineRule="exact"/>
              <w:rPr>
                <w:sz w:val="20"/>
                <w:szCs w:val="20"/>
                <w:color w:val="auto"/>
              </w:rPr>
            </w:pPr>
            <w:r>
              <w:rPr>
                <w:rFonts w:ascii="Arial" w:cs="Arial" w:eastAsia="Arial" w:hAnsi="Arial"/>
                <w:sz w:val="14"/>
                <w:szCs w:val="14"/>
                <w:color w:val="auto"/>
              </w:rPr>
              <w:t>% of Net</w:t>
            </w:r>
          </w:p>
        </w:tc>
        <w:tc>
          <w:tcPr>
            <w:tcW w:w="200" w:type="dxa"/>
            <w:vAlign w:val="bottom"/>
          </w:tcPr>
          <w:p>
            <w:pPr>
              <w:spacing w:after="0"/>
              <w:rPr>
                <w:sz w:val="13"/>
                <w:szCs w:val="13"/>
                <w:color w:val="auto"/>
              </w:rPr>
            </w:pPr>
          </w:p>
        </w:tc>
        <w:tc>
          <w:tcPr>
            <w:tcW w:w="1140" w:type="dxa"/>
            <w:vAlign w:val="bottom"/>
            <w:gridSpan w:val="3"/>
            <w:vMerge w:val="restart"/>
          </w:tcPr>
          <w:p>
            <w:pPr>
              <w:jc w:val="right"/>
              <w:ind w:right="580"/>
              <w:spacing w:after="0"/>
              <w:rPr>
                <w:sz w:val="20"/>
                <w:szCs w:val="20"/>
                <w:color w:val="auto"/>
              </w:rPr>
            </w:pPr>
            <w:r>
              <w:rPr>
                <w:rFonts w:ascii="Arial" w:cs="Arial" w:eastAsia="Arial" w:hAnsi="Arial"/>
                <w:sz w:val="14"/>
                <w:szCs w:val="14"/>
                <w:color w:val="auto"/>
              </w:rPr>
              <w:t>Dollars</w:t>
            </w:r>
          </w:p>
        </w:tc>
        <w:tc>
          <w:tcPr>
            <w:tcW w:w="100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 of Net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color w:val="auto"/>
              </w:rPr>
              <w:t>$ Change</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85"/>
        </w:trPr>
        <w:tc>
          <w:tcPr>
            <w:tcW w:w="436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60" w:type="dxa"/>
            <w:vAlign w:val="bottom"/>
            <w:tcBorders>
              <w:top w:val="single" w:sz="8" w:color="B6B6B6"/>
            </w:tcBorders>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top w:val="single" w:sz="8" w:color="929292"/>
            </w:tcBorders>
            <w:shd w:val="clear" w:color="auto" w:fill="929292"/>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B6B6B6"/>
            </w:tcBorders>
          </w:tcPr>
          <w:p>
            <w:pPr>
              <w:jc w:val="right"/>
              <w:ind w:right="108"/>
              <w:spacing w:after="0"/>
              <w:rPr>
                <w:sz w:val="20"/>
                <w:szCs w:val="20"/>
                <w:color w:val="auto"/>
              </w:rPr>
            </w:pPr>
            <w:r>
              <w:rPr>
                <w:rFonts w:ascii="Arial" w:cs="Arial" w:eastAsia="Arial" w:hAnsi="Arial"/>
                <w:sz w:val="14"/>
                <w:szCs w:val="14"/>
                <w:color w:val="auto"/>
              </w:rPr>
              <w:t>409,762</w:t>
            </w:r>
          </w:p>
        </w:tc>
        <w:tc>
          <w:tcPr>
            <w:tcW w:w="100" w:type="dxa"/>
            <w:vAlign w:val="bottom"/>
          </w:tcPr>
          <w:p>
            <w:pPr>
              <w:spacing w:after="0"/>
              <w:rPr>
                <w:sz w:val="16"/>
                <w:szCs w:val="16"/>
                <w:color w:val="auto"/>
              </w:rPr>
            </w:pPr>
          </w:p>
        </w:tc>
        <w:tc>
          <w:tcPr>
            <w:tcW w:w="180" w:type="dxa"/>
            <w:vAlign w:val="bottom"/>
            <w:tcBorders>
              <w:top w:val="single" w:sz="8" w:color="B6B6B6"/>
            </w:tcBorders>
          </w:tcPr>
          <w:p>
            <w:pPr>
              <w:spacing w:after="0"/>
              <w:rPr>
                <w:sz w:val="16"/>
                <w:szCs w:val="16"/>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B6B6B6"/>
            </w:tcBorders>
          </w:tcPr>
          <w:p>
            <w:pPr>
              <w:jc w:val="right"/>
              <w:ind w:right="108"/>
              <w:spacing w:after="0"/>
              <w:rPr>
                <w:sz w:val="20"/>
                <w:szCs w:val="20"/>
                <w:color w:val="auto"/>
              </w:rPr>
            </w:pPr>
            <w:r>
              <w:rPr>
                <w:rFonts w:ascii="Arial" w:cs="Arial" w:eastAsia="Arial" w:hAnsi="Arial"/>
                <w:sz w:val="14"/>
                <w:szCs w:val="14"/>
                <w:color w:val="auto"/>
              </w:rPr>
              <w:t>457,974</w:t>
            </w:r>
          </w:p>
        </w:tc>
        <w:tc>
          <w:tcPr>
            <w:tcW w:w="100" w:type="dxa"/>
            <w:vAlign w:val="bottom"/>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6"/>
                <w:szCs w:val="16"/>
                <w:color w:val="auto"/>
              </w:rPr>
            </w:pPr>
          </w:p>
        </w:tc>
        <w:tc>
          <w:tcPr>
            <w:tcW w:w="1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(48,212)</w:t>
            </w:r>
          </w:p>
        </w:tc>
        <w:tc>
          <w:tcPr>
            <w:tcW w:w="80" w:type="dxa"/>
            <w:vAlign w:val="bottom"/>
          </w:tcPr>
          <w:p>
            <w:pPr>
              <w:spacing w:after="0"/>
              <w:rPr>
                <w:sz w:val="16"/>
                <w:szCs w:val="16"/>
                <w:color w:val="auto"/>
              </w:rPr>
            </w:pPr>
          </w:p>
        </w:tc>
        <w:tc>
          <w:tcPr>
            <w:tcW w:w="106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78,376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117,876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(39,500)</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136,049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124,428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27.2 %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11,621</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9.3 %</w:t>
            </w: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Consumer care and enrollment</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132,731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134,035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29.3 %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(1,304)</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28,921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31,706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(2,785)</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2"/>
        </w:trPr>
        <w:tc>
          <w:tcPr>
            <w:tcW w:w="436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50,457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73,440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(22,983)</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70,542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70,543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4"/>
        </w:trPr>
        <w:tc>
          <w:tcPr>
            <w:tcW w:w="436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2,687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(2,687)</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497,076</w:t>
            </w:r>
          </w:p>
        </w:tc>
        <w:tc>
          <w:tcPr>
            <w:tcW w:w="100" w:type="dxa"/>
            <w:vAlign w:val="bottom"/>
          </w:tcPr>
          <w:p>
            <w:pPr>
              <w:spacing w:after="0"/>
              <w:rPr>
                <w:sz w:val="17"/>
                <w:szCs w:val="17"/>
                <w:color w:val="auto"/>
              </w:rPr>
            </w:pPr>
          </w:p>
        </w:tc>
        <w:tc>
          <w:tcPr>
            <w:tcW w:w="180" w:type="dxa"/>
            <w:vAlign w:val="bottom"/>
            <w:tcBorders>
              <w:top w:val="single" w:sz="8" w:color="B6B6B6"/>
              <w:bottom w:val="single" w:sz="8" w:color="B6B6B6"/>
            </w:tcBorders>
          </w:tcPr>
          <w:p>
            <w:pPr>
              <w:spacing w:after="0"/>
              <w:rPr>
                <w:sz w:val="17"/>
                <w:szCs w:val="17"/>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121.3 %</w:t>
            </w:r>
          </w:p>
        </w:tc>
        <w:tc>
          <w:tcPr>
            <w:tcW w:w="100" w:type="dxa"/>
            <w:vAlign w:val="bottom"/>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8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554,715</w:t>
            </w:r>
          </w:p>
        </w:tc>
        <w:tc>
          <w:tcPr>
            <w:tcW w:w="100" w:type="dxa"/>
            <w:vAlign w:val="bottom"/>
          </w:tcPr>
          <w:p>
            <w:pPr>
              <w:spacing w:after="0"/>
              <w:rPr>
                <w:sz w:val="17"/>
                <w:szCs w:val="17"/>
                <w:color w:val="auto"/>
              </w:rPr>
            </w:pPr>
          </w:p>
        </w:tc>
        <w:tc>
          <w:tcPr>
            <w:tcW w:w="160" w:type="dxa"/>
            <w:vAlign w:val="bottom"/>
            <w:tcBorders>
              <w:top w:val="single" w:sz="8" w:color="B6B6B6"/>
              <w:bottom w:val="single" w:sz="8" w:color="B6B6B6"/>
            </w:tcBorders>
          </w:tcPr>
          <w:p>
            <w:pPr>
              <w:spacing w:after="0"/>
              <w:rPr>
                <w:sz w:val="17"/>
                <w:szCs w:val="17"/>
                <w:color w:val="auto"/>
              </w:rPr>
            </w:pPr>
          </w:p>
        </w:tc>
        <w:tc>
          <w:tcPr>
            <w:tcW w:w="9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121.1 %</w:t>
            </w:r>
          </w:p>
        </w:tc>
        <w:tc>
          <w:tcPr>
            <w:tcW w:w="80" w:type="dxa"/>
            <w:vAlign w:val="bottom"/>
          </w:tcPr>
          <w:p>
            <w:pPr>
              <w:spacing w:after="0"/>
              <w:rPr>
                <w:sz w:val="17"/>
                <w:szCs w:val="17"/>
                <w:color w:val="auto"/>
              </w:rPr>
            </w:pPr>
          </w:p>
        </w:tc>
        <w:tc>
          <w:tcPr>
            <w:tcW w:w="140" w:type="dxa"/>
            <w:vAlign w:val="bottom"/>
            <w:tcBorders>
              <w:top w:val="single" w:sz="8" w:color="B6B6B6"/>
              <w:bottom w:val="single" w:sz="8" w:color="B6B6B6"/>
            </w:tcBorders>
          </w:tcPr>
          <w:p>
            <w:pPr>
              <w:spacing w:after="0"/>
              <w:rPr>
                <w:sz w:val="17"/>
                <w:szCs w:val="17"/>
                <w:color w:val="auto"/>
              </w:rPr>
            </w:pPr>
          </w:p>
        </w:tc>
        <w:tc>
          <w:tcPr>
            <w:tcW w:w="8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(57,639)</w:t>
            </w:r>
          </w:p>
        </w:tc>
        <w:tc>
          <w:tcPr>
            <w:tcW w:w="80" w:type="dxa"/>
            <w:vAlign w:val="bottom"/>
          </w:tcPr>
          <w:p>
            <w:pPr>
              <w:spacing w:after="0"/>
              <w:rPr>
                <w:sz w:val="17"/>
                <w:szCs w:val="17"/>
                <w:color w:val="auto"/>
              </w:rPr>
            </w:pPr>
          </w:p>
        </w:tc>
        <w:tc>
          <w:tcPr>
            <w:tcW w:w="10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(87,314)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(96,741)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9,427</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55,133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51,721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3,412</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Gain on bargain purchase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(77,363)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(77,363)</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4"/>
        </w:trPr>
        <w:tc>
          <w:tcPr>
            <w:tcW w:w="43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0.2 %</w:t>
            </w:r>
          </w:p>
        </w:tc>
        <w:tc>
          <w:tcPr>
            <w:tcW w:w="8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(407)</w:t>
            </w:r>
          </w:p>
        </w:tc>
        <w:tc>
          <w:tcPr>
            <w:tcW w:w="8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(65,416)</w:t>
            </w:r>
          </w:p>
        </w:tc>
        <w:tc>
          <w:tcPr>
            <w:tcW w:w="10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(149,201)</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(32.6)%</w:t>
            </w:r>
          </w:p>
        </w:tc>
        <w:tc>
          <w:tcPr>
            <w:tcW w:w="8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83,785</w:t>
            </w:r>
          </w:p>
        </w:tc>
        <w:tc>
          <w:tcPr>
            <w:tcW w:w="8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929292"/>
            </w:tcBorders>
            <w:shd w:val="clear" w:color="auto" w:fill="929292"/>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B6B6B6"/>
            </w:tcBorders>
          </w:tcPr>
          <w:p>
            <w:pPr>
              <w:jc w:val="right"/>
              <w:ind w:right="68"/>
              <w:spacing w:after="0"/>
              <w:rPr>
                <w:sz w:val="20"/>
                <w:szCs w:val="20"/>
                <w:color w:val="auto"/>
              </w:rPr>
            </w:pPr>
            <w:r>
              <w:rPr>
                <w:rFonts w:ascii="Arial" w:cs="Arial" w:eastAsia="Arial" w:hAnsi="Arial"/>
                <w:sz w:val="14"/>
                <w:szCs w:val="14"/>
                <w:color w:val="auto"/>
              </w:rPr>
              <w:t>(65,294)</w:t>
            </w:r>
          </w:p>
        </w:tc>
        <w:tc>
          <w:tcPr>
            <w:tcW w:w="100" w:type="dxa"/>
            <w:vAlign w:val="bottom"/>
          </w:tcPr>
          <w:p>
            <w:pPr>
              <w:spacing w:after="0"/>
              <w:rPr>
                <w:sz w:val="16"/>
                <w:szCs w:val="16"/>
                <w:color w:val="auto"/>
              </w:rPr>
            </w:pPr>
          </w:p>
        </w:tc>
        <w:tc>
          <w:tcPr>
            <w:tcW w:w="180" w:type="dxa"/>
            <w:vAlign w:val="bottom"/>
            <w:tcBorders>
              <w:top w:val="single" w:sz="8" w:color="B6B6B6"/>
            </w:tcBorders>
          </w:tcPr>
          <w:p>
            <w:pPr>
              <w:spacing w:after="0"/>
              <w:rPr>
                <w:sz w:val="16"/>
                <w:szCs w:val="16"/>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B6B6B6"/>
            </w:tcBorders>
          </w:tcPr>
          <w:p>
            <w:pPr>
              <w:jc w:val="right"/>
              <w:ind w:right="68"/>
              <w:spacing w:after="0"/>
              <w:rPr>
                <w:sz w:val="20"/>
                <w:szCs w:val="20"/>
                <w:color w:val="auto"/>
              </w:rPr>
            </w:pPr>
            <w:r>
              <w:rPr>
                <w:rFonts w:ascii="Arial" w:cs="Arial" w:eastAsia="Arial" w:hAnsi="Arial"/>
                <w:sz w:val="14"/>
                <w:szCs w:val="14"/>
                <w:color w:val="auto"/>
              </w:rPr>
              <w:t>(148,976)</w:t>
            </w:r>
          </w:p>
        </w:tc>
        <w:tc>
          <w:tcPr>
            <w:tcW w:w="100" w:type="dxa"/>
            <w:vAlign w:val="bottom"/>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(32.5)%</w:t>
            </w:r>
          </w:p>
        </w:tc>
        <w:tc>
          <w:tcPr>
            <w:tcW w:w="80" w:type="dxa"/>
            <w:vAlign w:val="bottom"/>
          </w:tcPr>
          <w:p>
            <w:pPr>
              <w:spacing w:after="0"/>
              <w:rPr>
                <w:sz w:val="16"/>
                <w:szCs w:val="16"/>
                <w:color w:val="auto"/>
              </w:rPr>
            </w:pPr>
          </w:p>
        </w:tc>
        <w:tc>
          <w:tcPr>
            <w:tcW w:w="1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83,682</w:t>
            </w:r>
          </w:p>
        </w:tc>
        <w:tc>
          <w:tcPr>
            <w:tcW w:w="80" w:type="dxa"/>
            <w:vAlign w:val="bottom"/>
          </w:tcPr>
          <w:p>
            <w:pPr>
              <w:spacing w:after="0"/>
              <w:rPr>
                <w:sz w:val="16"/>
                <w:szCs w:val="16"/>
                <w:color w:val="auto"/>
              </w:rPr>
            </w:pPr>
          </w:p>
        </w:tc>
        <w:tc>
          <w:tcPr>
            <w:tcW w:w="106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07"/>
        </w:trPr>
        <w:tc>
          <w:tcPr>
            <w:tcW w:w="436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(36,857)</w:t>
            </w:r>
          </w:p>
        </w:tc>
        <w:tc>
          <w:tcPr>
            <w:tcW w:w="10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(86,945)</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50,088</w:t>
            </w:r>
          </w:p>
        </w:tc>
        <w:tc>
          <w:tcPr>
            <w:tcW w:w="8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00"/>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b w:val="1"/>
                <w:bCs w:val="1"/>
                <w:color w:val="auto"/>
              </w:rPr>
              <w:t>(28,437)</w:t>
            </w:r>
          </w:p>
        </w:tc>
        <w:tc>
          <w:tcPr>
            <w:tcW w:w="10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7"/>
                <w:szCs w:val="17"/>
                <w:color w:val="auto"/>
              </w:rPr>
            </w:pPr>
          </w:p>
        </w:tc>
        <w:tc>
          <w:tcPr>
            <w:tcW w:w="2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b w:val="1"/>
                <w:bCs w:val="1"/>
                <w:color w:val="auto"/>
              </w:rPr>
              <w:t>(62,031)</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(13.5)%</w:t>
            </w:r>
          </w:p>
        </w:tc>
        <w:tc>
          <w:tcPr>
            <w:tcW w:w="80" w:type="dxa"/>
            <w:vAlign w:val="bottom"/>
          </w:tcPr>
          <w:p>
            <w:pPr>
              <w:spacing w:after="0"/>
              <w:rPr>
                <w:sz w:val="17"/>
                <w:szCs w:val="17"/>
                <w:color w:val="auto"/>
              </w:rPr>
            </w:pPr>
          </w:p>
        </w:tc>
        <w:tc>
          <w:tcPr>
            <w:tcW w:w="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33,594</w:t>
            </w:r>
          </w:p>
        </w:tc>
        <w:tc>
          <w:tcPr>
            <w:tcW w:w="8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(54.2)%</w:t>
            </w:r>
          </w:p>
        </w:tc>
        <w:tc>
          <w:tcPr>
            <w:tcW w:w="0" w:type="dxa"/>
            <w:vAlign w:val="bottom"/>
          </w:tcPr>
          <w:p>
            <w:pPr>
              <w:spacing w:after="0"/>
              <w:rPr>
                <w:sz w:val="1"/>
                <w:szCs w:val="1"/>
                <w:color w:val="auto"/>
              </w:rPr>
            </w:pPr>
          </w:p>
        </w:tc>
      </w:tr>
      <w:tr>
        <w:trPr>
          <w:trHeight w:val="21"/>
        </w:trPr>
        <w:tc>
          <w:tcPr>
            <w:tcW w:w="4360" w:type="dxa"/>
            <w:vAlign w:val="bottom"/>
            <w:vMerge w:val="restart"/>
          </w:tcPr>
          <w:p>
            <w:pPr>
              <w:ind w:left="20"/>
              <w:spacing w:after="0"/>
              <w:rPr>
                <w:sz w:val="20"/>
                <w:szCs w:val="20"/>
                <w:color w:val="auto"/>
              </w:rPr>
            </w:pPr>
            <w:r>
              <w:rPr>
                <w:rFonts w:ascii="Arial" w:cs="Arial" w:eastAsia="Arial" w:hAnsi="Arial"/>
                <w:sz w:val="14"/>
                <w:szCs w:val="14"/>
                <w:color w:val="auto"/>
              </w:rPr>
              <w:t>Net Income (Loss) Margin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8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36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Net income (loss) per share: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w:t>
            </w:r>
          </w:p>
        </w:tc>
        <w:tc>
          <w:tcPr>
            <w:tcW w:w="100" w:type="dxa"/>
            <w:vAlign w:val="bottom"/>
            <w:shd w:val="clear" w:color="auto" w:fill="929292"/>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diluted</w:t>
            </w:r>
          </w:p>
        </w:tc>
        <w:tc>
          <w:tcPr>
            <w:tcW w:w="100" w:type="dxa"/>
            <w:vAlign w:val="bottom"/>
            <w:shd w:val="clear" w:color="auto" w:fill="929292"/>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360" w:type="dxa"/>
            <w:vAlign w:val="bottom"/>
          </w:tcPr>
          <w:p>
            <w:pPr>
              <w:ind w:left="20"/>
              <w:spacing w:after="0"/>
              <w:rPr>
                <w:sz w:val="20"/>
                <w:szCs w:val="20"/>
                <w:color w:val="auto"/>
              </w:rPr>
            </w:pPr>
            <w:r>
              <w:rPr>
                <w:rFonts w:ascii="Arial" w:cs="Arial" w:eastAsia="Arial" w:hAnsi="Arial"/>
                <w:sz w:val="14"/>
                <w:szCs w:val="14"/>
                <w:color w:val="auto"/>
              </w:rPr>
              <w:t>Weighted-average shares of Class A common stock outstanding —</w:t>
            </w:r>
          </w:p>
        </w:tc>
        <w:tc>
          <w:tcPr>
            <w:tcW w:w="100" w:type="dxa"/>
            <w:vAlign w:val="bottom"/>
            <w:shd w:val="clear" w:color="auto" w:fill="929292"/>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9,922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9,194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2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60" w:type="dxa"/>
            <w:vAlign w:val="bottom"/>
          </w:tcPr>
          <w:p>
            <w:pPr>
              <w:ind w:left="20"/>
              <w:spacing w:after="0" w:line="149" w:lineRule="exact"/>
              <w:rPr>
                <w:sz w:val="20"/>
                <w:szCs w:val="20"/>
                <w:color w:val="auto"/>
              </w:rPr>
            </w:pPr>
            <w:r>
              <w:rPr>
                <w:rFonts w:ascii="Arial" w:cs="Arial" w:eastAsia="Arial" w:hAnsi="Arial"/>
                <w:sz w:val="14"/>
                <w:szCs w:val="14"/>
                <w:color w:val="auto"/>
              </w:rPr>
              <w:t>Weighted-average shares of Class A common stock outstanding —</w:t>
            </w:r>
          </w:p>
        </w:tc>
        <w:tc>
          <w:tcPr>
            <w:tcW w:w="100" w:type="dxa"/>
            <w:vAlign w:val="bottom"/>
            <w:shd w:val="clear" w:color="auto" w:fill="929292"/>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9,922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9,194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4360" w:type="dxa"/>
            <w:vAlign w:val="bottom"/>
          </w:tcPr>
          <w:p>
            <w:pPr>
              <w:ind w:left="240"/>
              <w:spacing w:after="0"/>
              <w:rPr>
                <w:sz w:val="20"/>
                <w:szCs w:val="20"/>
                <w:color w:val="auto"/>
              </w:rPr>
            </w:pPr>
            <w:r>
              <w:rPr>
                <w:rFonts w:ascii="Arial" w:cs="Arial" w:eastAsia="Arial" w:hAnsi="Arial"/>
                <w:sz w:val="14"/>
                <w:szCs w:val="14"/>
                <w:color w:val="auto"/>
              </w:rPr>
              <w:t>Non-GAAP financial measures:</w:t>
            </w:r>
          </w:p>
        </w:tc>
        <w:tc>
          <w:tcPr>
            <w:tcW w:w="100" w:type="dxa"/>
            <w:vAlign w:val="bottom"/>
            <w:shd w:val="clear" w:color="auto" w:fill="929292"/>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929292"/>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68,679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(18,580)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6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929292"/>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2,479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18,091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360" w:type="dxa"/>
            <w:vAlign w:val="bottom"/>
          </w:tcPr>
          <w:p>
            <w:pPr>
              <w:ind w:left="240"/>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22" w:right="339" w:bottom="1440" w:gutter="0" w:footer="0" w:header="0"/>
        </w:sectPr>
      </w:pPr>
    </w:p>
    <w:bookmarkStart w:id="9" w:name="page10"/>
    <w:bookmarkEnd w:id="9"/>
    <w:p>
      <w:pPr>
        <w:ind w:right="480"/>
        <w:spacing w:after="0" w:line="286" w:lineRule="auto"/>
        <w:rPr>
          <w:sz w:val="20"/>
          <w:szCs w:val="20"/>
          <w:color w:val="auto"/>
        </w:rPr>
      </w:pPr>
      <w:r>
        <w:rPr>
          <w:rFonts w:ascii="Arial" w:cs="Arial" w:eastAsia="Arial" w:hAnsi="Arial"/>
          <w:sz w:val="16"/>
          <w:szCs w:val="16"/>
          <w:color w:val="auto"/>
        </w:rPr>
        <w:t>The following tables set forth the reconciliations of GAAP net income (loss) to EBITDA, Adjusted EBITDA and Adjusted EBITDA Margin for the periods indicated (unaudited):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5"/>
          </w:tcPr>
          <w:p>
            <w:pPr>
              <w:ind w:left="280"/>
              <w:spacing w:after="0"/>
              <w:rPr>
                <w:sz w:val="20"/>
                <w:szCs w:val="20"/>
                <w:color w:val="auto"/>
              </w:rPr>
            </w:pPr>
            <w:r>
              <w:rPr>
                <w:rFonts w:ascii="Arial" w:cs="Arial" w:eastAsia="Arial" w:hAnsi="Arial"/>
                <w:sz w:val="14"/>
                <w:szCs w:val="14"/>
                <w:color w:val="auto"/>
              </w:rPr>
              <w:t>Three months ended Sep. 30,</w:t>
            </w:r>
          </w:p>
        </w:tc>
        <w:tc>
          <w:tcPr>
            <w:tcW w:w="360" w:type="dxa"/>
            <w:vAlign w:val="bottom"/>
          </w:tcPr>
          <w:p>
            <w:pPr>
              <w:spacing w:after="0"/>
              <w:rPr>
                <w:sz w:val="17"/>
                <w:szCs w:val="17"/>
                <w:color w:val="auto"/>
              </w:rPr>
            </w:pPr>
          </w:p>
        </w:tc>
        <w:tc>
          <w:tcPr>
            <w:tcW w:w="2840" w:type="dxa"/>
            <w:vAlign w:val="bottom"/>
            <w:gridSpan w:val="4"/>
          </w:tcPr>
          <w:p>
            <w:pPr>
              <w:jc w:val="right"/>
              <w:ind w:right="608"/>
              <w:spacing w:after="0"/>
              <w:rPr>
                <w:sz w:val="20"/>
                <w:szCs w:val="20"/>
                <w:color w:val="auto"/>
              </w:rPr>
            </w:pPr>
            <w:r>
              <w:rPr>
                <w:rFonts w:ascii="Arial" w:cs="Arial" w:eastAsia="Arial" w:hAnsi="Arial"/>
                <w:sz w:val="14"/>
                <w:szCs w:val="14"/>
                <w:color w:val="auto"/>
              </w:rPr>
              <w:t>Nine months ended Sep. 30,</w:t>
            </w:r>
          </w:p>
        </w:tc>
        <w:tc>
          <w:tcPr>
            <w:tcW w:w="0" w:type="dxa"/>
            <w:vAlign w:val="bottom"/>
          </w:tcPr>
          <w:p>
            <w:pPr>
              <w:spacing w:after="0"/>
              <w:rPr>
                <w:sz w:val="1"/>
                <w:szCs w:val="1"/>
                <w:color w:val="auto"/>
              </w:rPr>
            </w:pPr>
          </w:p>
        </w:tc>
      </w:tr>
      <w:tr>
        <w:trPr>
          <w:trHeight w:val="194"/>
        </w:trPr>
        <w:tc>
          <w:tcPr>
            <w:tcW w:w="46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18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20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20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18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8"/>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118,292</w:t>
            </w:r>
          </w:p>
        </w:tc>
        <w:tc>
          <w:tcPr>
            <w:tcW w:w="100" w:type="dxa"/>
            <w:vAlign w:val="bottom"/>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132,037</w:t>
            </w:r>
          </w:p>
        </w:tc>
        <w:tc>
          <w:tcPr>
            <w:tcW w:w="80" w:type="dxa"/>
            <w:vAlign w:val="bottom"/>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409,762</w:t>
            </w:r>
          </w:p>
        </w:tc>
        <w:tc>
          <w:tcPr>
            <w:tcW w:w="100" w:type="dxa"/>
            <w:vAlign w:val="bottom"/>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457,974</w:t>
            </w: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929292"/>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15,366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(56,204)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(65,294)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(148,976)</w:t>
            </w:r>
          </w:p>
        </w:tc>
        <w:tc>
          <w:tcPr>
            <w:tcW w:w="0" w:type="dxa"/>
            <w:vAlign w:val="bottom"/>
          </w:tcPr>
          <w:p>
            <w:pPr>
              <w:spacing w:after="0"/>
              <w:rPr>
                <w:sz w:val="1"/>
                <w:szCs w:val="1"/>
                <w:color w:val="auto"/>
              </w:rPr>
            </w:pPr>
          </w:p>
        </w:tc>
      </w:tr>
      <w:tr>
        <w:trPr>
          <w:trHeight w:val="203"/>
        </w:trPr>
        <w:tc>
          <w:tcPr>
            <w:tcW w:w="464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19,086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17,565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55,133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51,721</w:t>
            </w:r>
          </w:p>
        </w:tc>
        <w:tc>
          <w:tcPr>
            <w:tcW w:w="0" w:type="dxa"/>
            <w:vAlign w:val="bottom"/>
          </w:tcPr>
          <w:p>
            <w:pPr>
              <w:spacing w:after="0"/>
              <w:rPr>
                <w:sz w:val="1"/>
                <w:szCs w:val="1"/>
                <w:color w:val="auto"/>
              </w:rPr>
            </w:pPr>
          </w:p>
        </w:tc>
      </w:tr>
      <w:tr>
        <w:trPr>
          <w:trHeight w:val="203"/>
        </w:trPr>
        <w:tc>
          <w:tcPr>
            <w:tcW w:w="4640" w:type="dxa"/>
            <w:vAlign w:val="bottom"/>
          </w:tcPr>
          <w:p>
            <w:pPr>
              <w:ind w:left="14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04"/>
        </w:trPr>
        <w:tc>
          <w:tcPr>
            <w:tcW w:w="4640" w:type="dxa"/>
            <w:vAlign w:val="bottom"/>
          </w:tcPr>
          <w:p>
            <w:pPr>
              <w:ind w:left="140"/>
              <w:spacing w:after="0"/>
              <w:rPr>
                <w:sz w:val="20"/>
                <w:szCs w:val="20"/>
                <w:color w:val="auto"/>
              </w:rPr>
            </w:pPr>
            <w:r>
              <w:rPr>
                <w:rFonts w:ascii="Arial" w:cs="Arial" w:eastAsia="Arial" w:hAnsi="Arial"/>
                <w:sz w:val="14"/>
                <w:szCs w:val="14"/>
                <w:color w:val="auto"/>
              </w:rPr>
              <w:t>Depreciation and amortization expense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26,419</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26,265</w:t>
            </w:r>
          </w:p>
        </w:tc>
        <w:tc>
          <w:tcPr>
            <w:tcW w:w="8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78,962</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78,900</w:t>
            </w: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Arial" w:cs="Arial" w:eastAsia="Arial" w:hAnsi="Arial"/>
                <w:sz w:val="14"/>
                <w:szCs w:val="14"/>
                <w:color w:val="auto"/>
              </w:rPr>
              <w:t>EBITDA</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60,860</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88"/>
              <w:spacing w:after="0"/>
              <w:rPr>
                <w:sz w:val="20"/>
                <w:szCs w:val="20"/>
                <w:color w:val="auto"/>
              </w:rPr>
            </w:pPr>
            <w:r>
              <w:rPr>
                <w:rFonts w:ascii="Arial" w:cs="Arial" w:eastAsia="Arial" w:hAnsi="Arial"/>
                <w:sz w:val="14"/>
                <w:szCs w:val="14"/>
                <w:color w:val="auto"/>
              </w:rPr>
              <w:t>(12,482)</w:t>
            </w:r>
          </w:p>
        </w:tc>
        <w:tc>
          <w:tcPr>
            <w:tcW w:w="8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68,679</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8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(18,580)</w:t>
            </w:r>
          </w:p>
        </w:tc>
        <w:tc>
          <w:tcPr>
            <w:tcW w:w="0" w:type="dxa"/>
            <w:vAlign w:val="bottom"/>
          </w:tcPr>
          <w:p>
            <w:pPr>
              <w:spacing w:after="0"/>
              <w:rPr>
                <w:sz w:val="1"/>
                <w:szCs w:val="1"/>
                <w:color w:val="auto"/>
              </w:rPr>
            </w:pPr>
          </w:p>
        </w:tc>
      </w:tr>
      <w:tr>
        <w:trPr>
          <w:trHeight w:val="204"/>
        </w:trPr>
        <w:tc>
          <w:tcPr>
            <w:tcW w:w="4640" w:type="dxa"/>
            <w:vAlign w:val="bottom"/>
          </w:tcPr>
          <w:p>
            <w:pPr>
              <w:ind w:left="140"/>
              <w:spacing w:after="0" w:line="204" w:lineRule="exact"/>
              <w:rPr>
                <w:sz w:val="20"/>
                <w:szCs w:val="20"/>
                <w:color w:val="auto"/>
              </w:rPr>
            </w:pPr>
            <w:r>
              <w:rPr>
                <w:rFonts w:ascii="Arial" w:cs="Arial" w:eastAsia="Arial" w:hAnsi="Arial"/>
                <w:sz w:val="14"/>
                <w:szCs w:val="14"/>
                <w:color w:val="auto"/>
              </w:rPr>
              <w:t>Gain on bargain purchase</w:t>
            </w:r>
            <w:r>
              <w:rPr>
                <w:rFonts w:ascii="Arial" w:cs="Arial" w:eastAsia="Arial" w:hAnsi="Arial"/>
                <w:sz w:val="18"/>
                <w:szCs w:val="18"/>
                <w:color w:val="auto"/>
                <w:vertAlign w:val="superscript"/>
              </w:rPr>
              <w:t>(1)</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(77,363)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(77,363)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140"/>
              <w:spacing w:after="0" w:line="202" w:lineRule="exact"/>
              <w:rPr>
                <w:sz w:val="20"/>
                <w:szCs w:val="20"/>
                <w:color w:val="auto"/>
              </w:rPr>
            </w:pPr>
            <w:r>
              <w:rPr>
                <w:rFonts w:ascii="Arial" w:cs="Arial" w:eastAsia="Arial" w:hAnsi="Arial"/>
                <w:sz w:val="14"/>
                <w:szCs w:val="14"/>
                <w:color w:val="auto"/>
              </w:rPr>
              <w:t>Share-based compensation expense (benefit)</w:t>
            </w:r>
            <w:r>
              <w:rPr>
                <w:rFonts w:ascii="Arial" w:cs="Arial" w:eastAsia="Arial" w:hAnsi="Arial"/>
                <w:sz w:val="18"/>
                <w:szCs w:val="18"/>
                <w:color w:val="auto"/>
                <w:vertAlign w:val="superscript"/>
              </w:rPr>
              <w:t>(2)</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2,859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(545)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6,534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16,159</w:t>
            </w:r>
          </w:p>
        </w:tc>
        <w:tc>
          <w:tcPr>
            <w:tcW w:w="0" w:type="dxa"/>
            <w:vAlign w:val="bottom"/>
          </w:tcPr>
          <w:p>
            <w:pPr>
              <w:spacing w:after="0"/>
              <w:rPr>
                <w:sz w:val="1"/>
                <w:szCs w:val="1"/>
                <w:color w:val="auto"/>
              </w:rPr>
            </w:pPr>
          </w:p>
        </w:tc>
      </w:tr>
      <w:tr>
        <w:trPr>
          <w:trHeight w:val="203"/>
        </w:trPr>
        <w:tc>
          <w:tcPr>
            <w:tcW w:w="4640" w:type="dxa"/>
            <w:vAlign w:val="bottom"/>
          </w:tcPr>
          <w:p>
            <w:pPr>
              <w:ind w:left="140"/>
              <w:spacing w:after="0" w:line="202" w:lineRule="exact"/>
              <w:rPr>
                <w:sz w:val="20"/>
                <w:szCs w:val="20"/>
                <w:color w:val="auto"/>
              </w:rPr>
            </w:pPr>
            <w:r>
              <w:rPr>
                <w:rFonts w:ascii="Arial" w:cs="Arial" w:eastAsia="Arial" w:hAnsi="Arial"/>
                <w:sz w:val="14"/>
                <w:szCs w:val="14"/>
                <w:color w:val="auto"/>
              </w:rPr>
              <w:t>Professional services</w:t>
            </w:r>
            <w:r>
              <w:rPr>
                <w:rFonts w:ascii="Arial" w:cs="Arial" w:eastAsia="Arial" w:hAnsi="Arial"/>
                <w:sz w:val="18"/>
                <w:szCs w:val="18"/>
                <w:color w:val="auto"/>
                <w:vertAlign w:val="superscript"/>
              </w:rPr>
              <w:t>(3)</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1,213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1,213</w:t>
            </w:r>
          </w:p>
        </w:tc>
        <w:tc>
          <w:tcPr>
            <w:tcW w:w="0" w:type="dxa"/>
            <w:vAlign w:val="bottom"/>
          </w:tcPr>
          <w:p>
            <w:pPr>
              <w:spacing w:after="0"/>
              <w:rPr>
                <w:sz w:val="1"/>
                <w:szCs w:val="1"/>
                <w:color w:val="auto"/>
              </w:rPr>
            </w:pPr>
          </w:p>
        </w:tc>
      </w:tr>
      <w:tr>
        <w:trPr>
          <w:trHeight w:val="203"/>
        </w:trPr>
        <w:tc>
          <w:tcPr>
            <w:tcW w:w="4640" w:type="dxa"/>
            <w:vAlign w:val="bottom"/>
          </w:tcPr>
          <w:p>
            <w:pPr>
              <w:ind w:left="140"/>
              <w:spacing w:after="0" w:line="202" w:lineRule="exact"/>
              <w:rPr>
                <w:sz w:val="20"/>
                <w:szCs w:val="20"/>
                <w:color w:val="auto"/>
              </w:rPr>
            </w:pPr>
            <w:r>
              <w:rPr>
                <w:rFonts w:ascii="Arial" w:cs="Arial" w:eastAsia="Arial" w:hAnsi="Arial"/>
                <w:sz w:val="14"/>
                <w:szCs w:val="14"/>
                <w:color w:val="auto"/>
              </w:rPr>
              <w:t>Legal fees</w:t>
            </w:r>
            <w:r>
              <w:rPr>
                <w:rFonts w:ascii="Arial" w:cs="Arial" w:eastAsia="Arial" w:hAnsi="Arial"/>
                <w:sz w:val="18"/>
                <w:szCs w:val="18"/>
                <w:color w:val="auto"/>
                <w:vertAlign w:val="superscript"/>
              </w:rPr>
              <w:t>(4)</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14,692</w:t>
            </w:r>
          </w:p>
        </w:tc>
        <w:tc>
          <w:tcPr>
            <w:tcW w:w="0" w:type="dxa"/>
            <w:vAlign w:val="bottom"/>
          </w:tcPr>
          <w:p>
            <w:pPr>
              <w:spacing w:after="0"/>
              <w:rPr>
                <w:sz w:val="1"/>
                <w:szCs w:val="1"/>
                <w:color w:val="auto"/>
              </w:rPr>
            </w:pPr>
          </w:p>
        </w:tc>
      </w:tr>
      <w:tr>
        <w:trPr>
          <w:trHeight w:val="203"/>
        </w:trPr>
        <w:tc>
          <w:tcPr>
            <w:tcW w:w="4640" w:type="dxa"/>
            <w:vAlign w:val="bottom"/>
          </w:tcPr>
          <w:p>
            <w:pPr>
              <w:ind w:left="140"/>
              <w:spacing w:after="0" w:line="202" w:lineRule="exact"/>
              <w:rPr>
                <w:sz w:val="20"/>
                <w:szCs w:val="20"/>
                <w:color w:val="auto"/>
              </w:rPr>
            </w:pPr>
            <w:r>
              <w:rPr>
                <w:rFonts w:ascii="Arial" w:cs="Arial" w:eastAsia="Arial" w:hAnsi="Arial"/>
                <w:sz w:val="14"/>
                <w:szCs w:val="14"/>
                <w:color w:val="auto"/>
              </w:rPr>
              <w:t>Severance costs</w:t>
            </w:r>
            <w:r>
              <w:rPr>
                <w:rFonts w:ascii="Arial" w:cs="Arial" w:eastAsia="Arial" w:hAnsi="Arial"/>
                <w:sz w:val="18"/>
                <w:szCs w:val="18"/>
                <w:color w:val="auto"/>
                <w:vertAlign w:val="superscript"/>
              </w:rPr>
              <w:t>(5)</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2,480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201"/>
        </w:trPr>
        <w:tc>
          <w:tcPr>
            <w:tcW w:w="4640" w:type="dxa"/>
            <w:vAlign w:val="bottom"/>
          </w:tcPr>
          <w:p>
            <w:pPr>
              <w:ind w:left="140"/>
              <w:spacing w:after="0" w:line="201" w:lineRule="exact"/>
              <w:rPr>
                <w:sz w:val="20"/>
                <w:szCs w:val="20"/>
                <w:color w:val="auto"/>
              </w:rPr>
            </w:pPr>
            <w:r>
              <w:rPr>
                <w:rFonts w:ascii="Arial" w:cs="Arial" w:eastAsia="Arial" w:hAnsi="Arial"/>
                <w:sz w:val="14"/>
                <w:szCs w:val="14"/>
                <w:color w:val="auto"/>
              </w:rPr>
              <w:t>Operating lease impairment charges</w:t>
            </w:r>
            <w:r>
              <w:rPr>
                <w:rFonts w:ascii="Arial" w:cs="Arial" w:eastAsia="Arial" w:hAnsi="Arial"/>
                <w:sz w:val="18"/>
                <w:szCs w:val="18"/>
                <w:color w:val="auto"/>
                <w:vertAlign w:val="superscript"/>
              </w:rPr>
              <w:t>(6)</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2,687</w:t>
            </w: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60" w:type="dxa"/>
            <w:vAlign w:val="bottom"/>
            <w:tcBorders>
              <w:top w:val="single" w:sz="8" w:color="B6B6B6"/>
              <w:bottom w:val="single" w:sz="8" w:color="B6B6B6"/>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B6B6B6"/>
              <w:bottom w:val="single" w:sz="8" w:color="B6B6B6"/>
            </w:tcBorders>
          </w:tcPr>
          <w:p>
            <w:pPr>
              <w:jc w:val="right"/>
              <w:ind w:right="68"/>
              <w:spacing w:after="0"/>
              <w:rPr>
                <w:sz w:val="20"/>
                <w:szCs w:val="20"/>
                <w:color w:val="auto"/>
              </w:rPr>
            </w:pPr>
            <w:r>
              <w:rPr>
                <w:rFonts w:ascii="Arial" w:cs="Arial" w:eastAsia="Arial" w:hAnsi="Arial"/>
                <w:sz w:val="14"/>
                <w:szCs w:val="14"/>
                <w:color w:val="auto"/>
              </w:rPr>
              <w:t>(12,106)</w:t>
            </w:r>
          </w:p>
        </w:tc>
        <w:tc>
          <w:tcPr>
            <w:tcW w:w="100" w:type="dxa"/>
            <w:vAlign w:val="bottom"/>
          </w:tcPr>
          <w:p>
            <w:pPr>
              <w:spacing w:after="0"/>
              <w:rPr>
                <w:sz w:val="17"/>
                <w:szCs w:val="17"/>
                <w:color w:val="auto"/>
              </w:rPr>
            </w:pPr>
          </w:p>
        </w:tc>
        <w:tc>
          <w:tcPr>
            <w:tcW w:w="360" w:type="dxa"/>
            <w:vAlign w:val="bottom"/>
            <w:tcBorders>
              <w:top w:val="single" w:sz="8" w:color="B6B6B6"/>
              <w:bottom w:val="single" w:sz="8" w:color="B6B6B6"/>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B6B6B6"/>
              <w:bottom w:val="single" w:sz="8" w:color="B6B6B6"/>
            </w:tcBorders>
          </w:tcPr>
          <w:p>
            <w:pPr>
              <w:jc w:val="right"/>
              <w:ind w:right="88"/>
              <w:spacing w:after="0"/>
              <w:rPr>
                <w:sz w:val="20"/>
                <w:szCs w:val="20"/>
                <w:color w:val="auto"/>
              </w:rPr>
            </w:pPr>
            <w:r>
              <w:rPr>
                <w:rFonts w:ascii="Arial" w:cs="Arial" w:eastAsia="Arial" w:hAnsi="Arial"/>
                <w:sz w:val="14"/>
                <w:szCs w:val="14"/>
                <w:color w:val="auto"/>
              </w:rPr>
              <w:t>(11,475)</w:t>
            </w:r>
          </w:p>
        </w:tc>
        <w:tc>
          <w:tcPr>
            <w:tcW w:w="80" w:type="dxa"/>
            <w:vAlign w:val="bottom"/>
          </w:tcPr>
          <w:p>
            <w:pPr>
              <w:spacing w:after="0"/>
              <w:rPr>
                <w:sz w:val="17"/>
                <w:szCs w:val="17"/>
                <w:color w:val="auto"/>
              </w:rPr>
            </w:pPr>
          </w:p>
        </w:tc>
        <w:tc>
          <w:tcPr>
            <w:tcW w:w="360" w:type="dxa"/>
            <w:vAlign w:val="bottom"/>
            <w:tcBorders>
              <w:top w:val="single" w:sz="8" w:color="B6B6B6"/>
              <w:bottom w:val="single" w:sz="8" w:color="B6B6B6"/>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2,479</w:t>
            </w:r>
          </w:p>
        </w:tc>
        <w:tc>
          <w:tcPr>
            <w:tcW w:w="100" w:type="dxa"/>
            <w:vAlign w:val="bottom"/>
          </w:tcPr>
          <w:p>
            <w:pPr>
              <w:spacing w:after="0"/>
              <w:rPr>
                <w:sz w:val="17"/>
                <w:szCs w:val="17"/>
                <w:color w:val="auto"/>
              </w:rPr>
            </w:pPr>
          </w:p>
        </w:tc>
        <w:tc>
          <w:tcPr>
            <w:tcW w:w="360" w:type="dxa"/>
            <w:vAlign w:val="bottom"/>
            <w:tcBorders>
              <w:top w:val="single" w:sz="8" w:color="B6B6B6"/>
              <w:bottom w:val="single" w:sz="8" w:color="B6B6B6"/>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18,091</w:t>
            </w:r>
          </w:p>
        </w:tc>
        <w:tc>
          <w:tcPr>
            <w:tcW w:w="0" w:type="dxa"/>
            <w:vAlign w:val="bottom"/>
          </w:tcPr>
          <w:p>
            <w:pPr>
              <w:spacing w:after="0"/>
              <w:rPr>
                <w:sz w:val="1"/>
                <w:szCs w:val="1"/>
                <w:color w:val="auto"/>
              </w:rPr>
            </w:pPr>
          </w:p>
        </w:tc>
      </w:tr>
      <w:tr>
        <w:trPr>
          <w:trHeight w:val="21"/>
        </w:trPr>
        <w:tc>
          <w:tcPr>
            <w:tcW w:w="4640" w:type="dxa"/>
            <w:vAlign w:val="bottom"/>
            <w:vMerge w:val="restart"/>
          </w:tcPr>
          <w:p>
            <w:pPr>
              <w:ind w:left="20"/>
              <w:spacing w:after="0"/>
              <w:rPr>
                <w:sz w:val="20"/>
                <w:szCs w:val="20"/>
                <w:color w:val="auto"/>
              </w:rPr>
            </w:pPr>
            <w:r>
              <w:rPr>
                <w:rFonts w:ascii="Arial" w:cs="Arial" w:eastAsia="Arial" w:hAnsi="Arial"/>
                <w:sz w:val="14"/>
                <w:szCs w:val="14"/>
                <w:color w:val="auto"/>
              </w:rPr>
              <w:t>Net Income (Loss) Margin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1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2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2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1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64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11"/>
        </w:trPr>
        <w:tc>
          <w:tcPr>
            <w:tcW w:w="46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929292"/>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the excess of the acquisition-date fair value of the net assets acquired over the acquisition-date fair value of the consideration transferred related to the acquisition of e-TeleQuote.</w:t>
      </w:r>
    </w:p>
    <w:p>
      <w:pPr>
        <w:spacing w:after="0" w:line="25" w:lineRule="exact"/>
        <w:rPr>
          <w:rFonts w:ascii="Arial" w:cs="Arial" w:eastAsia="Arial" w:hAnsi="Arial"/>
          <w:sz w:val="12"/>
          <w:szCs w:val="12"/>
          <w:i w:val="1"/>
          <w:iCs w:val="1"/>
          <w:color w:val="auto"/>
        </w:rPr>
      </w:pPr>
    </w:p>
    <w:p>
      <w:pPr>
        <w:ind w:left="340" w:right="160" w:hanging="332"/>
        <w:spacing w:after="0" w:line="244" w:lineRule="auto"/>
        <w:tabs>
          <w:tab w:leader="none" w:pos="332"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(benefit) relating to equity awards as well as share-based compensation expense (benefit) relating to liability classified awards that will be settled in cash.</w:t>
      </w:r>
    </w:p>
    <w:p>
      <w:pPr>
        <w:spacing w:after="0" w:line="1" w:lineRule="exact"/>
        <w:rPr>
          <w:rFonts w:ascii="Arial" w:cs="Arial" w:eastAsia="Arial" w:hAnsi="Arial"/>
          <w:sz w:val="13"/>
          <w:szCs w:val="13"/>
          <w:i w:val="1"/>
          <w:iCs w:val="1"/>
          <w:color w:val="auto"/>
        </w:rPr>
      </w:pP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primarily associated with non-recurring consulting fees and other professional services.</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fees, settlement accruals and other expenses related to certain acquisitions, litigation, Credit Agreement amendments and other non-routine legal or regulatory matters.</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severance costs and other fees associated with a reduction in workforce unrelated to restructuring activities.</w:t>
      </w:r>
    </w:p>
    <w:p>
      <w:pPr>
        <w:spacing w:after="0" w:line="4" w:lineRule="exact"/>
        <w:rPr>
          <w:rFonts w:ascii="Arial" w:cs="Arial" w:eastAsia="Arial" w:hAnsi="Arial"/>
          <w:sz w:val="13"/>
          <w:szCs w:val="13"/>
          <w:i w:val="1"/>
          <w:iCs w:val="1"/>
          <w:color w:val="auto"/>
        </w:rPr>
      </w:pP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right-of-use (“ROU”) assets and leasehold improvements to the estimated fair values.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240"/>
              <w:spacing w:after="0"/>
              <w:rPr>
                <w:sz w:val="20"/>
                <w:szCs w:val="20"/>
                <w:color w:val="auto"/>
              </w:rPr>
            </w:pPr>
            <w:r>
              <w:rPr>
                <w:rFonts w:ascii="Arial" w:cs="Arial" w:eastAsia="Arial" w:hAnsi="Arial"/>
                <w:sz w:val="14"/>
                <w:szCs w:val="14"/>
                <w:color w:val="auto"/>
              </w:rPr>
              <w:t>Three months ended Sep. 30,</w:t>
            </w:r>
          </w:p>
        </w:tc>
        <w:tc>
          <w:tcPr>
            <w:tcW w:w="340" w:type="dxa"/>
            <w:vAlign w:val="bottom"/>
          </w:tcPr>
          <w:p>
            <w:pPr>
              <w:spacing w:after="0"/>
              <w:rPr>
                <w:sz w:val="17"/>
                <w:szCs w:val="17"/>
                <w:color w:val="auto"/>
              </w:rPr>
            </w:pPr>
          </w:p>
        </w:tc>
        <w:tc>
          <w:tcPr>
            <w:tcW w:w="2720" w:type="dxa"/>
            <w:vAlign w:val="bottom"/>
            <w:gridSpan w:val="4"/>
          </w:tcPr>
          <w:p>
            <w:pPr>
              <w:jc w:val="right"/>
              <w:ind w:right="548"/>
              <w:spacing w:after="0"/>
              <w:rPr>
                <w:sz w:val="20"/>
                <w:szCs w:val="20"/>
                <w:color w:val="auto"/>
              </w:rPr>
            </w:pPr>
            <w:r>
              <w:rPr>
                <w:rFonts w:ascii="Arial" w:cs="Arial" w:eastAsia="Arial" w:hAnsi="Arial"/>
                <w:sz w:val="14"/>
                <w:szCs w:val="14"/>
                <w:color w:val="auto"/>
              </w:rPr>
              <w:t>Nine months ended Sep. 30,</w:t>
            </w:r>
          </w:p>
        </w:tc>
      </w:tr>
      <w:tr>
        <w:trPr>
          <w:trHeight w:val="194"/>
        </w:trPr>
        <w:tc>
          <w:tcPr>
            <w:tcW w:w="490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ind w:left="24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2"/>
        </w:trPr>
        <w:tc>
          <w:tcPr>
            <w:tcW w:w="4900" w:type="dxa"/>
            <w:vAlign w:val="bottom"/>
          </w:tcPr>
          <w:p>
            <w:pPr>
              <w:ind w:left="20"/>
              <w:spacing w:after="0"/>
              <w:rPr>
                <w:sz w:val="20"/>
                <w:szCs w:val="20"/>
                <w:color w:val="auto"/>
              </w:rPr>
            </w:pPr>
            <w:r>
              <w:rPr>
                <w:rFonts w:ascii="Arial" w:cs="Arial" w:eastAsia="Arial" w:hAnsi="Arial"/>
                <w:sz w:val="14"/>
                <w:szCs w:val="14"/>
                <w:color w:val="auto"/>
              </w:rPr>
              <w:t>Medicare Revenue</w:t>
            </w:r>
          </w:p>
        </w:tc>
        <w:tc>
          <w:tcPr>
            <w:tcW w:w="100" w:type="dxa"/>
            <w:vAlign w:val="bottom"/>
            <w:shd w:val="clear" w:color="auto" w:fill="929292"/>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4900" w:type="dxa"/>
            <w:vAlign w:val="bottom"/>
          </w:tcPr>
          <w:p>
            <w:pPr>
              <w:ind w:left="240"/>
              <w:spacing w:after="0"/>
              <w:rPr>
                <w:sz w:val="20"/>
                <w:szCs w:val="20"/>
                <w:color w:val="auto"/>
              </w:rPr>
            </w:pPr>
            <w:r>
              <w:rPr>
                <w:rFonts w:ascii="Arial" w:cs="Arial" w:eastAsia="Arial" w:hAnsi="Arial"/>
                <w:sz w:val="14"/>
                <w:szCs w:val="14"/>
                <w:color w:val="auto"/>
              </w:rPr>
              <w:t>Agency Revenue</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4900" w:type="dxa"/>
            <w:vAlign w:val="bottom"/>
          </w:tcPr>
          <w:p>
            <w:pPr>
              <w:ind w:left="460"/>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18"/>
                <w:szCs w:val="18"/>
                <w:color w:val="auto"/>
                <w:vertAlign w:val="superscript"/>
              </w:rPr>
              <w:t>(1)</w:t>
            </w:r>
          </w:p>
        </w:tc>
        <w:tc>
          <w:tcPr>
            <w:tcW w:w="100" w:type="dxa"/>
            <w:vAlign w:val="bottom"/>
            <w:shd w:val="clear" w:color="auto" w:fill="929292"/>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77,868</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76,579</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228,154</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261,513</w:t>
            </w:r>
          </w:p>
        </w:tc>
      </w:tr>
      <w:tr>
        <w:trPr>
          <w:trHeight w:val="192"/>
        </w:trPr>
        <w:tc>
          <w:tcPr>
            <w:tcW w:w="4900" w:type="dxa"/>
            <w:vAlign w:val="bottom"/>
          </w:tcPr>
          <w:p>
            <w:pPr>
              <w:ind w:left="460"/>
              <w:spacing w:after="0"/>
              <w:rPr>
                <w:sz w:val="20"/>
                <w:szCs w:val="20"/>
                <w:color w:val="auto"/>
              </w:rPr>
            </w:pPr>
            <w:r>
              <w:rPr>
                <w:rFonts w:ascii="Arial" w:cs="Arial" w:eastAsia="Arial" w:hAnsi="Arial"/>
                <w:sz w:val="14"/>
                <w:szCs w:val="14"/>
                <w:color w:val="auto"/>
              </w:rPr>
              <w:t>Partner Marketing and Other Revenue</w:t>
            </w:r>
          </w:p>
        </w:tc>
        <w:tc>
          <w:tcPr>
            <w:tcW w:w="100" w:type="dxa"/>
            <w:vAlign w:val="bottom"/>
            <w:tcBorders>
              <w:bottom w:val="single" w:sz="8" w:color="929292"/>
            </w:tcBorders>
            <w:shd w:val="clear" w:color="auto" w:fill="929292"/>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14,408</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21,300</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47,926</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71,619</w:t>
            </w:r>
          </w:p>
        </w:tc>
      </w:tr>
      <w:tr>
        <w:trPr>
          <w:trHeight w:val="196"/>
        </w:trPr>
        <w:tc>
          <w:tcPr>
            <w:tcW w:w="4900" w:type="dxa"/>
            <w:vAlign w:val="bottom"/>
          </w:tcPr>
          <w:p>
            <w:pPr>
              <w:ind w:left="180"/>
              <w:spacing w:after="0"/>
              <w:rPr>
                <w:sz w:val="20"/>
                <w:szCs w:val="20"/>
                <w:color w:val="auto"/>
              </w:rPr>
            </w:pPr>
            <w:r>
              <w:rPr>
                <w:rFonts w:ascii="Arial" w:cs="Arial" w:eastAsia="Arial" w:hAnsi="Arial"/>
                <w:sz w:val="14"/>
                <w:szCs w:val="14"/>
                <w:color w:val="auto"/>
              </w:rPr>
              <w:t>Total Agency Revenue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92,276</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97,879</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276,080</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333,132</w:t>
            </w:r>
          </w:p>
        </w:tc>
      </w:tr>
      <w:tr>
        <w:trPr>
          <w:trHeight w:val="196"/>
        </w:trPr>
        <w:tc>
          <w:tcPr>
            <w:tcW w:w="4900" w:type="dxa"/>
            <w:vAlign w:val="bottom"/>
          </w:tcPr>
          <w:p>
            <w:pPr>
              <w:ind w:left="180"/>
              <w:spacing w:after="0"/>
              <w:rPr>
                <w:sz w:val="20"/>
                <w:szCs w:val="20"/>
                <w:color w:val="auto"/>
              </w:rPr>
            </w:pPr>
            <w:r>
              <w:rPr>
                <w:rFonts w:ascii="Arial" w:cs="Arial" w:eastAsia="Arial" w:hAnsi="Arial"/>
                <w:sz w:val="14"/>
                <w:szCs w:val="14"/>
                <w:color w:val="auto"/>
              </w:rPr>
              <w:t>Non-Agency Revenue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24,377</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33,510</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130,723</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106,586</w:t>
            </w:r>
          </w:p>
        </w:tc>
      </w:tr>
      <w:tr>
        <w:trPr>
          <w:trHeight w:val="196"/>
        </w:trPr>
        <w:tc>
          <w:tcPr>
            <w:tcW w:w="4900" w:type="dxa"/>
            <w:vAlign w:val="bottom"/>
          </w:tcPr>
          <w:p>
            <w:pPr>
              <w:ind w:left="20"/>
              <w:spacing w:after="0"/>
              <w:rPr>
                <w:sz w:val="20"/>
                <w:szCs w:val="20"/>
                <w:color w:val="auto"/>
              </w:rPr>
            </w:pPr>
            <w:r>
              <w:rPr>
                <w:rFonts w:ascii="Arial" w:cs="Arial" w:eastAsia="Arial" w:hAnsi="Arial"/>
                <w:sz w:val="14"/>
                <w:szCs w:val="14"/>
                <w:color w:val="auto"/>
              </w:rPr>
              <w:t>Total Medicare Revenue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116,653</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131,389</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406,803</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439,718</w:t>
            </w:r>
          </w:p>
        </w:tc>
      </w:tr>
      <w:tr>
        <w:trPr>
          <w:trHeight w:val="181"/>
        </w:trPr>
        <w:tc>
          <w:tcPr>
            <w:tcW w:w="490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4900" w:type="dxa"/>
            <w:vAlign w:val="bottom"/>
          </w:tcPr>
          <w:p>
            <w:pPr>
              <w:ind w:left="240"/>
              <w:spacing w:after="0"/>
              <w:rPr>
                <w:sz w:val="20"/>
                <w:szCs w:val="20"/>
                <w:color w:val="auto"/>
              </w:rPr>
            </w:pPr>
            <w:r>
              <w:rPr>
                <w:rFonts w:ascii="Arial" w:cs="Arial" w:eastAsia="Arial" w:hAnsi="Arial"/>
                <w:sz w:val="14"/>
                <w:szCs w:val="14"/>
                <w:color w:val="auto"/>
              </w:rPr>
              <w:t>Non-Encompass BPO Services Revenue</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9,322</w:t>
            </w:r>
          </w:p>
        </w:tc>
      </w:tr>
      <w:tr>
        <w:trPr>
          <w:trHeight w:val="204"/>
        </w:trPr>
        <w:tc>
          <w:tcPr>
            <w:tcW w:w="4900" w:type="dxa"/>
            <w:vAlign w:val="bottom"/>
          </w:tcPr>
          <w:p>
            <w:pPr>
              <w:ind w:left="2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2,959</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8,934</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Total Other Revenue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2,959</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18,256</w:t>
            </w:r>
          </w:p>
        </w:tc>
      </w:tr>
      <w:tr>
        <w:trPr>
          <w:trHeight w:val="220"/>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Total Net Revenues</w:t>
            </w:r>
          </w:p>
        </w:tc>
        <w:tc>
          <w:tcPr>
            <w:tcW w:w="100" w:type="dxa"/>
            <w:vAlign w:val="bottom"/>
            <w:tcBorders>
              <w:bottom w:val="single" w:sz="8" w:color="929292"/>
            </w:tcBorders>
            <w:shd w:val="clear" w:color="auto" w:fill="929292"/>
          </w:tcPr>
          <w:p>
            <w:pPr>
              <w:spacing w:after="0"/>
              <w:rPr>
                <w:sz w:val="19"/>
                <w:szCs w:val="19"/>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118,292</w:t>
            </w:r>
          </w:p>
        </w:tc>
        <w:tc>
          <w:tcPr>
            <w:tcW w:w="100" w:type="dxa"/>
            <w:vAlign w:val="bottom"/>
          </w:tcPr>
          <w:p>
            <w:pPr>
              <w:spacing w:after="0"/>
              <w:rPr>
                <w:sz w:val="19"/>
                <w:szCs w:val="19"/>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132,037</w:t>
            </w:r>
          </w:p>
        </w:tc>
        <w:tc>
          <w:tcPr>
            <w:tcW w:w="100" w:type="dxa"/>
            <w:vAlign w:val="bottom"/>
          </w:tcPr>
          <w:p>
            <w:pPr>
              <w:spacing w:after="0"/>
              <w:rPr>
                <w:sz w:val="19"/>
                <w:szCs w:val="19"/>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409,762</w:t>
            </w:r>
          </w:p>
        </w:tc>
        <w:tc>
          <w:tcPr>
            <w:tcW w:w="100" w:type="dxa"/>
            <w:vAlign w:val="bottom"/>
          </w:tcPr>
          <w:p>
            <w:pPr>
              <w:spacing w:after="0"/>
              <w:rPr>
                <w:sz w:val="19"/>
                <w:szCs w:val="19"/>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457,974</w:t>
            </w: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r>
    </w:tbl>
    <w:p>
      <w:pPr>
        <w:spacing w:after="0" w:line="18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Commission revenue excludes commissions generated through the Company’s Non-Encompass BPO Services as well as from the sale of individual and family plan insurance products.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(benefit) by operating function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color w:val="auto"/>
              </w:rPr>
              <w:t>Three months ended Sep.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4"/>
          </w:tcPr>
          <w:p>
            <w:pPr>
              <w:jc w:val="right"/>
              <w:ind w:right="8"/>
              <w:spacing w:after="0"/>
              <w:rPr>
                <w:sz w:val="20"/>
                <w:szCs w:val="20"/>
                <w:color w:val="auto"/>
              </w:rPr>
            </w:pPr>
            <w:r>
              <w:rPr>
                <w:rFonts w:ascii="Arial" w:cs="Arial" w:eastAsia="Arial" w:hAnsi="Arial"/>
                <w:sz w:val="14"/>
                <w:szCs w:val="14"/>
                <w:color w:val="auto"/>
              </w:rPr>
              <w:t>Nine months ended Sep. 30,</w:t>
            </w:r>
          </w:p>
        </w:tc>
        <w:tc>
          <w:tcPr>
            <w:tcW w:w="540" w:type="dxa"/>
            <w:vAlign w:val="bottom"/>
          </w:tcPr>
          <w:p>
            <w:pPr>
              <w:spacing w:after="0"/>
              <w:rPr>
                <w:sz w:val="17"/>
                <w:szCs w:val="17"/>
                <w:color w:val="auto"/>
              </w:rPr>
            </w:pPr>
          </w:p>
        </w:tc>
      </w:tr>
      <w:tr>
        <w:trPr>
          <w:trHeight w:val="194"/>
        </w:trPr>
        <w:tc>
          <w:tcPr>
            <w:tcW w:w="490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6"/>
                <w:szCs w:val="16"/>
                <w:color w:val="auto"/>
              </w:rPr>
            </w:pPr>
          </w:p>
        </w:tc>
        <w:tc>
          <w:tcPr>
            <w:tcW w:w="98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2024</w:t>
            </w:r>
          </w:p>
        </w:tc>
        <w:tc>
          <w:tcPr>
            <w:tcW w:w="50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2023</w:t>
            </w:r>
          </w:p>
        </w:tc>
        <w:tc>
          <w:tcPr>
            <w:tcW w:w="52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2024</w:t>
            </w:r>
          </w:p>
        </w:tc>
        <w:tc>
          <w:tcPr>
            <w:tcW w:w="50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B6B6B6"/>
            </w:tcBorders>
          </w:tcPr>
          <w:p>
            <w:pPr>
              <w:spacing w:after="0"/>
              <w:rPr>
                <w:sz w:val="16"/>
                <w:szCs w:val="16"/>
                <w:color w:val="auto"/>
              </w:rPr>
            </w:pPr>
          </w:p>
        </w:tc>
      </w:tr>
      <w:tr>
        <w:trPr>
          <w:trHeight w:val="192"/>
        </w:trPr>
        <w:tc>
          <w:tcPr>
            <w:tcW w:w="4900" w:type="dxa"/>
            <w:vAlign w:val="bottom"/>
          </w:tcPr>
          <w:p>
            <w:pPr>
              <w:ind w:left="2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203"/>
        </w:trPr>
        <w:tc>
          <w:tcPr>
            <w:tcW w:w="490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100" w:type="dxa"/>
            <w:vAlign w:val="bottom"/>
            <w:shd w:val="clear" w:color="auto" w:fill="929292"/>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841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1,847</w:t>
            </w:r>
          </w:p>
        </w:tc>
      </w:tr>
      <w:tr>
        <w:trPr>
          <w:trHeight w:val="203"/>
        </w:trPr>
        <w:tc>
          <w:tcPr>
            <w:tcW w:w="490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2,365</w:t>
            </w:r>
          </w:p>
        </w:tc>
      </w:tr>
      <w:tr>
        <w:trPr>
          <w:trHeight w:val="206"/>
        </w:trPr>
        <w:tc>
          <w:tcPr>
            <w:tcW w:w="4900" w:type="dxa"/>
            <w:vAlign w:val="bottom"/>
          </w:tcPr>
          <w:p>
            <w:pPr>
              <w:ind w:left="2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9"/>
                <w:szCs w:val="9"/>
                <w:color w:val="auto"/>
              </w:rPr>
              <w:t>(1)</w:t>
            </w:r>
          </w:p>
        </w:tc>
        <w:tc>
          <w:tcPr>
            <w:tcW w:w="100" w:type="dxa"/>
            <w:vAlign w:val="bottom"/>
            <w:tcBorders>
              <w:bottom w:val="single" w:sz="8" w:color="929292"/>
            </w:tcBorders>
            <w:shd w:val="clear" w:color="auto" w:fill="929292"/>
          </w:tcPr>
          <w:p>
            <w:pPr>
              <w:spacing w:after="0"/>
              <w:rPr>
                <w:sz w:val="17"/>
                <w:szCs w:val="17"/>
                <w:color w:val="auto"/>
              </w:rPr>
            </w:pPr>
          </w:p>
        </w:tc>
        <w:tc>
          <w:tcPr>
            <w:tcW w:w="980" w:type="dxa"/>
            <w:vAlign w:val="bottom"/>
            <w:tcBorders>
              <w:bottom w:val="single" w:sz="8" w:color="B6B6B6"/>
            </w:tcBorders>
          </w:tcPr>
          <w:p>
            <w:pPr>
              <w:spacing w:after="0"/>
              <w:rPr>
                <w:sz w:val="17"/>
                <w:szCs w:val="17"/>
                <w:color w:val="auto"/>
              </w:rPr>
            </w:pPr>
          </w:p>
        </w:tc>
        <w:tc>
          <w:tcPr>
            <w:tcW w:w="5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2,302</w:t>
            </w:r>
          </w:p>
        </w:tc>
        <w:tc>
          <w:tcPr>
            <w:tcW w:w="100" w:type="dxa"/>
            <w:vAlign w:val="bottom"/>
          </w:tcPr>
          <w:p>
            <w:pPr>
              <w:spacing w:after="0"/>
              <w:rPr>
                <w:sz w:val="17"/>
                <w:szCs w:val="17"/>
                <w:color w:val="auto"/>
              </w:rPr>
            </w:pPr>
          </w:p>
        </w:tc>
        <w:tc>
          <w:tcPr>
            <w:tcW w:w="960" w:type="dxa"/>
            <w:vAlign w:val="bottom"/>
            <w:tcBorders>
              <w:bottom w:val="single" w:sz="8" w:color="B6B6B6"/>
            </w:tcBorders>
          </w:tcPr>
          <w:p>
            <w:pPr>
              <w:spacing w:after="0"/>
              <w:rPr>
                <w:sz w:val="17"/>
                <w:szCs w:val="17"/>
                <w:color w:val="auto"/>
              </w:rPr>
            </w:pPr>
          </w:p>
        </w:tc>
        <w:tc>
          <w:tcPr>
            <w:tcW w:w="5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(1,889)</w:t>
            </w:r>
          </w:p>
        </w:tc>
        <w:tc>
          <w:tcPr>
            <w:tcW w:w="100" w:type="dxa"/>
            <w:vAlign w:val="bottom"/>
          </w:tcPr>
          <w:p>
            <w:pPr>
              <w:spacing w:after="0"/>
              <w:rPr>
                <w:sz w:val="17"/>
                <w:szCs w:val="17"/>
                <w:color w:val="auto"/>
              </w:rPr>
            </w:pPr>
          </w:p>
        </w:tc>
        <w:tc>
          <w:tcPr>
            <w:tcW w:w="980" w:type="dxa"/>
            <w:vAlign w:val="bottom"/>
            <w:tcBorders>
              <w:bottom w:val="single" w:sz="8" w:color="B6B6B6"/>
            </w:tcBorders>
          </w:tcPr>
          <w:p>
            <w:pPr>
              <w:spacing w:after="0"/>
              <w:rPr>
                <w:sz w:val="17"/>
                <w:szCs w:val="17"/>
                <w:color w:val="auto"/>
              </w:rPr>
            </w:pPr>
          </w:p>
        </w:tc>
        <w:tc>
          <w:tcPr>
            <w:tcW w:w="5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4,710</w:t>
            </w:r>
          </w:p>
        </w:tc>
        <w:tc>
          <w:tcPr>
            <w:tcW w:w="100" w:type="dxa"/>
            <w:vAlign w:val="bottom"/>
          </w:tcPr>
          <w:p>
            <w:pPr>
              <w:spacing w:after="0"/>
              <w:rPr>
                <w:sz w:val="17"/>
                <w:szCs w:val="17"/>
                <w:color w:val="auto"/>
              </w:rPr>
            </w:pPr>
          </w:p>
        </w:tc>
        <w:tc>
          <w:tcPr>
            <w:tcW w:w="940" w:type="dxa"/>
            <w:vAlign w:val="bottom"/>
            <w:tcBorders>
              <w:bottom w:val="single" w:sz="8" w:color="B6B6B6"/>
            </w:tcBorders>
          </w:tcPr>
          <w:p>
            <w:pPr>
              <w:spacing w:after="0"/>
              <w:rPr>
                <w:sz w:val="17"/>
                <w:szCs w:val="17"/>
                <w:color w:val="auto"/>
              </w:rPr>
            </w:pPr>
          </w:p>
        </w:tc>
        <w:tc>
          <w:tcPr>
            <w:tcW w:w="5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11,569</w:t>
            </w:r>
          </w:p>
        </w:tc>
      </w:tr>
      <w:tr>
        <w:trPr>
          <w:trHeight w:val="220"/>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Total share-based compensation expense (benefit)</w:t>
            </w:r>
          </w:p>
        </w:tc>
        <w:tc>
          <w:tcPr>
            <w:tcW w:w="100" w:type="dxa"/>
            <w:vAlign w:val="bottom"/>
            <w:tcBorders>
              <w:bottom w:val="single" w:sz="8" w:color="929292"/>
            </w:tcBorders>
            <w:shd w:val="clear" w:color="auto" w:fill="929292"/>
          </w:tcPr>
          <w:p>
            <w:pPr>
              <w:spacing w:after="0"/>
              <w:rPr>
                <w:sz w:val="19"/>
                <w:szCs w:val="19"/>
                <w:color w:val="auto"/>
              </w:rPr>
            </w:pPr>
          </w:p>
        </w:tc>
        <w:tc>
          <w:tcPr>
            <w:tcW w:w="980" w:type="dxa"/>
            <w:vAlign w:val="bottom"/>
            <w:tcBorders>
              <w:bottom w:val="single" w:sz="8" w:color="B6B6B6"/>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2,859</w:t>
            </w:r>
          </w:p>
        </w:tc>
        <w:tc>
          <w:tcPr>
            <w:tcW w:w="100" w:type="dxa"/>
            <w:vAlign w:val="bottom"/>
          </w:tcPr>
          <w:p>
            <w:pPr>
              <w:spacing w:after="0"/>
              <w:rPr>
                <w:sz w:val="19"/>
                <w:szCs w:val="19"/>
                <w:color w:val="auto"/>
              </w:rPr>
            </w:pPr>
          </w:p>
        </w:tc>
        <w:tc>
          <w:tcPr>
            <w:tcW w:w="960" w:type="dxa"/>
            <w:vAlign w:val="bottom"/>
            <w:tcBorders>
              <w:bottom w:val="single" w:sz="8" w:color="B6B6B6"/>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(545)</w:t>
            </w:r>
          </w:p>
        </w:tc>
        <w:tc>
          <w:tcPr>
            <w:tcW w:w="100" w:type="dxa"/>
            <w:vAlign w:val="bottom"/>
          </w:tcPr>
          <w:p>
            <w:pPr>
              <w:spacing w:after="0"/>
              <w:rPr>
                <w:sz w:val="19"/>
                <w:szCs w:val="19"/>
                <w:color w:val="auto"/>
              </w:rPr>
            </w:pPr>
          </w:p>
        </w:tc>
        <w:tc>
          <w:tcPr>
            <w:tcW w:w="980" w:type="dxa"/>
            <w:vAlign w:val="bottom"/>
            <w:tcBorders>
              <w:bottom w:val="single" w:sz="8" w:color="B6B6B6"/>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6,534</w:t>
            </w:r>
          </w:p>
        </w:tc>
        <w:tc>
          <w:tcPr>
            <w:tcW w:w="100" w:type="dxa"/>
            <w:vAlign w:val="bottom"/>
          </w:tcPr>
          <w:p>
            <w:pPr>
              <w:spacing w:after="0"/>
              <w:rPr>
                <w:sz w:val="19"/>
                <w:szCs w:val="19"/>
                <w:color w:val="auto"/>
              </w:rPr>
            </w:pPr>
          </w:p>
        </w:tc>
        <w:tc>
          <w:tcPr>
            <w:tcW w:w="940" w:type="dxa"/>
            <w:vAlign w:val="bottom"/>
            <w:tcBorders>
              <w:bottom w:val="single" w:sz="8" w:color="B6B6B6"/>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16,159</w:t>
            </w: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r>
    </w:tbl>
    <w:p>
      <w:pPr>
        <w:spacing w:after="0" w:line="187" w:lineRule="exact"/>
        <w:rPr>
          <w:sz w:val="20"/>
          <w:szCs w:val="20"/>
          <w:color w:val="auto"/>
        </w:rPr>
      </w:pPr>
    </w:p>
    <w:p>
      <w:pPr>
        <w:ind w:right="60" w:firstLine="8"/>
        <w:spacing w:after="0" w:line="261" w:lineRule="auto"/>
        <w:tabs>
          <w:tab w:leader="none" w:pos="189"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For the three and nine months ended September 30, 2024 and 2023, share-based compensation expense (benefit) includes expense (benefit) related to the stock appreciation rights (“SARs”), which are liability classified awards.</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01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rPr>
              <w:t>Sep. 30, 2024</w:t>
            </w:r>
          </w:p>
        </w:tc>
        <w:tc>
          <w:tcPr>
            <w:tcW w:w="1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Dec. 31, 2023</w:t>
            </w:r>
          </w:p>
        </w:tc>
        <w:tc>
          <w:tcPr>
            <w:tcW w:w="0" w:type="dxa"/>
            <w:vAlign w:val="bottom"/>
          </w:tcPr>
          <w:p>
            <w:pPr>
              <w:spacing w:after="0"/>
              <w:rPr>
                <w:sz w:val="1"/>
                <w:szCs w:val="1"/>
                <w:color w:val="auto"/>
              </w:rPr>
            </w:pPr>
          </w:p>
        </w:tc>
      </w:tr>
      <w:tr>
        <w:trPr>
          <w:trHeight w:val="194"/>
        </w:trPr>
        <w:tc>
          <w:tcPr>
            <w:tcW w:w="8480" w:type="dxa"/>
            <w:vAlign w:val="bottom"/>
            <w:tcBorders>
              <w:top w:val="single" w:sz="8" w:color="B6B6B6"/>
            </w:tcBorders>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B6B6B6"/>
            </w:tcBorders>
            <w:shd w:val="clear" w:color="auto" w:fill="929292"/>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1120" w:type="dxa"/>
            <w:vAlign w:val="bottom"/>
            <w:tcBorders>
              <w:top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B6B6B6"/>
            </w:tcBorders>
          </w:tcPr>
          <w:p>
            <w:pPr>
              <w:spacing w:after="0"/>
              <w:rPr>
                <w:sz w:val="16"/>
                <w:szCs w:val="16"/>
                <w:color w:val="auto"/>
              </w:rPr>
            </w:pPr>
          </w:p>
        </w:tc>
        <w:tc>
          <w:tcPr>
            <w:tcW w:w="1140" w:type="dxa"/>
            <w:vAlign w:val="bottom"/>
            <w:tcBorders>
              <w:top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Current assets: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92929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35,527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90,809</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Accounts receivable, net of allowance for doubtful accounts of $2 in 2024 and $27 in 2023</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Commissions receivable - current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270,383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336,215</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Prepaid expense and other current assets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21,271</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49,166</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334,043</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476,440</w:t>
            </w:r>
          </w:p>
        </w:tc>
        <w:tc>
          <w:tcPr>
            <w:tcW w:w="0" w:type="dxa"/>
            <w:vAlign w:val="bottom"/>
          </w:tcPr>
          <w:p>
            <w:pPr>
              <w:spacing w:after="0"/>
              <w:rPr>
                <w:sz w:val="1"/>
                <w:szCs w:val="1"/>
                <w:color w:val="auto"/>
              </w:rPr>
            </w:pPr>
          </w:p>
        </w:tc>
      </w:tr>
      <w:tr>
        <w:trPr>
          <w:trHeight w:val="194"/>
        </w:trPr>
        <w:tc>
          <w:tcPr>
            <w:tcW w:w="8480" w:type="dxa"/>
            <w:vAlign w:val="bottom"/>
          </w:tcPr>
          <w:p>
            <w:pPr>
              <w:ind w:left="20"/>
              <w:spacing w:after="0"/>
              <w:rPr>
                <w:sz w:val="20"/>
                <w:szCs w:val="20"/>
                <w:color w:val="auto"/>
              </w:rPr>
            </w:pPr>
            <w:r>
              <w:rPr>
                <w:rFonts w:ascii="Arial" w:cs="Arial" w:eastAsia="Arial" w:hAnsi="Arial"/>
                <w:sz w:val="14"/>
                <w:szCs w:val="14"/>
                <w:color w:val="auto"/>
              </w:rPr>
              <w:t>Commissions receivable - non-current</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627,341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575,482</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Operating lease ROU asset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20,449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21,995</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30,418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26,843</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326,011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396,554</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208"/>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80" w:type="dxa"/>
            <w:vAlign w:val="bottom"/>
            <w:tcBorders>
              <w:bottom w:val="single" w:sz="8" w:color="929292"/>
            </w:tcBorders>
            <w:shd w:val="clear" w:color="auto" w:fill="929292"/>
          </w:tcPr>
          <w:p>
            <w:pPr>
              <w:spacing w:after="0"/>
              <w:rPr>
                <w:sz w:val="18"/>
                <w:szCs w:val="18"/>
                <w:color w:val="auto"/>
              </w:rPr>
            </w:pPr>
          </w:p>
        </w:tc>
        <w:tc>
          <w:tcPr>
            <w:tcW w:w="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1,341,153</w:t>
            </w:r>
          </w:p>
        </w:tc>
        <w:tc>
          <w:tcPr>
            <w:tcW w:w="100" w:type="dxa"/>
            <w:vAlign w:val="bottom"/>
          </w:tcPr>
          <w:p>
            <w:pPr>
              <w:spacing w:after="0"/>
              <w:rPr>
                <w:sz w:val="18"/>
                <w:szCs w:val="18"/>
                <w:color w:val="auto"/>
              </w:rPr>
            </w:pPr>
          </w:p>
        </w:tc>
        <w:tc>
          <w:tcPr>
            <w:tcW w:w="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1,499,570</w:t>
            </w: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8480" w:type="dxa"/>
            <w:vAlign w:val="bottom"/>
            <w:vMerge w:val="continue"/>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Current liabilities: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80" w:type="dxa"/>
            <w:vAlign w:val="bottom"/>
            <w:shd w:val="clear" w:color="auto" w:fill="92929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15,285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17,705</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Accrued liabilities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49,475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86,254</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Commissions payable - current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80,899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118,732</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Short-term operating lease liability</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5,797</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42,696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52,403</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Current portion of long-term debt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Other 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23,075</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14,122</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281,971</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370,013</w:t>
            </w:r>
          </w:p>
        </w:tc>
        <w:tc>
          <w:tcPr>
            <w:tcW w:w="0" w:type="dxa"/>
            <w:vAlign w:val="bottom"/>
          </w:tcPr>
          <w:p>
            <w:pPr>
              <w:spacing w:after="0"/>
              <w:rPr>
                <w:sz w:val="1"/>
                <w:szCs w:val="1"/>
                <w:color w:val="auto"/>
              </w:rPr>
            </w:pPr>
          </w:p>
        </w:tc>
      </w:tr>
      <w:tr>
        <w:trPr>
          <w:trHeight w:val="181"/>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Non-current liabilities:</w:t>
            </w:r>
          </w:p>
        </w:tc>
        <w:tc>
          <w:tcPr>
            <w:tcW w:w="8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Commissions payable - non-current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177,023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203,255</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Long-term operating lease liability</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36,187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39,547</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Deferred tax liabilities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24,995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Long-term debt, net of current portion</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416,332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422,705</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Other non-current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7,363</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9,095</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non-current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661,900</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674,602</w:t>
            </w:r>
          </w:p>
        </w:tc>
        <w:tc>
          <w:tcPr>
            <w:tcW w:w="0" w:type="dxa"/>
            <w:vAlign w:val="bottom"/>
          </w:tcPr>
          <w:p>
            <w:pPr>
              <w:spacing w:after="0"/>
              <w:rPr>
                <w:sz w:val="1"/>
                <w:szCs w:val="1"/>
                <w:color w:val="auto"/>
              </w:rPr>
            </w:pPr>
          </w:p>
        </w:tc>
      </w:tr>
      <w:tr>
        <w:trPr>
          <w:trHeight w:val="181"/>
        </w:trPr>
        <w:tc>
          <w:tcPr>
            <w:tcW w:w="84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480" w:type="dxa"/>
            <w:vAlign w:val="bottom"/>
          </w:tcPr>
          <w:p>
            <w:pPr>
              <w:ind w:left="20"/>
              <w:spacing w:after="0"/>
              <w:rPr>
                <w:sz w:val="20"/>
                <w:szCs w:val="20"/>
                <w:color w:val="auto"/>
              </w:rPr>
            </w:pPr>
            <w:r>
              <w:rPr>
                <w:rFonts w:ascii="Arial" w:cs="Arial" w:eastAsia="Arial" w:hAnsi="Arial"/>
                <w:sz w:val="14"/>
                <w:szCs w:val="14"/>
                <w:color w:val="auto"/>
              </w:rPr>
              <w:t>Series A redeemable convertible preferred stock — $0.0001 par value; 50 shares authorized; 50 shares issued and outstanding as</w:t>
            </w:r>
          </w:p>
        </w:tc>
        <w:tc>
          <w:tcPr>
            <w:tcW w:w="80" w:type="dxa"/>
            <w:vAlign w:val="bottom"/>
            <w:shd w:val="clear" w:color="auto" w:fill="929292"/>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20"/>
              <w:spacing w:after="0" w:line="149" w:lineRule="exact"/>
              <w:rPr>
                <w:sz w:val="20"/>
                <w:szCs w:val="20"/>
                <w:color w:val="auto"/>
              </w:rPr>
            </w:pPr>
            <w:r>
              <w:rPr>
                <w:rFonts w:ascii="Arial" w:cs="Arial" w:eastAsia="Arial" w:hAnsi="Arial"/>
                <w:sz w:val="14"/>
                <w:szCs w:val="14"/>
                <w:color w:val="auto"/>
              </w:rPr>
              <w:t>of both September 30, 2024 and December 31, 2023. Liquidation preference of $53.7 million and $50.9 million as of September 30,</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49,302</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2024 and December 31, 2023, 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Stockholders’ equity: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80" w:type="dxa"/>
            <w:vAlign w:val="bottom"/>
          </w:tcPr>
          <w:p>
            <w:pPr>
              <w:ind w:left="240"/>
              <w:spacing w:after="0"/>
              <w:rPr>
                <w:sz w:val="20"/>
                <w:szCs w:val="20"/>
                <w:color w:val="auto"/>
              </w:rPr>
            </w:pPr>
            <w:r>
              <w:rPr>
                <w:rFonts w:ascii="Arial" w:cs="Arial" w:eastAsia="Arial" w:hAnsi="Arial"/>
                <w:sz w:val="14"/>
                <w:szCs w:val="14"/>
                <w:color w:val="auto"/>
              </w:rPr>
              <w:t>Class A common stock – $0.0001 par value; 1,100,000 shares authorized; 10,440 and 9,823 shares issued; 10,121 and 9,651</w:t>
            </w:r>
          </w:p>
        </w:tc>
        <w:tc>
          <w:tcPr>
            <w:tcW w:w="80" w:type="dxa"/>
            <w:vAlign w:val="bottom"/>
            <w:shd w:val="clear" w:color="auto" w:fill="929292"/>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shares outstanding as of September 30, 2024 and December 31, 2023, 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Class B common stock – $0.0001 par value; 615,980 and 616,018 shares authorized; 12,775 and 12,814 shares issued and</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outstanding as of September 30, 2024 and December 31, 2023, 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Preferred stock – $0.0001 par value; 20,000 shares authorized (including 50 shares of Series A redeemable convertible</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preferred stock authorized and 200 shares of Series A-1 convertible preferred stock authorized); 50 shares issued and</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outstanding as of both September 30, 2024 and December 31, 2023.</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Series A-1 convertible preferred stock— $0.0001 par value; 200 shares authorized; no shares issued and outstanding as of both</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September 30, 2024 and December 31, 2023.</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Treasury stock – at cost; 319 and 173 shares of Class A common stock as of September 30, 2024 and December 31, 2023,</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(4,124)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(2,640)</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8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665,020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654,059</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Accumulated deficit</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(448,717)</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(420,280)</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stockholders’ equity attributable to GoHealth, Inc.</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212,040</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231,014</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133,219</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174,639</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345,259</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405,653</w:t>
            </w:r>
          </w:p>
        </w:tc>
        <w:tc>
          <w:tcPr>
            <w:tcW w:w="0" w:type="dxa"/>
            <w:vAlign w:val="bottom"/>
          </w:tcPr>
          <w:p>
            <w:pPr>
              <w:spacing w:after="0"/>
              <w:rPr>
                <w:sz w:val="1"/>
                <w:szCs w:val="1"/>
                <w:color w:val="auto"/>
              </w:rPr>
            </w:pPr>
          </w:p>
        </w:tc>
      </w:tr>
      <w:tr>
        <w:trPr>
          <w:trHeight w:val="221"/>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Total liabilities, redeemable convertible preferred stock and stockholders’ equity</w:t>
            </w:r>
          </w:p>
        </w:tc>
        <w:tc>
          <w:tcPr>
            <w:tcW w:w="80" w:type="dxa"/>
            <w:vAlign w:val="bottom"/>
            <w:tcBorders>
              <w:bottom w:val="single" w:sz="8" w:color="929292"/>
            </w:tcBorders>
            <w:shd w:val="clear" w:color="auto" w:fill="929292"/>
          </w:tcPr>
          <w:p>
            <w:pPr>
              <w:spacing w:after="0"/>
              <w:rPr>
                <w:sz w:val="19"/>
                <w:szCs w:val="19"/>
                <w:color w:val="auto"/>
              </w:rPr>
            </w:pPr>
          </w:p>
        </w:tc>
        <w:tc>
          <w:tcPr>
            <w:tcW w:w="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1,341,153</w:t>
            </w:r>
          </w:p>
        </w:tc>
        <w:tc>
          <w:tcPr>
            <w:tcW w:w="100" w:type="dxa"/>
            <w:vAlign w:val="bottom"/>
          </w:tcPr>
          <w:p>
            <w:pPr>
              <w:spacing w:after="0"/>
              <w:rPr>
                <w:sz w:val="19"/>
                <w:szCs w:val="19"/>
                <w:color w:val="auto"/>
              </w:rPr>
            </w:pPr>
          </w:p>
        </w:tc>
        <w:tc>
          <w:tcPr>
            <w:tcW w:w="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1,499,570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8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the net cash provided by (used in) operating activities for the periods presented (unaudited):</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940" w:type="dxa"/>
            <w:vAlign w:val="bottom"/>
            <w:tcBorders>
              <w:top w:val="single" w:sz="8" w:color="929292"/>
              <w:left w:val="single" w:sz="8" w:color="929292"/>
            </w:tcBorders>
          </w:tcPr>
          <w:p>
            <w:pPr>
              <w:spacing w:after="0"/>
              <w:rPr>
                <w:sz w:val="17"/>
                <w:szCs w:val="17"/>
                <w:color w:val="auto"/>
              </w:rPr>
            </w:pPr>
          </w:p>
        </w:tc>
        <w:tc>
          <w:tcPr>
            <w:tcW w:w="80" w:type="dxa"/>
            <w:vAlign w:val="bottom"/>
            <w:tcBorders>
              <w:top w:val="single" w:sz="8" w:color="929292"/>
            </w:tcBorders>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ind w:left="260"/>
              <w:spacing w:after="0"/>
              <w:rPr>
                <w:sz w:val="20"/>
                <w:szCs w:val="20"/>
                <w:color w:val="auto"/>
              </w:rPr>
            </w:pPr>
            <w:r>
              <w:rPr>
                <w:rFonts w:ascii="Arial" w:cs="Arial" w:eastAsia="Arial" w:hAnsi="Arial"/>
                <w:sz w:val="14"/>
                <w:szCs w:val="14"/>
                <w:color w:val="auto"/>
              </w:rPr>
              <w:t>Nine months ended Sep. 30,</w:t>
            </w:r>
          </w:p>
        </w:tc>
        <w:tc>
          <w:tcPr>
            <w:tcW w:w="220" w:type="dxa"/>
            <w:vAlign w:val="bottom"/>
          </w:tcPr>
          <w:p>
            <w:pPr>
              <w:spacing w:after="0"/>
              <w:rPr>
                <w:sz w:val="17"/>
                <w:szCs w:val="17"/>
                <w:color w:val="auto"/>
              </w:rPr>
            </w:pPr>
          </w:p>
        </w:tc>
        <w:tc>
          <w:tcPr>
            <w:tcW w:w="2900" w:type="dxa"/>
            <w:vAlign w:val="bottom"/>
            <w:gridSpan w:val="4"/>
          </w:tcPr>
          <w:p>
            <w:pPr>
              <w:jc w:val="right"/>
              <w:ind w:right="248"/>
              <w:spacing w:after="0"/>
              <w:rPr>
                <w:sz w:val="20"/>
                <w:szCs w:val="20"/>
                <w:color w:val="auto"/>
              </w:rPr>
            </w:pPr>
            <w:r>
              <w:rPr>
                <w:rFonts w:ascii="Arial" w:cs="Arial" w:eastAsia="Arial" w:hAnsi="Arial"/>
                <w:sz w:val="14"/>
                <w:szCs w:val="14"/>
                <w:color w:val="auto"/>
              </w:rPr>
              <w:t>Trailing Twelve Months ended Sep. 30,</w:t>
            </w:r>
          </w:p>
        </w:tc>
      </w:tr>
      <w:tr>
        <w:trPr>
          <w:trHeight w:val="198"/>
        </w:trPr>
        <w:tc>
          <w:tcPr>
            <w:tcW w:w="4940" w:type="dxa"/>
            <w:vAlign w:val="bottom"/>
            <w:tcBorders>
              <w:left w:val="single" w:sz="8" w:color="929292"/>
            </w:tcBorders>
          </w:tcPr>
          <w:p>
            <w:pPr>
              <w:ind w:left="760"/>
              <w:spacing w:after="0"/>
              <w:rPr>
                <w:sz w:val="20"/>
                <w:szCs w:val="20"/>
                <w:color w:val="auto"/>
              </w:rPr>
            </w:pPr>
            <w:r>
              <w:rPr>
                <w:rFonts w:ascii="Arial" w:cs="Arial" w:eastAsia="Arial" w:hAnsi="Arial"/>
                <w:sz w:val="14"/>
                <w:szCs w:val="14"/>
                <w:b w:val="1"/>
                <w:bCs w:val="1"/>
                <w:color w:val="151D8E"/>
              </w:rPr>
              <w:t>Net cash provided by (used in) operating activities</w:t>
            </w:r>
          </w:p>
        </w:tc>
        <w:tc>
          <w:tcPr>
            <w:tcW w:w="8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ind w:left="24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2"/>
        </w:trPr>
        <w:tc>
          <w:tcPr>
            <w:tcW w:w="4940" w:type="dxa"/>
            <w:vAlign w:val="bottom"/>
            <w:tcBorders>
              <w:left w:val="single" w:sz="8" w:color="929292"/>
              <w:bottom w:val="single" w:sz="8" w:color="929292"/>
            </w:tcBorders>
          </w:tcPr>
          <w:p>
            <w:pPr>
              <w:spacing w:after="0"/>
              <w:rPr>
                <w:sz w:val="16"/>
                <w:szCs w:val="16"/>
                <w:color w:val="auto"/>
              </w:rPr>
            </w:pPr>
          </w:p>
        </w:tc>
        <w:tc>
          <w:tcPr>
            <w:tcW w:w="80" w:type="dxa"/>
            <w:vAlign w:val="bottom"/>
            <w:tcBorders>
              <w:bottom w:val="single" w:sz="8" w:color="929292"/>
            </w:tcBorders>
            <w:shd w:val="clear" w:color="auto" w:fill="929292"/>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(36,211)</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37,840</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35,091</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(3,159)</w:t>
            </w:r>
          </w:p>
        </w:tc>
      </w:tr>
    </w:tbl>
    <w:p>
      <w:pPr>
        <w:spacing w:after="0" w:line="296"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for our single operating and reportable segment.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120" w:type="dxa"/>
            <w:vAlign w:val="bottom"/>
            <w:gridSpan w:val="4"/>
          </w:tcPr>
          <w:p>
            <w:pPr>
              <w:ind w:left="560"/>
              <w:spacing w:after="0"/>
              <w:rPr>
                <w:sz w:val="20"/>
                <w:szCs w:val="20"/>
                <w:color w:val="auto"/>
              </w:rPr>
            </w:pPr>
            <w:r>
              <w:rPr>
                <w:rFonts w:ascii="Arial" w:cs="Arial" w:eastAsia="Arial" w:hAnsi="Arial"/>
                <w:sz w:val="14"/>
                <w:szCs w:val="14"/>
                <w:color w:val="auto"/>
              </w:rPr>
              <w:t>Three months ended Sep. 30,</w:t>
            </w: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40" w:type="dxa"/>
            <w:vAlign w:val="bottom"/>
            <w:tcBorders>
              <w:left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460" w:type="dxa"/>
            <w:vAlign w:val="bottom"/>
            <w:tcBorders>
              <w:bottom w:val="single" w:sz="8" w:color="B6B6B6"/>
            </w:tcBorders>
          </w:tcPr>
          <w:p>
            <w:pPr>
              <w:ind w:left="58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48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1740" w:type="dxa"/>
            <w:vAlign w:val="bottom"/>
            <w:tcBorders>
              <w:bottom w:val="single" w:sz="8" w:color="B6B6B6"/>
            </w:tcBorders>
          </w:tcPr>
          <w:p>
            <w:pPr>
              <w:ind w:left="500"/>
              <w:spacing w:after="0"/>
              <w:rPr>
                <w:sz w:val="20"/>
                <w:szCs w:val="20"/>
                <w:color w:val="auto"/>
              </w:rPr>
            </w:pPr>
            <w:r>
              <w:rPr>
                <w:rFonts w:ascii="Arial" w:cs="Arial" w:eastAsia="Arial" w:hAnsi="Arial"/>
                <w:sz w:val="14"/>
                <w:szCs w:val="14"/>
                <w:color w:val="auto"/>
              </w:rPr>
              <w:t>Change</w:t>
            </w:r>
          </w:p>
        </w:tc>
        <w:tc>
          <w:tcPr>
            <w:tcW w:w="14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840" w:type="dxa"/>
            <w:vAlign w:val="bottom"/>
            <w:tcBorders>
              <w:left w:val="single" w:sz="8" w:color="929292"/>
            </w:tcBorders>
            <w:vMerge w:val="restart"/>
          </w:tcPr>
          <w:p>
            <w:pPr>
              <w:ind w:left="1980"/>
              <w:spacing w:after="0"/>
              <w:rPr>
                <w:sz w:val="20"/>
                <w:szCs w:val="20"/>
                <w:color w:val="auto"/>
              </w:rPr>
            </w:pPr>
            <w:r>
              <w:rPr>
                <w:rFonts w:ascii="Arial" w:cs="Arial" w:eastAsia="Arial" w:hAnsi="Arial"/>
                <w:sz w:val="14"/>
                <w:szCs w:val="14"/>
                <w:b w:val="1"/>
                <w:bCs w:val="1"/>
                <w:color w:val="151D8E"/>
              </w:rPr>
              <w:t>Submissions</w:t>
            </w:r>
          </w:p>
        </w:tc>
        <w:tc>
          <w:tcPr>
            <w:tcW w:w="100" w:type="dxa"/>
            <w:vAlign w:val="bottom"/>
            <w:shd w:val="clear" w:color="auto" w:fill="929292"/>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166,195</w:t>
            </w:r>
          </w:p>
        </w:tc>
        <w:tc>
          <w:tcPr>
            <w:tcW w:w="10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161,550</w:t>
            </w:r>
          </w:p>
        </w:tc>
        <w:tc>
          <w:tcPr>
            <w:tcW w:w="80" w:type="dxa"/>
            <w:vAlign w:val="bottom"/>
          </w:tcPr>
          <w:p>
            <w:pPr>
              <w:spacing w:after="0"/>
              <w:rPr>
                <w:sz w:val="16"/>
                <w:szCs w:val="16"/>
                <w:color w:val="auto"/>
              </w:rPr>
            </w:pPr>
          </w:p>
        </w:tc>
        <w:tc>
          <w:tcPr>
            <w:tcW w:w="1740" w:type="dxa"/>
            <w:vAlign w:val="bottom"/>
          </w:tcPr>
          <w:p>
            <w:pPr>
              <w:jc w:val="right"/>
              <w:ind w:right="248"/>
              <w:spacing w:after="0"/>
              <w:rPr>
                <w:sz w:val="20"/>
                <w:szCs w:val="20"/>
                <w:color w:val="auto"/>
              </w:rPr>
            </w:pPr>
            <w:r>
              <w:rPr>
                <w:rFonts w:ascii="Arial" w:cs="Arial" w:eastAsia="Arial" w:hAnsi="Arial"/>
                <w:sz w:val="14"/>
                <w:szCs w:val="14"/>
                <w:color w:val="auto"/>
              </w:rPr>
              <w:t>4,645</w:t>
            </w:r>
          </w:p>
        </w:tc>
        <w:tc>
          <w:tcPr>
            <w:tcW w:w="1420" w:type="dxa"/>
            <w:vAlign w:val="bottom"/>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95"/>
        </w:trPr>
        <w:tc>
          <w:tcPr>
            <w:tcW w:w="484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120" w:type="dxa"/>
            <w:vAlign w:val="bottom"/>
            <w:gridSpan w:val="4"/>
            <w:vMerge w:val="restart"/>
          </w:tcPr>
          <w:p>
            <w:pPr>
              <w:ind w:left="600"/>
              <w:spacing w:after="0"/>
              <w:rPr>
                <w:sz w:val="20"/>
                <w:szCs w:val="20"/>
                <w:color w:val="auto"/>
              </w:rPr>
            </w:pPr>
            <w:r>
              <w:rPr>
                <w:rFonts w:ascii="Arial" w:cs="Arial" w:eastAsia="Arial" w:hAnsi="Arial"/>
                <w:sz w:val="14"/>
                <w:szCs w:val="14"/>
                <w:color w:val="auto"/>
              </w:rPr>
              <w:t>Nine months ended Sep. 30,</w:t>
            </w: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4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120" w:type="dxa"/>
            <w:vAlign w:val="bottom"/>
            <w:gridSpan w:val="4"/>
            <w:vMerge w:val="continue"/>
          </w:tcPr>
          <w:p>
            <w:pPr>
              <w:spacing w:after="0"/>
              <w:rPr>
                <w:sz w:val="14"/>
                <w:szCs w:val="14"/>
                <w:color w:val="auto"/>
              </w:rPr>
            </w:pPr>
          </w:p>
        </w:tc>
        <w:tc>
          <w:tcPr>
            <w:tcW w:w="1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40" w:type="dxa"/>
            <w:vAlign w:val="bottom"/>
            <w:tcBorders>
              <w:left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1460" w:type="dxa"/>
            <w:vAlign w:val="bottom"/>
            <w:tcBorders>
              <w:bottom w:val="single" w:sz="8" w:color="B6B6B6"/>
            </w:tcBorders>
          </w:tcPr>
          <w:p>
            <w:pPr>
              <w:ind w:left="58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48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1740" w:type="dxa"/>
            <w:vAlign w:val="bottom"/>
            <w:tcBorders>
              <w:bottom w:val="single" w:sz="8" w:color="B6B6B6"/>
            </w:tcBorders>
          </w:tcPr>
          <w:p>
            <w:pPr>
              <w:ind w:left="500"/>
              <w:spacing w:after="0"/>
              <w:rPr>
                <w:sz w:val="20"/>
                <w:szCs w:val="20"/>
                <w:color w:val="auto"/>
              </w:rPr>
            </w:pPr>
            <w:r>
              <w:rPr>
                <w:rFonts w:ascii="Arial" w:cs="Arial" w:eastAsia="Arial" w:hAnsi="Arial"/>
                <w:sz w:val="14"/>
                <w:szCs w:val="14"/>
                <w:color w:val="auto"/>
              </w:rPr>
              <w:t>Change</w:t>
            </w:r>
          </w:p>
        </w:tc>
        <w:tc>
          <w:tcPr>
            <w:tcW w:w="14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8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534,737</w:t>
            </w:r>
          </w:p>
        </w:tc>
        <w:tc>
          <w:tcPr>
            <w:tcW w:w="10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538,032</w:t>
            </w:r>
          </w:p>
        </w:tc>
        <w:tc>
          <w:tcPr>
            <w:tcW w:w="80" w:type="dxa"/>
            <w:vAlign w:val="bottom"/>
          </w:tcPr>
          <w:p>
            <w:pPr>
              <w:spacing w:after="0"/>
              <w:rPr>
                <w:sz w:val="17"/>
                <w:szCs w:val="17"/>
                <w:color w:val="auto"/>
              </w:rPr>
            </w:pPr>
          </w:p>
        </w:tc>
        <w:tc>
          <w:tcPr>
            <w:tcW w:w="1740" w:type="dxa"/>
            <w:vAlign w:val="bottom"/>
          </w:tcPr>
          <w:p>
            <w:pPr>
              <w:jc w:val="right"/>
              <w:ind w:right="208"/>
              <w:spacing w:after="0"/>
              <w:rPr>
                <w:sz w:val="20"/>
                <w:szCs w:val="20"/>
                <w:color w:val="auto"/>
              </w:rPr>
            </w:pPr>
            <w:r>
              <w:rPr>
                <w:rFonts w:ascii="Arial" w:cs="Arial" w:eastAsia="Arial" w:hAnsi="Arial"/>
                <w:sz w:val="14"/>
                <w:szCs w:val="14"/>
                <w:color w:val="auto"/>
              </w:rPr>
              <w:t>(3,295)</w:t>
            </w:r>
          </w:p>
        </w:tc>
        <w:tc>
          <w:tcPr>
            <w:tcW w:w="142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for the periods presented: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60" w:type="dxa"/>
            <w:vAlign w:val="bottom"/>
            <w:tcBorders>
              <w:top w:val="single" w:sz="8" w:color="929292"/>
              <w:left w:val="single" w:sz="8" w:color="929292"/>
            </w:tcBorders>
          </w:tcPr>
          <w:p>
            <w:pPr>
              <w:spacing w:after="0"/>
              <w:rPr>
                <w:sz w:val="17"/>
                <w:szCs w:val="17"/>
                <w:color w:val="auto"/>
              </w:rPr>
            </w:pPr>
          </w:p>
        </w:tc>
        <w:tc>
          <w:tcPr>
            <w:tcW w:w="80" w:type="dxa"/>
            <w:vAlign w:val="bottom"/>
            <w:tcBorders>
              <w:top w:val="single" w:sz="8" w:color="929292"/>
            </w:tcBorders>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220"/>
              <w:spacing w:after="0"/>
              <w:rPr>
                <w:sz w:val="20"/>
                <w:szCs w:val="20"/>
                <w:color w:val="auto"/>
              </w:rPr>
            </w:pPr>
            <w:r>
              <w:rPr>
                <w:rFonts w:ascii="Arial" w:cs="Arial" w:eastAsia="Arial" w:hAnsi="Arial"/>
                <w:sz w:val="14"/>
                <w:szCs w:val="14"/>
                <w:color w:val="auto"/>
              </w:rPr>
              <w:t>Three months ended Sep. 30,</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60" w:type="dxa"/>
            <w:vAlign w:val="bottom"/>
            <w:tcBorders>
              <w:left w:val="single" w:sz="8" w:color="929292"/>
            </w:tcBorders>
          </w:tcPr>
          <w:p>
            <w:pPr>
              <w:spacing w:after="0"/>
              <w:rPr>
                <w:sz w:val="16"/>
                <w:szCs w:val="16"/>
                <w:color w:val="auto"/>
              </w:rPr>
            </w:pPr>
          </w:p>
        </w:tc>
        <w:tc>
          <w:tcPr>
            <w:tcW w:w="80" w:type="dxa"/>
            <w:vAlign w:val="bottom"/>
            <w:tcBorders>
              <w:bottom w:val="single" w:sz="8" w:color="929292"/>
            </w:tcBorders>
            <w:shd w:val="clear" w:color="auto" w:fill="929292"/>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20" w:type="dxa"/>
            <w:vAlign w:val="bottom"/>
            <w:tcBorders>
              <w:bottom w:val="single" w:sz="8" w:color="B6B6B6"/>
            </w:tcBorders>
          </w:tcPr>
          <w:p>
            <w:pPr>
              <w:ind w:left="24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1480" w:type="dxa"/>
            <w:vAlign w:val="bottom"/>
            <w:tcBorders>
              <w:bottom w:val="single" w:sz="8" w:color="B6B6B6"/>
            </w:tcBorders>
          </w:tcPr>
          <w:p>
            <w:pPr>
              <w:jc w:val="right"/>
              <w:ind w:right="608"/>
              <w:spacing w:after="0"/>
              <w:rPr>
                <w:sz w:val="20"/>
                <w:szCs w:val="20"/>
                <w:color w:val="auto"/>
              </w:rPr>
            </w:pPr>
            <w:r>
              <w:rPr>
                <w:rFonts w:ascii="Arial" w:cs="Arial" w:eastAsia="Arial" w:hAnsi="Arial"/>
                <w:sz w:val="14"/>
                <w:szCs w:val="14"/>
                <w:color w:val="auto"/>
              </w:rPr>
              <w:t>$ Change</w:t>
            </w:r>
          </w:p>
        </w:tc>
        <w:tc>
          <w:tcPr>
            <w:tcW w:w="14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860" w:type="dxa"/>
            <w:vAlign w:val="bottom"/>
            <w:tcBorders>
              <w:left w:val="single" w:sz="8" w:color="929292"/>
            </w:tcBorders>
            <w:vMerge w:val="restart"/>
          </w:tcPr>
          <w:p>
            <w:pPr>
              <w:ind w:left="1680"/>
              <w:spacing w:after="0"/>
              <w:rPr>
                <w:sz w:val="20"/>
                <w:szCs w:val="20"/>
                <w:color w:val="auto"/>
              </w:rPr>
            </w:pPr>
            <w:r>
              <w:rPr>
                <w:rFonts w:ascii="Arial" w:cs="Arial" w:eastAsia="Arial" w:hAnsi="Arial"/>
                <w:sz w:val="14"/>
                <w:szCs w:val="14"/>
                <w:b w:val="1"/>
                <w:bCs w:val="1"/>
                <w:color w:val="151D8E"/>
              </w:rPr>
              <w:t>Sales Per Submission</w:t>
            </w:r>
          </w:p>
        </w:tc>
        <w:tc>
          <w:tcPr>
            <w:tcW w:w="80" w:type="dxa"/>
            <w:vAlign w:val="bottom"/>
            <w:shd w:val="clear" w:color="auto" w:fill="929292"/>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813</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08"/>
              <w:spacing w:after="0"/>
              <w:rPr>
                <w:sz w:val="20"/>
                <w:szCs w:val="20"/>
                <w:color w:val="auto"/>
              </w:rPr>
            </w:pPr>
            <w:r>
              <w:rPr>
                <w:rFonts w:ascii="Arial" w:cs="Arial" w:eastAsia="Arial" w:hAnsi="Arial"/>
                <w:sz w:val="14"/>
                <w:szCs w:val="14"/>
                <w:color w:val="auto"/>
              </w:rPr>
              <w:t>(111)</w:t>
            </w:r>
          </w:p>
        </w:tc>
        <w:tc>
          <w:tcPr>
            <w:tcW w:w="142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5"/>
        </w:trPr>
        <w:tc>
          <w:tcPr>
            <w:tcW w:w="4860" w:type="dxa"/>
            <w:vAlign w:val="bottom"/>
            <w:tcBorders>
              <w:left w:val="single" w:sz="8" w:color="929292"/>
            </w:tcBorders>
            <w:vMerge w:val="continue"/>
          </w:tcPr>
          <w:p>
            <w:pPr>
              <w:spacing w:after="0"/>
              <w:rPr>
                <w:sz w:val="16"/>
                <w:szCs w:val="16"/>
                <w:color w:val="auto"/>
              </w:rPr>
            </w:pPr>
          </w:p>
        </w:tc>
        <w:tc>
          <w:tcPr>
            <w:tcW w:w="80" w:type="dxa"/>
            <w:vAlign w:val="bottom"/>
            <w:shd w:val="clear" w:color="auto" w:fill="929292"/>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vMerge w:val="restart"/>
          </w:tcPr>
          <w:p>
            <w:pPr>
              <w:ind w:left="260"/>
              <w:spacing w:after="0"/>
              <w:rPr>
                <w:sz w:val="20"/>
                <w:szCs w:val="20"/>
                <w:color w:val="auto"/>
              </w:rPr>
            </w:pPr>
            <w:r>
              <w:rPr>
                <w:rFonts w:ascii="Arial" w:cs="Arial" w:eastAsia="Arial" w:hAnsi="Arial"/>
                <w:sz w:val="14"/>
                <w:szCs w:val="14"/>
                <w:color w:val="auto"/>
              </w:rPr>
              <w:t>Nine months ended Sep. 30,</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6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60" w:type="dxa"/>
            <w:vAlign w:val="bottom"/>
            <w:tcBorders>
              <w:left w:val="single" w:sz="8" w:color="929292"/>
            </w:tcBorders>
          </w:tcPr>
          <w:p>
            <w:pPr>
              <w:spacing w:after="0"/>
              <w:rPr>
                <w:sz w:val="17"/>
                <w:szCs w:val="17"/>
                <w:color w:val="auto"/>
              </w:rPr>
            </w:pPr>
          </w:p>
        </w:tc>
        <w:tc>
          <w:tcPr>
            <w:tcW w:w="8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ind w:left="24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929292"/>
            </w:tcBorders>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929292"/>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480" w:type="dxa"/>
            <w:vAlign w:val="bottom"/>
            <w:tcBorders>
              <w:bottom w:val="single" w:sz="8" w:color="B6B6B6"/>
            </w:tcBorders>
          </w:tcPr>
          <w:p>
            <w:pPr>
              <w:jc w:val="right"/>
              <w:ind w:right="608"/>
              <w:spacing w:after="0"/>
              <w:rPr>
                <w:sz w:val="20"/>
                <w:szCs w:val="20"/>
                <w:color w:val="auto"/>
              </w:rPr>
            </w:pPr>
            <w:r>
              <w:rPr>
                <w:rFonts w:ascii="Arial" w:cs="Arial" w:eastAsia="Arial" w:hAnsi="Arial"/>
                <w:sz w:val="14"/>
                <w:szCs w:val="14"/>
                <w:color w:val="auto"/>
              </w:rPr>
              <w:t>$ Change</w:t>
            </w:r>
          </w:p>
        </w:tc>
        <w:tc>
          <w:tcPr>
            <w:tcW w:w="14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860" w:type="dxa"/>
            <w:vAlign w:val="bottom"/>
            <w:tcBorders>
              <w:left w:val="single" w:sz="8" w:color="929292"/>
              <w:bottom w:val="single" w:sz="8" w:color="929292"/>
            </w:tcBorders>
          </w:tcPr>
          <w:p>
            <w:pPr>
              <w:spacing w:after="0"/>
              <w:rPr>
                <w:sz w:val="17"/>
                <w:szCs w:val="17"/>
                <w:color w:val="auto"/>
              </w:rPr>
            </w:pPr>
          </w:p>
        </w:tc>
        <w:tc>
          <w:tcPr>
            <w:tcW w:w="80" w:type="dxa"/>
            <w:vAlign w:val="bottom"/>
            <w:tcBorders>
              <w:bottom w:val="single" w:sz="8" w:color="929292"/>
            </w:tcBorders>
            <w:shd w:val="clear" w:color="auto" w:fill="929292"/>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817</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08"/>
              <w:spacing w:after="0"/>
              <w:rPr>
                <w:sz w:val="20"/>
                <w:szCs w:val="20"/>
                <w:color w:val="auto"/>
              </w:rPr>
            </w:pPr>
            <w:r>
              <w:rPr>
                <w:rFonts w:ascii="Arial" w:cs="Arial" w:eastAsia="Arial" w:hAnsi="Arial"/>
                <w:sz w:val="14"/>
                <w:szCs w:val="14"/>
                <w:color w:val="auto"/>
              </w:rPr>
              <w:t>(56)</w:t>
            </w:r>
          </w:p>
        </w:tc>
        <w:tc>
          <w:tcPr>
            <w:tcW w:w="142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Direct Operating Cost per Submission for the periods presented:</w:t>
      </w:r>
    </w:p>
    <w:p>
      <w:pPr>
        <w:spacing w:after="0" w:line="269" w:lineRule="exact"/>
        <w:rPr>
          <w:sz w:val="20"/>
          <w:szCs w:val="20"/>
          <w:color w:val="auto"/>
        </w:rPr>
      </w:pPr>
    </w:p>
    <w:tbl>
      <w:tblPr>
        <w:tblLayout w:type="fixed"/>
        <w:tblInd w:w="90" w:type="dxa"/>
        <w:tblCellMar>
          <w:top w:w="0" w:type="dxa"/>
          <w:left w:w="0" w:type="dxa"/>
          <w:bottom w:w="0" w:type="dxa"/>
          <w:right w:w="0" w:type="dxa"/>
        </w:tblCellMar>
      </w:tblPr>
      <w:tr>
        <w:trPr>
          <w:trHeight w:val="207"/>
        </w:trPr>
        <w:tc>
          <w:tcPr>
            <w:tcW w:w="48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color w:val="auto"/>
              </w:rPr>
              <w:t>Three months ended Sep. 30,</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40" w:type="dxa"/>
            <w:vAlign w:val="bottom"/>
            <w:tcBorders>
              <w:left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32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ind w:left="24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2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1460" w:type="dxa"/>
            <w:vAlign w:val="bottom"/>
            <w:tcBorders>
              <w:bottom w:val="single" w:sz="8" w:color="B6B6B6"/>
            </w:tcBorders>
          </w:tcPr>
          <w:p>
            <w:pPr>
              <w:jc w:val="right"/>
              <w:ind w:right="608"/>
              <w:spacing w:after="0"/>
              <w:rPr>
                <w:sz w:val="20"/>
                <w:szCs w:val="20"/>
                <w:color w:val="auto"/>
              </w:rPr>
            </w:pPr>
            <w:r>
              <w:rPr>
                <w:rFonts w:ascii="Arial" w:cs="Arial" w:eastAsia="Arial" w:hAnsi="Arial"/>
                <w:sz w:val="14"/>
                <w:szCs w:val="14"/>
                <w:color w:val="auto"/>
              </w:rPr>
              <w:t>$ Change</w:t>
            </w:r>
          </w:p>
        </w:tc>
        <w:tc>
          <w:tcPr>
            <w:tcW w:w="134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840" w:type="dxa"/>
            <w:vAlign w:val="bottom"/>
            <w:tcBorders>
              <w:left w:val="single" w:sz="8" w:color="929292"/>
            </w:tcBorders>
            <w:vMerge w:val="restart"/>
          </w:tcPr>
          <w:p>
            <w:pPr>
              <w:ind w:left="1120"/>
              <w:spacing w:after="0"/>
              <w:rPr>
                <w:sz w:val="20"/>
                <w:szCs w:val="20"/>
                <w:color w:val="auto"/>
              </w:rPr>
            </w:pPr>
            <w:r>
              <w:rPr>
                <w:rFonts w:ascii="Arial" w:cs="Arial" w:eastAsia="Arial" w:hAnsi="Arial"/>
                <w:sz w:val="14"/>
                <w:szCs w:val="14"/>
                <w:b w:val="1"/>
                <w:bCs w:val="1"/>
                <w:color w:val="151D8E"/>
              </w:rPr>
              <w:t>Direct Operating Cost Per Submission</w:t>
            </w:r>
          </w:p>
        </w:tc>
        <w:tc>
          <w:tcPr>
            <w:tcW w:w="100" w:type="dxa"/>
            <w:vAlign w:val="bottom"/>
            <w:shd w:val="clear" w:color="auto" w:fill="929292"/>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663</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08"/>
              <w:spacing w:after="0"/>
              <w:rPr>
                <w:sz w:val="20"/>
                <w:szCs w:val="20"/>
                <w:color w:val="auto"/>
              </w:rPr>
            </w:pPr>
            <w:r>
              <w:rPr>
                <w:rFonts w:ascii="Arial" w:cs="Arial" w:eastAsia="Arial" w:hAnsi="Arial"/>
                <w:sz w:val="14"/>
                <w:szCs w:val="14"/>
                <w:color w:val="auto"/>
              </w:rPr>
              <w:t>(82)</w:t>
            </w:r>
          </w:p>
        </w:tc>
        <w:tc>
          <w:tcPr>
            <w:tcW w:w="134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5"/>
        </w:trPr>
        <w:tc>
          <w:tcPr>
            <w:tcW w:w="484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vMerge w:val="restart"/>
          </w:tcPr>
          <w:p>
            <w:pPr>
              <w:ind w:left="280"/>
              <w:spacing w:after="0"/>
              <w:rPr>
                <w:sz w:val="20"/>
                <w:szCs w:val="20"/>
                <w:color w:val="auto"/>
              </w:rPr>
            </w:pPr>
            <w:r>
              <w:rPr>
                <w:rFonts w:ascii="Arial" w:cs="Arial" w:eastAsia="Arial" w:hAnsi="Arial"/>
                <w:sz w:val="14"/>
                <w:szCs w:val="14"/>
                <w:color w:val="auto"/>
              </w:rPr>
              <w:t>Nine months ended Sep. 30,</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40" w:type="dxa"/>
            <w:vAlign w:val="bottom"/>
            <w:tcBorders>
              <w:left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ind w:left="240"/>
              <w:spacing w:after="0"/>
              <w:rPr>
                <w:sz w:val="20"/>
                <w:szCs w:val="20"/>
                <w:color w:val="auto"/>
              </w:rPr>
            </w:pPr>
            <w:r>
              <w:rPr>
                <w:rFonts w:ascii="Arial" w:cs="Arial" w:eastAsia="Arial" w:hAnsi="Arial"/>
                <w:sz w:val="14"/>
                <w:szCs w:val="14"/>
                <w:color w:val="auto"/>
              </w:rPr>
              <w:t>2024</w:t>
            </w:r>
          </w:p>
        </w:tc>
        <w:tc>
          <w:tcPr>
            <w:tcW w:w="80" w:type="dxa"/>
            <w:vAlign w:val="bottom"/>
            <w:tcBorders>
              <w:bottom w:val="single" w:sz="8" w:color="929292"/>
            </w:tcBorders>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929292"/>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460" w:type="dxa"/>
            <w:vAlign w:val="bottom"/>
            <w:tcBorders>
              <w:bottom w:val="single" w:sz="8" w:color="B6B6B6"/>
            </w:tcBorders>
          </w:tcPr>
          <w:p>
            <w:pPr>
              <w:jc w:val="right"/>
              <w:ind w:right="608"/>
              <w:spacing w:after="0"/>
              <w:rPr>
                <w:sz w:val="20"/>
                <w:szCs w:val="20"/>
                <w:color w:val="auto"/>
              </w:rPr>
            </w:pPr>
            <w:r>
              <w:rPr>
                <w:rFonts w:ascii="Arial" w:cs="Arial" w:eastAsia="Arial" w:hAnsi="Arial"/>
                <w:sz w:val="14"/>
                <w:szCs w:val="14"/>
                <w:color w:val="auto"/>
              </w:rPr>
              <w:t>$ Change</w:t>
            </w:r>
          </w:p>
        </w:tc>
        <w:tc>
          <w:tcPr>
            <w:tcW w:w="134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8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647</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08"/>
              <w:spacing w:after="0"/>
              <w:rPr>
                <w:sz w:val="20"/>
                <w:szCs w:val="20"/>
                <w:color w:val="auto"/>
              </w:rPr>
            </w:pPr>
            <w:r>
              <w:rPr>
                <w:rFonts w:ascii="Arial" w:cs="Arial" w:eastAsia="Arial" w:hAnsi="Arial"/>
                <w:sz w:val="14"/>
                <w:szCs w:val="14"/>
                <w:color w:val="auto"/>
              </w:rPr>
              <w:t>(32)</w:t>
            </w:r>
          </w:p>
        </w:tc>
        <w:tc>
          <w:tcPr>
            <w:tcW w:w="134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Direct Operating Cost of Submission (in thousands) and Sales/Direct Operating Cost of Submission for the periods presented: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160" w:type="dxa"/>
            <w:vAlign w:val="bottom"/>
            <w:gridSpan w:val="6"/>
          </w:tcPr>
          <w:p>
            <w:pPr>
              <w:ind w:left="580"/>
              <w:spacing w:after="0"/>
              <w:rPr>
                <w:sz w:val="20"/>
                <w:szCs w:val="20"/>
                <w:color w:val="auto"/>
              </w:rPr>
            </w:pPr>
            <w:r>
              <w:rPr>
                <w:rFonts w:ascii="Arial" w:cs="Arial" w:eastAsia="Arial" w:hAnsi="Arial"/>
                <w:sz w:val="14"/>
                <w:szCs w:val="14"/>
                <w:color w:val="auto"/>
              </w:rPr>
              <w:t>Three months ended Sep. 30,</w:t>
            </w:r>
          </w:p>
        </w:tc>
        <w:tc>
          <w:tcPr>
            <w:tcW w:w="340" w:type="dxa"/>
            <w:vAlign w:val="bottom"/>
          </w:tcPr>
          <w:p>
            <w:pPr>
              <w:spacing w:after="0"/>
              <w:rPr>
                <w:sz w:val="17"/>
                <w:szCs w:val="17"/>
                <w:color w:val="auto"/>
              </w:rPr>
            </w:pPr>
          </w:p>
        </w:tc>
        <w:tc>
          <w:tcPr>
            <w:tcW w:w="2720" w:type="dxa"/>
            <w:vAlign w:val="bottom"/>
            <w:gridSpan w:val="4"/>
          </w:tcPr>
          <w:p>
            <w:pPr>
              <w:jc w:val="right"/>
              <w:ind w:right="548"/>
              <w:spacing w:after="0"/>
              <w:rPr>
                <w:sz w:val="20"/>
                <w:szCs w:val="20"/>
                <w:color w:val="auto"/>
              </w:rPr>
            </w:pPr>
            <w:r>
              <w:rPr>
                <w:rFonts w:ascii="Arial" w:cs="Arial" w:eastAsia="Arial" w:hAnsi="Arial"/>
                <w:sz w:val="14"/>
                <w:szCs w:val="14"/>
                <w:color w:val="auto"/>
              </w:rPr>
              <w:t>Nine months ended Sep. 30,</w:t>
            </w:r>
          </w:p>
        </w:tc>
      </w:tr>
      <w:tr>
        <w:trPr>
          <w:trHeight w:val="192"/>
        </w:trPr>
        <w:tc>
          <w:tcPr>
            <w:tcW w:w="4880" w:type="dxa"/>
            <w:vAlign w:val="bottom"/>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900" w:type="dxa"/>
            <w:vAlign w:val="bottom"/>
            <w:tcBorders>
              <w:bottom w:val="single" w:sz="8" w:color="929292"/>
            </w:tcBorders>
          </w:tcPr>
          <w:p>
            <w:pPr>
              <w:ind w:left="580"/>
              <w:spacing w:after="0"/>
              <w:rPr>
                <w:sz w:val="20"/>
                <w:szCs w:val="20"/>
                <w:color w:val="auto"/>
              </w:rPr>
            </w:pPr>
            <w:r>
              <w:rPr>
                <w:rFonts w:ascii="Arial" w:cs="Arial" w:eastAsia="Arial" w:hAnsi="Arial"/>
                <w:sz w:val="14"/>
                <w:szCs w:val="14"/>
                <w:color w:val="auto"/>
                <w:w w:val="96"/>
              </w:rPr>
              <w:t>2024</w:t>
            </w:r>
          </w:p>
        </w:tc>
        <w:tc>
          <w:tcPr>
            <w:tcW w:w="580" w:type="dxa"/>
            <w:vAlign w:val="bottom"/>
            <w:tcBorders>
              <w:bottom w:val="single" w:sz="8" w:color="929292"/>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5"/>
        </w:trPr>
        <w:tc>
          <w:tcPr>
            <w:tcW w:w="4880" w:type="dxa"/>
            <w:vAlign w:val="bottom"/>
          </w:tcPr>
          <w:p>
            <w:pPr>
              <w:spacing w:after="0"/>
              <w:rPr>
                <w:sz w:val="20"/>
                <w:szCs w:val="20"/>
                <w:color w:val="auto"/>
              </w:rPr>
            </w:pPr>
            <w:r>
              <w:rPr>
                <w:rFonts w:ascii="Arial" w:cs="Arial" w:eastAsia="Arial" w:hAnsi="Arial"/>
                <w:sz w:val="14"/>
                <w:szCs w:val="14"/>
                <w:color w:val="auto"/>
              </w:rPr>
              <w:t>Direct Operating Cost of Submission</w:t>
            </w:r>
          </w:p>
        </w:tc>
        <w:tc>
          <w:tcPr>
            <w:tcW w:w="100" w:type="dxa"/>
            <w:vAlign w:val="bottom"/>
            <w:shd w:val="clear" w:color="auto" w:fill="929292"/>
          </w:tcPr>
          <w:p>
            <w:pPr>
              <w:spacing w:after="0"/>
              <w:rPr>
                <w:sz w:val="16"/>
                <w:szCs w:val="16"/>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110,245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120,362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346,112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365,612</w:t>
            </w:r>
          </w:p>
        </w:tc>
      </w:tr>
      <w:tr>
        <w:trPr>
          <w:trHeight w:val="210"/>
        </w:trPr>
        <w:tc>
          <w:tcPr>
            <w:tcW w:w="4880" w:type="dxa"/>
            <w:vAlign w:val="bottom"/>
          </w:tcPr>
          <w:p>
            <w:pPr>
              <w:spacing w:after="0"/>
              <w:rPr>
                <w:sz w:val="20"/>
                <w:szCs w:val="20"/>
                <w:color w:val="auto"/>
              </w:rPr>
            </w:pPr>
            <w:r>
              <w:rPr>
                <w:rFonts w:ascii="Arial" w:cs="Arial" w:eastAsia="Arial" w:hAnsi="Arial"/>
                <w:sz w:val="14"/>
                <w:szCs w:val="14"/>
                <w:color w:val="auto"/>
              </w:rPr>
              <w:t>Sales/Direct Operating Cost of Submission</w:t>
            </w:r>
          </w:p>
        </w:tc>
        <w:tc>
          <w:tcPr>
            <w:tcW w:w="100" w:type="dxa"/>
            <w:vAlign w:val="bottom"/>
            <w:shd w:val="clear" w:color="auto" w:fill="929292"/>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sectPr>
      <w:pgSz w:w="11900" w:h="16838" w:orient="portrait"/>
      <w:cols w:equalWidth="0" w:num="1">
        <w:col w:w="11240"/>
      </w:cols>
      <w:pgMar w:left="32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2024-11-07T06:45:56Z</dcterms:created>
  <dcterms:modified xsi:type="dcterms:W3CDTF">2024-11-07T06:45:56Z</dcterms:modified>
</cp:coreProperties>
</file>