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GoHealth,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38046W204</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Adam Bensley</w:t>
              <w:br/>
              <w:t xml:space="preserve">250 West 55th St., 26th Floor, </w:t>
              <w:br/>
              <w:t>New York, NY, 10019</w:t>
              <w:br/>
              <w:t>212-970-1400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08/06/2025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38046W204</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Redwood Capital Management,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924,244.00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924,244.00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924,244.00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38046W204</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Redwood Capital Management Holdings,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924,244.00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924,244.00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924,244.00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38046W204</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Double Twins K,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924,244.00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924,244.00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924,244.00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21" w:type="dxa"/>
        <w:jc w:val="left"/>
        <w:tblInd w:w="0" w:type="dxa"/>
        <w:tblLayout w:type="fixed"/>
        <w:tblCellMar>
          <w:top w:w="28" w:type="dxa"/>
          <w:left w:w="28" w:type="dxa"/>
          <w:bottom w:w="28" w:type="dxa"/>
          <w:right w:w="28" w:type="dxa"/>
        </w:tblCellMar>
      </w:tblPr>
      <w:tblGrid>
        <w:gridCol w:w="1280"/>
        <w:gridCol w:w="3841"/>
      </w:tblGrid>
      <w:tr>
        <w:trPr/>
        <w:tc>
          <w:tcPr>
            <w:tcW w:w="1280" w:type="dxa"/>
            <w:tcBorders/>
            <w:vAlign w:val="center"/>
          </w:tcPr>
          <w:p>
            <w:pPr>
              <w:pStyle w:val="TableContents"/>
              <w:bidi w:val="0"/>
              <w:spacing w:before="0" w:after="283"/>
              <w:jc w:val="left"/>
              <w:rPr>
                <w:b/>
              </w:rPr>
            </w:pPr>
            <w:r>
              <w:rPr>
                <w:b/>
              </w:rPr>
              <w:t>CUSIP No.</w:t>
            </w:r>
          </w:p>
        </w:tc>
        <w:tc>
          <w:tcPr>
            <w:tcW w:w="3841" w:type="dxa"/>
            <w:tcBorders/>
            <w:vAlign w:val="center"/>
          </w:tcPr>
          <w:p>
            <w:pPr>
              <w:pStyle w:val="TableContents"/>
              <w:bidi w:val="0"/>
              <w:spacing w:before="0" w:after="0"/>
              <w:jc w:val="left"/>
              <w:rPr/>
            </w:pPr>
            <w:r>
              <w:rPr/>
              <w:t>38046W204</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Ruben Kliksberg</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924,244.00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924,244.00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924,244.00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5.8 %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item1to7"/>
      <w:bookmarkStart w:id="23" w:name="item1to7"/>
      <w:bookmarkEnd w:id="23"/>
    </w:p>
    <w:tbl>
      <w:tblPr>
        <w:tblW w:w="10205" w:type="dxa"/>
        <w:jc w:val="left"/>
        <w:tblInd w:w="0" w:type="dxa"/>
        <w:tblLayout w:type="fixed"/>
        <w:tblCellMar>
          <w:top w:w="28" w:type="dxa"/>
          <w:left w:w="28" w:type="dxa"/>
          <w:bottom w:w="28" w:type="dxa"/>
          <w:right w:w="28" w:type="dxa"/>
        </w:tblCellMar>
      </w:tblPr>
      <w:tblGrid>
        <w:gridCol w:w="1148"/>
        <w:gridCol w:w="9057"/>
      </w:tblGrid>
      <w:tr>
        <w:trPr/>
        <w:tc>
          <w:tcPr>
            <w:tcW w:w="1148" w:type="dxa"/>
            <w:tcBorders/>
            <w:vAlign w:val="center"/>
          </w:tcPr>
          <w:p>
            <w:pPr>
              <w:pStyle w:val="TableContents"/>
              <w:bidi w:val="0"/>
              <w:spacing w:before="0" w:after="283"/>
              <w:jc w:val="left"/>
              <w:rPr/>
            </w:pPr>
            <w:r>
              <w:rPr/>
              <w:t>Item 1.</w:t>
            </w:r>
          </w:p>
        </w:tc>
        <w:tc>
          <w:tcPr>
            <w:tcW w:w="9057" w:type="dxa"/>
            <w:tcBorders/>
            <w:vAlign w:val="center"/>
          </w:tcPr>
          <w:p>
            <w:pPr>
              <w:pStyle w:val="TableContents"/>
              <w:bidi w:val="0"/>
              <w:spacing w:before="0" w:after="283"/>
              <w:jc w:val="left"/>
              <w:rPr/>
            </w:pPr>
            <w:r>
              <w:rPr/>
              <w:t>Security and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jc w:val="left"/>
              <w:rPr/>
            </w:pPr>
            <w:r>
              <w:rPr/>
              <w:t xml:space="preserve">Name of Issuer: </w:t>
            </w:r>
          </w:p>
          <w:p>
            <w:pPr>
              <w:pStyle w:val="TableContents"/>
              <w:bidi w:val="0"/>
              <w:spacing w:before="0" w:after="0"/>
              <w:jc w:val="left"/>
              <w:rPr/>
            </w:pPr>
            <w:r>
              <w:rPr/>
              <w:t>GoHealth, Inc.</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250 West 55th St., 26th Floor, New York, NEW YORK , 10019.</w:t>
            </w:r>
          </w:p>
        </w:tc>
      </w:tr>
      <w:tr>
        <w:trPr/>
        <w:tc>
          <w:tcPr>
            <w:tcW w:w="1148" w:type="dxa"/>
            <w:tcBorders/>
            <w:vAlign w:val="center"/>
          </w:tcPr>
          <w:p>
            <w:pPr>
              <w:pStyle w:val="TableContents"/>
              <w:bidi w:val="0"/>
              <w:spacing w:before="0" w:after="283"/>
              <w:jc w:val="left"/>
              <w:rPr/>
            </w:pPr>
            <w:r>
              <w:rPr/>
              <w:t>Item 2.</w:t>
            </w:r>
          </w:p>
        </w:tc>
        <w:tc>
          <w:tcPr>
            <w:tcW w:w="9057" w:type="dxa"/>
            <w:tcBorders/>
            <w:vAlign w:val="center"/>
          </w:tcPr>
          <w:p>
            <w:pPr>
              <w:pStyle w:val="TableContents"/>
              <w:bidi w:val="0"/>
              <w:spacing w:before="0" w:after="283"/>
              <w:jc w:val="left"/>
              <w:rPr/>
            </w:pPr>
            <w:r>
              <w:rPr/>
              <w:t>Identity and Background</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This statement is filed by: (i) Redwood Capital Management, LLC, which serves as the investment manager to certain funds (the "Redwood Funds") with respect to the shares of Class A common stock, par value $0.0001 per share ("Class A Common Stock"), of GoHealth, Inc. (the "Issuer") directly held by the Redwood Funds; (ii) Redwood Capital Management Holdings, LP, the sole member of Redwood Capital Management, LLC; (iii) Double Twins K, LLC, the general partner of Redwood Capital Management Holdings, LP; and (iv) Ruben Kliksberg, the Managing Member of Double Twins K, LLC. Each of Redwood Capital Management, LLC, Redwood Capital Management Holdings, LP, Double Twins K, LLC and Mr. Kliksberg is referred to as a "Reporting Person" and collectively as the "Reporting Persons."</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The principal business address of each of the Reporting Persons is 250 West 55th St., 26th Floor, New York, NY 10019.</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The principal business of each of the Reporting Persons is investment management.</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None of the Reporting Persons has, during the last five years, been convicted in a criminal proceeding (excluding traffic violations or similar misdemeanors).</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None of the Reporting Persons has, during the last five years,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48" w:type="dxa"/>
            <w:tcBorders/>
            <w:vAlign w:val="center"/>
          </w:tcPr>
          <w:p>
            <w:pPr>
              <w:pStyle w:val="TableContents"/>
              <w:bidi w:val="0"/>
              <w:spacing w:before="0" w:after="283"/>
              <w:jc w:val="left"/>
              <w:rPr/>
            </w:pPr>
            <w:r>
              <w:rPr/>
              <w:t>(f)</w:t>
            </w:r>
          </w:p>
        </w:tc>
        <w:tc>
          <w:tcPr>
            <w:tcW w:w="9057" w:type="dxa"/>
            <w:tcBorders/>
            <w:vAlign w:val="center"/>
          </w:tcPr>
          <w:p>
            <w:pPr>
              <w:pStyle w:val="TableContents"/>
              <w:bidi w:val="0"/>
              <w:spacing w:before="0" w:after="0"/>
              <w:jc w:val="left"/>
              <w:rPr/>
            </w:pPr>
            <w:r>
              <w:rPr/>
              <w:t>Redwood Capital Management, LLC is a Delaware limited liability company. Redwood Capital Management Holdings, LP is a Delaware limited partnership. Double Twins K, LLC is a Delaware limited liability company. Mr. Kliksberg is a citizen of the United States of America.</w:t>
            </w:r>
          </w:p>
        </w:tc>
      </w:tr>
      <w:tr>
        <w:trPr/>
        <w:tc>
          <w:tcPr>
            <w:tcW w:w="1148" w:type="dxa"/>
            <w:tcBorders/>
            <w:vAlign w:val="center"/>
          </w:tcPr>
          <w:p>
            <w:pPr>
              <w:pStyle w:val="TableContents"/>
              <w:bidi w:val="0"/>
              <w:spacing w:before="0" w:after="283"/>
              <w:jc w:val="left"/>
              <w:rPr/>
            </w:pPr>
            <w:r>
              <w:rPr/>
              <w:t>Item 3.</w:t>
            </w:r>
          </w:p>
        </w:tc>
        <w:tc>
          <w:tcPr>
            <w:tcW w:w="9057" w:type="dxa"/>
            <w:tcBorders/>
            <w:vAlign w:val="center"/>
          </w:tcPr>
          <w:p>
            <w:pPr>
              <w:pStyle w:val="TableContents"/>
              <w:bidi w:val="0"/>
              <w:spacing w:before="0" w:after="283"/>
              <w:jc w:val="left"/>
              <w:rPr/>
            </w:pPr>
            <w:r>
              <w:rPr/>
              <w:t>Source and Amount of Funds or Other Consideration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Item 4 of this Schedule 13D is incorporated herein by reference.</w:t>
            </w:r>
          </w:p>
        </w:tc>
      </w:tr>
      <w:tr>
        <w:trPr/>
        <w:tc>
          <w:tcPr>
            <w:tcW w:w="1148" w:type="dxa"/>
            <w:tcBorders/>
            <w:vAlign w:val="center"/>
          </w:tcPr>
          <w:p>
            <w:pPr>
              <w:pStyle w:val="TableContents"/>
              <w:bidi w:val="0"/>
              <w:spacing w:before="0" w:after="283"/>
              <w:jc w:val="left"/>
              <w:rPr/>
            </w:pPr>
            <w:r>
              <w:rPr/>
              <w:t>Item 4.</w:t>
            </w:r>
          </w:p>
        </w:tc>
        <w:tc>
          <w:tcPr>
            <w:tcW w:w="9057" w:type="dxa"/>
            <w:tcBorders/>
            <w:vAlign w:val="center"/>
          </w:tcPr>
          <w:p>
            <w:pPr>
              <w:pStyle w:val="TableContents"/>
              <w:bidi w:val="0"/>
              <w:spacing w:before="0" w:after="283"/>
              <w:jc w:val="left"/>
              <w:rPr/>
            </w:pPr>
            <w:r>
              <w:rPr/>
              <w:t>Purpose of Transaction</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On August 6, 2025, in connection with its refinancing transactions, the Issuer and certain of its subsidiaries entered into Amendment No. 14 to that certain Credit Agreement, dated as of September 13, 2019 (as amended, restated, amended and restated, supplemented or otherwise modified from time to time, the "Existing Credit Agreement"). As consideration for, and condition to, the lenders' entry into the amendment to the Existing Credit Agreement, the Issuer issued shares of its Class A Common Stock to lenders thereunder and their affiliates, including the Redwood Funds.</w:t>
            </w:r>
          </w:p>
        </w:tc>
      </w:tr>
      <w:tr>
        <w:trPr/>
        <w:tc>
          <w:tcPr>
            <w:tcW w:w="1148" w:type="dxa"/>
            <w:tcBorders/>
            <w:vAlign w:val="center"/>
          </w:tcPr>
          <w:p>
            <w:pPr>
              <w:pStyle w:val="TableContents"/>
              <w:bidi w:val="0"/>
              <w:spacing w:before="0" w:after="283"/>
              <w:jc w:val="left"/>
              <w:rPr/>
            </w:pPr>
            <w:r>
              <w:rPr/>
              <w:t>Item 5.</w:t>
            </w:r>
          </w:p>
        </w:tc>
        <w:tc>
          <w:tcPr>
            <w:tcW w:w="9057" w:type="dxa"/>
            <w:tcBorders/>
            <w:vAlign w:val="center"/>
          </w:tcPr>
          <w:p>
            <w:pPr>
              <w:pStyle w:val="TableContents"/>
              <w:bidi w:val="0"/>
              <w:spacing w:before="0" w:after="283"/>
              <w:jc w:val="left"/>
              <w:rPr/>
            </w:pPr>
            <w:r>
              <w:rPr/>
              <w:t>Interest in Securities of the Issuer</w:t>
            </w:r>
          </w:p>
        </w:tc>
      </w:tr>
      <w:tr>
        <w:trPr/>
        <w:tc>
          <w:tcPr>
            <w:tcW w:w="1148" w:type="dxa"/>
            <w:tcBorders/>
            <w:vAlign w:val="center"/>
          </w:tcPr>
          <w:p>
            <w:pPr>
              <w:pStyle w:val="TableContents"/>
              <w:bidi w:val="0"/>
              <w:spacing w:before="0" w:after="283"/>
              <w:jc w:val="left"/>
              <w:rPr/>
            </w:pPr>
            <w:r>
              <w:rPr/>
              <w:t>(a)</w:t>
            </w:r>
          </w:p>
        </w:tc>
        <w:tc>
          <w:tcPr>
            <w:tcW w:w="9057" w:type="dxa"/>
            <w:tcBorders/>
            <w:vAlign w:val="center"/>
          </w:tcPr>
          <w:p>
            <w:pPr>
              <w:pStyle w:val="TableContents"/>
              <w:bidi w:val="0"/>
              <w:spacing w:before="0" w:after="0"/>
              <w:jc w:val="left"/>
              <w:rPr/>
            </w:pPr>
            <w:r>
              <w:rPr/>
              <w:t>See rows (11) and (13) of the cover page to this Schedule 13D for the aggregate number of shares of Class A Common Stock and percentage of Class A Common Stock beneficially owned by each Reporting Person. The aggregate percentage of Class A Common Stock reported beneficially owned by each Reporting Person is based upon 11,222,135 shares of Class A Common Stock outstanding as of August 5, 2025, based on information provided by the Issuer, plus 4,766,219 shares of Class A Common Stock issued on August 6, 2025, as reported in the Issuer's Form 8-K filed with the Securities and Exchange Commission on August 7, 2025.</w:t>
            </w:r>
          </w:p>
        </w:tc>
      </w:tr>
      <w:tr>
        <w:trPr/>
        <w:tc>
          <w:tcPr>
            <w:tcW w:w="1148" w:type="dxa"/>
            <w:tcBorders/>
            <w:vAlign w:val="center"/>
          </w:tcPr>
          <w:p>
            <w:pPr>
              <w:pStyle w:val="TableContents"/>
              <w:bidi w:val="0"/>
              <w:spacing w:before="0" w:after="283"/>
              <w:jc w:val="left"/>
              <w:rPr/>
            </w:pPr>
            <w:r>
              <w:rPr/>
              <w:t>(b)</w:t>
            </w:r>
          </w:p>
        </w:tc>
        <w:tc>
          <w:tcPr>
            <w:tcW w:w="9057" w:type="dxa"/>
            <w:tcBorders/>
            <w:vAlign w:val="center"/>
          </w:tcPr>
          <w:p>
            <w:pPr>
              <w:pStyle w:val="TableContents"/>
              <w:bidi w:val="0"/>
              <w:spacing w:before="0" w:after="0"/>
              <w:jc w:val="left"/>
              <w:rPr/>
            </w:pPr>
            <w:r>
              <w:rPr/>
              <w:t>See rows (7) through (10) of the cover page to this Schedule 13D for the shares of Class A Common Stock as to which each Reporting Person has the sole or shared power to vote or direct the vote and sole or shared power to dispose or to direct the disposition.</w:t>
            </w:r>
          </w:p>
        </w:tc>
      </w:tr>
      <w:tr>
        <w:trPr/>
        <w:tc>
          <w:tcPr>
            <w:tcW w:w="1148" w:type="dxa"/>
            <w:tcBorders/>
            <w:vAlign w:val="center"/>
          </w:tcPr>
          <w:p>
            <w:pPr>
              <w:pStyle w:val="TableContents"/>
              <w:bidi w:val="0"/>
              <w:spacing w:before="0" w:after="283"/>
              <w:jc w:val="left"/>
              <w:rPr/>
            </w:pPr>
            <w:r>
              <w:rPr/>
              <w:t>(c)</w:t>
            </w:r>
          </w:p>
        </w:tc>
        <w:tc>
          <w:tcPr>
            <w:tcW w:w="9057" w:type="dxa"/>
            <w:tcBorders/>
            <w:vAlign w:val="center"/>
          </w:tcPr>
          <w:p>
            <w:pPr>
              <w:pStyle w:val="TableContents"/>
              <w:bidi w:val="0"/>
              <w:spacing w:before="0" w:after="0"/>
              <w:jc w:val="left"/>
              <w:rPr/>
            </w:pPr>
            <w:r>
              <w:rPr/>
              <w:t>Except as described in Item 4 of this Schedule 13D, no transactions in shares of Class A Common Stock have been effected by the Reporting Persons during the past sixty (60) days.</w:t>
            </w:r>
          </w:p>
        </w:tc>
      </w:tr>
      <w:tr>
        <w:trPr/>
        <w:tc>
          <w:tcPr>
            <w:tcW w:w="1148" w:type="dxa"/>
            <w:tcBorders/>
            <w:vAlign w:val="center"/>
          </w:tcPr>
          <w:p>
            <w:pPr>
              <w:pStyle w:val="TableContents"/>
              <w:bidi w:val="0"/>
              <w:spacing w:before="0" w:after="283"/>
              <w:jc w:val="left"/>
              <w:rPr/>
            </w:pPr>
            <w:r>
              <w:rPr/>
              <w:t>(d)</w:t>
            </w:r>
          </w:p>
        </w:tc>
        <w:tc>
          <w:tcPr>
            <w:tcW w:w="9057" w:type="dxa"/>
            <w:tcBorders/>
            <w:vAlign w:val="center"/>
          </w:tcPr>
          <w:p>
            <w:pPr>
              <w:pStyle w:val="TableContents"/>
              <w:bidi w:val="0"/>
              <w:spacing w:before="0" w:after="0"/>
              <w:jc w:val="left"/>
              <w:rPr/>
            </w:pPr>
            <w:r>
              <w:rPr/>
              <w:t>Other than the Reporting Persons and the Redwood Funds, no persons have the right to receive or the power to direct the receipt of dividends from, or the proceeds from the sale of, the shares of Class A Common Stock reported herein.</w:t>
            </w:r>
          </w:p>
        </w:tc>
      </w:tr>
      <w:tr>
        <w:trPr/>
        <w:tc>
          <w:tcPr>
            <w:tcW w:w="1148" w:type="dxa"/>
            <w:tcBorders/>
            <w:vAlign w:val="center"/>
          </w:tcPr>
          <w:p>
            <w:pPr>
              <w:pStyle w:val="TableContents"/>
              <w:bidi w:val="0"/>
              <w:spacing w:before="0" w:after="283"/>
              <w:jc w:val="left"/>
              <w:rPr/>
            </w:pPr>
            <w:r>
              <w:rPr/>
              <w:t>(e)</w:t>
            </w:r>
          </w:p>
        </w:tc>
        <w:tc>
          <w:tcPr>
            <w:tcW w:w="9057" w:type="dxa"/>
            <w:tcBorders/>
            <w:vAlign w:val="center"/>
          </w:tcPr>
          <w:p>
            <w:pPr>
              <w:pStyle w:val="TableContents"/>
              <w:bidi w:val="0"/>
              <w:spacing w:before="0" w:after="0"/>
              <w:jc w:val="left"/>
              <w:rPr/>
            </w:pPr>
            <w:r>
              <w:rPr/>
              <w:t>Not applicable.</w:t>
            </w:r>
          </w:p>
        </w:tc>
      </w:tr>
      <w:tr>
        <w:trPr/>
        <w:tc>
          <w:tcPr>
            <w:tcW w:w="1148" w:type="dxa"/>
            <w:tcBorders/>
            <w:vAlign w:val="center"/>
          </w:tcPr>
          <w:p>
            <w:pPr>
              <w:pStyle w:val="TableContents"/>
              <w:bidi w:val="0"/>
              <w:spacing w:before="0" w:after="283"/>
              <w:jc w:val="left"/>
              <w:rPr/>
            </w:pPr>
            <w:r>
              <w:rPr/>
              <w:t>Item 6.</w:t>
            </w:r>
          </w:p>
        </w:tc>
        <w:tc>
          <w:tcPr>
            <w:tcW w:w="9057"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Item 4 of this Schedule 13D is incorporated herein by reference. Other than as described herein, there are no contracts, arrangements, understandings or relationships with respect to the securities of the Issuer.</w:t>
            </w:r>
          </w:p>
        </w:tc>
      </w:tr>
      <w:tr>
        <w:trPr/>
        <w:tc>
          <w:tcPr>
            <w:tcW w:w="1148" w:type="dxa"/>
            <w:tcBorders/>
            <w:vAlign w:val="center"/>
          </w:tcPr>
          <w:p>
            <w:pPr>
              <w:pStyle w:val="TableContents"/>
              <w:bidi w:val="0"/>
              <w:spacing w:before="0" w:after="283"/>
              <w:jc w:val="left"/>
              <w:rPr/>
            </w:pPr>
            <w:r>
              <w:rPr/>
              <w:t>Item 7.</w:t>
            </w:r>
          </w:p>
        </w:tc>
        <w:tc>
          <w:tcPr>
            <w:tcW w:w="9057" w:type="dxa"/>
            <w:tcBorders/>
            <w:vAlign w:val="center"/>
          </w:tcPr>
          <w:p>
            <w:pPr>
              <w:pStyle w:val="TableContents"/>
              <w:bidi w:val="0"/>
              <w:spacing w:before="0" w:after="283"/>
              <w:jc w:val="left"/>
              <w:rPr/>
            </w:pPr>
            <w:r>
              <w:rPr/>
              <w:t>Material to be Filed as Exhibits.</w:t>
            </w:r>
          </w:p>
        </w:tc>
      </w:tr>
      <w:tr>
        <w:trPr/>
        <w:tc>
          <w:tcPr>
            <w:tcW w:w="1148" w:type="dxa"/>
            <w:tcBorders/>
            <w:vAlign w:val="center"/>
          </w:tcPr>
          <w:p>
            <w:pPr>
              <w:pStyle w:val="TableContents"/>
              <w:bidi w:val="0"/>
              <w:spacing w:before="0" w:after="283"/>
              <w:jc w:val="left"/>
              <w:rPr/>
            </w:pPr>
            <w:r>
              <w:rPr/>
              <w:t> </w:t>
            </w:r>
          </w:p>
        </w:tc>
        <w:tc>
          <w:tcPr>
            <w:tcW w:w="9057" w:type="dxa"/>
            <w:tcBorders/>
            <w:vAlign w:val="center"/>
          </w:tcPr>
          <w:p>
            <w:pPr>
              <w:pStyle w:val="TableContents"/>
              <w:bidi w:val="0"/>
              <w:spacing w:before="0" w:after="0"/>
              <w:jc w:val="left"/>
              <w:rPr/>
            </w:pPr>
            <w:r>
              <w:rPr/>
              <w:t>Exhibit 99.1: Joint Filing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signatureInfo"/>
      <w:bookmarkStart w:id="25" w:name="signatureInfo"/>
      <w:bookmarkEnd w:id="2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Redwood Capital Management, LLC</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Ruben Kliksberg</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Ruben Kliksberg / Managing Member of Double Twins K, LLC, the general partner of Redwood Capital Management Holdings, LP, its sole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9236" w:type="dxa"/>
        <w:jc w:val="left"/>
        <w:tblInd w:w="0" w:type="dxa"/>
        <w:tblLayout w:type="fixed"/>
        <w:tblCellMar>
          <w:top w:w="28" w:type="dxa"/>
          <w:left w:w="28" w:type="dxa"/>
          <w:bottom w:w="28" w:type="dxa"/>
          <w:right w:w="28" w:type="dxa"/>
        </w:tblCellMar>
      </w:tblPr>
      <w:tblGrid>
        <w:gridCol w:w="4618"/>
        <w:gridCol w:w="4618"/>
      </w:tblGrid>
      <w:tr>
        <w:trPr/>
        <w:tc>
          <w:tcPr>
            <w:tcW w:w="4618" w:type="dxa"/>
            <w:tcBorders/>
            <w:vAlign w:val="center"/>
          </w:tcPr>
          <w:p>
            <w:pPr>
              <w:pStyle w:val="TableContents"/>
              <w:bidi w:val="0"/>
              <w:spacing w:before="0" w:after="0"/>
              <w:jc w:val="left"/>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0"/>
                    <w:jc w:val="left"/>
                    <w:rPr/>
                  </w:pPr>
                  <w:r>
                    <w:rPr/>
                    <w:t>Redwood Capital Management Holdings, LP</w:t>
                  </w:r>
                </w:p>
              </w:tc>
            </w:tr>
          </w:tbl>
          <w:p>
            <w:pPr>
              <w:pStyle w:val="TableContents"/>
              <w:bidi w:val="0"/>
              <w:spacing w:before="0" w:after="283"/>
              <w:jc w:val="left"/>
              <w:rPr/>
            </w:pPr>
            <w:r>
              <w:rPr/>
            </w:r>
          </w:p>
        </w:tc>
        <w:tc>
          <w:tcPr>
            <w:tcW w:w="46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5"/>
        <w:gridCol w:w="4290"/>
      </w:tblGrid>
      <w:tr>
        <w:trPr/>
        <w:tc>
          <w:tcPr>
            <w:tcW w:w="591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Ruben Kliksberg</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Ruben Kliksberg / Managing Member of Double Twins K, LLC, its general partner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290" w:type="dxa"/>
            <w:tcBorders/>
            <w:vAlign w:val="center"/>
          </w:tcPr>
          <w:p>
            <w:pPr>
              <w:pStyle w:val="TableContents"/>
              <w:bidi w:val="0"/>
              <w:spacing w:before="0" w:after="283"/>
              <w:jc w:val="left"/>
              <w:rPr>
                <w:sz w:val="4"/>
                <w:szCs w:val="4"/>
              </w:rPr>
            </w:pPr>
            <w:r>
              <w:rPr>
                <w:sz w:val="4"/>
                <w:szCs w:val="4"/>
              </w:rPr>
            </w:r>
          </w:p>
        </w:tc>
      </w:tr>
    </w:tbl>
    <w:tbl>
      <w:tblPr>
        <w:tblW w:w="4926" w:type="dxa"/>
        <w:jc w:val="left"/>
        <w:tblInd w:w="0" w:type="dxa"/>
        <w:tblLayout w:type="fixed"/>
        <w:tblCellMar>
          <w:top w:w="28" w:type="dxa"/>
          <w:left w:w="28" w:type="dxa"/>
          <w:bottom w:w="28" w:type="dxa"/>
          <w:right w:w="28" w:type="dxa"/>
        </w:tblCellMar>
      </w:tblPr>
      <w:tblGrid>
        <w:gridCol w:w="2463"/>
        <w:gridCol w:w="2463"/>
      </w:tblGrid>
      <w:tr>
        <w:trPr/>
        <w:tc>
          <w:tcPr>
            <w:tcW w:w="2463" w:type="dxa"/>
            <w:tcBorders/>
            <w:vAlign w:val="center"/>
          </w:tcPr>
          <w:p>
            <w:pPr>
              <w:pStyle w:val="TableContents"/>
              <w:bidi w:val="0"/>
              <w:spacing w:before="0" w:after="0"/>
              <w:jc w:val="left"/>
              <w:rPr/>
            </w:pPr>
            <w:r>
              <w:rPr/>
              <w:t> </w:t>
            </w:r>
          </w:p>
          <w:tbl>
            <w:tblPr>
              <w:tblW w:w="2356" w:type="dxa"/>
              <w:jc w:val="left"/>
              <w:tblInd w:w="0" w:type="dxa"/>
              <w:tblLayout w:type="fixed"/>
              <w:tblCellMar>
                <w:top w:w="28" w:type="dxa"/>
                <w:left w:w="28" w:type="dxa"/>
                <w:bottom w:w="28" w:type="dxa"/>
                <w:right w:w="28" w:type="dxa"/>
              </w:tblCellMar>
            </w:tblPr>
            <w:tblGrid>
              <w:gridCol w:w="2356"/>
            </w:tblGrid>
            <w:tr>
              <w:trPr/>
              <w:tc>
                <w:tcPr>
                  <w:tcW w:w="2356" w:type="dxa"/>
                  <w:tcBorders/>
                  <w:vAlign w:val="center"/>
                </w:tcPr>
                <w:p>
                  <w:pPr>
                    <w:pStyle w:val="TableContents"/>
                    <w:bidi w:val="0"/>
                    <w:spacing w:before="0" w:after="0"/>
                    <w:jc w:val="left"/>
                    <w:rPr/>
                  </w:pPr>
                  <w:r>
                    <w:rPr/>
                    <w:t>Double Twins K, LLC</w:t>
                  </w:r>
                </w:p>
              </w:tc>
            </w:tr>
          </w:tbl>
          <w:p>
            <w:pPr>
              <w:pStyle w:val="TableContents"/>
              <w:bidi w:val="0"/>
              <w:spacing w:before="0" w:after="283"/>
              <w:jc w:val="left"/>
              <w:rPr/>
            </w:pPr>
            <w:r>
              <w:rPr/>
            </w:r>
          </w:p>
        </w:tc>
        <w:tc>
          <w:tcPr>
            <w:tcW w:w="24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3"/>
        <w:gridCol w:w="4292"/>
      </w:tblGrid>
      <w:tr>
        <w:trPr/>
        <w:tc>
          <w:tcPr>
            <w:tcW w:w="591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Ruben Kliksber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Ruben Kliksberg /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292"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Ruben Kliksberg</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3"/>
        <w:gridCol w:w="4212"/>
      </w:tblGrid>
      <w:tr>
        <w:trPr/>
        <w:tc>
          <w:tcPr>
            <w:tcW w:w="59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Ruben Kliksberg</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Ruben Kliksberg /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08/13/2025</w:t>
                  </w:r>
                </w:p>
              </w:tc>
            </w:tr>
          </w:tbl>
          <w:p>
            <w:pPr>
              <w:pStyle w:val="TableContents"/>
              <w:bidi w:val="0"/>
              <w:spacing w:before="0" w:after="283"/>
              <w:jc w:val="left"/>
              <w:rPr/>
            </w:pPr>
            <w:r>
              <w:rPr/>
            </w:r>
          </w:p>
        </w:tc>
        <w:tc>
          <w:tcPr>
            <w:tcW w:w="4212"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6" w:name="d11961668_ex99-1.htm"/>
      <w:bookmarkStart w:id="27" w:name="ksd11961668_ex991"/>
      <w:bookmarkEnd w:id="26"/>
      <w:bookmarkEnd w:id="27"/>
      <w:r>
        <w:rPr/>
        <w:t> </w:t>
      </w:r>
      <w:r>
        <w:br w:type="page"/>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EXHIBIT 99.1</w:t>
      </w:r>
    </w:p>
    <w:p>
      <w:pPr>
        <w:pStyle w:val="TextBody"/>
        <w:bidi w:val="0"/>
        <w:spacing w:before="0" w:after="240"/>
        <w:jc w:val="center"/>
        <w:rPr>
          <w:rFonts w:ascii="Times New Roman;Times;Serif" w:hAnsi="Times New Roman;Times;Serif"/>
          <w:b/>
          <w:i w:val="false"/>
          <w:caps w:val="false"/>
          <w:smallCaps w:val="false"/>
          <w:sz w:val="22"/>
          <w:u w:val="single"/>
        </w:rPr>
      </w:pPr>
      <w:r>
        <w:rPr>
          <w:rFonts w:ascii="Times New Roman;Times;Serif" w:hAnsi="Times New Roman;Times;Serif"/>
          <w:b/>
          <w:i w:val="false"/>
          <w:caps w:val="false"/>
          <w:smallCaps w:val="false"/>
          <w:sz w:val="22"/>
          <w:u w:val="single"/>
        </w:rPr>
        <w:t>JOINT FILING AGREEMENT</w:t>
      </w:r>
    </w:p>
    <w:p>
      <w:pPr>
        <w:pStyle w:val="TextBody"/>
        <w:bidi w:val="0"/>
        <w:spacing w:before="0" w:after="240"/>
        <w:ind w:left="0" w:right="0" w:firstLine="144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13D dated August 13, 2025 relating to the Class A common stock, par value $0.0001 per share, of GoHealth, Inc. shall be filed on behalf of the undersigned.</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30"/>
        <w:gridCol w:w="75"/>
      </w:tblGrid>
      <w:tr>
        <w:trPr/>
        <w:tc>
          <w:tcPr>
            <w:tcW w:w="10130" w:type="dxa"/>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REDWOOD CAPITAL MANAGEMENT LLC</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Redwood Capital Management Holdings, LP, its sole member, By: Double Twins K, LLC, its general partner, By: /s/ Ruben Kliksberg</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Ruben Kliksberg</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Managing Member</w:t>
            </w:r>
          </w:p>
        </w:tc>
        <w:tc>
          <w:tcPr>
            <w:tcW w:w="75" w:type="dxa"/>
            <w:tcBorders/>
            <w:vAlign w:val="center"/>
          </w:tcPr>
          <w:p>
            <w:pPr>
              <w:pStyle w:val="TableContents"/>
              <w:bidi w:val="0"/>
              <w:spacing w:before="0" w:after="283"/>
              <w:jc w:val="left"/>
              <w:rPr/>
            </w:pPr>
            <w:r>
              <w:rPr/>
              <w:t> </w:t>
            </w:r>
          </w:p>
        </w:tc>
      </w:tr>
      <w:tr>
        <w:trPr/>
        <w:tc>
          <w:tcPr>
            <w:tcW w:w="1013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REDWOOD CAPITAL MANAGEMENT HOLDINGS, LP</w:t>
            </w:r>
          </w:p>
        </w:tc>
      </w:tr>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Double Twins K, LLC, its general partner, By: /s/ Ruben Kliksberg</w:t>
            </w:r>
          </w:p>
        </w:tc>
      </w:tr>
      <w:tr>
        <w:trPr/>
        <w:tc>
          <w:tcPr>
            <w:tcW w:w="1020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Ruben Kliksberg</w:t>
            </w:r>
          </w:p>
        </w:tc>
      </w:tr>
      <w:tr>
        <w:trPr/>
        <w:tc>
          <w:tcPr>
            <w:tcW w:w="1020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Managing Member</w:t>
            </w:r>
          </w:p>
        </w:tc>
      </w:tr>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DOUBLE TWINS K, LLC</w:t>
            </w:r>
          </w:p>
        </w:tc>
      </w:tr>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/s/ Ruben Kliksberg</w:t>
            </w:r>
          </w:p>
        </w:tc>
      </w:tr>
      <w:tr>
        <w:trPr/>
        <w:tc>
          <w:tcPr>
            <w:tcW w:w="1020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Ruben Kliksberg</w:t>
            </w:r>
          </w:p>
        </w:tc>
      </w:tr>
      <w:tr>
        <w:trPr/>
        <w:tc>
          <w:tcPr>
            <w:tcW w:w="1020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 Managing Member</w:t>
            </w:r>
          </w:p>
        </w:tc>
      </w:tr>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RUBEN KLIKSBERG</w:t>
            </w:r>
          </w:p>
        </w:tc>
      </w:tr>
      <w:tr>
        <w:trPr/>
        <w:tc>
          <w:tcPr>
            <w:tcW w:w="10205" w:type="dxa"/>
            <w:gridSpan w:val="2"/>
            <w:tcBorders/>
            <w:vAlign w:val="center"/>
          </w:tcPr>
          <w:p>
            <w:pPr>
              <w:pStyle w:val="TableContents"/>
              <w:bidi w:val="0"/>
              <w:spacing w:before="0" w:after="283"/>
              <w:jc w:val="left"/>
              <w:rPr/>
            </w:pPr>
            <w:r>
              <w:rPr/>
              <w:t> </w:t>
            </w:r>
          </w:p>
        </w:tc>
      </w:tr>
      <w:tr>
        <w:trPr/>
        <w:tc>
          <w:tcPr>
            <w:tcW w:w="1020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 /s/ Ruben Kliksberg</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1715</Words>
  <Characters>8830</Characters>
  <CharactersWithSpaces>10412</CharactersWithSpaces>
  <Paragraphs>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