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CB Blizzard Holdings C,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84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11/15/2022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GoHealth,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GOCO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375 PARK AVENUE, 11TH FLOOR</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10152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4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9,083,645</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40"/>
        <w:spacing w:after="0" w:line="244" w:lineRule="auto"/>
        <w:rPr>
          <w:sz w:val="20"/>
          <w:szCs w:val="20"/>
          <w:color w:val="auto"/>
        </w:rPr>
      </w:pPr>
      <w:r>
        <w:rPr>
          <w:rFonts w:ascii="Times New Roman" w:cs="Times New Roman" w:eastAsia="Times New Roman" w:hAnsi="Times New Roman"/>
          <w:sz w:val="15"/>
          <w:szCs w:val="15"/>
          <w:color w:val="008000"/>
        </w:rPr>
        <w:t>Following the filing of this Form 3, the reporting person will file Section 16 reports jointly with CCP III Cayman GP Ltd., Centerbridge Associates III, L.P., CCP III AIV VII Holdings, L.P., CB Blizzard Co-Invest Holdings, L.P., CB Blizzard Lower Holdings GP A, LLC, CB Blizzard Lower Holdings A, L.P., Blizzard Aggregator, LLC, CB Blizzard Lower Holdings GP B, LLC, CB Blizzard Lower Holdings B, L.P. and Jeffrey H. Aronson.</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CB BLIZZARD</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HOLDINGS C, L.P., By: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4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CCP III CAYMAN GP</w:t>
            </w:r>
          </w:p>
        </w:tc>
        <w:tc>
          <w:tcPr>
            <w:tcW w:w="240" w:type="dxa"/>
            <w:vAlign w:val="bottom"/>
            <w:gridSpan w:val="2"/>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11/17/2022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6"/>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LTD., its general partner,</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6"/>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960" w:type="dxa"/>
            <w:vAlign w:val="bottom"/>
            <w:tcBorders>
              <w:bottom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5"/>
              </w:rPr>
              <w:t>By: /s/ Susanne V. Clark,</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8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Authorized Signatory</w:t>
            </w:r>
          </w:p>
        </w:tc>
        <w:tc>
          <w:tcPr>
            <w:tcW w:w="500" w:type="dxa"/>
            <w:vAlign w:val="bottom"/>
            <w:gridSpan w:val="4"/>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6"/>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6"/>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6"/>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7"/>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7"/>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3976"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2022-11-17T20:07:13Z</dcterms:created>
  <dcterms:modified xsi:type="dcterms:W3CDTF">2022-11-17T20:07:13Z</dcterms:modified>
</cp:coreProperties>
</file>