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229235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GoHealth, Inc.</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224790</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860" w:type="dxa"/>
        <w:tblCellMar>
          <w:top w:w="0" w:type="dxa"/>
          <w:left w:w="0" w:type="dxa"/>
          <w:bottom w:w="0" w:type="dxa"/>
          <w:right w:w="0" w:type="dxa"/>
        </w:tblCellMar>
      </w:tblPr>
      <w:tr>
        <w:trPr>
          <w:trHeight w:val="215"/>
        </w:trPr>
        <w:tc>
          <w:tcPr>
            <w:tcW w:w="3540" w:type="dxa"/>
            <w:vAlign w:val="bottom"/>
          </w:tcPr>
          <w:p>
            <w:pPr>
              <w:jc w:val="center"/>
              <w:ind w:right="1439"/>
              <w:spacing w:after="0"/>
              <w:rPr>
                <w:sz w:val="20"/>
                <w:szCs w:val="20"/>
                <w:color w:val="auto"/>
              </w:rPr>
            </w:pPr>
            <w:r>
              <w:rPr>
                <w:rFonts w:ascii="Arial" w:cs="Arial" w:eastAsia="Arial" w:hAnsi="Arial"/>
                <w:sz w:val="16"/>
                <w:szCs w:val="16"/>
                <w:b w:val="1"/>
                <w:bCs w:val="1"/>
                <w:color w:val="auto"/>
                <w:w w:val="99"/>
              </w:rPr>
              <w:t>Delaware</w:t>
            </w:r>
          </w:p>
        </w:tc>
        <w:tc>
          <w:tcPr>
            <w:tcW w:w="2860" w:type="dxa"/>
            <w:vAlign w:val="bottom"/>
          </w:tcPr>
          <w:p>
            <w:pPr>
              <w:jc w:val="right"/>
              <w:ind w:right="1179"/>
              <w:spacing w:after="0"/>
              <w:rPr>
                <w:sz w:val="20"/>
                <w:szCs w:val="20"/>
                <w:color w:val="auto"/>
              </w:rPr>
            </w:pPr>
            <w:r>
              <w:rPr>
                <w:rFonts w:ascii="Arial" w:cs="Arial" w:eastAsia="Arial" w:hAnsi="Arial"/>
                <w:sz w:val="16"/>
                <w:szCs w:val="16"/>
                <w:b w:val="1"/>
                <w:bCs w:val="1"/>
                <w:color w:val="auto"/>
              </w:rPr>
              <w:t>001-39390</w:t>
            </w:r>
          </w:p>
        </w:tc>
        <w:tc>
          <w:tcPr>
            <w:tcW w:w="3240" w:type="dxa"/>
            <w:vAlign w:val="bottom"/>
          </w:tcPr>
          <w:p>
            <w:pPr>
              <w:jc w:val="right"/>
              <w:ind w:right="739"/>
              <w:spacing w:after="0"/>
              <w:rPr>
                <w:sz w:val="20"/>
                <w:szCs w:val="20"/>
                <w:color w:val="auto"/>
              </w:rPr>
            </w:pPr>
            <w:r>
              <w:rPr>
                <w:rFonts w:ascii="Arial" w:cs="Arial" w:eastAsia="Arial" w:hAnsi="Arial"/>
                <w:sz w:val="16"/>
                <w:szCs w:val="16"/>
                <w:b w:val="1"/>
                <w:bCs w:val="1"/>
                <w:color w:val="auto"/>
              </w:rPr>
              <w:t>85-0563805</w:t>
            </w:r>
          </w:p>
        </w:tc>
      </w:tr>
      <w:tr>
        <w:trPr>
          <w:trHeight w:val="297"/>
        </w:trPr>
        <w:tc>
          <w:tcPr>
            <w:tcW w:w="3540" w:type="dxa"/>
            <w:vAlign w:val="bottom"/>
          </w:tcPr>
          <w:p>
            <w:pPr>
              <w:jc w:val="center"/>
              <w:ind w:right="1439"/>
              <w:spacing w:after="0"/>
              <w:rPr>
                <w:sz w:val="20"/>
                <w:szCs w:val="20"/>
                <w:color w:val="auto"/>
              </w:rPr>
            </w:pPr>
            <w:r>
              <w:rPr>
                <w:rFonts w:ascii="Arial" w:cs="Arial" w:eastAsia="Arial" w:hAnsi="Arial"/>
                <w:sz w:val="16"/>
                <w:szCs w:val="16"/>
                <w:color w:val="auto"/>
              </w:rPr>
              <w:t>(State or other jurisdiction of</w:t>
            </w:r>
          </w:p>
        </w:tc>
        <w:tc>
          <w:tcPr>
            <w:tcW w:w="2860" w:type="dxa"/>
            <w:vAlign w:val="bottom"/>
          </w:tcPr>
          <w:p>
            <w:pPr>
              <w:jc w:val="center"/>
              <w:ind w:right="339"/>
              <w:spacing w:after="0"/>
              <w:rPr>
                <w:sz w:val="20"/>
                <w:szCs w:val="20"/>
                <w:color w:val="auto"/>
              </w:rPr>
            </w:pPr>
            <w:r>
              <w:rPr>
                <w:rFonts w:ascii="Arial" w:cs="Arial" w:eastAsia="Arial" w:hAnsi="Arial"/>
                <w:sz w:val="16"/>
                <w:szCs w:val="16"/>
                <w:color w:val="auto"/>
              </w:rPr>
              <w:t>(Commission File Number)</w:t>
            </w:r>
          </w:p>
        </w:tc>
        <w:tc>
          <w:tcPr>
            <w:tcW w:w="3240" w:type="dxa"/>
            <w:vAlign w:val="bottom"/>
          </w:tcPr>
          <w:p>
            <w:pPr>
              <w:jc w:val="center"/>
              <w:ind w:left="659"/>
              <w:spacing w:after="0"/>
              <w:rPr>
                <w:sz w:val="20"/>
                <w:szCs w:val="20"/>
                <w:color w:val="auto"/>
              </w:rPr>
            </w:pPr>
            <w:r>
              <w:rPr>
                <w:rFonts w:ascii="Arial" w:cs="Arial" w:eastAsia="Arial" w:hAnsi="Arial"/>
                <w:sz w:val="16"/>
                <w:szCs w:val="16"/>
                <w:color w:val="auto"/>
              </w:rPr>
              <w:t>(I.R.S. Employer Identification No.)</w:t>
            </w:r>
          </w:p>
        </w:tc>
      </w:tr>
      <w:tr>
        <w:trPr>
          <w:trHeight w:val="310"/>
        </w:trPr>
        <w:tc>
          <w:tcPr>
            <w:tcW w:w="3540" w:type="dxa"/>
            <w:vAlign w:val="bottom"/>
          </w:tcPr>
          <w:p>
            <w:pPr>
              <w:jc w:val="center"/>
              <w:ind w:right="1439"/>
              <w:spacing w:after="0"/>
              <w:rPr>
                <w:sz w:val="20"/>
                <w:szCs w:val="20"/>
                <w:color w:val="auto"/>
              </w:rPr>
            </w:pPr>
            <w:r>
              <w:rPr>
                <w:rFonts w:ascii="Arial" w:cs="Arial" w:eastAsia="Arial" w:hAnsi="Arial"/>
                <w:sz w:val="16"/>
                <w:szCs w:val="16"/>
                <w:color w:val="auto"/>
              </w:rPr>
              <w:t>incorporation)</w:t>
            </w:r>
          </w:p>
        </w:tc>
        <w:tc>
          <w:tcPr>
            <w:tcW w:w="28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446"/>
        </w:trPr>
        <w:tc>
          <w:tcPr>
            <w:tcW w:w="3540" w:type="dxa"/>
            <w:vAlign w:val="bottom"/>
          </w:tcPr>
          <w:p>
            <w:pPr>
              <w:jc w:val="center"/>
              <w:ind w:left="179"/>
              <w:spacing w:after="0"/>
              <w:rPr>
                <w:sz w:val="20"/>
                <w:szCs w:val="20"/>
                <w:color w:val="auto"/>
              </w:rPr>
            </w:pPr>
            <w:r>
              <w:rPr>
                <w:rFonts w:ascii="Arial" w:cs="Arial" w:eastAsia="Arial" w:hAnsi="Arial"/>
                <w:sz w:val="16"/>
                <w:szCs w:val="16"/>
                <w:b w:val="1"/>
                <w:bCs w:val="1"/>
                <w:color w:val="auto"/>
              </w:rPr>
              <w:t>214 West Huron St.</w:t>
            </w:r>
          </w:p>
        </w:tc>
        <w:tc>
          <w:tcPr>
            <w:tcW w:w="28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24"/>
        </w:trPr>
        <w:tc>
          <w:tcPr>
            <w:tcW w:w="3540" w:type="dxa"/>
            <w:vAlign w:val="bottom"/>
          </w:tcPr>
          <w:p>
            <w:pPr>
              <w:jc w:val="center"/>
              <w:ind w:left="179"/>
              <w:spacing w:after="0"/>
              <w:rPr>
                <w:sz w:val="20"/>
                <w:szCs w:val="20"/>
                <w:color w:val="auto"/>
              </w:rPr>
            </w:pPr>
            <w:r>
              <w:rPr>
                <w:rFonts w:ascii="Arial" w:cs="Arial" w:eastAsia="Arial" w:hAnsi="Arial"/>
                <w:sz w:val="16"/>
                <w:szCs w:val="16"/>
                <w:b w:val="1"/>
                <w:bCs w:val="1"/>
                <w:color w:val="auto"/>
              </w:rPr>
              <w:t>Chicago, Illinois</w:t>
            </w:r>
          </w:p>
        </w:tc>
        <w:tc>
          <w:tcPr>
            <w:tcW w:w="2860" w:type="dxa"/>
            <w:vAlign w:val="bottom"/>
          </w:tcPr>
          <w:p>
            <w:pPr>
              <w:spacing w:after="0"/>
              <w:rPr>
                <w:sz w:val="24"/>
                <w:szCs w:val="24"/>
                <w:color w:val="auto"/>
              </w:rPr>
            </w:pPr>
          </w:p>
        </w:tc>
        <w:tc>
          <w:tcPr>
            <w:tcW w:w="3240" w:type="dxa"/>
            <w:vAlign w:val="bottom"/>
          </w:tcPr>
          <w:p>
            <w:pPr>
              <w:jc w:val="right"/>
              <w:ind w:right="1879"/>
              <w:spacing w:after="0"/>
              <w:rPr>
                <w:sz w:val="20"/>
                <w:szCs w:val="20"/>
                <w:color w:val="auto"/>
              </w:rPr>
            </w:pPr>
            <w:r>
              <w:rPr>
                <w:rFonts w:ascii="Arial" w:cs="Arial" w:eastAsia="Arial" w:hAnsi="Arial"/>
                <w:sz w:val="16"/>
                <w:szCs w:val="16"/>
                <w:b w:val="1"/>
                <w:bCs w:val="1"/>
                <w:color w:val="auto"/>
              </w:rPr>
              <w:t>60654</w:t>
            </w:r>
          </w:p>
        </w:tc>
      </w:tr>
      <w:tr>
        <w:trPr>
          <w:trHeight w:val="297"/>
        </w:trPr>
        <w:tc>
          <w:tcPr>
            <w:tcW w:w="3540" w:type="dxa"/>
            <w:vAlign w:val="bottom"/>
          </w:tcPr>
          <w:p>
            <w:pPr>
              <w:jc w:val="center"/>
              <w:ind w:left="179"/>
              <w:spacing w:after="0"/>
              <w:rPr>
                <w:sz w:val="20"/>
                <w:szCs w:val="20"/>
                <w:color w:val="auto"/>
              </w:rPr>
            </w:pPr>
            <w:r>
              <w:rPr>
                <w:rFonts w:ascii="Arial" w:cs="Arial" w:eastAsia="Arial" w:hAnsi="Arial"/>
                <w:sz w:val="16"/>
                <w:szCs w:val="16"/>
                <w:color w:val="auto"/>
              </w:rPr>
              <w:t>(Address of principal executive offices)</w:t>
            </w:r>
          </w:p>
        </w:tc>
        <w:tc>
          <w:tcPr>
            <w:tcW w:w="2860" w:type="dxa"/>
            <w:vAlign w:val="bottom"/>
          </w:tcPr>
          <w:p>
            <w:pPr>
              <w:spacing w:after="0"/>
              <w:rPr>
                <w:sz w:val="24"/>
                <w:szCs w:val="24"/>
                <w:color w:val="auto"/>
              </w:rPr>
            </w:pPr>
          </w:p>
        </w:tc>
        <w:tc>
          <w:tcPr>
            <w:tcW w:w="3240" w:type="dxa"/>
            <w:vAlign w:val="bottom"/>
          </w:tcPr>
          <w:p>
            <w:pPr>
              <w:jc w:val="center"/>
              <w:ind w:right="1039"/>
              <w:spacing w:after="0"/>
              <w:rPr>
                <w:sz w:val="20"/>
                <w:szCs w:val="20"/>
                <w:color w:val="auto"/>
              </w:rPr>
            </w:pPr>
            <w:r>
              <w:rPr>
                <w:rFonts w:ascii="Arial" w:cs="Arial" w:eastAsia="Arial" w:hAnsi="Arial"/>
                <w:sz w:val="16"/>
                <w:szCs w:val="16"/>
                <w:color w:val="auto"/>
              </w:rPr>
              <w:t>(Zip Code)</w:t>
            </w:r>
          </w:p>
        </w:tc>
      </w:tr>
      <w:tr>
        <w:trPr>
          <w:trHeight w:val="297"/>
        </w:trPr>
        <w:tc>
          <w:tcPr>
            <w:tcW w:w="3540" w:type="dxa"/>
            <w:vAlign w:val="bottom"/>
          </w:tcPr>
          <w:p>
            <w:pPr>
              <w:spacing w:after="0"/>
              <w:rPr>
                <w:sz w:val="24"/>
                <w:szCs w:val="24"/>
                <w:color w:val="auto"/>
              </w:rPr>
            </w:pPr>
          </w:p>
        </w:tc>
        <w:tc>
          <w:tcPr>
            <w:tcW w:w="2860" w:type="dxa"/>
            <w:vAlign w:val="bottom"/>
          </w:tcPr>
          <w:p>
            <w:pPr>
              <w:jc w:val="right"/>
              <w:ind w:right="1119"/>
              <w:spacing w:after="0"/>
              <w:rPr>
                <w:sz w:val="20"/>
                <w:szCs w:val="20"/>
                <w:color w:val="auto"/>
              </w:rPr>
            </w:pPr>
            <w:r>
              <w:rPr>
                <w:rFonts w:ascii="Arial" w:cs="Arial" w:eastAsia="Arial" w:hAnsi="Arial"/>
                <w:sz w:val="16"/>
                <w:szCs w:val="16"/>
                <w:b w:val="1"/>
                <w:bCs w:val="1"/>
                <w:color w:val="auto"/>
              </w:rPr>
              <w:t>(312) 386-8200</w:t>
            </w:r>
          </w:p>
        </w:tc>
        <w:tc>
          <w:tcPr>
            <w:tcW w:w="3240" w:type="dxa"/>
            <w:vAlign w:val="bottom"/>
          </w:tcPr>
          <w:p>
            <w:pPr>
              <w:spacing w:after="0"/>
              <w:rPr>
                <w:sz w:val="24"/>
                <w:szCs w:val="24"/>
                <w:color w:val="auto"/>
              </w:rPr>
            </w:pPr>
          </w:p>
        </w:tc>
      </w:tr>
    </w:tbl>
    <w:p>
      <w:pPr>
        <w:spacing w:after="0" w:line="12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224790</wp:posOffset>
            </wp:positionV>
            <wp:extent cx="1817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right="8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600" w:hanging="388"/>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600" w:hanging="388"/>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600" w:hanging="388"/>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600" w:hanging="388"/>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312"/>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18"/>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center"/>
              <w:ind w:right="579"/>
              <w:spacing w:after="0"/>
              <w:rPr>
                <w:sz w:val="20"/>
                <w:szCs w:val="20"/>
                <w:color w:val="auto"/>
              </w:rPr>
            </w:pPr>
            <w:r>
              <w:rPr>
                <w:rFonts w:ascii="Arial" w:cs="Arial" w:eastAsia="Arial" w:hAnsi="Arial"/>
                <w:sz w:val="16"/>
                <w:szCs w:val="16"/>
                <w:b w:val="1"/>
                <w:bCs w:val="1"/>
                <w:color w:val="auto"/>
                <w:w w:val="99"/>
              </w:rPr>
              <w:t>Trading Symbol(s)</w:t>
            </w:r>
          </w:p>
        </w:tc>
        <w:tc>
          <w:tcPr>
            <w:tcW w:w="100" w:type="dxa"/>
            <w:vAlign w:val="bottom"/>
          </w:tcPr>
          <w:p>
            <w:pPr>
              <w:spacing w:after="0"/>
              <w:rPr>
                <w:sz w:val="18"/>
                <w:szCs w:val="18"/>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87"/>
        </w:trPr>
        <w:tc>
          <w:tcPr>
            <w:tcW w:w="4520" w:type="dxa"/>
            <w:vAlign w:val="bottom"/>
            <w:gridSpan w:val="3"/>
          </w:tcPr>
          <w:p>
            <w:pPr>
              <w:jc w:val="center"/>
              <w:ind w:right="780"/>
              <w:spacing w:after="0"/>
              <w:rPr>
                <w:sz w:val="20"/>
                <w:szCs w:val="20"/>
                <w:color w:val="auto"/>
              </w:rPr>
            </w:pPr>
            <w:r>
              <w:rPr>
                <w:rFonts w:ascii="Arial" w:cs="Arial" w:eastAsia="Arial" w:hAnsi="Arial"/>
                <w:sz w:val="16"/>
                <w:szCs w:val="16"/>
                <w:color w:val="auto"/>
              </w:rPr>
              <w:t>Class A Common Stock,</w:t>
            </w:r>
          </w:p>
        </w:tc>
        <w:tc>
          <w:tcPr>
            <w:tcW w:w="2960" w:type="dxa"/>
            <w:vAlign w:val="bottom"/>
            <w:gridSpan w:val="2"/>
          </w:tcPr>
          <w:p>
            <w:pPr>
              <w:jc w:val="center"/>
              <w:ind w:right="760"/>
              <w:spacing w:after="0"/>
              <w:rPr>
                <w:sz w:val="20"/>
                <w:szCs w:val="20"/>
                <w:color w:val="auto"/>
              </w:rPr>
            </w:pPr>
            <w:r>
              <w:rPr>
                <w:rFonts w:ascii="Arial" w:cs="Arial" w:eastAsia="Arial" w:hAnsi="Arial"/>
                <w:sz w:val="16"/>
                <w:szCs w:val="16"/>
                <w:color w:val="auto"/>
                <w:w w:val="98"/>
              </w:rPr>
              <w:t>GOCO</w:t>
            </w:r>
          </w:p>
        </w:tc>
        <w:tc>
          <w:tcPr>
            <w:tcW w:w="354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20" w:type="dxa"/>
            <w:vAlign w:val="bottom"/>
            <w:gridSpan w:val="3"/>
          </w:tcPr>
          <w:p>
            <w:pPr>
              <w:jc w:val="center"/>
              <w:ind w:right="780"/>
              <w:spacing w:after="0"/>
              <w:rPr>
                <w:sz w:val="20"/>
                <w:szCs w:val="20"/>
                <w:color w:val="auto"/>
              </w:rPr>
            </w:pPr>
            <w:r>
              <w:rPr>
                <w:rFonts w:ascii="Arial" w:cs="Arial" w:eastAsia="Arial" w:hAnsi="Arial"/>
                <w:sz w:val="16"/>
                <w:szCs w:val="16"/>
                <w:color w:val="auto"/>
              </w:rPr>
              <w:t>$0.0001 par value per share</w:t>
            </w: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r>
    </w:tbl>
    <w:p>
      <w:pPr>
        <w:spacing w:after="0" w:line="116" w:lineRule="exact"/>
        <w:rPr>
          <w:sz w:val="24"/>
          <w:szCs w:val="24"/>
          <w:color w:val="auto"/>
        </w:rPr>
      </w:pPr>
    </w:p>
    <w:p>
      <w:pPr>
        <w:ind w:right="440"/>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right="1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173355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3"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349" w:lineRule="exact"/>
        <w:rPr>
          <w:sz w:val="20"/>
          <w:szCs w:val="20"/>
          <w:color w:val="auto"/>
        </w:rPr>
      </w:pPr>
    </w:p>
    <w:p>
      <w:pPr>
        <w:ind w:left="4" w:right="180"/>
        <w:spacing w:after="0" w:line="249" w:lineRule="auto"/>
        <w:rPr>
          <w:sz w:val="20"/>
          <w:szCs w:val="20"/>
          <w:color w:val="auto"/>
        </w:rPr>
      </w:pPr>
      <w:r>
        <w:rPr>
          <w:rFonts w:ascii="Arial" w:cs="Arial" w:eastAsia="Arial" w:hAnsi="Arial"/>
          <w:sz w:val="16"/>
          <w:szCs w:val="16"/>
          <w:color w:val="auto"/>
        </w:rPr>
        <w:t>On March 14, 2022, GoHealth, Inc. (the “Company”) entered into Amendment No. 7 to the Credit Agreement (“Amendment No. 7”). Amendment No. 7 amends the original credit agreement, dated as of September 13, 2019, as amended by Amendment No. 1 to the Credit Agreement and Incremental Facility Amendment, dated as of March 20, 2020, Incremental Facility Agreement and Technical Amendment No. 2 to the Credit Agreement, dated as of May 7, 2020, Incremental Facility Agreement No. 3, dated as June 11, 2020, Amendment No. 4 to the Credit Agreement and Incremental Facility Agreement, dated as of May 7, 2021, Amendment No. 5 to the Credit Agreement and Incremental Facility Agreement, dated as of June 11, 2021, and Amendment No. 6 to the Credit Agreement and Incremental Facility Agreement, dated as of November 10, 2021.</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Amendment No. 7 provides that (a) the 2021 Incremental Term Loans, from and after the Amendment No. 7 Effective Date, will bear interest at either</w:t>
      </w:r>
    </w:p>
    <w:p>
      <w:pPr>
        <w:spacing w:after="0" w:line="5" w:lineRule="exact"/>
        <w:rPr>
          <w:sz w:val="20"/>
          <w:szCs w:val="20"/>
          <w:color w:val="auto"/>
        </w:rPr>
      </w:pPr>
    </w:p>
    <w:p>
      <w:pPr>
        <w:ind w:left="4" w:right="80" w:hanging="4"/>
        <w:spacing w:after="0" w:line="260" w:lineRule="auto"/>
        <w:tabs>
          <w:tab w:leader="none" w:pos="193" w:val="left"/>
        </w:tabs>
        <w:numPr>
          <w:ilvl w:val="0"/>
          <w:numId w:val="2"/>
        </w:numPr>
        <w:rPr>
          <w:rFonts w:ascii="Arial" w:cs="Arial" w:eastAsia="Arial" w:hAnsi="Arial"/>
          <w:sz w:val="16"/>
          <w:szCs w:val="16"/>
          <w:color w:val="auto"/>
        </w:rPr>
      </w:pPr>
      <w:r>
        <w:rPr>
          <w:rFonts w:ascii="Arial" w:cs="Arial" w:eastAsia="Arial" w:hAnsi="Arial"/>
          <w:sz w:val="16"/>
          <w:szCs w:val="16"/>
          <w:color w:val="auto"/>
        </w:rPr>
        <w:t>alternate base rate (“ABR”) plus 5.50% per annum or (ii) LIBOR plus 6.50% per annum and (b) the 2021-2 Incremental Term Loans, from and after the Amendment No. 7 Effective Date, will bear interest at either (i) ABR plus 5.50% per annum or (ii) LIBOR plus 6.50% per annum.</w:t>
      </w:r>
    </w:p>
    <w:p>
      <w:pPr>
        <w:spacing w:after="0" w:line="195" w:lineRule="exact"/>
        <w:rPr>
          <w:sz w:val="20"/>
          <w:szCs w:val="20"/>
          <w:color w:val="auto"/>
        </w:rPr>
      </w:pPr>
    </w:p>
    <w:p>
      <w:pPr>
        <w:ind w:left="4" w:right="80"/>
        <w:spacing w:after="0" w:line="253" w:lineRule="auto"/>
        <w:rPr>
          <w:sz w:val="20"/>
          <w:szCs w:val="20"/>
          <w:color w:val="auto"/>
        </w:rPr>
      </w:pPr>
      <w:r>
        <w:rPr>
          <w:rFonts w:ascii="Arial" w:cs="Arial" w:eastAsia="Arial" w:hAnsi="Arial"/>
          <w:sz w:val="16"/>
          <w:szCs w:val="16"/>
          <w:color w:val="auto"/>
        </w:rPr>
        <w:t>A copy of Amendment No. 7 is attached hereto as Exhibit 10.1 and is incorporated by reference herein. The foregoing description of Amendment No. 7 is qualified in its entirety by reference to the full text of Amendment No. 7. Any capitalized terms used herein and not defined shall have the meaning provided in Amendment No. 7.</w:t>
      </w:r>
    </w:p>
    <w:p>
      <w:pPr>
        <w:spacing w:after="0" w:line="200" w:lineRule="exact"/>
        <w:rPr>
          <w:sz w:val="20"/>
          <w:szCs w:val="20"/>
          <w:color w:val="auto"/>
        </w:rPr>
      </w:pPr>
    </w:p>
    <w:p>
      <w:pPr>
        <w:spacing w:after="0" w:line="265" w:lineRule="exact"/>
        <w:rPr>
          <w:sz w:val="20"/>
          <w:szCs w:val="20"/>
          <w:color w:val="auto"/>
        </w:rPr>
      </w:pPr>
    </w:p>
    <w:p>
      <w:pPr>
        <w:ind w:left="84"/>
        <w:spacing w:after="0"/>
        <w:tabs>
          <w:tab w:leader="none" w:pos="1064"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47" w:lineRule="exact"/>
        <w:rPr>
          <w:sz w:val="20"/>
          <w:szCs w:val="20"/>
          <w:color w:val="auto"/>
        </w:rPr>
      </w:pPr>
    </w:p>
    <w:p>
      <w:pPr>
        <w:ind w:left="644" w:hanging="554"/>
        <w:spacing w:after="0"/>
        <w:tabs>
          <w:tab w:leader="none" w:pos="644" w:val="left"/>
        </w:tabs>
        <w:numPr>
          <w:ilvl w:val="0"/>
          <w:numId w:val="3"/>
        </w:numPr>
        <w:rPr>
          <w:rFonts w:ascii="Arial" w:cs="Arial" w:eastAsia="Arial" w:hAnsi="Arial"/>
          <w:sz w:val="16"/>
          <w:szCs w:val="16"/>
          <w:color w:val="auto"/>
        </w:rPr>
      </w:pPr>
      <w:r>
        <w:rPr>
          <w:rFonts w:ascii="Arial" w:cs="Arial" w:eastAsia="Arial" w:hAnsi="Arial"/>
          <w:sz w:val="16"/>
          <w:szCs w:val="16"/>
          <w:color w:val="auto"/>
        </w:rPr>
        <w:t>Exhibits</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1"/>
        </w:trPr>
        <w:tc>
          <w:tcPr>
            <w:tcW w:w="11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9"/>
              </w:rPr>
              <w:t>Number</w:t>
            </w:r>
          </w:p>
        </w:tc>
        <w:tc>
          <w:tcPr>
            <w:tcW w:w="160" w:type="dxa"/>
            <w:vAlign w:val="bottom"/>
          </w:tcPr>
          <w:p>
            <w:pPr>
              <w:spacing w:after="0"/>
              <w:rPr>
                <w:sz w:val="19"/>
                <w:szCs w:val="19"/>
                <w:color w:val="auto"/>
              </w:rPr>
            </w:pPr>
          </w:p>
        </w:tc>
        <w:tc>
          <w:tcPr>
            <w:tcW w:w="9760" w:type="dxa"/>
            <w:vAlign w:val="bottom"/>
            <w:gridSpan w:val="4"/>
          </w:tcPr>
          <w:p>
            <w:pPr>
              <w:ind w:left="20"/>
              <w:spacing w:after="0"/>
              <w:rPr>
                <w:sz w:val="20"/>
                <w:szCs w:val="20"/>
                <w:color w:val="auto"/>
              </w:rPr>
            </w:pPr>
            <w:r>
              <w:rPr>
                <w:rFonts w:ascii="Arial" w:cs="Arial" w:eastAsia="Arial" w:hAnsi="Arial"/>
                <w:sz w:val="16"/>
                <w:szCs w:val="16"/>
                <w:b w:val="1"/>
                <w:bCs w:val="1"/>
                <w:color w:val="auto"/>
              </w:rPr>
              <w:t>Exhibit Description</w:t>
            </w:r>
          </w:p>
        </w:tc>
      </w:tr>
      <w:tr>
        <w:trPr>
          <w:trHeight w:val="156"/>
        </w:trPr>
        <w:tc>
          <w:tcPr>
            <w:tcW w:w="1000" w:type="dxa"/>
            <w:vAlign w:val="bottom"/>
            <w:tcBorders>
              <w:top w:val="single" w:sz="8" w:color="auto"/>
            </w:tcBorders>
          </w:tcPr>
          <w:p>
            <w:pPr>
              <w:jc w:val="right"/>
              <w:ind w:right="259"/>
              <w:spacing w:after="0" w:line="155"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760" w:type="dxa"/>
            <w:vAlign w:val="bottom"/>
            <w:tcBorders>
              <w:top w:val="single" w:sz="8" w:color="auto"/>
            </w:tcBorders>
            <w:gridSpan w:val="4"/>
          </w:tcPr>
          <w:p>
            <w:pPr>
              <w:spacing w:after="0" w:line="155" w:lineRule="exact"/>
              <w:rPr>
                <w:rFonts w:ascii="Arial" w:cs="Arial" w:eastAsia="Arial" w:hAnsi="Arial"/>
                <w:sz w:val="16"/>
                <w:szCs w:val="16"/>
                <w:color w:val="0000EE"/>
              </w:rPr>
            </w:pPr>
            <w:hyperlink w:anchor="page4">
              <w:r>
                <w:rPr>
                  <w:rFonts w:ascii="Arial" w:cs="Arial" w:eastAsia="Arial" w:hAnsi="Arial"/>
                  <w:sz w:val="16"/>
                  <w:szCs w:val="16"/>
                  <w:color w:val="0000EE"/>
                </w:rPr>
                <w:t>Amendment No. 7 to the Credit Agreement and Incremental Facility Agreement, dated as of March 14, 2022, among Norvax, LLC, as</w:t>
              </w:r>
            </w:hyperlink>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520" w:type="dxa"/>
            <w:vAlign w:val="bottom"/>
            <w:tcBorders>
              <w:top w:val="single" w:sz="8" w:color="0000EE"/>
            </w:tcBorders>
            <w:gridSpan w:val="3"/>
          </w:tcPr>
          <w:p>
            <w:pPr>
              <w:spacing w:after="0" w:line="169" w:lineRule="exact"/>
              <w:rPr>
                <w:rFonts w:ascii="Arial" w:cs="Arial" w:eastAsia="Arial" w:hAnsi="Arial"/>
                <w:sz w:val="16"/>
                <w:szCs w:val="16"/>
                <w:color w:val="0000EE"/>
              </w:rPr>
            </w:pPr>
            <w:hyperlink w:anchor="page4">
              <w:r>
                <w:rPr>
                  <w:rFonts w:ascii="Arial" w:cs="Arial" w:eastAsia="Arial" w:hAnsi="Arial"/>
                  <w:sz w:val="16"/>
                  <w:szCs w:val="16"/>
                  <w:color w:val="0000EE"/>
                </w:rPr>
                <w:t>borrower, Blizzard Midco, LLC, as a guarantor, the other guarantors party thereto, Owl Rock Capital Corporation, as administrative</w:t>
              </w:r>
            </w:hyperlink>
          </w:p>
        </w:tc>
        <w:tc>
          <w:tcPr>
            <w:tcW w:w="2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320" w:type="dxa"/>
            <w:vAlign w:val="bottom"/>
            <w:tcBorders>
              <w:top w:val="single" w:sz="8" w:color="0000EE"/>
            </w:tcBorders>
            <w:gridSpan w:val="2"/>
          </w:tcPr>
          <w:p>
            <w:pPr>
              <w:spacing w:after="0" w:line="169" w:lineRule="exact"/>
              <w:rPr>
                <w:rFonts w:ascii="Arial" w:cs="Arial" w:eastAsia="Arial" w:hAnsi="Arial"/>
                <w:sz w:val="16"/>
                <w:szCs w:val="16"/>
                <w:color w:val="0000EE"/>
              </w:rPr>
            </w:pPr>
            <w:hyperlink w:anchor="page4">
              <w:r>
                <w:rPr>
                  <w:rFonts w:ascii="Arial" w:cs="Arial" w:eastAsia="Arial" w:hAnsi="Arial"/>
                  <w:sz w:val="16"/>
                  <w:szCs w:val="16"/>
                  <w:color w:val="0000EE"/>
                </w:rPr>
                <w:t>agent, collateral agent and swingline lender and the other lenders from time to time party thereto.</w:t>
              </w:r>
            </w:hyperlink>
          </w:p>
        </w:tc>
        <w:tc>
          <w:tcPr>
            <w:tcW w:w="440" w:type="dxa"/>
            <w:vAlign w:val="bottom"/>
            <w:gridSpan w:val="2"/>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40" w:type="dxa"/>
            <w:vAlign w:val="bottom"/>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r>
      <w:tr>
        <w:trPr>
          <w:trHeight w:val="312"/>
        </w:trPr>
        <w:tc>
          <w:tcPr>
            <w:tcW w:w="1000" w:type="dxa"/>
            <w:vAlign w:val="bottom"/>
          </w:tcPr>
          <w:p>
            <w:pPr>
              <w:jc w:val="right"/>
              <w:ind w:right="27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bl>
    <w:p>
      <w:pPr>
        <w:sectPr>
          <w:pgSz w:w="11900" w:h="16838" w:orient="portrait"/>
          <w:cols w:equalWidth="0" w:num="1">
            <w:col w:w="11024"/>
          </w:cols>
          <w:pgMar w:left="436" w:top="297" w:right="439" w:bottom="1440" w:gutter="0" w:footer="0" w:header="0"/>
        </w:sectPr>
      </w:pPr>
    </w:p>
    <w:bookmarkStart w:id="2" w:name="page3"/>
    <w:bookmarkEnd w:id="2"/>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0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auto"/>
        </w:rPr>
        <w:t>GOHEALTH, INC.</w:t>
      </w:r>
    </w:p>
    <w:p>
      <w:pPr>
        <w:spacing w:after="0" w:line="241" w:lineRule="exact"/>
        <w:rPr>
          <w:sz w:val="20"/>
          <w:szCs w:val="20"/>
          <w:color w:val="auto"/>
        </w:rPr>
      </w:pPr>
    </w:p>
    <w:p>
      <w:pPr>
        <w:ind w:left="80"/>
        <w:spacing w:after="0"/>
        <w:tabs>
          <w:tab w:leader="none" w:pos="5680" w:val="left"/>
        </w:tabs>
        <w:rPr>
          <w:sz w:val="20"/>
          <w:szCs w:val="20"/>
          <w:color w:val="auto"/>
        </w:rPr>
      </w:pPr>
      <w:r>
        <w:rPr>
          <w:rFonts w:ascii="Arial" w:cs="Arial" w:eastAsia="Arial" w:hAnsi="Arial"/>
          <w:sz w:val="16"/>
          <w:szCs w:val="16"/>
          <w:color w:val="auto"/>
        </w:rPr>
        <w:t>Date: March 16, 2022</w:t>
      </w:r>
      <w:r>
        <w:rPr>
          <w:sz w:val="20"/>
          <w:szCs w:val="20"/>
          <w:color w:val="auto"/>
        </w:rPr>
        <w:tab/>
      </w:r>
      <w:r>
        <w:rPr>
          <w:rFonts w:ascii="Arial" w:cs="Arial" w:eastAsia="Arial" w:hAnsi="Arial"/>
          <w:sz w:val="16"/>
          <w:szCs w:val="16"/>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1905</wp:posOffset>
            </wp:positionV>
            <wp:extent cx="3145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Travis Matthiesen</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Interim Chief Financial Officer</w:t>
      </w:r>
    </w:p>
    <w:p>
      <w:pPr>
        <w:sectPr>
          <w:pgSz w:w="11900" w:h="16838" w:orient="portrait"/>
          <w:cols w:equalWidth="0" w:num="1">
            <w:col w:w="10280"/>
          </w:cols>
          <w:pgMar w:left="440" w:top="297"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CREDIT AGREEMENT</w:t>
      </w:r>
    </w:p>
    <w:p>
      <w:pPr>
        <w:spacing w:after="0" w:line="207" w:lineRule="exact"/>
        <w:rPr>
          <w:sz w:val="20"/>
          <w:szCs w:val="20"/>
          <w:color w:val="auto"/>
        </w:rPr>
      </w:pPr>
    </w:p>
    <w:p>
      <w:pPr>
        <w:jc w:val="both"/>
        <w:ind w:right="20" w:firstLine="440"/>
        <w:spacing w:after="0" w:line="281" w:lineRule="auto"/>
        <w:rPr>
          <w:sz w:val="20"/>
          <w:szCs w:val="20"/>
          <w:color w:val="auto"/>
        </w:rPr>
      </w:pPr>
      <w:r>
        <w:rPr>
          <w:rFonts w:ascii="Arial" w:cs="Arial" w:eastAsia="Arial" w:hAnsi="Arial"/>
          <w:sz w:val="17"/>
          <w:szCs w:val="17"/>
          <w:color w:val="auto"/>
        </w:rPr>
        <w:t>AMENDMENT NO. 7 TO THE CREDIT AGREEMENT, dated as of March 14, 2022 (this “</w:t>
      </w:r>
      <w:r>
        <w:rPr>
          <w:rFonts w:ascii="Arial" w:cs="Arial" w:eastAsia="Arial" w:hAnsi="Arial"/>
          <w:sz w:val="17"/>
          <w:szCs w:val="17"/>
          <w:b w:val="1"/>
          <w:bCs w:val="1"/>
          <w:color w:val="auto"/>
        </w:rPr>
        <w:t>Agreement</w:t>
      </w:r>
      <w:r>
        <w:rPr>
          <w:rFonts w:ascii="Arial" w:cs="Arial" w:eastAsia="Arial" w:hAnsi="Arial"/>
          <w:sz w:val="17"/>
          <w:szCs w:val="17"/>
          <w:color w:val="auto"/>
        </w:rPr>
        <w:t>”), by and among each of the Lenders signatory hereto constituting the Required Lenders (each as defined in the Credit Agreement, as defined below), the Borrower (as defined below), Holdings (as defined below), each other Guarantor (as defined in the Credit Agreement) as of the date hereof, Owl Rock Capital Corporation (“</w:t>
      </w:r>
      <w:r>
        <w:rPr>
          <w:rFonts w:ascii="Arial" w:cs="Arial" w:eastAsia="Arial" w:hAnsi="Arial"/>
          <w:sz w:val="17"/>
          <w:szCs w:val="17"/>
          <w:b w:val="1"/>
          <w:bCs w:val="1"/>
          <w:color w:val="auto"/>
        </w:rPr>
        <w:t>Owl</w:t>
      </w:r>
      <w:r>
        <w:rPr>
          <w:rFonts w:ascii="Arial" w:cs="Arial" w:eastAsia="Arial" w:hAnsi="Arial"/>
          <w:sz w:val="17"/>
          <w:szCs w:val="17"/>
          <w:color w:val="auto"/>
        </w:rPr>
        <w:t xml:space="preserve"> </w:t>
      </w:r>
      <w:r>
        <w:rPr>
          <w:rFonts w:ascii="Arial" w:cs="Arial" w:eastAsia="Arial" w:hAnsi="Arial"/>
          <w:sz w:val="17"/>
          <w:szCs w:val="17"/>
          <w:b w:val="1"/>
          <w:bCs w:val="1"/>
          <w:color w:val="auto"/>
        </w:rPr>
        <w:t>Rock</w:t>
      </w:r>
      <w:r>
        <w:rPr>
          <w:rFonts w:ascii="Arial" w:cs="Arial" w:eastAsia="Arial" w:hAnsi="Arial"/>
          <w:sz w:val="17"/>
          <w:szCs w:val="17"/>
          <w:color w:val="auto"/>
        </w:rPr>
        <w:t>”), in its capacities as the administrative agent and collateral agent (in such capacities, the “</w:t>
      </w:r>
      <w:r>
        <w:rPr>
          <w:rFonts w:ascii="Arial" w:cs="Arial" w:eastAsia="Arial" w:hAnsi="Arial"/>
          <w:sz w:val="17"/>
          <w:szCs w:val="17"/>
          <w:b w:val="1"/>
          <w:bCs w:val="1"/>
          <w:color w:val="auto"/>
        </w:rPr>
        <w:t>Administrative Agent</w:t>
      </w:r>
      <w:r>
        <w:rPr>
          <w:rFonts w:ascii="Arial" w:cs="Arial" w:eastAsia="Arial" w:hAnsi="Arial"/>
          <w:sz w:val="17"/>
          <w:szCs w:val="17"/>
          <w:color w:val="auto"/>
        </w:rPr>
        <w:t>”).</w:t>
      </w:r>
    </w:p>
    <w:p>
      <w:pPr>
        <w:spacing w:after="0" w:line="169" w:lineRule="exact"/>
        <w:rPr>
          <w:sz w:val="20"/>
          <w:szCs w:val="20"/>
          <w:color w:val="auto"/>
        </w:rPr>
      </w:pPr>
    </w:p>
    <w:p>
      <w:pPr>
        <w:jc w:val="both"/>
        <w:ind w:firstLine="440"/>
        <w:spacing w:after="0" w:line="271" w:lineRule="auto"/>
        <w:rPr>
          <w:sz w:val="20"/>
          <w:szCs w:val="20"/>
          <w:color w:val="auto"/>
        </w:rPr>
      </w:pPr>
      <w:r>
        <w:rPr>
          <w:rFonts w:ascii="Arial" w:cs="Arial" w:eastAsia="Arial" w:hAnsi="Arial"/>
          <w:sz w:val="17"/>
          <w:szCs w:val="17"/>
          <w:color w:val="auto"/>
        </w:rPr>
        <w:t>WHEREAS, reference is hereby made to the Credit Agreement, dated as of September 13, 2019 (as amended by Amendment No. 1 to the Credit Agreement and Incremental Facility Amendment, dated as of March 20, 2020, Incremental Facility Agreement and Technical Amendment No. 2 to Credit Agreement, dated as of May 7, 2020, Incremental Facility Agreement No. 3, dated as June 11, 2020, Amendment No. 4 to the Credit Agreement and Incremental Facility Agreement, dated as May 7, 2021, Amendment No. 5 to Credit Agreement and Incremental Facility Agreement, dated as of June 11, 2021, Amendment No. 6 to the Credit Agreement and Incremental Facility Agreement, dated as of November 10, 2021, and as further amended, amended and restated, supplemented or otherwise modified from time to time prior to the date hereof, the “</w:t>
      </w:r>
      <w:r>
        <w:rPr>
          <w:rFonts w:ascii="Arial" w:cs="Arial" w:eastAsia="Arial" w:hAnsi="Arial"/>
          <w:sz w:val="17"/>
          <w:szCs w:val="17"/>
          <w:b w:val="1"/>
          <w:bCs w:val="1"/>
          <w:color w:val="auto"/>
        </w:rPr>
        <w:t>Credit Agreement</w:t>
      </w:r>
      <w:r>
        <w:rPr>
          <w:rFonts w:ascii="Arial" w:cs="Arial" w:eastAsia="Arial" w:hAnsi="Arial"/>
          <w:sz w:val="17"/>
          <w:szCs w:val="17"/>
          <w:color w:val="auto"/>
        </w:rPr>
        <w:t>”), among Blizzard Midco, LLC, a Delaware limited liability company (“</w:t>
      </w:r>
      <w:r>
        <w:rPr>
          <w:rFonts w:ascii="Arial" w:cs="Arial" w:eastAsia="Arial" w:hAnsi="Arial"/>
          <w:sz w:val="17"/>
          <w:szCs w:val="17"/>
          <w:b w:val="1"/>
          <w:bCs w:val="1"/>
          <w:color w:val="auto"/>
        </w:rPr>
        <w:t>Holdings</w:t>
      </w:r>
      <w:r>
        <w:rPr>
          <w:rFonts w:ascii="Arial" w:cs="Arial" w:eastAsia="Arial" w:hAnsi="Arial"/>
          <w:sz w:val="17"/>
          <w:szCs w:val="17"/>
          <w:color w:val="auto"/>
        </w:rPr>
        <w:t>”), Norvax, LLC, a Delaware limited liability company (the “</w:t>
      </w:r>
      <w:r>
        <w:rPr>
          <w:rFonts w:ascii="Arial" w:cs="Arial" w:eastAsia="Arial" w:hAnsi="Arial"/>
          <w:sz w:val="17"/>
          <w:szCs w:val="17"/>
          <w:b w:val="1"/>
          <w:bCs w:val="1"/>
          <w:color w:val="auto"/>
        </w:rPr>
        <w:t>Borrower</w:t>
      </w:r>
      <w:r>
        <w:rPr>
          <w:rFonts w:ascii="Arial" w:cs="Arial" w:eastAsia="Arial" w:hAnsi="Arial"/>
          <w:sz w:val="17"/>
          <w:szCs w:val="17"/>
          <w:color w:val="auto"/>
        </w:rPr>
        <w:t>”), the Lenders from time to time party thereto, the Administrative Agent and the other parties party thereto;</w:t>
      </w:r>
    </w:p>
    <w:p>
      <w:pPr>
        <w:spacing w:after="0" w:line="178"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WHEREAS, the Borrower desires to amend the terms of the Credit Agreement to, among other things, modify the maximum Total Net Leverage Ratios set forth in Section 6.13(a) of the Credit Agreement;</w:t>
      </w:r>
    </w:p>
    <w:p>
      <w:pPr>
        <w:spacing w:after="0" w:line="170"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WHEREAS, in accordance with Section 9.02 of the Credit Agreement, Holdings, the Borrower and the Required Lenders have agreed to amend the Credit Agreement, on the terms and subject to the conditions, in each case, set forth herein;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u w:val="single" w:color="auto"/>
          <w:color w:val="auto"/>
        </w:rPr>
        <w:t>Defined Terms; References</w:t>
      </w:r>
      <w:r>
        <w:rPr>
          <w:rFonts w:ascii="Arial" w:cs="Arial" w:eastAsia="Arial" w:hAnsi="Arial"/>
          <w:sz w:val="18"/>
          <w:szCs w:val="18"/>
          <w:color w:val="auto"/>
        </w:rPr>
        <w:t>.</w:t>
      </w:r>
    </w:p>
    <w:p>
      <w:pPr>
        <w:spacing w:after="0" w:line="117" w:lineRule="exact"/>
        <w:rPr>
          <w:sz w:val="20"/>
          <w:szCs w:val="20"/>
          <w:color w:val="auto"/>
        </w:rPr>
      </w:pPr>
    </w:p>
    <w:p>
      <w:pPr>
        <w:jc w:val="both"/>
        <w:ind w:right="20" w:firstLine="436"/>
        <w:spacing w:after="0" w:line="311" w:lineRule="auto"/>
        <w:tabs>
          <w:tab w:leader="none" w:pos="686" w:val="left"/>
        </w:tabs>
        <w:numPr>
          <w:ilvl w:val="0"/>
          <w:numId w:val="4"/>
        </w:numPr>
        <w:rPr>
          <w:rFonts w:ascii="Arial" w:cs="Arial" w:eastAsia="Arial" w:hAnsi="Arial"/>
          <w:sz w:val="16"/>
          <w:szCs w:val="16"/>
          <w:color w:val="auto"/>
        </w:rPr>
      </w:pPr>
      <w:r>
        <w:rPr>
          <w:rFonts w:ascii="Arial" w:cs="Arial" w:eastAsia="Arial" w:hAnsi="Arial"/>
          <w:sz w:val="16"/>
          <w:szCs w:val="16"/>
          <w:color w:val="auto"/>
        </w:rPr>
        <w:t>Unless otherwise specifically defined herein, each term used herein which is defined in the Credit Agreement has the meaning assigned to such term in the Amended Credit Agreement (as defined below). The rules of construction and other interpretive provisions specified in Sections 1.03, 1.04, 1.08, 1.09 and 1.11 of the Amended Credit Agreement shall apply to this Agreement, including terms defined in the preamble and recitals hereto.</w:t>
      </w:r>
    </w:p>
    <w:p>
      <w:pPr>
        <w:spacing w:after="0" w:line="40" w:lineRule="exact"/>
        <w:rPr>
          <w:rFonts w:ascii="Arial" w:cs="Arial" w:eastAsia="Arial" w:hAnsi="Arial"/>
          <w:sz w:val="16"/>
          <w:szCs w:val="16"/>
          <w:color w:val="auto"/>
        </w:rPr>
      </w:pPr>
    </w:p>
    <w:p>
      <w:pPr>
        <w:ind w:left="700" w:hanging="2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used in this Agreement, the following terms have the meanings specified below:</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provided in the preamble hereto.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Credit Agreement</w:t>
      </w:r>
      <w:r>
        <w:rPr>
          <w:rFonts w:ascii="Arial" w:cs="Arial" w:eastAsia="Arial" w:hAnsi="Arial"/>
          <w:sz w:val="18"/>
          <w:szCs w:val="18"/>
          <w:color w:val="auto"/>
        </w:rPr>
        <w:t>” shall mean the Credit Agreement, as amended by this Agreement.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7 Effective Date</w:t>
      </w:r>
      <w:r>
        <w:rPr>
          <w:rFonts w:ascii="Arial" w:cs="Arial" w:eastAsia="Arial" w:hAnsi="Arial"/>
          <w:sz w:val="18"/>
          <w:szCs w:val="18"/>
          <w:color w:val="auto"/>
        </w:rPr>
        <w:t>” shall have the meaning provided in Section 7 hereof.</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Borrower/Lender Documents</w:t>
      </w:r>
      <w:r>
        <w:rPr>
          <w:rFonts w:ascii="Arial" w:cs="Arial" w:eastAsia="Arial" w:hAnsi="Arial"/>
          <w:sz w:val="18"/>
          <w:szCs w:val="18"/>
          <w:color w:val="auto"/>
        </w:rPr>
        <w:t>” shall have the meaning provided in Section 11 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Claim</w:t>
      </w:r>
      <w:r>
        <w:rPr>
          <w:rFonts w:ascii="Arial" w:cs="Arial" w:eastAsia="Arial" w:hAnsi="Arial"/>
          <w:sz w:val="18"/>
          <w:szCs w:val="18"/>
          <w:color w:val="auto"/>
        </w:rPr>
        <w:t>” shall have the meaning provided in Section 10 hereof.</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Releasee</w:t>
      </w:r>
      <w:r>
        <w:rPr>
          <w:rFonts w:ascii="Arial" w:cs="Arial" w:eastAsia="Arial" w:hAnsi="Arial"/>
          <w:sz w:val="18"/>
          <w:szCs w:val="18"/>
          <w:color w:val="auto"/>
        </w:rPr>
        <w:t>” shall have the meaning provided in Section 10 hereof.</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Releasing Party</w:t>
      </w:r>
      <w:r>
        <w:rPr>
          <w:rFonts w:ascii="Arial" w:cs="Arial" w:eastAsia="Arial" w:hAnsi="Arial"/>
          <w:sz w:val="18"/>
          <w:szCs w:val="18"/>
          <w:color w:val="auto"/>
        </w:rPr>
        <w:t>” shall have the meaning provided in Section 10 hereof.</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u w:val="single" w:color="auto"/>
          <w:color w:val="auto"/>
        </w:rPr>
        <w:t>Amendment</w:t>
      </w:r>
      <w:r>
        <w:rPr>
          <w:rFonts w:ascii="Arial" w:cs="Arial" w:eastAsia="Arial" w:hAnsi="Arial"/>
          <w:sz w:val="18"/>
          <w:szCs w:val="18"/>
          <w:color w:val="auto"/>
        </w:rPr>
        <w:t>.</w:t>
      </w:r>
    </w:p>
    <w:p>
      <w:pPr>
        <w:spacing w:after="0" w:line="117" w:lineRule="exact"/>
        <w:rPr>
          <w:sz w:val="20"/>
          <w:szCs w:val="20"/>
          <w:color w:val="auto"/>
        </w:rPr>
      </w:pPr>
    </w:p>
    <w:p>
      <w:pPr>
        <w:jc w:val="both"/>
        <w:ind w:right="20" w:firstLine="436"/>
        <w:spacing w:after="0" w:line="259" w:lineRule="auto"/>
        <w:tabs>
          <w:tab w:leader="none" w:pos="71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Pursuant to Section 9.02 of the Credit Agreement, the Required Lenders, Holdings and the Borrower hereby agree that, effective on the Amendment No. 7 Effective Date, the Credit Agreement shall be amended to delete the stricken text (indicated textually in the same manner as the following example: </w:t>
      </w:r>
      <w:r>
        <w:rPr>
          <w:rFonts w:ascii="Arial" w:cs="Arial" w:eastAsia="Arial" w:hAnsi="Arial"/>
          <w:sz w:val="18"/>
          <w:szCs w:val="18"/>
          <w:color w:val="FF4338"/>
          <w:strike w:val="1"/>
        </w:rPr>
        <w:t>stricken text</w:t>
      </w:r>
      <w:r>
        <w:rPr>
          <w:rFonts w:ascii="Arial" w:cs="Arial" w:eastAsia="Arial" w:hAnsi="Arial"/>
          <w:sz w:val="18"/>
          <w:szCs w:val="18"/>
          <w:color w:val="auto"/>
        </w:rPr>
        <w:t xml:space="preserve">) and to add the double-underlined text (indicated textually in the same manner as the following example: </w:t>
      </w:r>
      <w:r>
        <w:rPr>
          <w:rFonts w:ascii="Arial" w:cs="Arial" w:eastAsia="Arial" w:hAnsi="Arial"/>
          <w:sz w:val="18"/>
          <w:szCs w:val="18"/>
          <w:u w:val="single" w:color="auto"/>
          <w:color w:val="0000FF"/>
        </w:rPr>
        <w:t>added double-underlined text</w:t>
      </w:r>
      <w:r>
        <w:rPr>
          <w:rFonts w:ascii="Arial" w:cs="Arial" w:eastAsia="Arial" w:hAnsi="Arial"/>
          <w:sz w:val="18"/>
          <w:szCs w:val="18"/>
          <w:color w:val="000000"/>
        </w:rPr>
        <w:t>) as set forth in the pages of the Credit Agreement attached as Exhibit A hereto.</w:t>
      </w:r>
    </w:p>
    <w:p>
      <w:pPr>
        <w:spacing w:after="0" w:line="78" w:lineRule="exact"/>
        <w:rPr>
          <w:rFonts w:ascii="Arial" w:cs="Arial" w:eastAsia="Arial" w:hAnsi="Arial"/>
          <w:sz w:val="18"/>
          <w:szCs w:val="18"/>
          <w:color w:val="auto"/>
        </w:rPr>
      </w:pPr>
    </w:p>
    <w:p>
      <w:pPr>
        <w:jc w:val="both"/>
        <w:ind w:firstLine="436"/>
        <w:spacing w:after="0" w:line="263" w:lineRule="auto"/>
        <w:tabs>
          <w:tab w:leader="none" w:pos="704"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Section 9.02 of the Credit Agreement, and solely to the extent that all Lenders provide their written consent to this Agreement in accordance with the terms hereof, such Lenders, Holdings and the Borrower hereby agree that the definition of “Required Lenders” set forth in Section 1.01 of the Credit Agreement shall be amended and restated in its entirety as follows:</w:t>
      </w:r>
    </w:p>
    <w:p>
      <w:pPr>
        <w:spacing w:after="0" w:line="75" w:lineRule="exact"/>
        <w:rPr>
          <w:rFonts w:ascii="Arial" w:cs="Arial" w:eastAsia="Arial" w:hAnsi="Arial"/>
          <w:sz w:val="18"/>
          <w:szCs w:val="18"/>
          <w:color w:val="auto"/>
        </w:rPr>
      </w:pPr>
    </w:p>
    <w:p>
      <w:pPr>
        <w:jc w:val="both"/>
        <w:ind w:left="440" w:firstLine="423"/>
        <w:spacing w:after="0" w:line="285" w:lineRule="auto"/>
        <w:rPr>
          <w:rFonts w:ascii="Arial" w:cs="Arial" w:eastAsia="Arial" w:hAnsi="Arial"/>
          <w:sz w:val="18"/>
          <w:szCs w:val="18"/>
          <w:color w:val="auto"/>
        </w:rPr>
      </w:pPr>
      <w:r>
        <w:rPr>
          <w:rFonts w:ascii="Arial" w:cs="Arial" w:eastAsia="Arial" w:hAnsi="Arial"/>
          <w:sz w:val="16"/>
          <w:szCs w:val="16"/>
          <w:color w:val="auto"/>
        </w:rPr>
        <w:t>“ “</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or holding more than 50.0%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whenever there are one or more Defaulting Lenders, the total outstanding Term Loans, Commitments, Revolving Exposures and unused Revolving Commitments of each Defaulting Lender shall be excluded for purposes of making a determination of Required Lenders,</w:t>
      </w:r>
    </w:p>
    <w:p>
      <w:pPr>
        <w:spacing w:after="0" w:line="1" w:lineRule="exact"/>
        <w:rPr>
          <w:rFonts w:ascii="Arial" w:cs="Arial" w:eastAsia="Arial" w:hAnsi="Arial"/>
          <w:sz w:val="18"/>
          <w:szCs w:val="18"/>
          <w:color w:val="auto"/>
        </w:rPr>
      </w:pPr>
    </w:p>
    <w:p>
      <w:pPr>
        <w:jc w:val="both"/>
        <w:ind w:left="440" w:hanging="4"/>
        <w:spacing w:after="0" w:line="281" w:lineRule="auto"/>
        <w:tabs>
          <w:tab w:leader="none" w:pos="714"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when there are four (4) or fewer Lenders at any such time (it being understood that a single Lender for such purposes shall be deemed to include all Affiliates and Approved Funds of a Lender who are Lenders under this Agreement), the Required Lenders shall constitute no fewer than two Lenders (but only including any such Lender that holds at least 15.0%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at such time, and</w:t>
      </w:r>
    </w:p>
    <w:p>
      <w:pPr>
        <w:spacing w:after="0" w:line="2" w:lineRule="exact"/>
        <w:rPr>
          <w:rFonts w:ascii="Arial" w:cs="Arial" w:eastAsia="Arial" w:hAnsi="Arial"/>
          <w:sz w:val="16"/>
          <w:szCs w:val="16"/>
          <w:color w:val="auto"/>
        </w:rPr>
      </w:pPr>
    </w:p>
    <w:p>
      <w:pPr>
        <w:jc w:val="both"/>
        <w:ind w:left="440" w:hanging="4"/>
        <w:spacing w:after="0" w:line="295" w:lineRule="auto"/>
        <w:tabs>
          <w:tab w:leader="none" w:pos="694"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determination of the Required Lenders shall include Golub Capital LLC and its Affiliates and Approved Funds so long as Golub Capital LLC and its Affiliates and Approved Funds hold at least 25.0%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6306820</wp:posOffset>
            </wp:positionH>
            <wp:positionV relativeFrom="paragraph">
              <wp:posOffset>-2622550</wp:posOffset>
            </wp:positionV>
            <wp:extent cx="6858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-2485390</wp:posOffset>
            </wp:positionV>
            <wp:extent cx="6858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41"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u w:val="single" w:color="auto"/>
          <w:color w:val="auto"/>
        </w:rPr>
        <w:t>Effect of Agreement; Reaffirmation; Reservation of Rights; Etc.</w:t>
      </w:r>
      <w:r>
        <w:rPr>
          <w:rFonts w:ascii="Arial" w:cs="Arial" w:eastAsia="Arial" w:hAnsi="Arial"/>
          <w:sz w:val="16"/>
          <w:szCs w:val="16"/>
          <w:color w:val="auto"/>
        </w:rPr>
        <w:t xml:space="preserve"> (a) Except as expressly set forth herein or in the Amended Credit Agreement, this Agreement shall not by implication or otherwise limit, impair, constitute a waiver of or otherwise affect the rights and remedies of the Lenders or the Agents under the Credit Agreement or under any other Loan Document and shall not alter, modify, amend or in any way affect any of the terms, conditions, obligations, covenants or agreements contained in the Credit Agreement or any other provision of the Credit Agreement or of any other Loan Document, all of which are ratified and affirmed in all respects and shall continue in full force and effect. Without limiting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5" w:name="page6"/>
    <w:bookmarkEnd w:id="5"/>
    <w:p>
      <w:pPr>
        <w:jc w:val="both"/>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after giving effect to the Agreement, (i) each Loan Party acknowledges and agrees that (A) each Loan Document to which it is a party is hereby confirmed and ratified and shall remain in full force and effect according to its respective terms (in the case of the Credit Agreement, as amended hereby) and (B) the Security Documents to which it is a party to, and all of the Collateral does, and in each case shall continue to, secure the payment of all Loan Document Obligations on the terms and conditions set forth in such Security Documents, and hereby ratifies the security interests granted by it pursuant to such Security Documents and (ii) each Guarantor hereby confirms and ratifies its continuing unconditional obligations as Guarantor under each Guarantee to which it is a party. The parties hereto acknowledge and agree that the amendment of the Credit Agreement pursuant to this Agreement and all other Loan Documents amended and/or executed and delivered in connection herewith shall not constitute a novation of the Credit Agreement and the other Loan Documents as in effect prior to the Amendment No. 7 Effective Date.</w:t>
      </w:r>
    </w:p>
    <w:p>
      <w:pPr>
        <w:spacing w:after="0" w:line="57" w:lineRule="exact"/>
        <w:rPr>
          <w:sz w:val="20"/>
          <w:szCs w:val="20"/>
          <w:color w:val="auto"/>
        </w:rPr>
      </w:pPr>
    </w:p>
    <w:p>
      <w:pPr>
        <w:jc w:val="both"/>
        <w:ind w:firstLine="436"/>
        <w:spacing w:after="0" w:line="254" w:lineRule="auto"/>
        <w:tabs>
          <w:tab w:leader="none" w:pos="7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Lenders and the Administrative Agent reserve each and every right and remedy they may have under the Loan Documents and under applicable law with respect to any Default or Event of Default now or hereafter existing or otherwise, as creditors of the Loan Parties. Nothing in this Amendment shall be deemed to constitute a consent or waiver by the Administrative Agent or any Lender of any Default or Event of Default, whether now existing or hereafter arising, or of any right or remedy that the Administrative Agent and the Lenders may have under any of the Loan Documents or applicable law. The parties hereto agree and understand that on and after the Amendment No. 7 Effective Date, no Default or Event of Default related to compliance with the Total Net Leverage Ratio covenant set forth in Section 6.13(a) of the Credit Agreement for the Test Period ended December 31, 2021 shall have occurred or be continuing.</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u w:val="single" w:color="auto"/>
          <w:color w:val="auto"/>
        </w:rPr>
        <w:t>Representations of Loan Parties</w:t>
      </w:r>
      <w:r>
        <w:rPr>
          <w:rFonts w:ascii="Arial" w:cs="Arial" w:eastAsia="Arial" w:hAnsi="Arial"/>
          <w:sz w:val="18"/>
          <w:szCs w:val="18"/>
          <w:i w:val="1"/>
          <w:iCs w:val="1"/>
          <w:color w:val="auto"/>
        </w:rPr>
        <w:t>.</w:t>
      </w:r>
      <w:r>
        <w:rPr>
          <w:rFonts w:ascii="Arial" w:cs="Arial" w:eastAsia="Arial" w:hAnsi="Arial"/>
          <w:sz w:val="18"/>
          <w:szCs w:val="18"/>
          <w:color w:val="auto"/>
        </w:rPr>
        <w:t xml:space="preserve"> Each of the Loan Parties hereby represents and warrants that:</w:t>
      </w:r>
    </w:p>
    <w:p>
      <w:pPr>
        <w:spacing w:after="0" w:line="117" w:lineRule="exact"/>
        <w:rPr>
          <w:sz w:val="20"/>
          <w:szCs w:val="20"/>
          <w:color w:val="auto"/>
        </w:rPr>
      </w:pPr>
    </w:p>
    <w:p>
      <w:pPr>
        <w:jc w:val="both"/>
        <w:ind w:left="440" w:firstLine="419"/>
        <w:spacing w:after="0" w:line="291" w:lineRule="auto"/>
        <w:tabs>
          <w:tab w:leader="none" w:pos="1118"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set forth in Article III of the Amended Credit Agreement and in each other Loan Document shall be true and correct in all material respects on and as of the Amendment No. 7 Effective Date, as applicable, with the same effect as though made on and as of such date (and deeming this Agreement to be a “Loan Document” for purposes of each such representation and warranty), except to the extent such representations and warranties expressly relate to an earlier date, in which case they shall be true and correct in all material respects as of such earlier date;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that any such representation and warranty that is qualified by “materiality”, “material adverse effect” or similar language shall be true and correct in all respects (after giving effect to such qualification therein) on and as of the Amendment No. 7 Effective Date, as applicable, with the same effect as though made on and as of such date or such earlier date, as applicable; and</w:t>
      </w:r>
    </w:p>
    <w:p>
      <w:pPr>
        <w:spacing w:after="0" w:line="58" w:lineRule="exact"/>
        <w:rPr>
          <w:rFonts w:ascii="Arial" w:cs="Arial" w:eastAsia="Arial" w:hAnsi="Arial"/>
          <w:sz w:val="16"/>
          <w:szCs w:val="16"/>
          <w:color w:val="auto"/>
        </w:rPr>
      </w:pPr>
    </w:p>
    <w:p>
      <w:pPr>
        <w:ind w:left="440" w:right="20" w:firstLine="419"/>
        <w:spacing w:after="0" w:line="277" w:lineRule="auto"/>
        <w:tabs>
          <w:tab w:leader="none" w:pos="1127"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the Amendment No. 7 Effective Date, no Default or Event of Default shall exist or would result from the execution, delivery and performance of this Agreement.</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u w:val="single" w:color="auto"/>
          <w:color w:val="auto"/>
        </w:rPr>
        <w:t>Governing Law</w:t>
      </w:r>
      <w:r>
        <w:rPr>
          <w:rFonts w:ascii="Arial" w:cs="Arial" w:eastAsia="Arial" w:hAnsi="Arial"/>
          <w:sz w:val="18"/>
          <w:szCs w:val="18"/>
          <w:i w:val="1"/>
          <w:iCs w:val="1"/>
          <w:color w:val="auto"/>
        </w:rPr>
        <w:t>.</w:t>
      </w:r>
      <w:r>
        <w:rPr>
          <w:rFonts w:ascii="Arial" w:cs="Arial" w:eastAsia="Arial" w:hAnsi="Arial"/>
          <w:sz w:val="18"/>
          <w:szCs w:val="18"/>
          <w:color w:val="auto"/>
        </w:rPr>
        <w:t xml:space="preserve"> THIS AGREEMENT AND THE RIGHTS AND OBLIGATIONS OF THE PARTIES HEREUNDER SHALL BE GOVERNED BY, AND CONSTRUED AND INTERPRETED IN ACCORDANCE WITH, THE LAW OF THE STATE OF NEW YORK.</w:t>
      </w:r>
    </w:p>
    <w:p>
      <w:pPr>
        <w:spacing w:after="0" w:line="170"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Section 6</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Counterparts</w:t>
      </w:r>
      <w:r>
        <w:rPr>
          <w:rFonts w:ascii="Arial" w:cs="Arial" w:eastAsia="Arial" w:hAnsi="Arial"/>
          <w:sz w:val="18"/>
          <w:szCs w:val="18"/>
          <w:i w:val="1"/>
          <w:iCs w:val="1"/>
          <w:color w:val="auto"/>
        </w:rPr>
        <w:t>.</w:t>
      </w:r>
      <w:r>
        <w:rPr>
          <w:rFonts w:ascii="Arial" w:cs="Arial" w:eastAsia="Arial" w:hAnsi="Arial"/>
          <w:sz w:val="18"/>
          <w:szCs w:val="18"/>
          <w:color w:val="auto"/>
        </w:rPr>
        <w:t xml:space="preserve"> This Agreement may be executed in counterparts (and by different parties hereto on different counterparts) (including by facsimile or other electronic transmission (i.e., a “pdf” or “tif”)), each of which shall constitute an original but all of which when taken together shall constitute a single contract. Delivery of an executed signature page to this Agreement by facsimile or electronic transmission shall be as effective as delivery of a manually signed counterpart of this Agreement. The words “execution,” “execute”, “signed,” “signature,” and words of like import in or related to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 w:name="page7"/>
    <w:bookmarkEnd w:id="6"/>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 to be signed in connection with this Agreement and the transactions contemplated hereby (including without limitation Assignment and Assumptions, amendments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the avoidance of doubt, delivery of an executed counterpart of a signature page by facsimile or other electronic imaging means (e.g. “.pdf” or “.tif”) shall be effective as delivery of a manually executed counterpart, and shall not be considered an electronic signature.</w:t>
      </w:r>
    </w:p>
    <w:p>
      <w:pPr>
        <w:spacing w:after="0" w:line="165"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Section 7</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Conditions to Effectiveness of this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The effectiveness of the agreements set forth in this Agreement and of the amendments set forth in Section 2 of this Agreement, shall become effective on the date (the “</w:t>
      </w:r>
      <w:r>
        <w:rPr>
          <w:rFonts w:ascii="Arial" w:cs="Arial" w:eastAsia="Arial" w:hAnsi="Arial"/>
          <w:sz w:val="17"/>
          <w:szCs w:val="17"/>
          <w:b w:val="1"/>
          <w:bCs w:val="1"/>
          <w:color w:val="auto"/>
        </w:rPr>
        <w:t>Amendment No. 7 Effective Date</w:t>
      </w:r>
      <w:r>
        <w:rPr>
          <w:rFonts w:ascii="Arial" w:cs="Arial" w:eastAsia="Arial" w:hAnsi="Arial"/>
          <w:sz w:val="17"/>
          <w:szCs w:val="17"/>
          <w:color w:val="auto"/>
        </w:rPr>
        <w:t>”) when each of the following conditions shall have been satisfied (or waived, as applicable) and, in connection with the foregoing, the execution (which may include telecopy or electronic transmission of a signed signature page of this Agreement) by the Required Lenders of this Agreement:</w:t>
      </w:r>
    </w:p>
    <w:p>
      <w:pPr>
        <w:spacing w:after="0" w:line="63" w:lineRule="exact"/>
        <w:rPr>
          <w:sz w:val="20"/>
          <w:szCs w:val="20"/>
          <w:color w:val="auto"/>
        </w:rPr>
      </w:pPr>
    </w:p>
    <w:p>
      <w:pPr>
        <w:jc w:val="both"/>
        <w:ind w:left="440" w:firstLine="419"/>
        <w:spacing w:after="0" w:line="311" w:lineRule="auto"/>
        <w:tabs>
          <w:tab w:leader="none" w:pos="1117"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Administrative Agent shall have received from (x) each Loan Party, and (y) Lenders constituting the Required Lenders either (A) a counterpart of this Agreement signed on behalf of such party or (B) written evidence satisfactory to the Administrative Agent (which may include telecopy or electronic transmission of a signed signature page of this Agreement) that such party has signed a counterpart of this Agreement;</w:t>
      </w:r>
    </w:p>
    <w:p>
      <w:pPr>
        <w:spacing w:after="0" w:line="40" w:lineRule="exact"/>
        <w:rPr>
          <w:rFonts w:ascii="Arial" w:cs="Arial" w:eastAsia="Arial" w:hAnsi="Arial"/>
          <w:sz w:val="16"/>
          <w:szCs w:val="16"/>
          <w:color w:val="auto"/>
        </w:rPr>
      </w:pPr>
    </w:p>
    <w:p>
      <w:pPr>
        <w:ind w:left="1120" w:hanging="261"/>
        <w:spacing w:after="0"/>
        <w:tabs>
          <w:tab w:leader="none" w:pos="11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of the Borrower, dated the Amendment No. 7 Effective Date, certifying that</w:t>
      </w:r>
    </w:p>
    <w:p>
      <w:pPr>
        <w:spacing w:after="0" w:line="46" w:lineRule="exact"/>
        <w:rPr>
          <w:rFonts w:ascii="Arial" w:cs="Arial" w:eastAsia="Arial" w:hAnsi="Arial"/>
          <w:sz w:val="16"/>
          <w:szCs w:val="16"/>
          <w:color w:val="auto"/>
        </w:rPr>
      </w:pPr>
    </w:p>
    <w:p>
      <w:pPr>
        <w:ind w:left="440" w:hanging="4"/>
        <w:spacing w:after="0" w:line="260" w:lineRule="auto"/>
        <w:tabs>
          <w:tab w:leader="none" w:pos="6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representations and warranties set forth in Section 4 hereof shall be true and correct, and (ii) no Default or Event of Default shall exist or would result from the execution, delivery and performance of this Agreement;</w:t>
      </w:r>
    </w:p>
    <w:p>
      <w:pPr>
        <w:spacing w:after="0" w:line="77" w:lineRule="exact"/>
        <w:rPr>
          <w:rFonts w:ascii="Arial" w:cs="Arial" w:eastAsia="Arial" w:hAnsi="Arial"/>
          <w:sz w:val="18"/>
          <w:szCs w:val="18"/>
          <w:color w:val="auto"/>
        </w:rPr>
      </w:pPr>
    </w:p>
    <w:p>
      <w:pPr>
        <w:jc w:val="both"/>
        <w:ind w:left="440" w:right="20" w:firstLine="419"/>
        <w:spacing w:after="0" w:line="257" w:lineRule="auto"/>
        <w:tabs>
          <w:tab w:leader="none" w:pos="1131"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Administrative Agent shall have received, on behalf of each Lender that shall have delivered an executed signature page to this Agreement, and released such signature page, on or prior to 12:00 p.m. (New York time) on March 14, 2022, payment of a non-refundable consent fee in an amount equal to 0.25% multiplied by the sum of the aggregate principal amount of Term Loans and Revolving Commitments held by such Lender, which consent fee shall be earned in full on the Amendment No. 7 Effective Date, to the extent that the Amendment No. 7 Effective Date occurs;</w:t>
      </w:r>
    </w:p>
    <w:p>
      <w:pPr>
        <w:spacing w:after="0" w:line="79" w:lineRule="exact"/>
        <w:rPr>
          <w:rFonts w:ascii="Arial" w:cs="Arial" w:eastAsia="Arial" w:hAnsi="Arial"/>
          <w:sz w:val="18"/>
          <w:szCs w:val="18"/>
          <w:color w:val="auto"/>
        </w:rPr>
      </w:pPr>
    </w:p>
    <w:p>
      <w:pPr>
        <w:jc w:val="both"/>
        <w:ind w:left="440" w:firstLine="419"/>
        <w:spacing w:after="0" w:line="263" w:lineRule="auto"/>
        <w:tabs>
          <w:tab w:leader="none" w:pos="1133"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that all cash and Cash Equivalents of Gohealth Holdings LLC shall have been transferred to deposit account number 01068338302 of the Borrower that is maintained at The Huntington National Bank and subject to an Account Control Agreement; and</w:t>
      </w:r>
    </w:p>
    <w:p>
      <w:pPr>
        <w:spacing w:after="0" w:line="75" w:lineRule="exact"/>
        <w:rPr>
          <w:rFonts w:ascii="Arial" w:cs="Arial" w:eastAsia="Arial" w:hAnsi="Arial"/>
          <w:sz w:val="18"/>
          <w:szCs w:val="18"/>
          <w:color w:val="auto"/>
        </w:rPr>
      </w:pPr>
    </w:p>
    <w:p>
      <w:pPr>
        <w:jc w:val="both"/>
        <w:ind w:left="440" w:right="20" w:firstLine="419"/>
        <w:spacing w:after="0" w:line="263" w:lineRule="auto"/>
        <w:tabs>
          <w:tab w:leader="none" w:pos="1123"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payment for all reasonable and documented and invoiced out-of-pocket costs and expenses required to be paid or reimbursed under Section 9.03 of the Credit Agreement on the Amendment No. 7 Effective Date, for which invoices have been presented at least one Business Day prior to the Amendment No. 7 Effective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 w:name="page8"/>
    <w:bookmarkEnd w:id="7"/>
    <w:p>
      <w:pPr>
        <w:jc w:val="both"/>
        <w:ind w:right="2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Consent Fees</w:t>
      </w:r>
      <w:r>
        <w:rPr>
          <w:rFonts w:ascii="Arial" w:cs="Arial" w:eastAsia="Arial" w:hAnsi="Arial"/>
          <w:sz w:val="17"/>
          <w:szCs w:val="17"/>
          <w:i w:val="1"/>
          <w:iCs w:val="1"/>
          <w:color w:val="auto"/>
        </w:rPr>
        <w:t>.</w:t>
      </w:r>
      <w:r>
        <w:rPr>
          <w:rFonts w:ascii="Arial" w:cs="Arial" w:eastAsia="Arial" w:hAnsi="Arial"/>
          <w:sz w:val="17"/>
          <w:szCs w:val="17"/>
          <w:color w:val="auto"/>
        </w:rPr>
        <w:t xml:space="preserve"> The parties hereto agree that the Lenders may provide their written consent to this Agreement by delivering to the Administrative Agent an executed signature page to this Agreement, and releasing such signature page, on or prior to 5:00 p.m. (New York time) on March 21, 2022, and the Borrower shall pay within one (1) Business Day of such date to the Administrative Agent, on behalf of each Lender that shall have so delivered and released an executed signature page to this Agreement, a non-refundable consent fee in an amount equal to 0.25% multiplied by the sum of the aggregate principal amount of Term Loans and Revolving Commitments held by such Lender.</w:t>
      </w:r>
    </w:p>
    <w:p>
      <w:pPr>
        <w:spacing w:after="0" w:line="176"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Section 9</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Covenants</w:t>
      </w:r>
      <w:r>
        <w:rPr>
          <w:rFonts w:ascii="Arial" w:cs="Arial" w:eastAsia="Arial" w:hAnsi="Arial"/>
          <w:sz w:val="18"/>
          <w:szCs w:val="18"/>
          <w:i w:val="1"/>
          <w:iCs w:val="1"/>
          <w:color w:val="auto"/>
        </w:rPr>
        <w:t>.</w:t>
      </w:r>
      <w:r>
        <w:rPr>
          <w:rFonts w:ascii="Arial" w:cs="Arial" w:eastAsia="Arial" w:hAnsi="Arial"/>
          <w:sz w:val="18"/>
          <w:szCs w:val="18"/>
          <w:color w:val="auto"/>
        </w:rPr>
        <w:t xml:space="preserve"> The Borrower covenants and agrees that the Borrower will use its commercially reasonable efforts to cause the Administrative Agent to resign from its role as “Administrative Agent” and, after giving effect to such resignation, the Borrower shall consent to the appointment by the Required Lenders of Golub Capital Markets LLC as the successor Administrative Agent, in each case, within forty-five (45) days after the Amendment No. 7 Effective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10</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Release</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67" w:lineRule="auto"/>
        <w:tabs>
          <w:tab w:leader="none" w:pos="7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consideration of the agreements of the Lenders and the Administrative Agent contained herein and for other good and valuable consideration, the receipt and sufficiency of which are hereby acknowledged, each Loan Party, on behalf of itself and its successors and assigns (each Loan Party and all such other Persons being hereinafter referred to collectively as the “</w:t>
      </w:r>
      <w:r>
        <w:rPr>
          <w:rFonts w:ascii="Arial" w:cs="Arial" w:eastAsia="Arial" w:hAnsi="Arial"/>
          <w:sz w:val="17"/>
          <w:szCs w:val="17"/>
          <w:b w:val="1"/>
          <w:bCs w:val="1"/>
          <w:color w:val="auto"/>
        </w:rPr>
        <w:t>Releasing Parties</w:t>
      </w:r>
      <w:r>
        <w:rPr>
          <w:rFonts w:ascii="Arial" w:cs="Arial" w:eastAsia="Arial" w:hAnsi="Arial"/>
          <w:sz w:val="17"/>
          <w:szCs w:val="17"/>
          <w:color w:val="auto"/>
        </w:rPr>
        <w:t>” and individually as a “</w:t>
      </w:r>
      <w:r>
        <w:rPr>
          <w:rFonts w:ascii="Arial" w:cs="Arial" w:eastAsia="Arial" w:hAnsi="Arial"/>
          <w:sz w:val="17"/>
          <w:szCs w:val="17"/>
          <w:b w:val="1"/>
          <w:bCs w:val="1"/>
          <w:color w:val="auto"/>
        </w:rPr>
        <w:t>Releasing Party</w:t>
      </w:r>
      <w:r>
        <w:rPr>
          <w:rFonts w:ascii="Arial" w:cs="Arial" w:eastAsia="Arial" w:hAnsi="Arial"/>
          <w:sz w:val="17"/>
          <w:szCs w:val="17"/>
          <w:color w:val="auto"/>
        </w:rPr>
        <w:t>”), hereby absolutely, unconditionally and irrevocably releases, remises and forever discharges each Lender, the Administrative Agent and each of their respective successors and assigns, and their respective present and former shareholders, affiliates, subsidiaries, divisions, predecessors, directors, officers, attorneys, employees, agents, legal representatives and other representatives (the Lenders, the Administrative Agent and all such other Persons being hereinafter referred to collectively as the “</w:t>
      </w:r>
      <w:r>
        <w:rPr>
          <w:rFonts w:ascii="Arial" w:cs="Arial" w:eastAsia="Arial" w:hAnsi="Arial"/>
          <w:sz w:val="17"/>
          <w:szCs w:val="17"/>
          <w:b w:val="1"/>
          <w:bCs w:val="1"/>
          <w:color w:val="auto"/>
        </w:rPr>
        <w:t>Releasees</w:t>
      </w:r>
      <w:r>
        <w:rPr>
          <w:rFonts w:ascii="Arial" w:cs="Arial" w:eastAsia="Arial" w:hAnsi="Arial"/>
          <w:sz w:val="17"/>
          <w:szCs w:val="17"/>
          <w:color w:val="auto"/>
        </w:rPr>
        <w:t>” and individually as a “</w:t>
      </w:r>
      <w:r>
        <w:rPr>
          <w:rFonts w:ascii="Arial" w:cs="Arial" w:eastAsia="Arial" w:hAnsi="Arial"/>
          <w:sz w:val="17"/>
          <w:szCs w:val="17"/>
          <w:b w:val="1"/>
          <w:bCs w:val="1"/>
          <w:color w:val="auto"/>
        </w:rPr>
        <w:t>Releasee</w:t>
      </w:r>
      <w:r>
        <w:rPr>
          <w:rFonts w:ascii="Arial" w:cs="Arial" w:eastAsia="Arial" w:hAnsi="Arial"/>
          <w:sz w:val="17"/>
          <w:szCs w:val="17"/>
          <w:color w:val="auto"/>
        </w:rPr>
        <w:t>”), of and from all demands, actions, causes of action, suits, damages and any and all other claims, counterclaims, defenses, rights of set-off, demands and liabilities whatsoever (individually, a “</w:t>
      </w:r>
      <w:r>
        <w:rPr>
          <w:rFonts w:ascii="Arial" w:cs="Arial" w:eastAsia="Arial" w:hAnsi="Arial"/>
          <w:sz w:val="17"/>
          <w:szCs w:val="17"/>
          <w:b w:val="1"/>
          <w:bCs w:val="1"/>
          <w:color w:val="auto"/>
        </w:rPr>
        <w:t>Claim</w:t>
      </w:r>
      <w:r>
        <w:rPr>
          <w:rFonts w:ascii="Arial" w:cs="Arial" w:eastAsia="Arial" w:hAnsi="Arial"/>
          <w:sz w:val="17"/>
          <w:szCs w:val="17"/>
          <w:color w:val="auto"/>
        </w:rPr>
        <w:t>” and collectively, “</w:t>
      </w:r>
      <w:r>
        <w:rPr>
          <w:rFonts w:ascii="Arial" w:cs="Arial" w:eastAsia="Arial" w:hAnsi="Arial"/>
          <w:sz w:val="17"/>
          <w:szCs w:val="17"/>
          <w:b w:val="1"/>
          <w:bCs w:val="1"/>
          <w:color w:val="auto"/>
        </w:rPr>
        <w:t>Claims</w:t>
      </w:r>
      <w:r>
        <w:rPr>
          <w:rFonts w:ascii="Arial" w:cs="Arial" w:eastAsia="Arial" w:hAnsi="Arial"/>
          <w:sz w:val="17"/>
          <w:szCs w:val="17"/>
          <w:color w:val="auto"/>
        </w:rPr>
        <w:t xml:space="preserve">”) of every kind and nature, known or unknown, suspected or unsuspected, at law or in equity, which any of the Loan Parties or any of the successors, assigns, or other legal representatives of any of the Loan Parties may now or hereafter own, hold, have or claim to have against the Releasees or any of them for, upon, or by reason of any circumstances, action, cause or thing whatsoever which arose or occurred at any time on or prior to the date of this Agreement, for or on account of, or in relation to, or in any way in connection with this Agreement, the Credit Agreement, the Amended Credit Agreement, any of the Loan Documents or any of the transactions hereunder or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contained herein shall release the Releasees from any Claims that (i) may arise after the date hereof for or on account of, or in relation to, or in any way in connection with this Agreement, the Amended Credit Agreement, any of the Loan Documents or transactions contemplated hereunder or thereunder (including obligations of the Releasees to comply with this Agreement, the Amended Credit Agreement, any of the Loan Documents, as modified hereby, after the date hereof) or (ii) resulting from the bad faith or willful misconduct of such Releasees (each as determined in a final, non-appealable judgment by a court of competent jurisdiction).</w:t>
      </w:r>
    </w:p>
    <w:p>
      <w:pPr>
        <w:spacing w:after="0" w:line="81" w:lineRule="exact"/>
        <w:rPr>
          <w:rFonts w:ascii="Arial" w:cs="Arial" w:eastAsia="Arial" w:hAnsi="Arial"/>
          <w:sz w:val="17"/>
          <w:szCs w:val="17"/>
          <w:color w:val="auto"/>
        </w:rPr>
      </w:pPr>
    </w:p>
    <w:p>
      <w:pPr>
        <w:jc w:val="both"/>
        <w:ind w:right="20" w:firstLine="436"/>
        <w:spacing w:after="0" w:line="263" w:lineRule="auto"/>
        <w:tabs>
          <w:tab w:leader="none" w:pos="70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Loan Party understands, acknowledges and agrees that the release set forth above may be pleaded as a full and complete defense to any Claim and may be used as a basis for an injunction against any action, suit or other proceeding which may be instituted, prosecuted or attempted in breach of the provisions of such release.</w:t>
      </w:r>
    </w:p>
    <w:p>
      <w:pPr>
        <w:spacing w:after="0" w:line="75" w:lineRule="exact"/>
        <w:rPr>
          <w:rFonts w:ascii="Arial" w:cs="Arial" w:eastAsia="Arial" w:hAnsi="Arial"/>
          <w:sz w:val="18"/>
          <w:szCs w:val="18"/>
          <w:color w:val="auto"/>
        </w:rPr>
      </w:pPr>
    </w:p>
    <w:p>
      <w:pPr>
        <w:ind w:right="20" w:firstLine="436"/>
        <w:spacing w:after="0" w:line="277"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Loan Party agrees that no fact, event, circumstance, evidence or transaction which could now be asserted or which may hereafter be discovered shall affect in any manner the final, absolute and unconditional nature of the release set forth above.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8" w:name="page9"/>
    <w:bookmarkEnd w:id="8"/>
    <w:p>
      <w:pPr>
        <w:jc w:val="both"/>
        <w:ind w:firstLine="436"/>
        <w:spacing w:after="0" w:line="273" w:lineRule="auto"/>
        <w:tabs>
          <w:tab w:leader="none" w:pos="698" w:val="left"/>
        </w:tabs>
        <w:numPr>
          <w:ilvl w:val="0"/>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of the Releasing Parties hereby absolutely, unconditionally and irrevocably, covenants and agrees with and in favor of each Releasee that it will not sue (at law, in equity, in any regulatory proceeding or otherwise) any Releasee on the basis of any Claim released, remised and discharged by any Releasing Party pursuant to this </w:t>
      </w:r>
      <w:r>
        <w:rPr>
          <w:rFonts w:ascii="Arial" w:cs="Arial" w:eastAsia="Arial" w:hAnsi="Arial"/>
          <w:sz w:val="17"/>
          <w:szCs w:val="17"/>
          <w:u w:val="single" w:color="auto"/>
          <w:color w:val="auto"/>
        </w:rPr>
        <w:t>Section 10</w:t>
      </w:r>
      <w:r>
        <w:rPr>
          <w:rFonts w:ascii="Arial" w:cs="Arial" w:eastAsia="Arial" w:hAnsi="Arial"/>
          <w:sz w:val="17"/>
          <w:szCs w:val="17"/>
          <w:color w:val="auto"/>
        </w:rPr>
        <w:t>. If any Releasing Party violates the foregoing covenant, each Loan Party, for itself and its successors and assigns, and its present and former members, shareholders, affiliates, subsidiaries, divisions, predecessors, directors, officers, attorneys, employees, agents, legal representatives and other representatives, agrees to pay, in addition to such other damages as any Releasee may sustain as a result of such violation, all attorneys’ fees and costs incurred by any Releasee as a result of such violation.</w:t>
      </w:r>
    </w:p>
    <w:p>
      <w:pPr>
        <w:spacing w:after="0" w:line="178"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Section 11</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Final Agreement</w:t>
      </w:r>
      <w:r>
        <w:rPr>
          <w:rFonts w:ascii="Arial" w:cs="Arial" w:eastAsia="Arial" w:hAnsi="Arial"/>
          <w:sz w:val="16"/>
          <w:szCs w:val="16"/>
          <w:color w:val="auto"/>
        </w:rPr>
        <w:t>. This Agreement, the Amended Credit Agreement and any other written agreements, instruments, and documents entered into in connection herewith and therewith (collectively, the “</w:t>
      </w:r>
      <w:r>
        <w:rPr>
          <w:rFonts w:ascii="Arial" w:cs="Arial" w:eastAsia="Arial" w:hAnsi="Arial"/>
          <w:sz w:val="16"/>
          <w:szCs w:val="16"/>
          <w:b w:val="1"/>
          <w:bCs w:val="1"/>
          <w:color w:val="auto"/>
        </w:rPr>
        <w:t>Borrower/Lender Documents</w:t>
      </w:r>
      <w:r>
        <w:rPr>
          <w:rFonts w:ascii="Arial" w:cs="Arial" w:eastAsia="Arial" w:hAnsi="Arial"/>
          <w:sz w:val="16"/>
          <w:szCs w:val="16"/>
          <w:color w:val="auto"/>
        </w:rPr>
        <w:t>”) set forth in full the terms of agreement among the parties hereto and thereto with respect to the subject matter hereof and thereof and are intended as the full, complete, and exclusive contracts governing the relationship between such parties with respect to the subject matter hereof and thereof, superseding all other discussions, promises, representations, warranties, agreements, and understandings between the parties with respect thereto. Except as expressly provided therein, no term of the Borrower/Lender Documents may be modified or amended, nor may any rights thereunder be waived, except in a writing signed by the party against whom enforcement of the modification, amendment, or waiver is sought. Any waiver of any condition in, or breach of, any of the foregoing in a particular instance shall not operate as a waiver of other or subsequent conditions or breaches of the same or a different kind. The Administrative Agent’s or any Lender’s exercise or failure to exercise any rights or remedies under any of the foregoing in a particular instance shall not operate as a waiver of its right to exercise the same or different rights and remedies in any other instances. Any agreement by the Lenders or the Administrative Agent concerning any forbearance, waiver or other accommodation concerning any Default or Event of Default or the payment and performance of the Loan Document Obligations must be set forth in writing and signed by a duly authorized signatory of each of the parties required to be a signatory thereto by the Loan Documents. There are no oral agreements among the parties hereto.</w:t>
      </w:r>
    </w:p>
    <w:p>
      <w:pPr>
        <w:spacing w:after="0" w:line="174" w:lineRule="exact"/>
        <w:rPr>
          <w:sz w:val="20"/>
          <w:szCs w:val="20"/>
          <w:color w:val="auto"/>
        </w:rPr>
      </w:pPr>
    </w:p>
    <w:p>
      <w:pPr>
        <w:jc w:val="both"/>
        <w:ind w:right="20" w:firstLine="440"/>
        <w:spacing w:after="0" w:line="255" w:lineRule="auto"/>
        <w:rPr>
          <w:sz w:val="20"/>
          <w:szCs w:val="20"/>
          <w:color w:val="auto"/>
        </w:rPr>
      </w:pPr>
      <w:r>
        <w:rPr>
          <w:rFonts w:ascii="Arial" w:cs="Arial" w:eastAsia="Arial" w:hAnsi="Arial"/>
          <w:sz w:val="18"/>
          <w:szCs w:val="18"/>
          <w:color w:val="auto"/>
        </w:rPr>
        <w:t>Section 12</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No Novation</w:t>
      </w:r>
      <w:r>
        <w:rPr>
          <w:rFonts w:ascii="Arial" w:cs="Arial" w:eastAsia="Arial" w:hAnsi="Arial"/>
          <w:sz w:val="18"/>
          <w:szCs w:val="18"/>
          <w:color w:val="auto"/>
        </w:rPr>
        <w:t>. Nothing herein contained shall be construed as a substitution or novation of the obligations outstanding under the Credit Agreement or instruments securing the same, which shall remain in full force and effect, except to any extent modified hereby or by instruments executed concurrently herewith. Nothing implied in this Agreement or in any other document contemplated hereby shall discharge or release the Lien or priority of any Security Document or any other security therefor or otherwise be construed as a release or other discharge of any of the Loan Parties under any Loan Document from any of its obligations and liabilities as a borrower, guarantor or pledgor under any of the Loan Documents, except, in each case, to any extent modified hereby.</w:t>
      </w:r>
    </w:p>
    <w:p>
      <w:pPr>
        <w:spacing w:after="0" w:line="192" w:lineRule="exact"/>
        <w:rPr>
          <w:sz w:val="20"/>
          <w:szCs w:val="20"/>
          <w:color w:val="auto"/>
        </w:rPr>
      </w:pPr>
    </w:p>
    <w:p>
      <w:pPr>
        <w:jc w:val="both"/>
        <w:ind w:right="20" w:firstLine="440"/>
        <w:spacing w:after="0" w:line="308" w:lineRule="auto"/>
        <w:rPr>
          <w:sz w:val="20"/>
          <w:szCs w:val="20"/>
          <w:color w:val="auto"/>
        </w:rPr>
      </w:pPr>
      <w:r>
        <w:rPr>
          <w:rFonts w:ascii="Arial" w:cs="Arial" w:eastAsia="Arial" w:hAnsi="Arial"/>
          <w:sz w:val="17"/>
          <w:szCs w:val="17"/>
          <w:color w:val="auto"/>
        </w:rPr>
        <w:t>Section 13</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Miscellaneous</w:t>
      </w:r>
      <w:r>
        <w:rPr>
          <w:rFonts w:ascii="Arial" w:cs="Arial" w:eastAsia="Arial" w:hAnsi="Arial"/>
          <w:sz w:val="17"/>
          <w:szCs w:val="17"/>
          <w:color w:val="auto"/>
        </w:rPr>
        <w:t xml:space="preserve">. Sections 9.03, 9.06, 9.09 and 9.10 of the Credit Agreement are incorporated herein by reference and apply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mutandis</w:t>
      </w:r>
      <w:r>
        <w:rPr>
          <w:rFonts w:ascii="Arial" w:cs="Arial" w:eastAsia="Arial" w:hAnsi="Arial"/>
          <w:sz w:val="17"/>
          <w:szCs w:val="17"/>
          <w:color w:val="auto"/>
        </w:rPr>
        <w:t>. On and after the effectiveness of this Agreement, this Agreement shall for all purposes constitute a Loan Document.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BLIZZARD MIDCO, LLC</w:t>
      </w:r>
      <w:r>
        <w:rPr>
          <w:rFonts w:ascii="Arial" w:cs="Arial" w:eastAsia="Arial" w:hAnsi="Arial"/>
          <w:sz w:val="18"/>
          <w:szCs w:val="18"/>
          <w:color w:val="auto"/>
        </w:rPr>
        <w: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Travis Matthiesen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NORVAX, LLC</w:t>
      </w:r>
      <w:r>
        <w:rPr>
          <w:rFonts w:ascii="Arial" w:cs="Arial" w:eastAsia="Arial" w:hAnsi="Arial"/>
          <w:sz w:val="18"/>
          <w:szCs w:val="18"/>
          <w:color w:val="auto"/>
        </w:rPr>
        <w: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a Borrower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Travis Matthiesen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1000"/>
          </w:cols>
          <w:pgMar w:left="440" w:top="274" w:right="459" w:bottom="1440" w:gutter="0" w:footer="0" w:header="0"/>
        </w:sectPr>
      </w:pPr>
    </w:p>
    <w:bookmarkStart w:id="10" w:name="page11"/>
    <w:bookmarkEnd w:id="1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GOHEALTH, LLC</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Guarantor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Travis Matthiesen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CONNECTED BENEFITS, LLC,</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Guarantor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Travis Matthiesen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CREATIX, INC.,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Guarantor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Travis Matthiesen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9019"/>
          </w:cols>
          <w:pgMar w:left="1440" w:top="270" w:right="1440" w:bottom="1440" w:gutter="0" w:footer="0" w:header="0"/>
        </w:sectPr>
      </w:pPr>
    </w:p>
    <w:bookmarkStart w:id="11" w:name="page12"/>
    <w:bookmarkEnd w:id="1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OWL ROCK CAPITAL CORPORATION</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Jeff Walwyn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Jeff Walwyn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9019"/>
          </w:cols>
          <w:pgMar w:left="1440" w:top="270" w:right="1440" w:bottom="1440" w:gutter="0" w:footer="0" w:header="0"/>
        </w:sectPr>
      </w:pPr>
    </w:p>
    <w:bookmarkStart w:id="12" w:name="page13"/>
    <w:bookmarkEnd w:id="12"/>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GOLUB CAPITAL PARTNERS CLO 16(M)-R2, L.P.</w:t>
      </w:r>
      <w:r>
        <w:rPr>
          <w:rFonts w:ascii="Arial" w:cs="Arial" w:eastAsia="Arial" w:hAnsi="Arial"/>
          <w:sz w:val="17"/>
          <w:szCs w:val="17"/>
          <w:color w:val="auto"/>
        </w:rPr>
        <w:t>,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17(M)-R, LTD.</w:t>
      </w:r>
      <w:r>
        <w:rPr>
          <w:rFonts w:ascii="Arial" w:cs="Arial" w:eastAsia="Arial" w:hAnsi="Arial"/>
          <w:sz w:val="17"/>
          <w:szCs w:val="17"/>
          <w:color w:val="auto"/>
        </w:rPr>
        <w:t>,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as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21(M)-R, LTD.</w:t>
      </w:r>
      <w:r>
        <w:rPr>
          <w:rFonts w:ascii="Arial" w:cs="Arial" w:eastAsia="Arial" w:hAnsi="Arial"/>
          <w:sz w:val="17"/>
          <w:szCs w:val="17"/>
          <w:color w:val="auto"/>
        </w:rPr>
        <w:t>,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24(M)-R, LTD.</w:t>
      </w:r>
      <w:r>
        <w:rPr>
          <w:rFonts w:ascii="Arial" w:cs="Arial" w:eastAsia="Arial" w:hAnsi="Arial"/>
          <w:sz w:val="17"/>
          <w:szCs w:val="17"/>
          <w:color w:val="auto"/>
        </w:rPr>
        <w:t>,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0000"/>
          </w:cols>
          <w:pgMar w:left="1440" w:top="270" w:right="459" w:bottom="1440" w:gutter="0" w:footer="0" w:header="0"/>
        </w:sectPr>
      </w:pPr>
    </w:p>
    <w:bookmarkStart w:id="13" w:name="page14"/>
    <w:bookmarkEnd w:id="13"/>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GOLUB CAPITAL PARTNERS CLO 25(M)-R, LTD.</w:t>
      </w:r>
      <w:r>
        <w:rPr>
          <w:rFonts w:ascii="Arial" w:cs="Arial" w:eastAsia="Arial" w:hAnsi="Arial"/>
          <w:sz w:val="17"/>
          <w:szCs w:val="17"/>
          <w:color w:val="auto"/>
        </w:rPr>
        <w:t>,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28(M)-R, L.P.</w:t>
      </w:r>
      <w:r>
        <w:rPr>
          <w:rFonts w:ascii="Arial" w:cs="Arial" w:eastAsia="Arial" w:hAnsi="Arial"/>
          <w:sz w:val="17"/>
          <w:szCs w:val="17"/>
          <w:color w:val="auto"/>
        </w:rPr>
        <w:t>, as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31(M)-R, LTD.</w:t>
      </w:r>
      <w:r>
        <w:rPr>
          <w:rFonts w:ascii="Arial" w:cs="Arial" w:eastAsia="Arial" w:hAnsi="Arial"/>
          <w:sz w:val="17"/>
          <w:szCs w:val="17"/>
          <w:color w:val="auto"/>
        </w:rPr>
        <w:t>,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33(M)-R2, L.P.</w:t>
      </w:r>
      <w:r>
        <w:rPr>
          <w:rFonts w:ascii="Arial" w:cs="Arial" w:eastAsia="Arial" w:hAnsi="Arial"/>
          <w:sz w:val="17"/>
          <w:szCs w:val="17"/>
          <w:color w:val="auto"/>
        </w:rPr>
        <w:t>,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0000"/>
          </w:cols>
          <w:pgMar w:left="1440" w:top="270" w:right="459" w:bottom="1440" w:gutter="0" w:footer="0" w:header="0"/>
        </w:sectPr>
      </w:pPr>
    </w:p>
    <w:bookmarkStart w:id="14" w:name="page15"/>
    <w:bookmarkEnd w:id="14"/>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GOLUB CAPITAL PARTNERS CLO 34(M)-R, LTD.</w:t>
      </w:r>
      <w:r>
        <w:rPr>
          <w:rFonts w:ascii="Arial" w:cs="Arial" w:eastAsia="Arial" w:hAnsi="Arial"/>
          <w:sz w:val="17"/>
          <w:szCs w:val="17"/>
          <w:color w:val="auto"/>
        </w:rPr>
        <w:t>,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36(M), LTD.</w:t>
      </w:r>
      <w:r>
        <w:rPr>
          <w:rFonts w:ascii="Arial" w:cs="Arial" w:eastAsia="Arial" w:hAnsi="Arial"/>
          <w:sz w:val="17"/>
          <w:szCs w:val="17"/>
          <w:color w:val="auto"/>
        </w:rPr>
        <w:t>, as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38(M), LTD.</w:t>
      </w:r>
      <w:r>
        <w:rPr>
          <w:rFonts w:ascii="Arial" w:cs="Arial" w:eastAsia="Arial" w:hAnsi="Arial"/>
          <w:sz w:val="17"/>
          <w:szCs w:val="17"/>
          <w:color w:val="auto"/>
        </w:rPr>
        <w:t>, as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42(M), LTD.</w:t>
      </w:r>
      <w:r>
        <w:rPr>
          <w:rFonts w:ascii="Arial" w:cs="Arial" w:eastAsia="Arial" w:hAnsi="Arial"/>
          <w:sz w:val="17"/>
          <w:szCs w:val="17"/>
          <w:color w:val="auto"/>
        </w:rPr>
        <w:t>, as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0000"/>
          </w:cols>
          <w:pgMar w:left="1440" w:top="270" w:right="459" w:bottom="1440" w:gutter="0" w:footer="0" w:header="0"/>
        </w:sectPr>
      </w:pPr>
    </w:p>
    <w:bookmarkStart w:id="15" w:name="page16"/>
    <w:bookmarkEnd w:id="15"/>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GOLUB CAPITAL PARTNERS CLO 44(M), LTD.</w:t>
      </w:r>
      <w:r>
        <w:rPr>
          <w:rFonts w:ascii="Arial" w:cs="Arial" w:eastAsia="Arial" w:hAnsi="Arial"/>
          <w:sz w:val="17"/>
          <w:szCs w:val="17"/>
          <w:color w:val="auto"/>
        </w:rPr>
        <w:t>, as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45(M), LTD.</w:t>
      </w:r>
      <w:r>
        <w:rPr>
          <w:rFonts w:ascii="Arial" w:cs="Arial" w:eastAsia="Arial" w:hAnsi="Arial"/>
          <w:sz w:val="17"/>
          <w:szCs w:val="17"/>
          <w:color w:val="auto"/>
        </w:rPr>
        <w:t>, as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GOLUB CAPITAL PARTNERS CLO 46(M), L.P.</w:t>
      </w:r>
      <w:r>
        <w:rPr>
          <w:rFonts w:ascii="Arial" w:cs="Arial" w:eastAsia="Arial" w:hAnsi="Arial"/>
          <w:sz w:val="18"/>
          <w:szCs w:val="18"/>
          <w:color w:val="auto"/>
        </w:rPr>
        <w:t>, as 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GOLUB CAPITAL PARTNERS CLO 47(M), L.P.</w:t>
      </w:r>
      <w:r>
        <w:rPr>
          <w:rFonts w:ascii="Arial" w:cs="Arial" w:eastAsia="Arial" w:hAnsi="Arial"/>
          <w:sz w:val="18"/>
          <w:szCs w:val="18"/>
          <w:color w:val="auto"/>
        </w:rPr>
        <w:t>, as 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0000"/>
          </w:cols>
          <w:pgMar w:left="1440" w:top="270" w:right="459" w:bottom="1440" w:gutter="0" w:footer="0" w:header="0"/>
        </w:sectPr>
      </w:pPr>
    </w:p>
    <w:bookmarkStart w:id="16" w:name="page17"/>
    <w:bookmarkEnd w:id="1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GOLUB CAPITAL PARTNERS CLO 49(M)-R</w:t>
      </w:r>
      <w:r>
        <w:rPr>
          <w:rFonts w:ascii="Arial" w:cs="Arial" w:eastAsia="Arial" w:hAnsi="Arial"/>
          <w:sz w:val="18"/>
          <w:szCs w:val="18"/>
          <w:color w:val="auto"/>
        </w:rPr>
        <w:t>, as 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GOLUB CAPITAL PARTNERS CLO 51(M), L.P.</w:t>
      </w:r>
      <w:r>
        <w:rPr>
          <w:rFonts w:ascii="Arial" w:cs="Arial" w:eastAsia="Arial" w:hAnsi="Arial"/>
          <w:sz w:val="18"/>
          <w:szCs w:val="18"/>
          <w:color w:val="auto"/>
        </w:rPr>
        <w:t>, as 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GOLUB CAPITAL PARTNERS CLO 54(M), L.P.</w:t>
      </w:r>
      <w:r>
        <w:rPr>
          <w:rFonts w:ascii="Arial" w:cs="Arial" w:eastAsia="Arial" w:hAnsi="Arial"/>
          <w:sz w:val="18"/>
          <w:szCs w:val="18"/>
          <w:color w:val="auto"/>
        </w:rPr>
        <w:t>, as 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56(M)</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0000"/>
          </w:cols>
          <w:pgMar w:left="1440" w:top="270" w:right="459" w:bottom="1440" w:gutter="0" w:footer="0" w:header="0"/>
        </w:sectPr>
      </w:pPr>
    </w:p>
    <w:bookmarkStart w:id="17" w:name="page18"/>
    <w:bookmarkEnd w:id="17"/>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GOLUB CAPITAL PARTNERS CLO 57(M)</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PARTNERS CLO 59(M)</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tabs>
          <w:tab w:leader="none" w:pos="6180" w:val="left"/>
          <w:tab w:leader="none" w:pos="7420" w:val="left"/>
          <w:tab w:leader="none" w:pos="8100" w:val="left"/>
          <w:tab w:leader="none" w:pos="8660" w:val="left"/>
          <w:tab w:leader="none" w:pos="9600" w:val="left"/>
        </w:tabs>
        <w:rPr>
          <w:sz w:val="20"/>
          <w:szCs w:val="20"/>
          <w:color w:val="auto"/>
        </w:rPr>
      </w:pPr>
      <w:r>
        <w:rPr>
          <w:rFonts w:ascii="Arial" w:cs="Arial" w:eastAsia="Arial" w:hAnsi="Arial"/>
          <w:sz w:val="18"/>
          <w:szCs w:val="18"/>
          <w:b w:val="1"/>
          <w:bCs w:val="1"/>
          <w:color w:val="auto"/>
        </w:rPr>
        <w:t>GC</w:t>
      </w:r>
      <w:r>
        <w:rPr>
          <w:sz w:val="20"/>
          <w:szCs w:val="20"/>
          <w:color w:val="auto"/>
        </w:rPr>
        <w:tab/>
      </w:r>
      <w:r>
        <w:rPr>
          <w:rFonts w:ascii="Arial" w:cs="Arial" w:eastAsia="Arial" w:hAnsi="Arial"/>
          <w:sz w:val="18"/>
          <w:szCs w:val="18"/>
          <w:b w:val="1"/>
          <w:bCs w:val="1"/>
          <w:color w:val="auto"/>
        </w:rPr>
        <w:t>ADVISORS</w:t>
      </w:r>
      <w:r>
        <w:rPr>
          <w:sz w:val="20"/>
          <w:szCs w:val="20"/>
          <w:color w:val="auto"/>
        </w:rPr>
        <w:tab/>
      </w:r>
      <w:r>
        <w:rPr>
          <w:rFonts w:ascii="Arial" w:cs="Arial" w:eastAsia="Arial" w:hAnsi="Arial"/>
          <w:sz w:val="18"/>
          <w:szCs w:val="18"/>
          <w:b w:val="1"/>
          <w:bCs w:val="1"/>
          <w:color w:val="auto"/>
        </w:rPr>
        <w:t>LLC</w:t>
      </w:r>
      <w:r>
        <w:rPr>
          <w:sz w:val="20"/>
          <w:szCs w:val="20"/>
          <w:color w:val="auto"/>
        </w:rPr>
        <w:tab/>
      </w:r>
      <w:r>
        <w:rPr>
          <w:rFonts w:ascii="Arial" w:cs="Arial" w:eastAsia="Arial" w:hAnsi="Arial"/>
          <w:sz w:val="18"/>
          <w:szCs w:val="18"/>
          <w:b w:val="1"/>
          <w:bCs w:val="1"/>
          <w:color w:val="auto"/>
        </w:rPr>
        <w:t>AS</w:t>
      </w:r>
      <w:r>
        <w:rPr>
          <w:sz w:val="20"/>
          <w:szCs w:val="20"/>
          <w:color w:val="auto"/>
        </w:rPr>
        <w:tab/>
      </w:r>
      <w:r>
        <w:rPr>
          <w:rFonts w:ascii="Arial" w:cs="Arial" w:eastAsia="Arial" w:hAnsi="Arial"/>
          <w:sz w:val="18"/>
          <w:szCs w:val="18"/>
          <w:b w:val="1"/>
          <w:bCs w:val="1"/>
          <w:color w:val="auto"/>
        </w:rPr>
        <w:t>AGENT</w:t>
      </w:r>
      <w:r>
        <w:rPr>
          <w:sz w:val="20"/>
          <w:szCs w:val="20"/>
          <w:color w:val="auto"/>
        </w:rPr>
        <w:tab/>
      </w:r>
      <w:r>
        <w:rPr>
          <w:rFonts w:ascii="Arial" w:cs="Arial" w:eastAsia="Arial" w:hAnsi="Arial"/>
          <w:sz w:val="18"/>
          <w:szCs w:val="18"/>
          <w:b w:val="1"/>
          <w:bCs w:val="1"/>
          <w:color w:val="auto"/>
        </w:rPr>
        <w:t>FOR</w:t>
      </w:r>
    </w:p>
    <w:p>
      <w:pPr>
        <w:spacing w:after="0" w:line="27" w:lineRule="exact"/>
        <w:rPr>
          <w:sz w:val="20"/>
          <w:szCs w:val="20"/>
          <w:color w:val="auto"/>
        </w:rPr>
      </w:pPr>
    </w:p>
    <w:p>
      <w:pPr>
        <w:ind w:left="5620"/>
        <w:spacing w:after="0"/>
        <w:tabs>
          <w:tab w:leader="none" w:pos="7420" w:val="left"/>
          <w:tab w:leader="none" w:pos="8900" w:val="left"/>
        </w:tabs>
        <w:rPr>
          <w:sz w:val="20"/>
          <w:szCs w:val="20"/>
          <w:color w:val="auto"/>
        </w:rPr>
      </w:pPr>
      <w:r>
        <w:rPr>
          <w:rFonts w:ascii="Arial" w:cs="Arial" w:eastAsia="Arial" w:hAnsi="Arial"/>
          <w:sz w:val="18"/>
          <w:szCs w:val="18"/>
          <w:b w:val="1"/>
          <w:bCs w:val="1"/>
          <w:color w:val="auto"/>
        </w:rPr>
        <w:t>PHILADELPHIA</w:t>
      </w:r>
      <w:r>
        <w:rPr>
          <w:sz w:val="20"/>
          <w:szCs w:val="20"/>
          <w:color w:val="auto"/>
        </w:rPr>
        <w:tab/>
      </w:r>
      <w:r>
        <w:rPr>
          <w:rFonts w:ascii="Arial" w:cs="Arial" w:eastAsia="Arial" w:hAnsi="Arial"/>
          <w:sz w:val="18"/>
          <w:szCs w:val="18"/>
          <w:b w:val="1"/>
          <w:bCs w:val="1"/>
          <w:color w:val="auto"/>
        </w:rPr>
        <w:t>INDEMNITY</w:t>
      </w:r>
      <w:r>
        <w:rPr>
          <w:sz w:val="20"/>
          <w:szCs w:val="20"/>
          <w:color w:val="auto"/>
        </w:rPr>
        <w:tab/>
      </w:r>
      <w:r>
        <w:rPr>
          <w:rFonts w:ascii="Arial" w:cs="Arial" w:eastAsia="Arial" w:hAnsi="Arial"/>
          <w:sz w:val="18"/>
          <w:szCs w:val="18"/>
          <w:b w:val="1"/>
          <w:bCs w:val="1"/>
          <w:color w:val="auto"/>
        </w:rPr>
        <w:t>INSURANCE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as a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GC ADVISORS LLC AS AGENT FOR RELIANCE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STANDARD  LIFE  INSURANCE  COMPANY</w:t>
      </w:r>
      <w:r>
        <w:rPr>
          <w:rFonts w:ascii="Arial" w:cs="Arial" w:eastAsia="Arial" w:hAnsi="Arial"/>
          <w:sz w:val="18"/>
          <w:szCs w:val="18"/>
          <w:color w:val="auto"/>
        </w:rPr>
        <w:t>,  as  a</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GC  ADVISORS  LLC  AS  AGENT  FOR  SAFETY</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NATIONAL CASUALTY CORPORATION</w:t>
      </w:r>
      <w:r>
        <w:rPr>
          <w:rFonts w:ascii="Arial" w:cs="Arial" w:eastAsia="Arial" w:hAnsi="Arial"/>
          <w:sz w:val="17"/>
          <w:szCs w:val="17"/>
          <w:color w:val="auto"/>
        </w:rPr>
        <w:t>, as a Lender</w:t>
      </w:r>
    </w:p>
    <w:p>
      <w:pPr>
        <w:spacing w:after="0" w:line="22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0020"/>
          </w:cols>
          <w:pgMar w:left="1440" w:top="270" w:right="439" w:bottom="1440" w:gutter="0" w:footer="0" w:header="0"/>
        </w:sectPr>
      </w:pPr>
    </w:p>
    <w:bookmarkStart w:id="18" w:name="page19"/>
    <w:bookmarkEnd w:id="1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GC  ADVISORS  LLC  AS  AGENT  FOR  TMD-DL</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HOLDINGS, LLC</w:t>
      </w:r>
      <w:r>
        <w:rPr>
          <w:rFonts w:ascii="Arial" w:cs="Arial" w:eastAsia="Arial" w:hAnsi="Arial"/>
          <w:sz w:val="18"/>
          <w:szCs w:val="18"/>
          <w:color w:val="auto"/>
        </w:rPr>
        <w:t>, as a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tabs>
          <w:tab w:leader="none" w:pos="6080" w:val="left"/>
          <w:tab w:leader="none" w:pos="7200" w:val="left"/>
          <w:tab w:leader="none" w:pos="7780" w:val="left"/>
          <w:tab w:leader="none" w:pos="8220" w:val="left"/>
          <w:tab w:leader="none" w:pos="9080" w:val="left"/>
          <w:tab w:leader="none" w:pos="9660" w:val="left"/>
        </w:tabs>
        <w:rPr>
          <w:sz w:val="20"/>
          <w:szCs w:val="20"/>
          <w:color w:val="auto"/>
        </w:rPr>
      </w:pPr>
      <w:r>
        <w:rPr>
          <w:rFonts w:ascii="Arial" w:cs="Arial" w:eastAsia="Arial" w:hAnsi="Arial"/>
          <w:sz w:val="18"/>
          <w:szCs w:val="18"/>
          <w:b w:val="1"/>
          <w:bCs w:val="1"/>
          <w:color w:val="auto"/>
        </w:rPr>
        <w:t>GC</w:t>
        <w:tab/>
        <w:t>ADVISORS</w:t>
        <w:tab/>
        <w:t>LLC</w:t>
        <w:tab/>
        <w:t>AS</w:t>
        <w:tab/>
        <w:t>AGENT</w:t>
        <w:tab/>
        <w:t>FOR</w:t>
      </w:r>
      <w:r>
        <w:rPr>
          <w:sz w:val="20"/>
          <w:szCs w:val="20"/>
          <w:color w:val="auto"/>
        </w:rPr>
        <w:tab/>
      </w:r>
      <w:r>
        <w:rPr>
          <w:rFonts w:ascii="Arial" w:cs="Arial" w:eastAsia="Arial" w:hAnsi="Arial"/>
          <w:sz w:val="16"/>
          <w:szCs w:val="16"/>
          <w:b w:val="1"/>
          <w:bCs w:val="1"/>
          <w:color w:val="auto"/>
        </w:rPr>
        <w:t>U.S.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SPECIALTY INSURANCE COMPANY</w:t>
      </w:r>
      <w:r>
        <w:rPr>
          <w:rFonts w:ascii="Arial" w:cs="Arial" w:eastAsia="Arial" w:hAnsi="Arial"/>
          <w:sz w:val="18"/>
          <w:szCs w:val="18"/>
          <w:color w:val="auto"/>
        </w:rPr>
        <w:t>, as a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tabs>
          <w:tab w:leader="none" w:pos="6060" w:val="left"/>
          <w:tab w:leader="none" w:pos="7180" w:val="left"/>
          <w:tab w:leader="none" w:pos="7740" w:val="left"/>
          <w:tab w:leader="none" w:pos="8180" w:val="left"/>
          <w:tab w:leader="none" w:pos="9000" w:val="left"/>
          <w:tab w:leader="none" w:pos="9580" w:val="left"/>
        </w:tabs>
        <w:rPr>
          <w:sz w:val="20"/>
          <w:szCs w:val="20"/>
          <w:color w:val="auto"/>
        </w:rPr>
      </w:pPr>
      <w:r>
        <w:rPr>
          <w:rFonts w:ascii="Arial" w:cs="Arial" w:eastAsia="Arial" w:hAnsi="Arial"/>
          <w:sz w:val="18"/>
          <w:szCs w:val="18"/>
          <w:b w:val="1"/>
          <w:bCs w:val="1"/>
          <w:color w:val="auto"/>
        </w:rPr>
        <w:t>GC</w:t>
        <w:tab/>
        <w:t>ADVISORS</w:t>
        <w:tab/>
        <w:t>LLC</w:t>
        <w:tab/>
        <w:t>AS</w:t>
        <w:tab/>
        <w:t>AGENT</w:t>
        <w:tab/>
        <w:t>FOR</w:t>
        <w:tab/>
        <w:t>RGA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OPERATING COMPANY</w:t>
      </w:r>
      <w:r>
        <w:rPr>
          <w:rFonts w:ascii="Arial" w:cs="Arial" w:eastAsia="Arial" w:hAnsi="Arial"/>
          <w:sz w:val="18"/>
          <w:szCs w:val="18"/>
          <w:color w:val="auto"/>
        </w:rPr>
        <w:t>, as a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GCIC HOLDINGS LLC</w:t>
      </w:r>
      <w:r>
        <w:rPr>
          <w:rFonts w:ascii="Arial" w:cs="Arial" w:eastAsia="Arial" w:hAnsi="Arial"/>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Golub Capital BDC, Inc., its sole member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Manager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GBDC 3 FUNDING LLC</w:t>
      </w:r>
      <w:r>
        <w:rPr>
          <w:rFonts w:ascii="Arial" w:cs="Arial" w:eastAsia="Arial" w:hAnsi="Arial"/>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Golub Capital BDC 3, Inc., its sole member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Manager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0020"/>
          </w:cols>
          <w:pgMar w:left="1440" w:top="486" w:right="439" w:bottom="1440" w:gutter="0" w:footer="0" w:header="0"/>
        </w:sectPr>
      </w:pPr>
    </w:p>
    <w:bookmarkStart w:id="19" w:name="page20"/>
    <w:bookmarkEnd w:id="1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GOLUB CAPITAL FINANCE FUNDING IV TRUST</w:t>
      </w:r>
      <w:r>
        <w:rPr>
          <w:rFonts w:ascii="Arial" w:cs="Arial" w:eastAsia="Arial" w:hAnsi="Arial"/>
          <w:sz w:val="18"/>
          <w:szCs w:val="18"/>
          <w:color w:val="auto"/>
        </w:rPr>
        <w:t>, as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Manager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GCP FINANCE 6 L.P.</w:t>
      </w:r>
      <w:r>
        <w:rPr>
          <w:rFonts w:ascii="Arial" w:cs="Arial" w:eastAsia="Arial" w:hAnsi="Arial"/>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agent</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GOLUB CAPITAL BDC 3 ABS 2022-1 LLC</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GC Advisors LLC, its Manager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Marc C. Robinson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Managing Director</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0000"/>
          </w:cols>
          <w:pgMar w:left="1440" w:top="270" w:right="459" w:bottom="1440" w:gutter="0" w:footer="0" w:header="0"/>
        </w:sectPr>
      </w:pPr>
    </w:p>
    <w:bookmarkStart w:id="20" w:name="page21"/>
    <w:bookmarkEnd w:id="2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OWL ROCK CAPITAL CORPORATION</w:t>
      </w:r>
      <w:r>
        <w:rPr>
          <w:rFonts w:ascii="Arial" w:cs="Arial" w:eastAsia="Arial" w:hAnsi="Arial"/>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Jeff Walwyn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Jeff Walwyn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OWL ROCK CAPITAL CORPORATION II</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Jeff Walwyn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Jeff Walwyn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OWL ROCK CLO I, LTD.</w:t>
      </w:r>
      <w:r>
        <w:rPr>
          <w:rFonts w:ascii="Arial" w:cs="Arial" w:eastAsia="Arial" w:hAnsi="Arial"/>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Owl Rock Capital Advisors LLC, its Collateral Agent</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Jeff Walwyn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Jeff Walwyn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OWL ROCK CLO II, LTD.</w:t>
      </w:r>
      <w:r>
        <w:rPr>
          <w:rFonts w:ascii="Arial" w:cs="Arial" w:eastAsia="Arial" w:hAnsi="Arial"/>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Owl Rock Capital Advisors LLC, its Collateral Agent</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Jeff Walwyn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Jeff Walwyn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ORCC II FINANCING LLC</w:t>
      </w:r>
      <w:r>
        <w:rPr>
          <w:rFonts w:ascii="Arial" w:cs="Arial" w:eastAsia="Arial" w:hAnsi="Arial"/>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Jeff Walwyn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Jeff Walwyn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9980"/>
          </w:cols>
          <w:pgMar w:left="1440" w:top="486" w:right="479" w:bottom="1440" w:gutter="0" w:footer="0" w:header="0"/>
        </w:sectPr>
      </w:pPr>
    </w:p>
    <w:bookmarkStart w:id="21" w:name="page22"/>
    <w:bookmarkEnd w:id="21"/>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APOLLO INVESTMENT CORPORATION</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MIDCAP FINANCIAL TRUST</w:t>
      </w:r>
      <w:r>
        <w:rPr>
          <w:rFonts w:ascii="Arial" w:cs="Arial" w:eastAsia="Arial" w:hAnsi="Arial"/>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9940"/>
          </w:cols>
          <w:pgMar w:left="1440" w:top="486" w:right="519" w:bottom="1440" w:gutter="0" w:footer="0" w:header="0"/>
        </w:sectPr>
      </w:pPr>
    </w:p>
    <w:bookmarkStart w:id="22" w:name="page23"/>
    <w:bookmarkEnd w:id="22"/>
    <w:p>
      <w:pPr>
        <w:ind w:left="5620"/>
        <w:spacing w:after="0"/>
        <w:tabs>
          <w:tab w:leader="none" w:pos="6760" w:val="left"/>
          <w:tab w:leader="none" w:pos="7860" w:val="left"/>
          <w:tab w:leader="none" w:pos="9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BENEFIT</w:t>
      </w:r>
      <w:r>
        <w:rPr>
          <w:sz w:val="20"/>
          <w:szCs w:val="20"/>
          <w:color w:val="auto"/>
        </w:rPr>
        <w:tab/>
      </w:r>
      <w:r>
        <w:rPr>
          <w:rFonts w:ascii="Arial" w:cs="Arial" w:eastAsia="Arial" w:hAnsi="Arial"/>
          <w:sz w:val="18"/>
          <w:szCs w:val="18"/>
          <w:b w:val="1"/>
          <w:bCs w:val="1"/>
          <w:color w:val="auto"/>
        </w:rPr>
        <w:t>STREET</w:t>
      </w:r>
      <w:r>
        <w:rPr>
          <w:sz w:val="20"/>
          <w:szCs w:val="20"/>
          <w:color w:val="auto"/>
        </w:rPr>
        <w:tab/>
      </w:r>
      <w:r>
        <w:rPr>
          <w:rFonts w:ascii="Arial" w:cs="Arial" w:eastAsia="Arial" w:hAnsi="Arial"/>
          <w:sz w:val="18"/>
          <w:szCs w:val="18"/>
          <w:b w:val="1"/>
          <w:bCs w:val="1"/>
          <w:color w:val="auto"/>
        </w:rPr>
        <w:t>PARTNERS</w:t>
      </w:r>
      <w:r>
        <w:rPr>
          <w:sz w:val="20"/>
          <w:szCs w:val="20"/>
          <w:color w:val="auto"/>
        </w:rPr>
        <w:tab/>
      </w:r>
      <w:r>
        <w:rPr>
          <w:rFonts w:ascii="Arial" w:cs="Arial" w:eastAsia="Arial" w:hAnsi="Arial"/>
          <w:sz w:val="18"/>
          <w:szCs w:val="18"/>
          <w:b w:val="1"/>
          <w:bCs w:val="1"/>
          <w:color w:val="auto"/>
        </w:rPr>
        <w:t>CAPITAL</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OPPORTUNITY FUND II L.P.</w:t>
      </w:r>
      <w:r>
        <w:rPr>
          <w:rFonts w:ascii="Arial" w:cs="Arial" w:eastAsia="Arial" w:hAnsi="Arial"/>
          <w:sz w:val="18"/>
          <w:szCs w:val="18"/>
          <w:color w:val="auto"/>
        </w:rPr>
        <w:t>, 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BENEFIT STREET PARTNERS DEBT FUND IV L.P.</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BENEFIT STREET PARTNERS SENIOR SECURED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OPPORTUNITIES FUND LP</w:t>
      </w:r>
      <w:r>
        <w:rPr>
          <w:rFonts w:ascii="Arial" w:cs="Arial" w:eastAsia="Arial" w:hAnsi="Arial"/>
          <w:sz w:val="18"/>
          <w:szCs w:val="18"/>
          <w:color w:val="auto"/>
        </w:rPr>
        <w:t>, 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BENEFIT STREET PARTNERS SMA LM LP</w:t>
      </w:r>
      <w:r>
        <w:rPr>
          <w:rFonts w:ascii="Arial" w:cs="Arial" w:eastAsia="Arial" w:hAnsi="Arial"/>
          <w:sz w:val="18"/>
          <w:szCs w:val="18"/>
          <w:color w:val="auto"/>
        </w:rPr>
        <w:t>, as 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BENEFIT STREET PARTNERS SMA-C II SPV L.P.</w:t>
      </w:r>
      <w:r>
        <w:rPr>
          <w:rFonts w:ascii="Arial" w:cs="Arial" w:eastAsia="Arial" w:hAnsi="Arial"/>
          <w:sz w:val="17"/>
          <w:szCs w:val="17"/>
          <w:color w:val="auto"/>
        </w:rPr>
        <w:t>, 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0020"/>
          </w:cols>
          <w:pgMar w:left="1440" w:top="486" w:right="439" w:bottom="1440" w:gutter="0" w:footer="0" w:header="0"/>
        </w:sectPr>
      </w:pPr>
    </w:p>
    <w:bookmarkStart w:id="23" w:name="page24"/>
    <w:bookmarkEnd w:id="23"/>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BENEFIT STREET PARTNERS SMA K- LP</w:t>
      </w:r>
      <w:r>
        <w:rPr>
          <w:rFonts w:ascii="Arial" w:cs="Arial" w:eastAsia="Arial" w:hAnsi="Arial"/>
          <w:sz w:val="18"/>
          <w:szCs w:val="18"/>
          <w:color w:val="auto"/>
        </w:rPr>
        <w:t>,  as  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BENEFIT STREET PARTNERS SMA-T LP</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tabs>
          <w:tab w:leader="none" w:pos="6640" w:val="left"/>
          <w:tab w:leader="none" w:pos="8220" w:val="left"/>
          <w:tab w:leader="none" w:pos="9740" w:val="left"/>
        </w:tabs>
        <w:rPr>
          <w:sz w:val="20"/>
          <w:szCs w:val="20"/>
          <w:color w:val="auto"/>
        </w:rPr>
      </w:pPr>
      <w:r>
        <w:rPr>
          <w:rFonts w:ascii="Arial" w:cs="Arial" w:eastAsia="Arial" w:hAnsi="Arial"/>
          <w:sz w:val="18"/>
          <w:szCs w:val="18"/>
          <w:b w:val="1"/>
          <w:bCs w:val="1"/>
          <w:color w:val="auto"/>
        </w:rPr>
        <w:t>BUSINESS</w:t>
        <w:tab/>
        <w:t>DEVELOPMENT</w:t>
        <w:tab/>
        <w:t>CORPORATION</w:t>
      </w:r>
      <w:r>
        <w:rPr>
          <w:sz w:val="20"/>
          <w:szCs w:val="20"/>
          <w:color w:val="auto"/>
        </w:rPr>
        <w:tab/>
      </w:r>
      <w:r>
        <w:rPr>
          <w:rFonts w:ascii="Arial" w:cs="Arial" w:eastAsia="Arial" w:hAnsi="Arial"/>
          <w:sz w:val="17"/>
          <w:szCs w:val="17"/>
          <w:b w:val="1"/>
          <w:bCs w:val="1"/>
          <w:color w:val="auto"/>
        </w:rPr>
        <w:t>OF</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AMERICA</w:t>
      </w:r>
      <w:r>
        <w:rPr>
          <w:rFonts w:ascii="Arial" w:cs="Arial" w:eastAsia="Arial" w:hAnsi="Arial"/>
          <w:sz w:val="18"/>
          <w:szCs w:val="18"/>
          <w:color w:val="auto"/>
        </w:rPr>
        <w:t>, 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LANDMARK WALL SMA SPV LP</w:t>
      </w:r>
      <w:r>
        <w:rPr>
          <w:rFonts w:ascii="Arial" w:cs="Arial" w:eastAsia="Arial" w:hAnsi="Arial"/>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BENEFIT STREET PARTNERS DEBT FUND IV L.P.</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0000"/>
          </w:cols>
          <w:pgMar w:left="1440" w:top="486" w:right="459" w:bottom="1440" w:gutter="0" w:footer="0" w:header="0"/>
        </w:sectPr>
      </w:pPr>
    </w:p>
    <w:bookmarkStart w:id="24" w:name="page25"/>
    <w:bookmarkEnd w:id="24"/>
    <w:p>
      <w:pPr>
        <w:ind w:left="5620"/>
        <w:spacing w:after="0"/>
        <w:tabs>
          <w:tab w:leader="none" w:pos="6540" w:val="left"/>
          <w:tab w:leader="none" w:pos="7400" w:val="left"/>
          <w:tab w:leader="none" w:pos="8500" w:val="left"/>
          <w:tab w:leader="none" w:pos="9140" w:val="left"/>
          <w:tab w:leader="none" w:pos="9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BENEFIT</w:t>
        <w:tab/>
        <w:t>STREET</w:t>
        <w:tab/>
        <w:t>PARTNERS</w:t>
        <w:tab/>
        <w:t>DEBT</w:t>
        <w:tab/>
        <w:t>FUND</w:t>
        <w:tab/>
        <w:t>IV</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MASTER (NON-US) L.P.</w:t>
      </w:r>
      <w:r>
        <w:rPr>
          <w:rFonts w:ascii="Arial" w:cs="Arial" w:eastAsia="Arial" w:hAnsi="Arial"/>
          <w:sz w:val="18"/>
          <w:szCs w:val="18"/>
          <w:color w:val="auto"/>
        </w:rPr>
        <w:t>, 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BENEFIT STREET PARTNERS SENIOR SECURED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OPPORTUNITIES (U) MASTER FUND (NON-US) L.P.</w:t>
      </w:r>
      <w:r>
        <w:rPr>
          <w:rFonts w:ascii="Arial" w:cs="Arial" w:eastAsia="Arial" w:hAnsi="Arial"/>
          <w:sz w:val="17"/>
          <w:szCs w:val="17"/>
          <w:color w:val="auto"/>
        </w:rPr>
        <w:t>,</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BENEFIT STREET PARTNERS SENIOR SECURED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OPPORTUNITIES MASTER FUND (NON-US) L.P.</w:t>
      </w:r>
      <w:r>
        <w:rPr>
          <w:rFonts w:ascii="Arial" w:cs="Arial" w:eastAsia="Arial" w:hAnsi="Arial"/>
          <w:sz w:val="17"/>
          <w:szCs w:val="17"/>
          <w:color w:val="auto"/>
        </w:rPr>
        <w:t>, as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0000"/>
          </w:cols>
          <w:pgMar w:left="1440" w:top="486" w:right="459" w:bottom="1440" w:gutter="0" w:footer="0" w:header="0"/>
        </w:sectPr>
      </w:pPr>
    </w:p>
    <w:bookmarkStart w:id="25" w:name="page26"/>
    <w:bookmarkEnd w:id="25"/>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7 to the Credit Agreement]</w:t>
      </w:r>
    </w:p>
    <w:p>
      <w:pPr>
        <w:sectPr>
          <w:pgSz w:w="11900" w:h="16838" w:orient="portrait"/>
          <w:cols w:equalWidth="0" w:num="1">
            <w:col w:w="9019"/>
          </w:cols>
          <w:pgMar w:left="1440" w:top="486" w:right="1440" w:bottom="1440" w:gutter="0" w:footer="0" w:header="0"/>
        </w:sectPr>
      </w:pPr>
    </w:p>
    <w:bookmarkStart w:id="26" w:name="page27"/>
    <w:bookmarkEnd w:id="26"/>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w:t>
      </w:r>
      <w:r>
        <w:rPr>
          <w:rFonts w:ascii="Arial" w:cs="Arial" w:eastAsia="Arial" w:hAnsi="Arial"/>
          <w:sz w:val="16"/>
          <w:szCs w:val="16"/>
          <w:color w:val="auto"/>
        </w:rPr>
        <w:t>, as a Lender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7 to the Credit Agreement]</w:t>
      </w:r>
    </w:p>
    <w:p>
      <w:pPr>
        <w:sectPr>
          <w:pgSz w:w="11900" w:h="16838" w:orient="portrait"/>
          <w:cols w:equalWidth="0" w:num="1">
            <w:col w:w="9019"/>
          </w:cols>
          <w:pgMar w:left="1440" w:top="486" w:right="1440" w:bottom="1440" w:gutter="0" w:footer="0" w:header="0"/>
        </w:sectPr>
      </w:pPr>
    </w:p>
    <w:bookmarkStart w:id="27" w:name="page28"/>
    <w:bookmarkEnd w:id="2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SUISSE AG, CAYMAN ISLANDS BRANCH</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0000"/>
          </w:cols>
          <w:pgMar w:left="1440" w:top="486" w:right="459" w:bottom="1440" w:gutter="0" w:footer="0" w:header="0"/>
        </w:sectPr>
      </w:pPr>
    </w:p>
    <w:bookmarkStart w:id="28" w:name="page29"/>
    <w:bookmarkEnd w:id="2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LENDING PARTNERS LLC</w:t>
      </w:r>
      <w:r>
        <w:rPr>
          <w:rFonts w:ascii="Arial" w:cs="Arial" w:eastAsia="Arial" w:hAnsi="Arial"/>
          <w:sz w:val="18"/>
          <w:szCs w:val="18"/>
          <w:color w:val="auto"/>
        </w:rPr>
        <w:t>, as 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Dan Martis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Dan Martis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0020"/>
          </w:cols>
          <w:pgMar w:left="1440" w:top="486" w:right="439" w:bottom="1440" w:gutter="0" w:footer="0" w:header="0"/>
        </w:sectPr>
      </w:pPr>
    </w:p>
    <w:bookmarkStart w:id="29" w:name="page30"/>
    <w:bookmarkEnd w:id="2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SENIOR FUNDING, INC.</w:t>
      </w:r>
      <w:r>
        <w:rPr>
          <w:rFonts w:ascii="Arial" w:cs="Arial" w:eastAsia="Arial" w:hAnsi="Arial"/>
          <w:sz w:val="18"/>
          <w:szCs w:val="18"/>
          <w:color w:val="auto"/>
        </w:rPr>
        <w:t>, as 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10020"/>
          </w:cols>
          <w:pgMar w:left="1440" w:top="486" w:right="439" w:bottom="1440" w:gutter="0" w:footer="0" w:header="0"/>
        </w:sectPr>
      </w:pPr>
    </w:p>
    <w:bookmarkStart w:id="30" w:name="page31"/>
    <w:bookmarkEnd w:id="30"/>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Mustafa Topiwalla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Mustafia Topiwalla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9019"/>
          </w:cols>
          <w:pgMar w:left="1440" w:top="486" w:right="1440" w:bottom="1440" w:gutter="0" w:footer="0" w:header="0"/>
        </w:sectPr>
      </w:pPr>
    </w:p>
    <w:bookmarkStart w:id="31" w:name="page32"/>
    <w:bookmarkEnd w:id="3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w:t>
      </w:r>
      <w:r>
        <w:rPr>
          <w:rFonts w:ascii="Arial" w:cs="Arial" w:eastAsia="Arial" w:hAnsi="Arial"/>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Jonathan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Jonathan Hart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Authorized Signatory</w:t>
      </w:r>
    </w:p>
    <w:p>
      <w:pPr>
        <w:spacing w:after="0" w:line="166"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Amendment No. 7 to the Credit Agreement]</w:t>
      </w:r>
    </w:p>
    <w:p>
      <w:pPr>
        <w:sectPr>
          <w:pgSz w:w="11900" w:h="16838" w:orient="portrait"/>
          <w:cols w:equalWidth="0" w:num="1">
            <w:col w:w="9019"/>
          </w:cols>
          <w:pgMar w:left="1440" w:top="486" w:right="1440" w:bottom="1440" w:gutter="0" w:footer="0" w:header="0"/>
        </w:sectPr>
      </w:pPr>
    </w:p>
    <w:bookmarkStart w:id="32" w:name="page33"/>
    <w:bookmarkEnd w:id="3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______________________________________,</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[Signature Page to Amendment No. 7 to the Credit Agreement]</w:t>
      </w:r>
    </w:p>
    <w:p>
      <w:pPr>
        <w:sectPr>
          <w:pgSz w:w="11900" w:h="16838" w:orient="portrait"/>
          <w:cols w:equalWidth="0" w:num="1">
            <w:col w:w="9080"/>
          </w:cols>
          <w:pgMar w:left="1440" w:top="490" w:right="13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attached.)</w:t>
      </w:r>
    </w:p>
    <w:p>
      <w:pPr>
        <w:sectPr>
          <w:pgSz w:w="11900" w:h="16838" w:orient="portrait"/>
          <w:cols w:equalWidth="0" w:num="1">
            <w:col w:w="9019"/>
          </w:cols>
          <w:pgMar w:left="1440" w:top="270"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r>
        <w:rPr>
          <w:rFonts w:ascii="Arial" w:cs="Arial" w:eastAsia="Arial" w:hAnsi="Arial"/>
          <w:sz w:val="18"/>
          <w:szCs w:val="18"/>
          <w:b w:val="1"/>
          <w:bCs w:val="1"/>
          <w:color w:val="auto"/>
        </w:rPr>
        <w:t xml:space="preserve"> to Amendment No. </w:t>
      </w:r>
      <w:r>
        <w:rPr>
          <w:rFonts w:ascii="Arial" w:cs="Arial" w:eastAsia="Arial" w:hAnsi="Arial"/>
          <w:sz w:val="18"/>
          <w:szCs w:val="18"/>
          <w:b w:val="1"/>
          <w:bCs w:val="1"/>
          <w:color w:val="FF4338"/>
          <w:strike w:val="1"/>
        </w:rPr>
        <w:t>6</w:t>
      </w:r>
      <w:r>
        <w:rPr>
          <w:rFonts w:ascii="Arial" w:cs="Arial" w:eastAsia="Arial" w:hAnsi="Arial"/>
          <w:sz w:val="18"/>
          <w:szCs w:val="18"/>
          <w:b w:val="1"/>
          <w:bCs w:val="1"/>
          <w:u w:val="single" w:color="auto"/>
          <w:color w:val="0000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26035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September 13, 2019</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amended by Amendment No. 1, dated as of March 20,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Incremental Facility Agreement and Technical Amendment No. 2, dated as of May 7,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Incremental Facility Agreement No. 3, dated as of June 11, 2020,</w:t>
      </w:r>
    </w:p>
    <w:p>
      <w:pPr>
        <w:spacing w:after="0" w:line="225" w:lineRule="exact"/>
        <w:rPr>
          <w:sz w:val="20"/>
          <w:szCs w:val="20"/>
          <w:color w:val="auto"/>
        </w:rPr>
      </w:pPr>
    </w:p>
    <w:p>
      <w:pPr>
        <w:jc w:val="center"/>
        <w:ind w:left="40" w:right="1060"/>
        <w:spacing w:after="0" w:line="500" w:lineRule="auto"/>
        <w:rPr>
          <w:sz w:val="20"/>
          <w:szCs w:val="20"/>
          <w:color w:val="auto"/>
        </w:rPr>
      </w:pPr>
      <w:r>
        <w:rPr>
          <w:rFonts w:ascii="Arial" w:cs="Arial" w:eastAsia="Arial" w:hAnsi="Arial"/>
          <w:sz w:val="18"/>
          <w:szCs w:val="18"/>
          <w:color w:val="auto"/>
        </w:rPr>
        <w:t xml:space="preserve">Amendment No. 4 to Credit Agreement and Incremental Facility Agreement, dated as of May 7, 2021, Amendment No. 5 to Credit Agreement and Incremental Facility Agreement, dated as of June 11, 2021 </w:t>
      </w:r>
      <w:r>
        <w:rPr>
          <w:rFonts w:ascii="Arial" w:cs="Arial" w:eastAsia="Arial" w:hAnsi="Arial"/>
          <w:sz w:val="18"/>
          <w:szCs w:val="18"/>
          <w:color w:val="FF4338"/>
        </w:rPr>
        <w:t>and</w:t>
      </w:r>
      <w:r>
        <w:rPr>
          <w:rFonts w:ascii="Arial" w:cs="Arial" w:eastAsia="Arial" w:hAnsi="Arial"/>
          <w:sz w:val="18"/>
          <w:szCs w:val="18"/>
          <w:color w:val="auto"/>
        </w:rPr>
        <w:t xml:space="preserve"> Amendment No. 6 to Credit Agreement and Incremental Facility Agreement, dated as of November 10, 2021</w:t>
      </w:r>
      <w:r>
        <w:rPr>
          <w:rFonts w:ascii="Arial" w:cs="Arial" w:eastAsia="Arial" w:hAnsi="Arial"/>
          <w:sz w:val="18"/>
          <w:szCs w:val="18"/>
          <w:u w:val="single" w:color="auto"/>
          <w:color w:val="0000FF"/>
        </w:rPr>
        <w:t>,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No. 7 to Credit Agreement, dated as of 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5118735</wp:posOffset>
            </wp:positionH>
            <wp:positionV relativeFrom="paragraph">
              <wp:posOffset>-742950</wp:posOffset>
            </wp:positionV>
            <wp:extent cx="1936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-391160</wp:posOffset>
            </wp:positionV>
            <wp:extent cx="2228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-116840</wp:posOffset>
            </wp:positionV>
            <wp:extent cx="31203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BLIZZARD MIDCO, LLC,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BLIZZARD MERGER SUB, LLC (and after giving effect to the Merger, NORVAX, LLC),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LENDERS and ISSUING BANKS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OWL ROCK CAPITAL CORPORATION,</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 Collateral Agent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left="40" w:right="1060"/>
        <w:spacing w:after="0" w:line="277" w:lineRule="auto"/>
        <w:rPr>
          <w:sz w:val="20"/>
          <w:szCs w:val="20"/>
          <w:color w:val="auto"/>
        </w:rPr>
      </w:pPr>
      <w:r>
        <w:rPr>
          <w:rFonts w:ascii="Arial" w:cs="Arial" w:eastAsia="Arial" w:hAnsi="Arial"/>
          <w:sz w:val="18"/>
          <w:szCs w:val="18"/>
          <w:color w:val="auto"/>
        </w:rPr>
        <w:t>OWL ROCK CAPITAL ADVISORS LLC, MIDCAP FINANCIAL TRUST AND BENEFIT STREET PARTNERS L.L.C., 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142875</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vMerge w:val="restart"/>
          </w:tcPr>
          <w:p>
            <w:pPr>
              <w:spacing w:after="0"/>
              <w:rPr>
                <w:sz w:val="20"/>
                <w:szCs w:val="20"/>
                <w:color w:val="auto"/>
              </w:rPr>
            </w:pPr>
            <w:r>
              <w:rPr>
                <w:rFonts w:ascii="Arial" w:cs="Arial" w:eastAsia="Arial" w:hAnsi="Arial"/>
                <w:sz w:val="18"/>
                <w:szCs w:val="18"/>
                <w:color w:val="auto"/>
                <w:w w:val="98"/>
              </w:rPr>
              <w:t>ARTICLE I DEFINITIONS</w:t>
            </w:r>
          </w:p>
        </w:tc>
        <w:tc>
          <w:tcPr>
            <w:tcW w:w="8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2040" w:type="dxa"/>
            <w:vAlign w:val="bottom"/>
            <w:vMerge w:val="continue"/>
          </w:tcPr>
          <w:p>
            <w:pPr>
              <w:spacing w:after="0"/>
              <w:rPr>
                <w:sz w:val="16"/>
                <w:szCs w:val="16"/>
                <w:color w:val="auto"/>
              </w:rPr>
            </w:pPr>
          </w:p>
        </w:tc>
        <w:tc>
          <w:tcPr>
            <w:tcW w:w="8280" w:type="dxa"/>
            <w:vAlign w:val="bottom"/>
          </w:tcPr>
          <w:p>
            <w:pPr>
              <w:spacing w:after="0"/>
              <w:rPr>
                <w:sz w:val="16"/>
                <w:szCs w:val="16"/>
                <w:color w:val="auto"/>
              </w:rPr>
            </w:pPr>
          </w:p>
        </w:tc>
        <w:tc>
          <w:tcPr>
            <w:tcW w:w="620" w:type="dxa"/>
            <w:vAlign w:val="bottom"/>
            <w:tcBorders>
              <w:top w:val="single" w:sz="8" w:color="auto"/>
            </w:tcBorders>
            <w:gridSpan w:val="8"/>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280" w:type="dxa"/>
            <w:vAlign w:val="bottom"/>
          </w:tcPr>
          <w:p>
            <w:pPr>
              <w:ind w:left="40"/>
              <w:spacing w:after="0"/>
              <w:rPr>
                <w:sz w:val="20"/>
                <w:szCs w:val="20"/>
                <w:color w:val="auto"/>
              </w:rPr>
            </w:pPr>
            <w:r>
              <w:rPr>
                <w:rFonts w:ascii="Arial" w:cs="Arial" w:eastAsia="Arial" w:hAnsi="Arial"/>
                <w:sz w:val="18"/>
                <w:szCs w:val="18"/>
                <w:color w:val="auto"/>
              </w:rPr>
              <w:t>Defined Terms</w:t>
            </w:r>
          </w:p>
        </w:tc>
        <w:tc>
          <w:tcPr>
            <w:tcW w:w="640" w:type="dxa"/>
            <w:vAlign w:val="bottom"/>
            <w:gridSpan w:val="9"/>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2040" w:type="dxa"/>
            <w:vAlign w:val="bottom"/>
          </w:tcPr>
          <w:p>
            <w:pPr>
              <w:ind w:left="360"/>
              <w:spacing w:after="0" w:line="190" w:lineRule="exact"/>
              <w:rPr>
                <w:sz w:val="20"/>
                <w:szCs w:val="20"/>
                <w:color w:val="auto"/>
              </w:rPr>
            </w:pPr>
            <w:r>
              <w:rPr>
                <w:rFonts w:ascii="Arial" w:cs="Arial" w:eastAsia="Arial" w:hAnsi="Arial"/>
                <w:sz w:val="18"/>
                <w:szCs w:val="18"/>
                <w:color w:val="auto"/>
              </w:rPr>
              <w:t>SECTION 1.02</w:t>
            </w:r>
          </w:p>
        </w:tc>
        <w:tc>
          <w:tcPr>
            <w:tcW w:w="8280" w:type="dxa"/>
            <w:vAlign w:val="bottom"/>
          </w:tcPr>
          <w:p>
            <w:pPr>
              <w:ind w:left="40"/>
              <w:spacing w:after="0" w:line="190" w:lineRule="exact"/>
              <w:rPr>
                <w:sz w:val="20"/>
                <w:szCs w:val="20"/>
                <w:color w:val="auto"/>
              </w:rPr>
            </w:pPr>
            <w:r>
              <w:rPr>
                <w:rFonts w:ascii="Arial" w:cs="Arial" w:eastAsia="Arial" w:hAnsi="Arial"/>
                <w:sz w:val="18"/>
                <w:szCs w:val="18"/>
                <w:color w:val="auto"/>
              </w:rPr>
              <w:t>Classification of Loans and Borrowings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gridSpan w:val="4"/>
          </w:tcPr>
          <w:p>
            <w:pPr>
              <w:jc w:val="right"/>
              <w:spacing w:after="0" w:line="190" w:lineRule="exact"/>
              <w:rPr>
                <w:sz w:val="20"/>
                <w:szCs w:val="20"/>
                <w:color w:val="auto"/>
              </w:rPr>
            </w:pPr>
            <w:r>
              <w:rPr>
                <w:rFonts w:ascii="Arial" w:cs="Arial" w:eastAsia="Arial" w:hAnsi="Arial"/>
                <w:sz w:val="18"/>
                <w:szCs w:val="18"/>
                <w:color w:val="FF4338"/>
                <w:strike w:val="1"/>
                <w:w w:val="79"/>
              </w:rPr>
              <w:t>82</w:t>
            </w:r>
          </w:p>
        </w:tc>
        <w:tc>
          <w:tcPr>
            <w:tcW w:w="20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0000FF"/>
                <w:w w:val="79"/>
              </w:rPr>
              <w:t>83</w:t>
            </w: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1.03</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Terms Generally</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82</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1.04</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Accounting Terms; GAAP</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83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1.05</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Currency Translation; Rates</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84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1.06</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Timing of Payment of Performance</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84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1.07</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Cashless Rollovers</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85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1.08</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Certain Calculations and Tests</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85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1.09</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Rounding</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86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1.10</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[Reserved]</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86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1.11</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Pro Forma and Other Calculations</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86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8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320" w:type="dxa"/>
            <w:vAlign w:val="bottom"/>
            <w:gridSpan w:val="2"/>
          </w:tcPr>
          <w:p>
            <w:pPr>
              <w:spacing w:after="0"/>
              <w:rPr>
                <w:sz w:val="20"/>
                <w:szCs w:val="20"/>
                <w:color w:val="auto"/>
              </w:rPr>
            </w:pPr>
            <w:r>
              <w:rPr>
                <w:rFonts w:ascii="Arial" w:cs="Arial" w:eastAsia="Arial" w:hAnsi="Arial"/>
                <w:sz w:val="18"/>
                <w:szCs w:val="18"/>
                <w:color w:val="auto"/>
              </w:rPr>
              <w:t>ARTICLE II THE CREDITS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gridSpan w:val="4"/>
          </w:tcPr>
          <w:p>
            <w:pPr>
              <w:jc w:val="right"/>
              <w:spacing w:after="0"/>
              <w:rPr>
                <w:sz w:val="20"/>
                <w:szCs w:val="20"/>
                <w:color w:val="auto"/>
              </w:rPr>
            </w:pPr>
            <w:r>
              <w:rPr>
                <w:rFonts w:ascii="Arial" w:cs="Arial" w:eastAsia="Arial" w:hAnsi="Arial"/>
                <w:sz w:val="18"/>
                <w:szCs w:val="18"/>
                <w:color w:val="FF4338"/>
                <w:strike w:val="1"/>
                <w:w w:val="79"/>
              </w:rPr>
              <w:t>88</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89</w:t>
            </w: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2.01</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Commitments</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88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2.02</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Loans and Borrowings</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89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2.03</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Requests for Borrowings</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90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2.04</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Swingline Loans</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91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2.05</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Letters of Credit</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92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2.06</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Funding of Borrowings</w:t>
            </w: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4338"/>
                <w:strike w:val="1"/>
                <w:w w:val="79"/>
              </w:rPr>
              <w:t>98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8"/>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2.07</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Interest Elections</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Arial" w:cs="Arial" w:eastAsia="Arial" w:hAnsi="Arial"/>
                <w:sz w:val="16"/>
                <w:szCs w:val="16"/>
                <w:color w:val="FF4338"/>
                <w:strike w:val="1"/>
              </w:rPr>
              <w:t>99</w:t>
            </w: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2.08</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Termination and Reduction of Commitments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100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2.09</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Repayment of Loans; Evidence of Debt</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101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2.10</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Amortization of Term Loans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103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2.11</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Prepayment of Loans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103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2.12</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Fees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110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82"/>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2.13</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Interest</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112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2.14</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Alternate Rate of Interest</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112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2.15</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Increased Costs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114</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2.16</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Break Funding Payments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115</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2.17</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Taxes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115</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2.18</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Payments Generally; Pro Rata Treatment; Sharing of Setoffs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119</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74"/>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2.19</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Mitigation Obligations; Replacement of Lenders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120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2.20</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Incremental Loans and Commitments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121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2.21</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[Reserved]</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125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2.22</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Defaulting Lenders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125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2.23</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Illegality</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126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2.24</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Loan Modification Offers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127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8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32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8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FF4338"/>
                <w:strike w:val="1"/>
                <w:w w:val="86"/>
              </w:rPr>
              <w:t>131</w:t>
            </w:r>
          </w:p>
        </w:tc>
        <w:tc>
          <w:tcPr>
            <w:tcW w:w="280" w:type="dxa"/>
            <w:vAlign w:val="bottom"/>
            <w:gridSpan w:val="6"/>
          </w:tcPr>
          <w:p>
            <w:pPr>
              <w:jc w:val="right"/>
              <w:ind w:right="20"/>
              <w:spacing w:after="0"/>
              <w:rPr>
                <w:sz w:val="20"/>
                <w:szCs w:val="20"/>
                <w:color w:val="auto"/>
              </w:rPr>
            </w:pPr>
            <w:r>
              <w:rPr>
                <w:rFonts w:ascii="Arial" w:cs="Arial" w:eastAsia="Arial" w:hAnsi="Arial"/>
                <w:sz w:val="18"/>
                <w:szCs w:val="18"/>
                <w:color w:val="0000FF"/>
                <w:w w:val="79"/>
              </w:rPr>
              <w:t>132</w:t>
            </w: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3.01</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Organization; Powers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131</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3.02</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Authorization; Enforceability</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3.03</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Governmental Approvals; No Conflicts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3.04</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Financial Condition; No Material Adverse Effect</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3.05</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Properties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3.06</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Litigation, Environmental and Labor Matters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3.07</w:t>
            </w:r>
          </w:p>
        </w:tc>
        <w:tc>
          <w:tcPr>
            <w:tcW w:w="8280" w:type="dxa"/>
            <w:vAlign w:val="bottom"/>
            <w:vMerge w:val="restart"/>
          </w:tcPr>
          <w:p>
            <w:pPr>
              <w:ind w:left="40"/>
              <w:spacing w:after="0" w:line="196" w:lineRule="exact"/>
              <w:rPr>
                <w:sz w:val="20"/>
                <w:szCs w:val="20"/>
                <w:color w:val="auto"/>
              </w:rPr>
            </w:pPr>
            <w:r>
              <w:rPr>
                <w:rFonts w:ascii="Arial" w:cs="Arial" w:eastAsia="Arial" w:hAnsi="Arial"/>
                <w:sz w:val="18"/>
                <w:szCs w:val="18"/>
                <w:color w:val="auto"/>
              </w:rPr>
              <w:t>Compliance with Laws</w:t>
            </w:r>
          </w:p>
        </w:tc>
        <w:tc>
          <w:tcPr>
            <w:tcW w:w="80" w:type="dxa"/>
            <w:vAlign w:val="bottom"/>
            <w:vMerge w:val="restart"/>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89"/>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8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70" w:right="51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78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8620" w:type="dxa"/>
            <w:vAlign w:val="bottom"/>
          </w:tcPr>
          <w:p>
            <w:pPr>
              <w:ind w:left="300"/>
              <w:spacing w:after="0"/>
              <w:rPr>
                <w:sz w:val="20"/>
                <w:szCs w:val="20"/>
                <w:color w:val="auto"/>
              </w:rPr>
            </w:pPr>
            <w:r>
              <w:rPr>
                <w:rFonts w:ascii="Arial" w:cs="Arial" w:eastAsia="Arial" w:hAnsi="Arial"/>
                <w:sz w:val="18"/>
                <w:szCs w:val="18"/>
                <w:color w:val="auto"/>
              </w:rPr>
              <w:t>Investment Company Status</w:t>
            </w:r>
          </w:p>
        </w:tc>
        <w:tc>
          <w:tcPr>
            <w:tcW w:w="280" w:type="dxa"/>
            <w:vAlign w:val="bottom"/>
          </w:tcPr>
          <w:p>
            <w:pPr>
              <w:jc w:val="right"/>
              <w:spacing w:after="0"/>
              <w:rPr>
                <w:sz w:val="20"/>
                <w:szCs w:val="20"/>
                <w:color w:val="auto"/>
              </w:rPr>
            </w:pPr>
            <w:r>
              <w:rPr>
                <w:rFonts w:ascii="Arial" w:cs="Arial" w:eastAsia="Arial" w:hAnsi="Arial"/>
                <w:sz w:val="18"/>
                <w:szCs w:val="18"/>
                <w:color w:val="FF4338"/>
                <w:strike w:val="1"/>
                <w:w w:val="86"/>
              </w:rPr>
              <w:t>133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135</w:t>
            </w: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3.09</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Taxes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133</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3.10</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ERISA; Foreign Pension Plans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3.11</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Disclosure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3.12</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Subsidiaries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3.13</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Intellectual Property; Licenses, Etc.</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3.14</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Solvency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3.15</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Federal Reserve Regulations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3.16</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Security Interest in Collateral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3.17</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USA Patriot Act, OFAC and FCPA</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2"/>
          </w:tcPr>
          <w:p>
            <w:pPr>
              <w:spacing w:after="0"/>
              <w:rPr>
                <w:sz w:val="20"/>
                <w:szCs w:val="20"/>
                <w:color w:val="auto"/>
              </w:rPr>
            </w:pPr>
            <w:r>
              <w:rPr>
                <w:rFonts w:ascii="Arial" w:cs="Arial" w:eastAsia="Arial" w:hAnsi="Arial"/>
                <w:sz w:val="18"/>
                <w:szCs w:val="18"/>
                <w:color w:val="auto"/>
              </w:rPr>
              <w:t>ARTICLE IV CONDITIONS</w:t>
            </w:r>
          </w:p>
        </w:tc>
        <w:tc>
          <w:tcPr>
            <w:tcW w:w="280" w:type="dxa"/>
            <w:vAlign w:val="bottom"/>
          </w:tcPr>
          <w:p>
            <w:pPr>
              <w:jc w:val="right"/>
              <w:spacing w:after="0"/>
              <w:rPr>
                <w:sz w:val="20"/>
                <w:szCs w:val="20"/>
                <w:color w:val="auto"/>
              </w:rPr>
            </w:pPr>
            <w:r>
              <w:rPr>
                <w:rFonts w:ascii="Arial" w:cs="Arial" w:eastAsia="Arial" w:hAnsi="Arial"/>
                <w:sz w:val="18"/>
                <w:szCs w:val="18"/>
                <w:color w:val="FF4338"/>
                <w:strike w:val="1"/>
                <w:w w:val="86"/>
              </w:rPr>
              <w:t>136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137</w:t>
            </w: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4.01</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Effective Date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136</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4.02</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Each Credit Event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280" w:type="dxa"/>
            <w:vAlign w:val="bottom"/>
          </w:tcPr>
          <w:p>
            <w:pPr>
              <w:jc w:val="right"/>
              <w:spacing w:after="0"/>
              <w:rPr>
                <w:sz w:val="20"/>
                <w:szCs w:val="20"/>
                <w:color w:val="auto"/>
              </w:rPr>
            </w:pPr>
            <w:r>
              <w:rPr>
                <w:rFonts w:ascii="Arial" w:cs="Arial" w:eastAsia="Arial" w:hAnsi="Arial"/>
                <w:sz w:val="18"/>
                <w:szCs w:val="18"/>
                <w:color w:val="FF4338"/>
                <w:strike w:val="1"/>
                <w:w w:val="86"/>
              </w:rPr>
              <w:t>139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140</w:t>
            </w: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5.01</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Financial Statements and Other Information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139</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5.02</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Notices of Material Events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5.03</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Information Regarding Collateral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5.04</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Existence; Conduct of Business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5.05</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Payment of Taxes, Etc.</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5.06</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Maintenance of Properties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5.07</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Insurance.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5.08</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Books and Records; Inspection and Audit Rights; Lender call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5.09</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Compliance with Laws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5.10</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Use of Proceeds and Letters of Credit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5.11</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Additional Subsidiaries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5.12</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Further Assurances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5.13</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5.14</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Certain Post-Closing Obligations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5.15</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Designation of Subsidiaries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280" w:type="dxa"/>
            <w:vAlign w:val="bottom"/>
          </w:tcPr>
          <w:p>
            <w:pPr>
              <w:jc w:val="right"/>
              <w:spacing w:after="0"/>
              <w:rPr>
                <w:sz w:val="20"/>
                <w:szCs w:val="20"/>
                <w:color w:val="auto"/>
              </w:rPr>
            </w:pPr>
            <w:r>
              <w:rPr>
                <w:rFonts w:ascii="Arial" w:cs="Arial" w:eastAsia="Arial" w:hAnsi="Arial"/>
                <w:sz w:val="18"/>
                <w:szCs w:val="18"/>
                <w:color w:val="FF4338"/>
                <w:strike w:val="1"/>
                <w:w w:val="86"/>
              </w:rPr>
              <w:t>147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148</w:t>
            </w: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6.01</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Indebtedness; Certain Equity Securities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147</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6.02</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Liens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153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6.03</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Fundamental Changes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158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6.04</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Investments, Loans, Advances, Guarantees and Acquisitions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159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6.05</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Asset Sales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164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6.06</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Holdings Covenant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167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6.07</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Negative Pledge; Subsidiary Distributions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169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6.08</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Restricted Payments; Certain Payments of Indebtedness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170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6.09</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Transactions with Affiliates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176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6.10</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Change in Nature of Business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178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6.11</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Accounting Changes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178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6.12</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Changes to Organizational Documents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178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6.13</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Financial Maintenance Covenant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178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2"/>
          </w:tcPr>
          <w:p>
            <w:pPr>
              <w:spacing w:after="0"/>
              <w:rPr>
                <w:sz w:val="20"/>
                <w:szCs w:val="20"/>
                <w:color w:val="auto"/>
              </w:rPr>
            </w:pPr>
            <w:r>
              <w:rPr>
                <w:rFonts w:ascii="Arial" w:cs="Arial" w:eastAsia="Arial" w:hAnsi="Arial"/>
                <w:sz w:val="18"/>
                <w:szCs w:val="18"/>
                <w:color w:val="auto"/>
              </w:rPr>
              <w:t>ARTICLE VII EVENTS OF DEFAULT</w:t>
            </w:r>
          </w:p>
        </w:tc>
        <w:tc>
          <w:tcPr>
            <w:tcW w:w="280" w:type="dxa"/>
            <w:vAlign w:val="bottom"/>
          </w:tcPr>
          <w:p>
            <w:pPr>
              <w:jc w:val="right"/>
              <w:spacing w:after="0"/>
              <w:rPr>
                <w:sz w:val="20"/>
                <w:szCs w:val="20"/>
                <w:color w:val="auto"/>
              </w:rPr>
            </w:pPr>
            <w:r>
              <w:rPr>
                <w:rFonts w:ascii="Arial" w:cs="Arial" w:eastAsia="Arial" w:hAnsi="Arial"/>
                <w:sz w:val="18"/>
                <w:szCs w:val="18"/>
                <w:color w:val="FF4338"/>
                <w:strike w:val="1"/>
                <w:w w:val="86"/>
              </w:rPr>
              <w:t>181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184</w:t>
            </w: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7.01</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Events of Default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181</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7.02</w:t>
            </w:r>
          </w:p>
        </w:tc>
        <w:tc>
          <w:tcPr>
            <w:tcW w:w="8620" w:type="dxa"/>
            <w:vAlign w:val="bottom"/>
            <w:vMerge w:val="restart"/>
          </w:tcPr>
          <w:p>
            <w:pPr>
              <w:ind w:left="300"/>
              <w:spacing w:after="0" w:line="196" w:lineRule="exact"/>
              <w:rPr>
                <w:sz w:val="20"/>
                <w:szCs w:val="20"/>
                <w:color w:val="auto"/>
              </w:rPr>
            </w:pPr>
            <w:r>
              <w:rPr>
                <w:rFonts w:ascii="Arial" w:cs="Arial" w:eastAsia="Arial" w:hAnsi="Arial"/>
                <w:sz w:val="18"/>
                <w:szCs w:val="18"/>
                <w:color w:val="auto"/>
              </w:rPr>
              <w:t>Right to Cure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183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8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89"/>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40"/>
          </w:cols>
          <w:pgMar w:left="440" w:top="256" w:right="5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62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400" w:type="dxa"/>
            <w:vAlign w:val="bottom"/>
          </w:tcPr>
          <w:p>
            <w:pPr>
              <w:spacing w:after="0"/>
              <w:rPr>
                <w:sz w:val="17"/>
                <w:szCs w:val="17"/>
                <w:color w:val="auto"/>
              </w:rPr>
            </w:pPr>
          </w:p>
        </w:tc>
        <w:tc>
          <w:tcPr>
            <w:tcW w:w="8380" w:type="dxa"/>
            <w:vAlign w:val="bottom"/>
          </w:tcPr>
          <w:p>
            <w:pPr>
              <w:ind w:left="60"/>
              <w:spacing w:after="0"/>
              <w:rPr>
                <w:sz w:val="20"/>
                <w:szCs w:val="20"/>
                <w:color w:val="auto"/>
              </w:rPr>
            </w:pPr>
            <w:r>
              <w:rPr>
                <w:rFonts w:ascii="Arial" w:cs="Arial" w:eastAsia="Arial" w:hAnsi="Arial"/>
                <w:sz w:val="18"/>
                <w:szCs w:val="18"/>
                <w:color w:val="auto"/>
              </w:rPr>
              <w:t>Application of Proceeds</w:t>
            </w:r>
          </w:p>
        </w:tc>
        <w:tc>
          <w:tcPr>
            <w:tcW w:w="280" w:type="dxa"/>
            <w:vAlign w:val="bottom"/>
          </w:tcPr>
          <w:p>
            <w:pPr>
              <w:jc w:val="right"/>
              <w:spacing w:after="0"/>
              <w:rPr>
                <w:sz w:val="20"/>
                <w:szCs w:val="20"/>
                <w:color w:val="auto"/>
              </w:rPr>
            </w:pPr>
            <w:r>
              <w:rPr>
                <w:rFonts w:ascii="Arial" w:cs="Arial" w:eastAsia="Arial" w:hAnsi="Arial"/>
                <w:sz w:val="18"/>
                <w:szCs w:val="18"/>
                <w:color w:val="FF4338"/>
                <w:strike w:val="1"/>
                <w:w w:val="86"/>
              </w:rPr>
              <w:t>185</w:t>
            </w: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0000FF"/>
                <w:w w:val="79"/>
              </w:rPr>
              <w:t>188</w:t>
            </w:r>
          </w:p>
        </w:tc>
        <w:tc>
          <w:tcPr>
            <w:tcW w:w="0" w:type="dxa"/>
            <w:vAlign w:val="bottom"/>
          </w:tcPr>
          <w:p>
            <w:pPr>
              <w:spacing w:after="0"/>
              <w:rPr>
                <w:sz w:val="1"/>
                <w:szCs w:val="1"/>
                <w:color w:val="auto"/>
              </w:rPr>
            </w:pPr>
          </w:p>
        </w:tc>
      </w:tr>
      <w:tr>
        <w:trPr>
          <w:trHeight w:val="34"/>
        </w:trPr>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3"/>
          </w:tcPr>
          <w:p>
            <w:pPr>
              <w:spacing w:after="0"/>
              <w:rPr>
                <w:sz w:val="20"/>
                <w:szCs w:val="20"/>
                <w:color w:val="auto"/>
              </w:rPr>
            </w:pPr>
            <w:r>
              <w:rPr>
                <w:rFonts w:ascii="Arial" w:cs="Arial" w:eastAsia="Arial" w:hAnsi="Arial"/>
                <w:sz w:val="18"/>
                <w:szCs w:val="18"/>
                <w:color w:val="auto"/>
              </w:rPr>
              <w:t>ARTICLE VIII THE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FF4338"/>
                <w:strike w:val="1"/>
                <w:w w:val="86"/>
              </w:rPr>
              <w:t>185</w:t>
            </w: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0000FF"/>
                <w:w w:val="79"/>
              </w:rPr>
              <w:t>188</w:t>
            </w:r>
          </w:p>
        </w:tc>
        <w:tc>
          <w:tcPr>
            <w:tcW w:w="0" w:type="dxa"/>
            <w:vAlign w:val="bottom"/>
          </w:tcPr>
          <w:p>
            <w:pPr>
              <w:spacing w:after="0"/>
              <w:rPr>
                <w:sz w:val="1"/>
                <w:szCs w:val="1"/>
                <w:color w:val="auto"/>
              </w:rPr>
            </w:pPr>
          </w:p>
        </w:tc>
      </w:tr>
      <w:tr>
        <w:trPr>
          <w:trHeight w:val="34"/>
        </w:trPr>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3"/>
          </w:tcPr>
          <w:p>
            <w:pPr>
              <w:spacing w:after="0"/>
              <w:rPr>
                <w:sz w:val="20"/>
                <w:szCs w:val="20"/>
                <w:color w:val="auto"/>
              </w:rPr>
            </w:pPr>
            <w:r>
              <w:rPr>
                <w:rFonts w:ascii="Arial" w:cs="Arial" w:eastAsia="Arial" w:hAnsi="Arial"/>
                <w:sz w:val="18"/>
                <w:szCs w:val="18"/>
                <w:color w:val="auto"/>
              </w:rPr>
              <w:t>ARTICLE IX MISCELLANEOUS</w:t>
            </w:r>
          </w:p>
        </w:tc>
        <w:tc>
          <w:tcPr>
            <w:tcW w:w="280" w:type="dxa"/>
            <w:vAlign w:val="bottom"/>
          </w:tcPr>
          <w:p>
            <w:pPr>
              <w:jc w:val="right"/>
              <w:spacing w:after="0"/>
              <w:rPr>
                <w:sz w:val="20"/>
                <w:szCs w:val="20"/>
                <w:color w:val="auto"/>
              </w:rPr>
            </w:pPr>
            <w:r>
              <w:rPr>
                <w:rFonts w:ascii="Arial" w:cs="Arial" w:eastAsia="Arial" w:hAnsi="Arial"/>
                <w:sz w:val="18"/>
                <w:szCs w:val="18"/>
                <w:color w:val="FF4338"/>
                <w:strike w:val="1"/>
                <w:w w:val="86"/>
              </w:rPr>
              <w:t>190</w:t>
            </w: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0000FF"/>
                <w:w w:val="79"/>
              </w:rPr>
              <w:t>193</w:t>
            </w: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9.01</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Notices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190</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9.02</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Waivers; Amendments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191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9.03</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Expenses; Indemnity; Damage Waiver</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195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199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9.04</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Successors and Assigns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197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9.05</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Survival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204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9.06</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Counterparts; Integration; Effectiveness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204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9.07</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Severability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204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9.08</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Right of Setoff</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204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9.09</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Governing Law; Jurisdiction; Consent to Service of Process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205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9.10</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WAIVER OF JURY TRIAL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206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9.11</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Headings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206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9.12</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Confidentiality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206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9.13</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USA Patriot Act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207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color w:val="0000FF"/>
                <w:w w:val="82"/>
              </w:rPr>
              <w:t>211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9.14</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Judgment Currency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207</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211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9.15</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Release of Liens and Guarantees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208</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211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9.16</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No Fiduciary Relationship</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209</w:t>
            </w:r>
          </w:p>
        </w:tc>
        <w:tc>
          <w:tcPr>
            <w:tcW w:w="40" w:type="dxa"/>
            <w:vAlign w:val="bottom"/>
            <w:gridSpan w:val="2"/>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w w:val="74"/>
              </w:rPr>
              <w:t>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9.17</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Permitted Intercreditor Agreements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209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9.18</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Acknowledgement and Consent to Bail-In of EEA Financial Institutions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210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9.19</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Electronic Execution of Assignments and Certain Other Documents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210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9.20</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Other Agents and Arrangers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211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9.21</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Certain ERISA Matters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211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9.22</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Acknowledgment Regarding Any Supported QFCs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212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9.23</w:t>
            </w:r>
          </w:p>
        </w:tc>
        <w:tc>
          <w:tcPr>
            <w:tcW w:w="400" w:type="dxa"/>
            <w:vAlign w:val="bottom"/>
          </w:tcPr>
          <w:p>
            <w:pPr>
              <w:spacing w:after="0"/>
              <w:rPr>
                <w:sz w:val="2"/>
                <w:szCs w:val="2"/>
                <w:color w:val="auto"/>
              </w:rPr>
            </w:pPr>
          </w:p>
        </w:tc>
        <w:tc>
          <w:tcPr>
            <w:tcW w:w="8380" w:type="dxa"/>
            <w:vAlign w:val="bottom"/>
            <w:vMerge w:val="restart"/>
          </w:tcPr>
          <w:p>
            <w:pPr>
              <w:ind w:left="60"/>
              <w:spacing w:after="0" w:line="196" w:lineRule="exact"/>
              <w:rPr>
                <w:sz w:val="20"/>
                <w:szCs w:val="20"/>
                <w:color w:val="auto"/>
              </w:rPr>
            </w:pPr>
            <w:r>
              <w:rPr>
                <w:rFonts w:ascii="Arial" w:cs="Arial" w:eastAsia="Arial" w:hAnsi="Arial"/>
                <w:sz w:val="18"/>
                <w:szCs w:val="18"/>
                <w:color w:val="auto"/>
              </w:rPr>
              <w:t>Consummation of Merger</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4338"/>
                <w:strike w:val="1"/>
                <w:w w:val="86"/>
              </w:rPr>
              <w:t>212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3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color w:val="0000FF"/>
                <w:w w:val="89"/>
              </w:rPr>
              <w:t>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20" w:type="dxa"/>
            <w:vAlign w:val="bottom"/>
            <w:vMerge w:val="restart"/>
          </w:tcPr>
          <w:p>
            <w:pPr>
              <w:spacing w:after="0"/>
              <w:rPr>
                <w:sz w:val="20"/>
                <w:szCs w:val="20"/>
                <w:color w:val="auto"/>
              </w:rPr>
            </w:pPr>
            <w:r>
              <w:rPr>
                <w:rFonts w:ascii="Arial" w:cs="Arial" w:eastAsia="Arial" w:hAnsi="Arial"/>
                <w:sz w:val="18"/>
                <w:szCs w:val="18"/>
                <w:color w:val="auto"/>
              </w:rPr>
              <w:t>SCHEDULES:</w:t>
            </w:r>
          </w:p>
        </w:tc>
        <w:tc>
          <w:tcPr>
            <w:tcW w:w="4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16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Schedule 1.01(a)</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80" w:type="dxa"/>
            <w:vAlign w:val="bottom"/>
          </w:tcPr>
          <w:p>
            <w:pPr>
              <w:ind w:left="80"/>
              <w:spacing w:after="0"/>
              <w:rPr>
                <w:sz w:val="20"/>
                <w:szCs w:val="20"/>
                <w:color w:val="auto"/>
              </w:rPr>
            </w:pPr>
            <w:r>
              <w:rPr>
                <w:rFonts w:ascii="Arial" w:cs="Arial" w:eastAsia="Arial" w:hAnsi="Arial"/>
                <w:sz w:val="18"/>
                <w:szCs w:val="18"/>
                <w:color w:val="auto"/>
              </w:rPr>
              <w:t>Excluded Subsidiaries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2.01</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80" w:type="dxa"/>
            <w:vAlign w:val="bottom"/>
          </w:tcPr>
          <w:p>
            <w:pPr>
              <w:ind w:left="80"/>
              <w:spacing w:after="0"/>
              <w:rPr>
                <w:sz w:val="20"/>
                <w:szCs w:val="20"/>
                <w:color w:val="auto"/>
              </w:rPr>
            </w:pPr>
            <w:r>
              <w:rPr>
                <w:rFonts w:ascii="Arial" w:cs="Arial" w:eastAsia="Arial" w:hAnsi="Arial"/>
                <w:sz w:val="18"/>
                <w:szCs w:val="18"/>
                <w:color w:val="auto"/>
              </w:rPr>
              <w:t>Commitments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2.05</w:t>
            </w: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rPr>
              <w:t>—  LC Commitments and Applicable LC Fronting Schedule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3.05</w:t>
            </w: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rPr>
              <w:t>—  Effective Date Material Real Property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3.06</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80" w:type="dxa"/>
            <w:vAlign w:val="bottom"/>
          </w:tcPr>
          <w:p>
            <w:pPr>
              <w:ind w:left="80"/>
              <w:spacing w:after="0"/>
              <w:rPr>
                <w:sz w:val="20"/>
                <w:szCs w:val="20"/>
                <w:color w:val="auto"/>
              </w:rPr>
            </w:pPr>
            <w:r>
              <w:rPr>
                <w:rFonts w:ascii="Arial" w:cs="Arial" w:eastAsia="Arial" w:hAnsi="Arial"/>
                <w:sz w:val="18"/>
                <w:szCs w:val="18"/>
                <w:color w:val="auto"/>
              </w:rPr>
              <w:t>Environmental Matters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3.12</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80" w:type="dxa"/>
            <w:vAlign w:val="bottom"/>
          </w:tcPr>
          <w:p>
            <w:pPr>
              <w:ind w:left="80"/>
              <w:spacing w:after="0"/>
              <w:rPr>
                <w:sz w:val="20"/>
                <w:szCs w:val="20"/>
                <w:color w:val="auto"/>
              </w:rPr>
            </w:pPr>
            <w:r>
              <w:rPr>
                <w:rFonts w:ascii="Arial" w:cs="Arial" w:eastAsia="Arial" w:hAnsi="Arial"/>
                <w:sz w:val="18"/>
                <w:szCs w:val="18"/>
                <w:color w:val="auto"/>
              </w:rPr>
              <w:t>Subsidiaries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5.14</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80" w:type="dxa"/>
            <w:vAlign w:val="bottom"/>
          </w:tcPr>
          <w:p>
            <w:pPr>
              <w:ind w:left="80"/>
              <w:spacing w:after="0"/>
              <w:rPr>
                <w:sz w:val="20"/>
                <w:szCs w:val="20"/>
                <w:color w:val="auto"/>
              </w:rPr>
            </w:pPr>
            <w:r>
              <w:rPr>
                <w:rFonts w:ascii="Arial" w:cs="Arial" w:eastAsia="Arial" w:hAnsi="Arial"/>
                <w:sz w:val="18"/>
                <w:szCs w:val="18"/>
                <w:color w:val="auto"/>
              </w:rPr>
              <w:t>Certain Post-Closing Obligations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6.01</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80" w:type="dxa"/>
            <w:vAlign w:val="bottom"/>
          </w:tcPr>
          <w:p>
            <w:pPr>
              <w:ind w:left="80"/>
              <w:spacing w:after="0"/>
              <w:rPr>
                <w:sz w:val="20"/>
                <w:szCs w:val="20"/>
                <w:color w:val="auto"/>
              </w:rPr>
            </w:pPr>
            <w:r>
              <w:rPr>
                <w:rFonts w:ascii="Arial" w:cs="Arial" w:eastAsia="Arial" w:hAnsi="Arial"/>
                <w:sz w:val="18"/>
                <w:szCs w:val="18"/>
                <w:color w:val="auto"/>
              </w:rPr>
              <w:t>Existing Indebtedness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6.02</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80" w:type="dxa"/>
            <w:vAlign w:val="bottom"/>
          </w:tcPr>
          <w:p>
            <w:pPr>
              <w:ind w:left="80"/>
              <w:spacing w:after="0"/>
              <w:rPr>
                <w:sz w:val="20"/>
                <w:szCs w:val="20"/>
                <w:color w:val="auto"/>
              </w:rPr>
            </w:pPr>
            <w:r>
              <w:rPr>
                <w:rFonts w:ascii="Arial" w:cs="Arial" w:eastAsia="Arial" w:hAnsi="Arial"/>
                <w:sz w:val="18"/>
                <w:szCs w:val="18"/>
                <w:color w:val="auto"/>
              </w:rPr>
              <w:t>Existing Liens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6.04(f)</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80" w:type="dxa"/>
            <w:vAlign w:val="bottom"/>
          </w:tcPr>
          <w:p>
            <w:pPr>
              <w:ind w:left="80"/>
              <w:spacing w:after="0"/>
              <w:rPr>
                <w:sz w:val="20"/>
                <w:szCs w:val="20"/>
                <w:color w:val="auto"/>
              </w:rPr>
            </w:pPr>
            <w:r>
              <w:rPr>
                <w:rFonts w:ascii="Arial" w:cs="Arial" w:eastAsia="Arial" w:hAnsi="Arial"/>
                <w:sz w:val="18"/>
                <w:szCs w:val="18"/>
                <w:color w:val="auto"/>
              </w:rPr>
              <w:t>Existing Investments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6.07</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80" w:type="dxa"/>
            <w:vAlign w:val="bottom"/>
          </w:tcPr>
          <w:p>
            <w:pPr>
              <w:ind w:left="80"/>
              <w:spacing w:after="0"/>
              <w:rPr>
                <w:sz w:val="20"/>
                <w:szCs w:val="20"/>
                <w:color w:val="auto"/>
              </w:rPr>
            </w:pPr>
            <w:r>
              <w:rPr>
                <w:rFonts w:ascii="Arial" w:cs="Arial" w:eastAsia="Arial" w:hAnsi="Arial"/>
                <w:sz w:val="18"/>
                <w:szCs w:val="18"/>
                <w:color w:val="auto"/>
              </w:rPr>
              <w:t>Existing Restrictions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Schedule 6.09</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80" w:type="dxa"/>
            <w:vAlign w:val="bottom"/>
          </w:tcPr>
          <w:p>
            <w:pPr>
              <w:ind w:left="80"/>
              <w:spacing w:after="0"/>
              <w:rPr>
                <w:sz w:val="20"/>
                <w:szCs w:val="20"/>
                <w:color w:val="auto"/>
              </w:rPr>
            </w:pPr>
            <w:r>
              <w:rPr>
                <w:rFonts w:ascii="Arial" w:cs="Arial" w:eastAsia="Arial" w:hAnsi="Arial"/>
                <w:sz w:val="18"/>
                <w:szCs w:val="18"/>
                <w:color w:val="auto"/>
              </w:rPr>
              <w:t>Existing Affiliate Transactions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Assignment and Assumption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40"/>
          </w:cols>
          <w:pgMar w:left="440" w:top="256" w:right="519" w:bottom="1440" w:gutter="0" w:footer="0" w:header="0"/>
        </w:sectPr>
      </w:pPr>
    </w:p>
    <w:bookmarkStart w:id="38" w:name="page39"/>
    <w:bookmarkEnd w:id="38"/>
    <w:p>
      <w:pPr>
        <w:spacing w:after="0"/>
        <w:tabs>
          <w:tab w:leader="none" w:pos="1760" w:val="left"/>
          <w:tab w:leader="none" w:pos="2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Borrowing Request</w:t>
      </w:r>
    </w:p>
    <w:p>
      <w:pPr>
        <w:spacing w:after="0" w:line="23"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Collateral Agreement</w:t>
      </w:r>
    </w:p>
    <w:p>
      <w:pPr>
        <w:spacing w:after="0" w:line="9"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Equal Priority Intercreditor Agreement</w:t>
      </w:r>
    </w:p>
    <w:p>
      <w:pPr>
        <w:spacing w:after="0" w:line="9"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Junior Priority Intercreditor Agreement</w:t>
      </w:r>
    </w:p>
    <w:p>
      <w:pPr>
        <w:spacing w:after="0" w:line="9"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Guarantee Agreement</w:t>
      </w:r>
    </w:p>
    <w:p>
      <w:pPr>
        <w:spacing w:after="0" w:line="9"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Interest Election Request</w:t>
      </w:r>
    </w:p>
    <w:p>
      <w:pPr>
        <w:spacing w:after="0" w:line="9"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Notice of Prepayment</w:t>
      </w:r>
    </w:p>
    <w:p>
      <w:pPr>
        <w:spacing w:after="0" w:line="9" w:lineRule="exact"/>
        <w:rPr>
          <w:sz w:val="20"/>
          <w:szCs w:val="20"/>
          <w:color w:val="auto"/>
        </w:rPr>
      </w:pPr>
    </w:p>
    <w:p>
      <w:pPr>
        <w:ind w:left="1780" w:hanging="2105"/>
        <w:spacing w:after="0" w:line="250" w:lineRule="auto"/>
        <w:tabs>
          <w:tab w:leader="none" w:pos="1760" w:val="left"/>
        </w:tabs>
        <w:rPr>
          <w:sz w:val="20"/>
          <w:szCs w:val="20"/>
          <w:color w:val="auto"/>
        </w:rPr>
      </w:pPr>
      <w:r>
        <w:rPr>
          <w:rFonts w:ascii="Arial" w:cs="Arial" w:eastAsia="Arial" w:hAnsi="Arial"/>
          <w:sz w:val="18"/>
          <w:szCs w:val="18"/>
          <w:color w:val="auto"/>
        </w:rPr>
        <w:t>Exhibit I-1</w:t>
      </w:r>
      <w:r>
        <w:rPr>
          <w:sz w:val="20"/>
          <w:szCs w:val="20"/>
          <w:color w:val="auto"/>
        </w:rPr>
        <w:tab/>
      </w:r>
      <w:r>
        <w:rPr>
          <w:rFonts w:ascii="Arial" w:cs="Arial" w:eastAsia="Arial" w:hAnsi="Arial"/>
          <w:sz w:val="18"/>
          <w:szCs w:val="18"/>
          <w:color w:val="auto"/>
        </w:rPr>
        <w:t>— Form of U.S. Tax Compliance Certificate (For Non-U.S. Lenders That Are Not Partnerships For U.S. Federal Income Tax Purposes)</w:t>
      </w:r>
    </w:p>
    <w:p>
      <w:pPr>
        <w:spacing w:after="0" w:line="1" w:lineRule="exact"/>
        <w:rPr>
          <w:sz w:val="20"/>
          <w:szCs w:val="20"/>
          <w:color w:val="auto"/>
        </w:rPr>
      </w:pPr>
    </w:p>
    <w:p>
      <w:pPr>
        <w:ind w:left="1780" w:right="20" w:hanging="2105"/>
        <w:spacing w:after="0" w:line="250" w:lineRule="auto"/>
        <w:tabs>
          <w:tab w:leader="none" w:pos="1760" w:val="left"/>
        </w:tabs>
        <w:rPr>
          <w:sz w:val="20"/>
          <w:szCs w:val="20"/>
          <w:color w:val="auto"/>
        </w:rPr>
      </w:pPr>
      <w:r>
        <w:rPr>
          <w:rFonts w:ascii="Arial" w:cs="Arial" w:eastAsia="Arial" w:hAnsi="Arial"/>
          <w:sz w:val="18"/>
          <w:szCs w:val="18"/>
          <w:color w:val="auto"/>
        </w:rPr>
        <w:t>Exhibit I-2</w:t>
      </w:r>
      <w:r>
        <w:rPr>
          <w:sz w:val="20"/>
          <w:szCs w:val="20"/>
          <w:color w:val="auto"/>
        </w:rPr>
        <w:tab/>
      </w:r>
      <w:r>
        <w:rPr>
          <w:rFonts w:ascii="Arial" w:cs="Arial" w:eastAsia="Arial" w:hAnsi="Arial"/>
          <w:sz w:val="18"/>
          <w:szCs w:val="18"/>
          <w:color w:val="auto"/>
        </w:rPr>
        <w:t>— Form of U.S. Tax Compliance Certificate (For Non-U.S. Lenders That Are Partnerships For U.S. Federal Income Tax Purposes)</w:t>
      </w:r>
    </w:p>
    <w:p>
      <w:pPr>
        <w:spacing w:after="0" w:line="1" w:lineRule="exact"/>
        <w:rPr>
          <w:sz w:val="20"/>
          <w:szCs w:val="20"/>
          <w:color w:val="auto"/>
        </w:rPr>
      </w:pPr>
    </w:p>
    <w:p>
      <w:pPr>
        <w:ind w:left="1780" w:right="20" w:hanging="2105"/>
        <w:spacing w:after="0" w:line="250" w:lineRule="auto"/>
        <w:tabs>
          <w:tab w:leader="none" w:pos="1760" w:val="left"/>
        </w:tabs>
        <w:rPr>
          <w:sz w:val="20"/>
          <w:szCs w:val="20"/>
          <w:color w:val="auto"/>
        </w:rPr>
      </w:pPr>
      <w:r>
        <w:rPr>
          <w:rFonts w:ascii="Arial" w:cs="Arial" w:eastAsia="Arial" w:hAnsi="Arial"/>
          <w:sz w:val="18"/>
          <w:szCs w:val="18"/>
          <w:color w:val="auto"/>
        </w:rPr>
        <w:t>Exhibit I-3</w:t>
      </w:r>
      <w:r>
        <w:rPr>
          <w:sz w:val="20"/>
          <w:szCs w:val="20"/>
          <w:color w:val="auto"/>
        </w:rPr>
        <w:tab/>
      </w:r>
      <w:r>
        <w:rPr>
          <w:rFonts w:ascii="Arial" w:cs="Arial" w:eastAsia="Arial" w:hAnsi="Arial"/>
          <w:sz w:val="18"/>
          <w:szCs w:val="18"/>
          <w:color w:val="auto"/>
        </w:rPr>
        <w:t>— Form of U.S. Tax Compliance Certificate (For Non-U.S. Participants That Are Not Partnerships For U.S. Federal Income Tax Purposes)</w:t>
      </w:r>
    </w:p>
    <w:p>
      <w:pPr>
        <w:spacing w:after="0" w:line="1" w:lineRule="exact"/>
        <w:rPr>
          <w:sz w:val="20"/>
          <w:szCs w:val="20"/>
          <w:color w:val="auto"/>
        </w:rPr>
      </w:pPr>
    </w:p>
    <w:p>
      <w:pPr>
        <w:ind w:left="1780" w:right="20" w:hanging="2105"/>
        <w:spacing w:after="0" w:line="250" w:lineRule="auto"/>
        <w:tabs>
          <w:tab w:leader="none" w:pos="1760" w:val="left"/>
        </w:tabs>
        <w:rPr>
          <w:sz w:val="20"/>
          <w:szCs w:val="20"/>
          <w:color w:val="auto"/>
        </w:rPr>
      </w:pPr>
      <w:r>
        <w:rPr>
          <w:rFonts w:ascii="Arial" w:cs="Arial" w:eastAsia="Arial" w:hAnsi="Arial"/>
          <w:sz w:val="18"/>
          <w:szCs w:val="18"/>
          <w:color w:val="auto"/>
        </w:rPr>
        <w:t>Exhibit I-4</w:t>
      </w:r>
      <w:r>
        <w:rPr>
          <w:sz w:val="20"/>
          <w:szCs w:val="20"/>
          <w:color w:val="auto"/>
        </w:rPr>
        <w:tab/>
      </w:r>
      <w:r>
        <w:rPr>
          <w:rFonts w:ascii="Arial" w:cs="Arial" w:eastAsia="Arial" w:hAnsi="Arial"/>
          <w:sz w:val="18"/>
          <w:szCs w:val="18"/>
          <w:color w:val="auto"/>
        </w:rPr>
        <w:t>— Form of U.S. Tax Compliance Certificate (For Non-U.S. Participants That Are Partnerships For U.S. Federal Income Tax Purposes)</w:t>
      </w:r>
    </w:p>
    <w:p>
      <w:pPr>
        <w:spacing w:after="0" w:line="1"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J</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Closing Certificate</w:t>
      </w:r>
    </w:p>
    <w:p>
      <w:pPr>
        <w:spacing w:after="0" w:line="9"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Intercompany Note</w:t>
      </w:r>
    </w:p>
    <w:p>
      <w:pPr>
        <w:spacing w:after="0" w:line="9" w:lineRule="exact"/>
        <w:rPr>
          <w:sz w:val="20"/>
          <w:szCs w:val="20"/>
          <w:color w:val="auto"/>
        </w:rPr>
      </w:pPr>
    </w:p>
    <w:p>
      <w:pPr>
        <w:spacing w:after="0"/>
        <w:tabs>
          <w:tab w:leader="none" w:pos="1760" w:val="left"/>
          <w:tab w:leader="none" w:pos="2080" w:val="left"/>
        </w:tabs>
        <w:rPr>
          <w:sz w:val="20"/>
          <w:szCs w:val="20"/>
          <w:color w:val="auto"/>
        </w:rPr>
      </w:pPr>
      <w:r>
        <w:rPr>
          <w:rFonts w:ascii="Arial" w:cs="Arial" w:eastAsia="Arial" w:hAnsi="Arial"/>
          <w:sz w:val="18"/>
          <w:szCs w:val="18"/>
          <w:color w:val="auto"/>
        </w:rPr>
        <w:t>Exhibit 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Promissory Note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440" w:top="274" w:right="439" w:bottom="1440" w:gutter="0" w:footer="0" w:header="0"/>
        </w:sectPr>
      </w:pPr>
    </w:p>
    <w:bookmarkStart w:id="39" w:name="page40"/>
    <w:bookmarkEnd w:id="39"/>
    <w:p>
      <w:pPr>
        <w:jc w:val="both"/>
        <w:ind w:left="4"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CREDIT AGREEMENT, dated as of September 13, 2019 (as amended by Amendment No. 1, dated as of March 20, 2020, Incremental Facility Agreement and Technical Amendment No. 2, dated as of May 7, 2020, Incremental Facility Agreement No. 3, dated as of June 11, 2020, Amendment No. 4 to Credit Agreement and Incremental Facility Agreement, dated as of May 7, 2021, Amendment No. 5 to Credit Agreement and Incremental Facility Agreement, dated as of June 11, 2021, </w:t>
      </w:r>
      <w:r>
        <w:rPr>
          <w:rFonts w:ascii="Arial" w:cs="Arial" w:eastAsia="Arial" w:hAnsi="Arial"/>
          <w:sz w:val="16"/>
          <w:szCs w:val="16"/>
          <w:color w:val="FF4338"/>
          <w:strike w:val="1"/>
        </w:rPr>
        <w:t>and as further amended by</w:t>
      </w:r>
      <w:r>
        <w:rPr>
          <w:rFonts w:ascii="Arial" w:cs="Arial" w:eastAsia="Arial" w:hAnsi="Arial"/>
          <w:sz w:val="16"/>
          <w:szCs w:val="16"/>
          <w:color w:val="auto"/>
        </w:rPr>
        <w:t xml:space="preserve"> Amendment No. 6 to Credit Agreement and Incremental Facility Agreement, dated as of November 10, 2021, </w:t>
      </w:r>
      <w:r>
        <w:rPr>
          <w:rFonts w:ascii="Arial" w:cs="Arial" w:eastAsia="Arial" w:hAnsi="Arial"/>
          <w:sz w:val="16"/>
          <w:szCs w:val="16"/>
          <w:u w:val="single" w:color="auto"/>
          <w:color w:val="0000FF"/>
        </w:rPr>
        <w:t>Amendment No. 7 to Credit Agreement, dated as of March 14, 2022, and as further amended,</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Agreement</w:t>
      </w:r>
      <w:r>
        <w:rPr>
          <w:rFonts w:ascii="Arial" w:cs="Arial" w:eastAsia="Arial" w:hAnsi="Arial"/>
          <w:sz w:val="16"/>
          <w:szCs w:val="16"/>
          <w:color w:val="auto"/>
        </w:rPr>
        <w:t>”), among BLIZZARD MIDCO, LLC, a Delaware limited liability company (“</w:t>
      </w:r>
      <w:r>
        <w:rPr>
          <w:rFonts w:ascii="Arial" w:cs="Arial" w:eastAsia="Arial" w:hAnsi="Arial"/>
          <w:sz w:val="16"/>
          <w:szCs w:val="16"/>
          <w:u w:val="single" w:color="auto"/>
          <w:color w:val="auto"/>
        </w:rPr>
        <w:t>Initial Holdings</w:t>
      </w:r>
      <w:r>
        <w:rPr>
          <w:rFonts w:ascii="Arial" w:cs="Arial" w:eastAsia="Arial" w:hAnsi="Arial"/>
          <w:sz w:val="16"/>
          <w:szCs w:val="16"/>
          <w:color w:val="auto"/>
        </w:rPr>
        <w:t>”), BLIZZARD MERGER SUB, LLC, a Delaware limited liability company (“</w:t>
      </w:r>
      <w:r>
        <w:rPr>
          <w:rFonts w:ascii="Arial" w:cs="Arial" w:eastAsia="Arial" w:hAnsi="Arial"/>
          <w:sz w:val="16"/>
          <w:szCs w:val="16"/>
          <w:u w:val="single" w:color="auto"/>
          <w:color w:val="auto"/>
        </w:rPr>
        <w:t>Merger Sub</w:t>
      </w:r>
      <w:r>
        <w:rPr>
          <w:rFonts w:ascii="Arial" w:cs="Arial" w:eastAsia="Arial" w:hAnsi="Arial"/>
          <w:sz w:val="16"/>
          <w:szCs w:val="16"/>
          <w:color w:val="auto"/>
        </w:rPr>
        <w:t>”), and after giving effect to the Merger, NORVAX, LLC, a Delaware limited liability company (“</w:t>
      </w:r>
      <w:r>
        <w:rPr>
          <w:rFonts w:ascii="Arial" w:cs="Arial" w:eastAsia="Arial" w:hAnsi="Arial"/>
          <w:sz w:val="16"/>
          <w:szCs w:val="16"/>
          <w:u w:val="single" w:color="auto"/>
          <w:color w:val="auto"/>
        </w:rPr>
        <w:t>Norvax</w:t>
      </w:r>
      <w:r>
        <w:rPr>
          <w:rFonts w:ascii="Arial" w:cs="Arial" w:eastAsia="Arial" w:hAnsi="Arial"/>
          <w:sz w:val="16"/>
          <w:szCs w:val="16"/>
          <w:color w:val="auto"/>
        </w:rPr>
        <w:t>”), the LENDERS and ISSUING BANKS party hereto and OWL ROCK CAPITAL CORPORATION, as Administrative Agent and 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-425450</wp:posOffset>
            </wp:positionV>
            <wp:extent cx="44919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36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left="4" w:right="20" w:firstLine="440"/>
        <w:spacing w:after="0" w:line="254" w:lineRule="auto"/>
        <w:rPr>
          <w:sz w:val="20"/>
          <w:szCs w:val="20"/>
          <w:color w:val="auto"/>
        </w:rPr>
      </w:pPr>
      <w:r>
        <w:rPr>
          <w:rFonts w:ascii="Arial" w:cs="Arial" w:eastAsia="Arial" w:hAnsi="Arial"/>
          <w:sz w:val="18"/>
          <w:szCs w:val="18"/>
          <w:color w:val="auto"/>
        </w:rPr>
        <w:t>WHEREAS, pursuant to the Merger Agreement, (a) Blizzard Parent, LLC, a Delaware limited liability company (“</w:t>
      </w:r>
      <w:r>
        <w:rPr>
          <w:rFonts w:ascii="Arial" w:cs="Arial" w:eastAsia="Arial" w:hAnsi="Arial"/>
          <w:sz w:val="18"/>
          <w:szCs w:val="18"/>
          <w:u w:val="single" w:color="auto"/>
          <w:color w:val="auto"/>
        </w:rPr>
        <w:t>Parent</w:t>
      </w:r>
      <w:r>
        <w:rPr>
          <w:rFonts w:ascii="Arial" w:cs="Arial" w:eastAsia="Arial" w:hAnsi="Arial"/>
          <w:sz w:val="18"/>
          <w:szCs w:val="18"/>
          <w:color w:val="auto"/>
        </w:rPr>
        <w:t>”) will acquire (the “</w:t>
      </w:r>
      <w:r>
        <w:rPr>
          <w:rFonts w:ascii="Arial" w:cs="Arial" w:eastAsia="Arial" w:hAnsi="Arial"/>
          <w:sz w:val="18"/>
          <w:szCs w:val="18"/>
          <w:u w:val="single" w:color="auto"/>
          <w:color w:val="auto"/>
        </w:rPr>
        <w:t>Acquisition</w:t>
      </w:r>
      <w:r>
        <w:rPr>
          <w:rFonts w:ascii="Arial" w:cs="Arial" w:eastAsia="Arial" w:hAnsi="Arial"/>
          <w:sz w:val="18"/>
          <w:szCs w:val="18"/>
          <w:color w:val="auto"/>
        </w:rPr>
        <w:t>”), directly or indirectly, all of the limited liability company interests of Norvax, LLC, a Delaware limited liability company (the “</w:t>
      </w:r>
      <w:r>
        <w:rPr>
          <w:rFonts w:ascii="Arial" w:cs="Arial" w:eastAsia="Arial" w:hAnsi="Arial"/>
          <w:sz w:val="18"/>
          <w:szCs w:val="18"/>
          <w:u w:val="single" w:color="auto"/>
          <w:color w:val="auto"/>
        </w:rPr>
        <w:t>Target</w:t>
      </w:r>
      <w:r>
        <w:rPr>
          <w:rFonts w:ascii="Arial" w:cs="Arial" w:eastAsia="Arial" w:hAnsi="Arial"/>
          <w:sz w:val="18"/>
          <w:szCs w:val="18"/>
          <w:color w:val="auto"/>
        </w:rPr>
        <w:t>”) through certain investor exchange agreements and the merger of Merger Sub with and into the Target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Target being the surviving entity of such merger (the “</w:t>
      </w:r>
      <w:r>
        <w:rPr>
          <w:rFonts w:ascii="Arial" w:cs="Arial" w:eastAsia="Arial" w:hAnsi="Arial"/>
          <w:sz w:val="18"/>
          <w:szCs w:val="18"/>
          <w:u w:val="single" w:color="auto"/>
          <w:color w:val="auto"/>
        </w:rPr>
        <w:t>Merger</w:t>
      </w:r>
      <w:r>
        <w:rPr>
          <w:rFonts w:ascii="Arial" w:cs="Arial" w:eastAsia="Arial" w:hAnsi="Arial"/>
          <w:sz w:val="18"/>
          <w:szCs w:val="18"/>
          <w:color w:val="auto"/>
        </w:rPr>
        <w:t>”) and the Target will become a wholly-owned direct or indirect subsidiary of Initial Holdings (the direct Subsidiary of Parent) and (b) except with respect to certain equity interests of the Target held by, without limitation, equityholders, management and/or employees of the Target and its subsidiaries which will be rolled over into Equity Interests in Parent or a Parent Entity of Parent (in such capacity, the “</w:t>
      </w:r>
      <w:r>
        <w:rPr>
          <w:rFonts w:ascii="Arial" w:cs="Arial" w:eastAsia="Arial" w:hAnsi="Arial"/>
          <w:sz w:val="18"/>
          <w:szCs w:val="18"/>
          <w:u w:val="single" w:color="auto"/>
          <w:color w:val="auto"/>
        </w:rPr>
        <w:t>Rollover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Investors</w:t>
      </w:r>
      <w:r>
        <w:rPr>
          <w:rFonts w:ascii="Arial" w:cs="Arial" w:eastAsia="Arial" w:hAnsi="Arial"/>
          <w:sz w:val="18"/>
          <w:szCs w:val="18"/>
          <w:color w:val="auto"/>
        </w:rPr>
        <w:t>”), the equity holders of the Target will receive cash in exchange for their Equity Interests in the Target (collectively,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Investors will, directly or indirectly, make the Equity Contribution;</w:t>
      </w:r>
    </w:p>
    <w:p>
      <w:pPr>
        <w:spacing w:after="0" w:line="225" w:lineRule="exact"/>
        <w:rPr>
          <w:sz w:val="20"/>
          <w:szCs w:val="20"/>
          <w:color w:val="auto"/>
        </w:rPr>
      </w:pPr>
    </w:p>
    <w:p>
      <w:pPr>
        <w:jc w:val="both"/>
        <w:ind w:left="4" w:right="20" w:firstLine="440"/>
        <w:spacing w:after="0" w:line="274" w:lineRule="auto"/>
        <w:rPr>
          <w:sz w:val="20"/>
          <w:szCs w:val="20"/>
          <w:color w:val="auto"/>
        </w:rPr>
      </w:pPr>
      <w:r>
        <w:rPr>
          <w:rFonts w:ascii="Arial" w:cs="Arial" w:eastAsia="Arial" w:hAnsi="Arial"/>
          <w:sz w:val="17"/>
          <w:szCs w:val="17"/>
          <w:color w:val="auto"/>
        </w:rPr>
        <w:t xml:space="preserve">WHEREAS, in connection with the foregoing, Holdings and the Borrower have requested that, immediately upon the satisfaction in full of the applicable conditions precedent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below, the Lenders and Issuing Banks extend credit to the Borrower in the form of</w:t>
      </w:r>
    </w:p>
    <w:p>
      <w:pPr>
        <w:ind w:left="4" w:right="20" w:hanging="4"/>
        <w:spacing w:after="0" w:line="260"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$300,000,000 in aggregate principal amount of Initial Term Loans to be borrowed on the Effective Date and (b) a revolving credit facility in an initial aggregate principal amount of $30,000,000 of Revolving Commitments;</w:t>
      </w:r>
    </w:p>
    <w:p>
      <w:pPr>
        <w:spacing w:after="0" w:line="185"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WHEREAS, the proceeds of the Initial Term Loans and Revolving Loans (to the extent permitted in accordance with Section 5.10), in each case, to be made on the Effective Date, together with (a) a portion of the cash on hand at the Target and its Subsidiaries and (b) the proceeds of the Equity Contribution, will be used to pay for the Effective Date Refinancing and to finance a portion of the Transactions (including working capital and/or purchase price adjustments and the payment of the Merger Consideration and the Transaction Costs);</w:t>
      </w:r>
    </w:p>
    <w:p>
      <w:pPr>
        <w:spacing w:after="0" w:line="187"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WHEREAS, the Lenders have indicated their willingness to extend such credit and the Issuing Banks have indicated their willingness to issue Letters of Credit, in each case on the terms and subject to the conditions set forth below;</w:t>
      </w:r>
    </w:p>
    <w:p>
      <w:pPr>
        <w:spacing w:after="0" w:line="170" w:lineRule="exact"/>
        <w:rPr>
          <w:sz w:val="20"/>
          <w:szCs w:val="20"/>
          <w:color w:val="auto"/>
        </w:rPr>
      </w:pPr>
    </w:p>
    <w:p>
      <w:pPr>
        <w:jc w:val="both"/>
        <w:ind w:left="4" w:right="20" w:firstLine="440"/>
        <w:spacing w:after="0" w:line="286" w:lineRule="auto"/>
        <w:rPr>
          <w:sz w:val="20"/>
          <w:szCs w:val="20"/>
          <w:color w:val="auto"/>
        </w:rPr>
      </w:pPr>
      <w:r>
        <w:rPr>
          <w:rFonts w:ascii="Arial" w:cs="Arial" w:eastAsia="Arial" w:hAnsi="Arial"/>
          <w:sz w:val="17"/>
          <w:szCs w:val="17"/>
          <w:color w:val="auto"/>
        </w:rPr>
        <w:t>WHEREAS, in connection with the foregoing and as an inducement for the Lenders and the Issuing Banks to extend the credit contemplated hereunder, the Borrower has agreed to secure all of its Secured Obligations by granting to the Collateral Agent, for the benefit of the Secured Parties, a first priority lien (such priority subject to Liens permitted hereunder) on substantially all of its assets (except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4" w:right="43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otherwise set forth in the Loan Documents), including a pledge of all of the Equity Interests of each of its Subsidiaries (other than any Equity Interests constituting Excluded Assets); and</w:t>
      </w:r>
    </w:p>
    <w:p>
      <w:pPr>
        <w:spacing w:after="0" w:line="170"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WHEREAS, in connection with the foregoing and as an inducement for the Lenders and the Issuing Banks to extend the credit contemplated hereunder, each of Holdings and each other Guarantor has agreed to guarantee all of its Secured Obligations and to secure its guarantees by granting to the Collateral Agent, for the benefit of the Secured Parties, a first priority lien (such priority subject to Liens permitted hereunder) on substantially all of its assets (except as otherwise set forth in the Loan Documents), including a pledge of all of the Equity Interests of each of their respective Subsidiaries (other than any Equity Interests constituting Excluded Assets).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Closing Date</w:t>
      </w:r>
      <w:r>
        <w:rPr>
          <w:rFonts w:ascii="Arial" w:cs="Arial" w:eastAsia="Arial" w:hAnsi="Arial"/>
          <w:sz w:val="18"/>
          <w:szCs w:val="18"/>
          <w:color w:val="auto"/>
        </w:rPr>
        <w:t>” has the meaning assigned to such term in Amendment No. 1.</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Revolving Commitments</w:t>
      </w:r>
      <w:r>
        <w:rPr>
          <w:rFonts w:ascii="Arial" w:cs="Arial" w:eastAsia="Arial" w:hAnsi="Arial"/>
          <w:sz w:val="18"/>
          <w:szCs w:val="18"/>
          <w:color w:val="auto"/>
        </w:rPr>
        <w:t>” means, in respect of each 2020 Incremental Revolving Lender, the amount set forth opposite such Lender’s name on Schedule 1 to Incremental Facility Agreement No. 2. The aggregate amount of 2020 Incremental Revolving Commitments as of the Incremental Facility Agreement No. 2 Effective Date is $20,000,000.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Revolving Lenders</w:t>
      </w:r>
      <w:r>
        <w:rPr>
          <w:rFonts w:ascii="Arial" w:cs="Arial" w:eastAsia="Arial" w:hAnsi="Arial"/>
          <w:sz w:val="18"/>
          <w:szCs w:val="18"/>
          <w:color w:val="auto"/>
        </w:rPr>
        <w:t>” has the meaning assigned to such term in the Incremental Facility Agreement No. 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Lenders</w:t>
      </w:r>
      <w:r>
        <w:rPr>
          <w:rFonts w:ascii="Arial" w:cs="Arial" w:eastAsia="Arial" w:hAnsi="Arial"/>
          <w:sz w:val="18"/>
          <w:szCs w:val="18"/>
          <w:color w:val="auto"/>
        </w:rPr>
        <w:t>” has the meaning assigned to such term in the Amendment No. 1.</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Loan Commitments</w:t>
      </w:r>
      <w:r>
        <w:rPr>
          <w:rFonts w:ascii="Arial" w:cs="Arial" w:eastAsia="Arial" w:hAnsi="Arial"/>
          <w:sz w:val="18"/>
          <w:szCs w:val="18"/>
          <w:color w:val="auto"/>
        </w:rPr>
        <w:t>” means with respect to each 2020 Incremental Term Lender, the amount set forth opposite such Lender’s name on Schedule 1 to the Amendment No. 1. The aggregate amount of 2020 Incremental Term Loan Commitments as of the Amendment No. 1 Effective Date is $117,000,000.</w:t>
      </w:r>
    </w:p>
    <w:p>
      <w:pPr>
        <w:spacing w:after="0" w:line="18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Loan Facility</w:t>
      </w:r>
      <w:r>
        <w:rPr>
          <w:rFonts w:ascii="Arial" w:cs="Arial" w:eastAsia="Arial" w:hAnsi="Arial"/>
          <w:sz w:val="18"/>
          <w:szCs w:val="18"/>
          <w:color w:val="auto"/>
        </w:rPr>
        <w:t>” means the facility under which the 2020 Incremental Term Loans are made available pursuant to the Amendment No. 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Loans</w:t>
      </w:r>
      <w:r>
        <w:rPr>
          <w:rFonts w:ascii="Arial" w:cs="Arial" w:eastAsia="Arial" w:hAnsi="Arial"/>
          <w:sz w:val="18"/>
          <w:szCs w:val="18"/>
          <w:color w:val="auto"/>
        </w:rPr>
        <w:t>” has the meaning assigned to such term in Amendment No. 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Incremental Term Loan Maturity Date</w:t>
      </w:r>
      <w:r>
        <w:rPr>
          <w:rFonts w:ascii="Arial" w:cs="Arial" w:eastAsia="Arial" w:hAnsi="Arial"/>
          <w:sz w:val="18"/>
          <w:szCs w:val="18"/>
          <w:color w:val="auto"/>
        </w:rPr>
        <w:t>” shall mean the Initial Term Loan Maturity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Incremental Term Lenders</w:t>
      </w:r>
      <w:r>
        <w:rPr>
          <w:rFonts w:ascii="Arial" w:cs="Arial" w:eastAsia="Arial" w:hAnsi="Arial"/>
          <w:sz w:val="18"/>
          <w:szCs w:val="18"/>
          <w:color w:val="auto"/>
        </w:rPr>
        <w:t>” has the meaning assigned to such term in Amendment No. 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Incremental Term Loan Commitments</w:t>
      </w:r>
      <w:r>
        <w:rPr>
          <w:rFonts w:ascii="Arial" w:cs="Arial" w:eastAsia="Arial" w:hAnsi="Arial"/>
          <w:sz w:val="18"/>
          <w:szCs w:val="18"/>
          <w:color w:val="auto"/>
        </w:rPr>
        <w:t>” has the meaning assigned to such term in Amendment No. 5.</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1" w:name="page42"/>
    <w:bookmarkEnd w:id="41"/>
    <w:p>
      <w:pPr>
        <w:jc w:val="both"/>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2021 Incremental Term Loan Facility</w:t>
      </w:r>
      <w:r>
        <w:rPr>
          <w:rFonts w:ascii="Arial" w:cs="Arial" w:eastAsia="Arial" w:hAnsi="Arial"/>
          <w:sz w:val="18"/>
          <w:szCs w:val="18"/>
          <w:color w:val="auto"/>
        </w:rPr>
        <w:t>” means the facility under which the 2021 Incremental Term Loans are made available pursuant to Amendment No. 5.</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Incremental Term Loans</w:t>
      </w:r>
      <w:r>
        <w:rPr>
          <w:rFonts w:ascii="Arial" w:cs="Arial" w:eastAsia="Arial" w:hAnsi="Arial"/>
          <w:sz w:val="18"/>
          <w:szCs w:val="18"/>
          <w:color w:val="auto"/>
        </w:rPr>
        <w:t>” has the meaning assigned to such term in Amendment No. 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Incremental Term Loan Maturity Date</w:t>
      </w:r>
      <w:r>
        <w:rPr>
          <w:rFonts w:ascii="Arial" w:cs="Arial" w:eastAsia="Arial" w:hAnsi="Arial"/>
          <w:sz w:val="18"/>
          <w:szCs w:val="18"/>
          <w:color w:val="auto"/>
        </w:rPr>
        <w:t>” shall mean the Initial Term Loan Maturity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2021-2 Incremental Term Lenders</w:t>
      </w:r>
      <w:r>
        <w:rPr>
          <w:rFonts w:ascii="Arial" w:cs="Arial" w:eastAsia="Arial" w:hAnsi="Arial"/>
          <w:sz w:val="18"/>
          <w:szCs w:val="18"/>
          <w:color w:val="auto"/>
        </w:rPr>
        <w:t>” has the meaning assigned to such term in Amendment No. 6.</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2021-2 Incremental Term Loan Closing Date</w:t>
      </w:r>
      <w:r>
        <w:rPr>
          <w:rFonts w:ascii="Arial" w:cs="Arial" w:eastAsia="Arial" w:hAnsi="Arial"/>
          <w:sz w:val="18"/>
          <w:szCs w:val="18"/>
          <w:color w:val="auto"/>
        </w:rPr>
        <w:t>” means the “Incremental Funding Date” as defined in Amendment No. 6, which, for the avoidance of doubt, is November 10, 2021.</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2021-2 Incremental Term Loan Commitments</w:t>
      </w:r>
      <w:r>
        <w:rPr>
          <w:rFonts w:ascii="Arial" w:cs="Arial" w:eastAsia="Arial" w:hAnsi="Arial"/>
          <w:sz w:val="18"/>
          <w:szCs w:val="18"/>
          <w:color w:val="auto"/>
        </w:rPr>
        <w:t>” has the meaning assigned to such term in Amendment No. 6. The aggregate amount of 2021-2 Incremental Term Loan Commitments as of the Amendment No. 6 Effective Date is $100,000,000.</w:t>
      </w:r>
    </w:p>
    <w:p>
      <w:pPr>
        <w:spacing w:after="0" w:line="170"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2021-2 Incremental Term Loan Facility</w:t>
      </w:r>
      <w:r>
        <w:rPr>
          <w:rFonts w:ascii="Arial" w:cs="Arial" w:eastAsia="Arial" w:hAnsi="Arial"/>
          <w:sz w:val="18"/>
          <w:szCs w:val="18"/>
          <w:color w:val="auto"/>
        </w:rPr>
        <w:t>” means the facility under which the 2021-2 Incremental Term Loans are made available pursuant to Amendment No. 6.</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2021-2 Incremental Term Loans</w:t>
      </w:r>
      <w:r>
        <w:rPr>
          <w:rFonts w:ascii="Arial" w:cs="Arial" w:eastAsia="Arial" w:hAnsi="Arial"/>
          <w:sz w:val="18"/>
          <w:szCs w:val="18"/>
          <w:color w:val="auto"/>
        </w:rPr>
        <w:t>” has the meaning assigned to such term in Amendment No. 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2021-2 Incremental Term Loan Maturity Date</w:t>
      </w:r>
      <w:r>
        <w:rPr>
          <w:rFonts w:ascii="Arial" w:cs="Arial" w:eastAsia="Arial" w:hAnsi="Arial"/>
          <w:sz w:val="18"/>
          <w:szCs w:val="18"/>
          <w:color w:val="auto"/>
        </w:rPr>
        <w:t>” shall mean the Initial Term Loan Maturity Date.</w:t>
      </w:r>
    </w:p>
    <w:p>
      <w:pPr>
        <w:spacing w:after="0" w:line="22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 Control Agreement</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the definition of “Collateral and Guarantee Requirement.”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Changes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1.04(c)</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EBITDA</w:t>
      </w:r>
      <w:r>
        <w:rPr>
          <w:rFonts w:ascii="Arial" w:cs="Arial" w:eastAsia="Arial" w:hAnsi="Arial"/>
          <w:sz w:val="18"/>
          <w:szCs w:val="18"/>
          <w:color w:val="auto"/>
        </w:rPr>
        <w:t>” means, with respect to any Pro Forma Entity for any period, the amount for such period of Consolidated EBITDA of such Pro Forma Entity (determined as if references to the Borrower and the Restricted Subsidiaries in the definition of “Consolidated EBITDA” (and in the component financial definitions used therein) were references to such Pro Forma Entity and its Subsidiaries which will become Restricted Subsidiaries), all as determined on a consolidated basis for such Pro Forma Entity.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has the meaning assigned to such term in the definition of “Consolidated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has the meaning assigned to such term in the recitals to this Agreement.</w:t>
      </w:r>
    </w:p>
    <w:p>
      <w:pPr>
        <w:spacing w:after="0" w:line="225" w:lineRule="exact"/>
        <w:rPr>
          <w:sz w:val="20"/>
          <w:szCs w:val="20"/>
          <w:color w:val="auto"/>
        </w:rPr>
      </w:pPr>
    </w:p>
    <w:p>
      <w:pPr>
        <w:jc w:val="both"/>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Consideration</w:t>
      </w:r>
      <w:r>
        <w:rPr>
          <w:rFonts w:ascii="Arial" w:cs="Arial" w:eastAsia="Arial" w:hAnsi="Arial"/>
          <w:sz w:val="16"/>
          <w:szCs w:val="16"/>
          <w:color w:val="auto"/>
        </w:rPr>
        <w:t>” means, in connection with any Acquisition Transaction, the aggregate amount (as valued at the Fair Market Value of such Acquisition Transaction at the time such Acquisition Transaction is made) of, without duplication: (a) the purchase consideration paid or payable for such Acquisition Transaction, whether payable at or prior to the consummation of such Acquisition Transaction or deferred for payment at any future time, whether or not any such future payment is subject to the occurrence of any contingency, and including any and all payments representing the purchase price and any assumptions of Indebtedness and/or Guarantees, “earn-outs” and other agreements to make any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2" w:name="page43"/>
    <w:bookmarkEnd w:id="42"/>
    <w:p>
      <w:pPr>
        <w:jc w:val="both"/>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the amount of which is, or the terms of payment of which are, in any respect subject to or contingent upon the revenues, income, cash flow or profits (or the like) of any Person or business and (b) the aggregate amount of Indebtedness assumed or acquired in connection with such Acquisition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that any such future payment that is subject to a contingency shall be considered Acquisition Consideration only to the extent of the reserve, if any, required under GAAP (as determined at the time of the consummation of such Acquisition Transaction) to be established in respect thereof by Holdings, the Borrower or any Restricted Subsidiary.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6.01(a)(xxvi)</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Transaction</w:t>
      </w:r>
      <w:r>
        <w:rPr>
          <w:rFonts w:ascii="Arial" w:cs="Arial" w:eastAsia="Arial" w:hAnsi="Arial"/>
          <w:sz w:val="18"/>
          <w:szCs w:val="18"/>
          <w:color w:val="auto"/>
        </w:rPr>
        <w:t>” means the purchase or other acquisition, by merger, consolidation or otherwise, by the Borrower or any Restricted Subsidiary of all Equity Interests in, or all or substantially all the assets of (or all or substantially all the assets constituting a business unit, division, product line or line of business of), any Person or of a majority of the outstanding Equity Interests of any Person (including any Investment which serves to increase the Borrower’s or any Restricted Subsidiary’s respective equity ownership in any Joint Venture to an amount in excess of the majority of the outstanding Equity Interests of such Joint Venture).</w:t>
      </w:r>
    </w:p>
    <w:p>
      <w:pPr>
        <w:spacing w:after="0" w:line="188" w:lineRule="exact"/>
        <w:rPr>
          <w:sz w:val="20"/>
          <w:szCs w:val="20"/>
          <w:color w:val="auto"/>
        </w:rPr>
      </w:pPr>
    </w:p>
    <w:p>
      <w:pPr>
        <w:jc w:val="both"/>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Lender</w:t>
      </w:r>
      <w:r>
        <w:rPr>
          <w:rFonts w:ascii="Arial" w:cs="Arial" w:eastAsia="Arial" w:hAnsi="Arial"/>
          <w:sz w:val="16"/>
          <w:szCs w:val="16"/>
          <w:color w:val="auto"/>
        </w:rPr>
        <w:t xml:space="preserve">” means, at any time, any bank, other financial institution or institutional lender or investor (including any such bank, financial institution or institutional lender or investor that is a Lender at such time) that agrees to provide any portion of any (a) Incremental Facility pursuant to an Incremental Facility Amendment in accordance with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or (b) Credit Agreement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Additional Lender shall be subject to the approval of (i) the Administrative Agent, each Issuing Bank and the Swingline Lender (such approval in each case not to be unreasonably withheld or delayed) and (ii) the Borrower, in each of the foregoing clauses (i) and (ii), to the extent such approval would be required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if an assignment of the applicable Loans or Commitments were being made to such Additional Lender.</w:t>
      </w:r>
    </w:p>
    <w:p>
      <w:pPr>
        <w:spacing w:after="0" w:line="16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xml:space="preserve">” means, for any Interest Period, with respect to an Interest Period for a Eurocurrency Loan, an interest rate per annum (rounded upwards, if necessary, to the next 1/100 of 1%) equal to (a) the LIBO Rate for Dollars for such Interest Period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the Statutory Reserve Rate.</w:t>
      </w:r>
    </w:p>
    <w:p>
      <w:pPr>
        <w:spacing w:after="0" w:line="18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Owl Rock Capital Corporation (or an affiliate, designee or sub-agent designated by it), in its capacity as administrative agent hereunder and under the other Loan Documents, and its successors in such capacity as provided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Controls or is Controlled by or is under common Control with the Person specified.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 Year End 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2.11(d)</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the Administrative Agent and the Collateral Agent and any successors and permitted assigns in such capacity, and “</w:t>
      </w:r>
      <w:r>
        <w:rPr>
          <w:rFonts w:ascii="Arial" w:cs="Arial" w:eastAsia="Arial" w:hAnsi="Arial"/>
          <w:sz w:val="18"/>
          <w:szCs w:val="18"/>
          <w:u w:val="single" w:color="auto"/>
          <w:color w:val="auto"/>
        </w:rPr>
        <w:t>Agents</w:t>
      </w:r>
      <w:r>
        <w:rPr>
          <w:rFonts w:ascii="Arial" w:cs="Arial" w:eastAsia="Arial" w:hAnsi="Arial"/>
          <w:sz w:val="18"/>
          <w:szCs w:val="18"/>
          <w:color w:val="auto"/>
        </w:rPr>
        <w:t>” means two or more of them. For the avoidance of doubt, the use of the defined term “Agent” or the term “agent” with reference to any Agent herein and in the other Loan Documents is not intended to connote any fiduciary or other implied (or express) obligations arising under agency doctrine of any applicable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9.14(b)</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AHYDO Catch-Up Payment</w:t>
      </w:r>
      <w:r>
        <w:rPr>
          <w:rFonts w:ascii="Arial" w:cs="Arial" w:eastAsia="Arial" w:hAnsi="Arial"/>
          <w:sz w:val="18"/>
          <w:szCs w:val="18"/>
          <w:color w:val="auto"/>
        </w:rPr>
        <w:t>” means any payment with respect to any obligations of Holdings, the Borrower or any Restricted Subsidiary to avoid the application of Section 163(e)(5) of the Code thereto.</w:t>
      </w:r>
    </w:p>
    <w:p>
      <w:pPr>
        <w:spacing w:after="0" w:line="170" w:lineRule="exact"/>
        <w:rPr>
          <w:sz w:val="20"/>
          <w:szCs w:val="20"/>
          <w:color w:val="auto"/>
        </w:rPr>
      </w:pPr>
    </w:p>
    <w:p>
      <w:pPr>
        <w:jc w:val="both"/>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Federal Funds Effective Rate in effect on such day plus 1/2 of 1% per annum and (c) the Adjusted LIBO Rate on such day (or if such day is not a Business Day, the immediately preceding Business Day) for a deposit in Dollars with a maturity of one month plus 1% per annum. For purposes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the Adjusted LIBO Rate on any day shall be based on the rate per annum appearing on the applicable Bloomberg screen page displaying ICE Benchmark Administration interest settlement rates (or on any successor or substitute screen provided by Reuters, or any successor to or substitute for such service, providing rate quotations comparable to those currently provided on such screen, as determined by the Administrative Agent from time to time for purposes of providing quotations of interest rates applicable to Dollar deposits in the London interbank market) at approximately 11:00 a.m., London time, on such day for deposits in Dollars with a maturity of one month.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 Notwithstanding the foregoing and solely with respect to Initial Term Loans, the 2020 Incremental Term Loans, the 2021 Incremental Term Loans and the 2021-2 Incremental Term Loans, the Alternate Base Rate will be deemed to be 2.00% per annum if the Alternate Base Rate calculated pursuant to the foregoing provisions would otherwise be less than 2.00% per annum.</w:t>
      </w:r>
    </w:p>
    <w:p>
      <w:pPr>
        <w:spacing w:after="0" w:line="16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w:t>
      </w:r>
      <w:r>
        <w:rPr>
          <w:rFonts w:ascii="Arial" w:cs="Arial" w:eastAsia="Arial" w:hAnsi="Arial"/>
          <w:sz w:val="18"/>
          <w:szCs w:val="18"/>
          <w:color w:val="auto"/>
        </w:rPr>
        <w:t>” means that certain Amendment No. 1 to Credit Agreement and Incremental Facility Agreement, dated as of March 20, 2020, among Holdings, the Borrower, the 2020 Incremental Term Lenders party thereto, the Administrative Agent, the Lenders party thereto constituting the Required Lenders and the other parties party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 has the meaning assigned to such term in Amendment No. 1.</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5</w:t>
      </w:r>
      <w:r>
        <w:rPr>
          <w:rFonts w:ascii="Arial" w:cs="Arial" w:eastAsia="Arial" w:hAnsi="Arial"/>
          <w:sz w:val="18"/>
          <w:szCs w:val="18"/>
          <w:color w:val="auto"/>
        </w:rPr>
        <w:t>” means that certain Amendment No. 5 to Credit Agreement and Incremental Facility Agreement, dated as of June 11, 2021, among the Borrower, each Guarantor, the Revolving Lenders party thereto, the Amendment No. 5 Term Loan Lenders party thereto, the Administrative Agent, and the other parties party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5 Effective Date</w:t>
      </w:r>
      <w:r>
        <w:rPr>
          <w:rFonts w:ascii="Arial" w:cs="Arial" w:eastAsia="Arial" w:hAnsi="Arial"/>
          <w:sz w:val="18"/>
          <w:szCs w:val="18"/>
          <w:color w:val="auto"/>
        </w:rPr>
        <w:t>” has the meaning assigned to such term in Amendment No. 5.</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6</w:t>
      </w:r>
      <w:r>
        <w:rPr>
          <w:rFonts w:ascii="Arial" w:cs="Arial" w:eastAsia="Arial" w:hAnsi="Arial"/>
          <w:sz w:val="18"/>
          <w:szCs w:val="18"/>
          <w:color w:val="auto"/>
        </w:rPr>
        <w:t>” means that certain Amendment No. 6 to Credit Agreement and Incremental Facility Agreement, dated as of November 10, 2021, among Holdings, the Borrower, the 2021-2 Incremental Term Lenders party thereto, the Administrative Agent, the Lenders party thereto constituting the Required Lenders and the other parties party thereto.</w:t>
      </w:r>
    </w:p>
    <w:p>
      <w:pPr>
        <w:spacing w:after="0" w:line="18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6 Effective Date</w:t>
      </w:r>
      <w:r>
        <w:rPr>
          <w:rFonts w:ascii="Arial" w:cs="Arial" w:eastAsia="Arial" w:hAnsi="Arial"/>
          <w:sz w:val="18"/>
          <w:szCs w:val="18"/>
          <w:color w:val="auto"/>
        </w:rPr>
        <w:t>” has the meaning assigned to such term in Amendment No. 6, which, for the avoidance of doubt, is November 10,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44" w:name="page45"/>
    <w:bookmarkEnd w:id="44"/>
    <w:p>
      <w:pPr>
        <w:jc w:val="both"/>
        <w:ind w:right="20" w:firstLine="440"/>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No. 7” means that certain Amendment No. 7 to the Credit Agreement, dated as of March 14, 2022, among Holdings, the Borrower, the other Guarantors, the Lenders party thereto constituting the Required Lenders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7036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51263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0000FF"/>
        </w:rPr>
        <w:t>“Amendment No. 7 Fee Letter” means that certain Fee Letter, dated as of March 14, 2022, by and among the Borrower and Golub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38100</wp:posOffset>
            </wp:positionV>
            <wp:extent cx="65747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0000FF"/>
        </w:rPr>
        <w:t>“Amendment No. 7 Effective Date” has the meaning assigned to such term in Amendment No. 7, which</w:t>
      </w:r>
      <w:r>
        <w:rPr>
          <w:rFonts w:ascii="Arial" w:cs="Arial" w:eastAsia="Arial" w:hAnsi="Arial"/>
          <w:sz w:val="16"/>
          <w:szCs w:val="16"/>
          <w:u w:val="single" w:color="auto"/>
          <w:color w:val="007F00"/>
        </w:rPr>
        <w:t>, for the avoidance of doubt,</w:t>
      </w:r>
      <w:r>
        <w:rPr>
          <w:rFonts w:ascii="Arial" w:cs="Arial" w:eastAsia="Arial" w:hAnsi="Arial"/>
          <w:sz w:val="16"/>
          <w:szCs w:val="16"/>
          <w:u w:val="single" w:color="auto"/>
          <w:color w:val="0000FF"/>
        </w:rPr>
        <w:t xml:space="preserve"> is March 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67036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2571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91"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w:t>
      </w:r>
      <w:r>
        <w:rPr>
          <w:rFonts w:ascii="Arial" w:cs="Arial" w:eastAsia="Arial" w:hAnsi="Arial"/>
          <w:sz w:val="18"/>
          <w:szCs w:val="18"/>
          <w:color w:val="auto"/>
        </w:rPr>
        <w:t>” means, with respect to any payment to be made to the Administrative Agent hereunder, the account specified by the Administrative Agent from time to time for the purpose of receiving payments of such type.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Creditor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9.14(b)</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LC Fronting Sublimit</w:t>
      </w:r>
      <w:r>
        <w:rPr>
          <w:rFonts w:ascii="Arial" w:cs="Arial" w:eastAsia="Arial" w:hAnsi="Arial"/>
          <w:sz w:val="17"/>
          <w:szCs w:val="17"/>
          <w:color w:val="auto"/>
        </w:rPr>
        <w:t xml:space="preserve">” means (a) with respect to each Issuing Bank on the Effective Date, the amount set forth opposite such Issuing Bank’s name on </w:t>
      </w:r>
      <w:r>
        <w:rPr>
          <w:rFonts w:ascii="Arial" w:cs="Arial" w:eastAsia="Arial" w:hAnsi="Arial"/>
          <w:sz w:val="17"/>
          <w:szCs w:val="17"/>
          <w:u w:val="single" w:color="auto"/>
          <w:color w:val="auto"/>
        </w:rPr>
        <w:t>Schedule 2.05</w:t>
      </w:r>
      <w:r>
        <w:rPr>
          <w:rFonts w:ascii="Arial" w:cs="Arial" w:eastAsia="Arial" w:hAnsi="Arial"/>
          <w:sz w:val="17"/>
          <w:szCs w:val="17"/>
          <w:color w:val="auto"/>
        </w:rPr>
        <w:t xml:space="preserve"> and (b) with respect to any other Person that becomes an Issuing Bank pursuant to </w:t>
      </w:r>
      <w:r>
        <w:rPr>
          <w:rFonts w:ascii="Arial" w:cs="Arial" w:eastAsia="Arial" w:hAnsi="Arial"/>
          <w:sz w:val="17"/>
          <w:szCs w:val="17"/>
          <w:u w:val="single" w:color="auto"/>
          <w:color w:val="auto"/>
        </w:rPr>
        <w:t>Section 2.05(k)</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9.04(i)</w:t>
      </w:r>
      <w:r>
        <w:rPr>
          <w:rFonts w:ascii="Arial" w:cs="Arial" w:eastAsia="Arial" w:hAnsi="Arial"/>
          <w:sz w:val="17"/>
          <w:szCs w:val="17"/>
          <w:color w:val="auto"/>
        </w:rPr>
        <w:t>, such amount as agreed to in writing by the Borrower and such Person at the time such Person becomes an Issuing Bank, as each of the foregoing amounts may be decreased or increased from time to time with the written consent of the Borrower and the Issuing Banks so long as the aggregate Applicable LC Fronting Sublimit of all Issuing Banks does not exceed the Letter of Credit Sublimit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increase in the Applicable LC Fronting Sublimit with respect to any Issuing Bank shall require the consent of only the Borrower and such Issuing Bank).</w:t>
      </w:r>
    </w:p>
    <w:p>
      <w:pPr>
        <w:spacing w:after="0" w:line="178"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means, at any time with respect to any Revolving Lender, the percentage of the aggregate Revolving Commitments (carried out to the ninth decimal place) represented by such Lender’s Revolving Commitment at such time (or, if the Revolving Commitments have terminated or expired, such Lender’s share of the aggregate Revolving Exposures of all Revolving Lenders at that time). If the Revolving Commitments have terminated or expired, the Applicable Percentages shall be determined based upon the Revolving Commitments most recently in effect, giving effect to any assignments pursuant to this Agreement and to any Lender’s status as a Defaulting Lender at the time of determination.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Premium</w:t>
      </w:r>
      <w:r>
        <w:rPr>
          <w:rFonts w:ascii="Arial" w:cs="Arial" w:eastAsia="Arial" w:hAnsi="Arial"/>
          <w:sz w:val="18"/>
          <w:szCs w:val="18"/>
          <w:color w:val="auto"/>
        </w:rPr>
        <w:t>” means with respect to any 2020 Incremental Term Loan on any Prepayment Date, the greater of:</w:t>
      </w:r>
    </w:p>
    <w:p>
      <w:pPr>
        <w:spacing w:after="0" w:line="117" w:lineRule="exact"/>
        <w:rPr>
          <w:sz w:val="20"/>
          <w:szCs w:val="20"/>
          <w:color w:val="auto"/>
        </w:rPr>
      </w:pPr>
    </w:p>
    <w:p>
      <w:pPr>
        <w:ind w:left="700" w:hanging="264"/>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2.00%; and</w:t>
      </w:r>
    </w:p>
    <w:p>
      <w:pPr>
        <w:spacing w:after="0" w:line="117" w:lineRule="exact"/>
        <w:rPr>
          <w:rFonts w:ascii="Arial" w:cs="Arial" w:eastAsia="Arial" w:hAnsi="Arial"/>
          <w:sz w:val="18"/>
          <w:szCs w:val="18"/>
          <w:color w:val="auto"/>
        </w:rPr>
      </w:pPr>
    </w:p>
    <w:p>
      <w:pPr>
        <w:jc w:val="both"/>
        <w:ind w:right="20" w:firstLine="436"/>
        <w:spacing w:after="0" w:line="254" w:lineRule="auto"/>
        <w:tabs>
          <w:tab w:leader="none" w:pos="6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fraction, expressed as a percentage, consisting of (A) (a) (i) the sum of the present values at such Prepayment Date of (I) the price at which such Loan could be voluntarily prepaid on the date that is two years after the 2020 Incremental Closing Date in accordance with Section 2.11(a) (including any premium required pursuant to Section 2.11(a)), and (II) each scheduled payment of interest to be made on such Loan on or after such Prepayment Date through (and including) the date that is two years after the 2020 Incremental Closing Date (but, in the case of the first such scheduled payment of interest, excluding any amount of interest accrued prior to the Prepayment Date), in each case, discounted to the Prepayment Date on a quarterly basis (assuming a 360-day year consisting of twelve 30-day months) at the Treasury Rate as of such Prepayment Date plus 50 basis points, minus (ii) accrued but unpaid interest to, but excluding, the Prepayment Date over (b) the principal amount of such Loan, divided by (B) the principal amount of such Loan.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45" w:name="page46"/>
    <w:bookmarkEnd w:id="45"/>
    <w:p>
      <w:pPr>
        <w:jc w:val="both"/>
        <w:ind w:left="4"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Calculation of the Applicable Premium will be made by the Borrower or on behalf of the Borrower by such Person as the Borrower shall designate (and the amount of the Applicable Premium shall be provided by the Borrower to the Administrative Agent promptly following the calculation thereof); provided that such calculation or the correctness thereof shall not be a duty or obligation of the Administrative Agent.</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w:t>
      </w:r>
    </w:p>
    <w:p>
      <w:pPr>
        <w:spacing w:after="0" w:line="117" w:lineRule="exact"/>
        <w:rPr>
          <w:sz w:val="20"/>
          <w:szCs w:val="20"/>
          <w:color w:val="auto"/>
        </w:rPr>
      </w:pPr>
    </w:p>
    <w:p>
      <w:pPr>
        <w:ind w:left="684" w:hanging="244"/>
        <w:spacing w:after="0"/>
        <w:tabs>
          <w:tab w:leader="none" w:pos="684" w:val="left"/>
        </w:tabs>
        <w:numPr>
          <w:ilvl w:val="1"/>
          <w:numId w:val="15"/>
        </w:numPr>
        <w:rPr>
          <w:rFonts w:ascii="Arial" w:cs="Arial" w:eastAsia="Arial" w:hAnsi="Arial"/>
          <w:sz w:val="17"/>
          <w:szCs w:val="17"/>
          <w:color w:val="auto"/>
        </w:rPr>
      </w:pPr>
      <w:r>
        <w:rPr>
          <w:rFonts w:ascii="Arial" w:cs="Arial" w:eastAsia="Arial" w:hAnsi="Arial"/>
          <w:sz w:val="17"/>
          <w:szCs w:val="17"/>
          <w:color w:val="auto"/>
        </w:rPr>
        <w:t>with respect to any Initial Term Loan (i) that is an ABR Loan, 5.50% per annum or (ii) that is a Eurocurrency Loan, 6.50% per annum,</w:t>
      </w:r>
    </w:p>
    <w:p>
      <w:pPr>
        <w:spacing w:after="0" w:line="128" w:lineRule="exact"/>
        <w:rPr>
          <w:rFonts w:ascii="Arial" w:cs="Arial" w:eastAsia="Arial" w:hAnsi="Arial"/>
          <w:sz w:val="17"/>
          <w:szCs w:val="17"/>
          <w:color w:val="auto"/>
        </w:rPr>
      </w:pPr>
    </w:p>
    <w:p>
      <w:pPr>
        <w:ind w:left="704" w:hanging="264"/>
        <w:spacing w:after="0"/>
        <w:tabs>
          <w:tab w:leader="none" w:pos="704" w:val="left"/>
        </w:tabs>
        <w:numPr>
          <w:ilvl w:val="1"/>
          <w:numId w:val="15"/>
        </w:numPr>
        <w:rPr>
          <w:rFonts w:ascii="Arial" w:cs="Arial" w:eastAsia="Arial" w:hAnsi="Arial"/>
          <w:sz w:val="17"/>
          <w:szCs w:val="17"/>
          <w:color w:val="auto"/>
        </w:rPr>
      </w:pPr>
      <w:r>
        <w:rPr>
          <w:rFonts w:ascii="Arial" w:cs="Arial" w:eastAsia="Arial" w:hAnsi="Arial"/>
          <w:sz w:val="17"/>
          <w:szCs w:val="17"/>
          <w:color w:val="auto"/>
        </w:rPr>
        <w:t>with respect to any 2020 Incremental Term Loan (i) that is an ABR Loan, 5.50% per annum or (ii) that is a Eurocurrency Loan, 6.50% per</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annum,</w:t>
      </w:r>
    </w:p>
    <w:p>
      <w:pPr>
        <w:spacing w:after="0" w:line="102" w:lineRule="exact"/>
        <w:rPr>
          <w:rFonts w:ascii="Arial" w:cs="Arial" w:eastAsia="Arial" w:hAnsi="Arial"/>
          <w:sz w:val="17"/>
          <w:szCs w:val="17"/>
          <w:color w:val="auto"/>
        </w:rPr>
      </w:pPr>
    </w:p>
    <w:p>
      <w:pPr>
        <w:jc w:val="both"/>
        <w:ind w:left="4" w:firstLine="436"/>
        <w:spacing w:after="0" w:line="287" w:lineRule="auto"/>
        <w:tabs>
          <w:tab w:leader="none" w:pos="714"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with respect to any 2021 Incremental Term Loan (i) prior to the 2021-2 Incremental Term Loan Closing Date, (x) that is an ABR Loan, 3.00% per annum or (y) that is a Eurocurrency Loan, 4.00% per annum, </w:t>
      </w:r>
      <w:r>
        <w:rPr>
          <w:rFonts w:ascii="Arial" w:cs="Arial" w:eastAsia="Arial" w:hAnsi="Arial"/>
          <w:sz w:val="16"/>
          <w:szCs w:val="16"/>
          <w:color w:val="FF4338"/>
          <w:strike w:val="1"/>
        </w:rPr>
        <w:t>and</w:t>
      </w:r>
      <w:r>
        <w:rPr>
          <w:rFonts w:ascii="Arial" w:cs="Arial" w:eastAsia="Arial" w:hAnsi="Arial"/>
          <w:sz w:val="16"/>
          <w:szCs w:val="16"/>
          <w:color w:val="auto"/>
        </w:rPr>
        <w:t xml:space="preserve"> (ii) from and after the 2021-2 Incremental Term Loan Closing Date </w:t>
      </w:r>
      <w:r>
        <w:rPr>
          <w:rFonts w:ascii="Arial" w:cs="Arial" w:eastAsia="Arial" w:hAnsi="Arial"/>
          <w:sz w:val="16"/>
          <w:szCs w:val="16"/>
          <w:color w:val="0000FF"/>
        </w:rPr>
        <w:t>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prior to the Amendment No. 7 Effective Date</w:t>
      </w:r>
      <w:r>
        <w:rPr>
          <w:rFonts w:ascii="Arial" w:cs="Arial" w:eastAsia="Arial" w:hAnsi="Arial"/>
          <w:sz w:val="16"/>
          <w:szCs w:val="16"/>
          <w:color w:val="000000"/>
        </w:rPr>
        <w:t>, (x) that is an ABR Loan, 4.00% per annum or (y) that is a Eurocurrency Loan, 5.00% per annum,</w:t>
      </w:r>
      <w:r>
        <w:rPr>
          <w:rFonts w:ascii="Arial" w:cs="Arial" w:eastAsia="Arial" w:hAnsi="Arial"/>
          <w:sz w:val="16"/>
          <w:szCs w:val="16"/>
          <w:color w:val="0000FF"/>
        </w:rPr>
        <w:t xml:space="preserve"> and</w:t>
      </w:r>
    </w:p>
    <w:p>
      <w:pPr>
        <w:spacing w:after="0" w:line="2" w:lineRule="exact"/>
        <w:rPr>
          <w:rFonts w:ascii="Arial" w:cs="Arial" w:eastAsia="Arial" w:hAnsi="Arial"/>
          <w:sz w:val="16"/>
          <w:szCs w:val="16"/>
          <w:color w:val="auto"/>
        </w:rPr>
      </w:pPr>
    </w:p>
    <w:p>
      <w:pPr>
        <w:ind w:left="4" w:hanging="4"/>
        <w:spacing w:after="0" w:line="260" w:lineRule="auto"/>
        <w:tabs>
          <w:tab w:leader="none" w:pos="335" w:val="left"/>
        </w:tabs>
        <w:numPr>
          <w:ilvl w:val="0"/>
          <w:numId w:val="1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from and after the Amendment No. 7 Effective Date, (x) that is an ABR Loan, 5.50% per annum or (y) that is a Eurocurrency Loan, 6.50% per annum,</w:t>
      </w:r>
    </w:p>
    <w:p>
      <w:pPr>
        <w:spacing w:after="0" w:line="77" w:lineRule="exact"/>
        <w:rPr>
          <w:rFonts w:ascii="Arial" w:cs="Arial" w:eastAsia="Arial" w:hAnsi="Arial"/>
          <w:sz w:val="18"/>
          <w:szCs w:val="18"/>
          <w:u w:val="single" w:color="auto"/>
          <w:color w:val="0000FF"/>
        </w:rPr>
      </w:pPr>
    </w:p>
    <w:p>
      <w:pPr>
        <w:jc w:val="both"/>
        <w:ind w:left="4" w:right="20" w:firstLine="436"/>
        <w:spacing w:after="0" w:line="263" w:lineRule="auto"/>
        <w:tabs>
          <w:tab w:leader="none" w:pos="718"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with respect to any 2021-2 Incremental Term Loan (i) </w:t>
      </w:r>
      <w:r>
        <w:rPr>
          <w:rFonts w:ascii="Arial" w:cs="Arial" w:eastAsia="Arial" w:hAnsi="Arial"/>
          <w:sz w:val="18"/>
          <w:szCs w:val="18"/>
          <w:u w:val="single" w:color="auto"/>
          <w:color w:val="0000FF"/>
        </w:rPr>
        <w:t>prior to the Amendment No. 7 Effective Date, (x)</w:t>
      </w:r>
      <w:r>
        <w:rPr>
          <w:rFonts w:ascii="Arial" w:cs="Arial" w:eastAsia="Arial" w:hAnsi="Arial"/>
          <w:sz w:val="18"/>
          <w:szCs w:val="18"/>
          <w:color w:val="auto"/>
        </w:rPr>
        <w:t xml:space="preserve"> that is an ABR Loan, 4.00% per annum or (ii) that is a Eurocurrency Loan, 5.00% per annum, </w:t>
      </w:r>
      <w:r>
        <w:rPr>
          <w:rFonts w:ascii="Arial" w:cs="Arial" w:eastAsia="Arial" w:hAnsi="Arial"/>
          <w:sz w:val="18"/>
          <w:szCs w:val="18"/>
          <w:color w:val="0000FF"/>
        </w:rPr>
        <w:t>and (ii) from and after the Amendment No. 7 Effective Date, (x) that is an ABR Loan,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5.50% per annum or (y) that is a Eurocurrency Loan, 6.50% per annum,</w:t>
      </w:r>
    </w:p>
    <w:p>
      <w:pPr>
        <w:spacing w:after="0" w:line="75" w:lineRule="exact"/>
        <w:rPr>
          <w:rFonts w:ascii="Arial" w:cs="Arial" w:eastAsia="Arial" w:hAnsi="Arial"/>
          <w:sz w:val="18"/>
          <w:szCs w:val="18"/>
          <w:color w:val="auto"/>
        </w:rPr>
      </w:pPr>
    </w:p>
    <w:p>
      <w:pPr>
        <w:ind w:left="4" w:right="20" w:firstLine="436"/>
        <w:spacing w:after="0" w:line="277" w:lineRule="auto"/>
        <w:tabs>
          <w:tab w:leader="none" w:pos="699" w:val="left"/>
        </w:tabs>
        <w:numPr>
          <w:ilvl w:val="1"/>
          <w:numId w:val="16"/>
        </w:numPr>
        <w:rPr>
          <w:rFonts w:ascii="Arial" w:cs="Arial" w:eastAsia="Arial" w:hAnsi="Arial"/>
          <w:sz w:val="18"/>
          <w:szCs w:val="18"/>
          <w:color w:val="auto"/>
        </w:rPr>
      </w:pPr>
      <w:r>
        <w:rPr>
          <w:rFonts w:ascii="Arial" w:cs="Arial" w:eastAsia="Arial" w:hAnsi="Arial"/>
          <w:sz w:val="18"/>
          <w:szCs w:val="18"/>
          <w:color w:val="auto"/>
        </w:rPr>
        <w:t>with respect to any Revolving Loan prior to the Amendment No. 5 Effective Date (i) that is an ABR Loan, 5.50% per annum or (ii) that is a Eurocurrency Loan, 6.50% per annum,</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1"/>
          <w:numId w:val="16"/>
        </w:numPr>
        <w:rPr>
          <w:rFonts w:ascii="Arial" w:cs="Arial" w:eastAsia="Arial" w:hAnsi="Arial"/>
          <w:sz w:val="16"/>
          <w:szCs w:val="16"/>
          <w:color w:val="auto"/>
        </w:rPr>
      </w:pPr>
      <w:r>
        <w:rPr>
          <w:rFonts w:ascii="Arial" w:cs="Arial" w:eastAsia="Arial" w:hAnsi="Arial"/>
          <w:sz w:val="16"/>
          <w:szCs w:val="16"/>
          <w:color w:val="auto"/>
        </w:rPr>
        <w:t>with respect to any Class A Revolving Loan on and after the Amendment No. 5 Effective Date (i) that is an ABR Loan, 5.50% per annum or</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is a Eurocurrency Loan, 6.50% per annum, and</w:t>
      </w:r>
    </w:p>
    <w:p>
      <w:pPr>
        <w:spacing w:after="0" w:line="102" w:lineRule="exact"/>
        <w:rPr>
          <w:rFonts w:ascii="Arial" w:cs="Arial" w:eastAsia="Arial" w:hAnsi="Arial"/>
          <w:sz w:val="18"/>
          <w:szCs w:val="18"/>
          <w:color w:val="auto"/>
        </w:rPr>
      </w:pPr>
    </w:p>
    <w:p>
      <w:pPr>
        <w:ind w:left="704" w:hanging="264"/>
        <w:spacing w:after="0"/>
        <w:tabs>
          <w:tab w:leader="none" w:pos="704" w:val="left"/>
        </w:tabs>
        <w:numPr>
          <w:ilvl w:val="1"/>
          <w:numId w:val="17"/>
        </w:numPr>
        <w:rPr>
          <w:rFonts w:ascii="Arial" w:cs="Arial" w:eastAsia="Arial" w:hAnsi="Arial"/>
          <w:sz w:val="16"/>
          <w:szCs w:val="16"/>
          <w:color w:val="auto"/>
        </w:rPr>
      </w:pPr>
      <w:r>
        <w:rPr>
          <w:rFonts w:ascii="Arial" w:cs="Arial" w:eastAsia="Arial" w:hAnsi="Arial"/>
          <w:sz w:val="16"/>
          <w:szCs w:val="16"/>
          <w:color w:val="auto"/>
        </w:rPr>
        <w:t>with respect to any Class B Revolving Loan on and after the Amendment No. 5 Effective Date (i) that is an ABR Loan, 3.00% per annum or</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is a Eurocurrency Loan, 4.00%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6789420</wp:posOffset>
            </wp:positionH>
            <wp:positionV relativeFrom="paragraph">
              <wp:posOffset>-1905000</wp:posOffset>
            </wp:positionV>
            <wp:extent cx="2057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-1939290</wp:posOffset>
            </wp:positionV>
            <wp:extent cx="2019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19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-1767840</wp:posOffset>
            </wp:positionV>
            <wp:extent cx="21259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25980" cy="8255"/>
                    </a:xfrm>
                    <a:prstGeom prst="rect">
                      <a:avLst/>
                    </a:prstGeom>
                    <a:noFill/>
                  </pic:spPr>
                </pic:pic>
              </a:graphicData>
            </a:graphic>
          </wp:anchor>
        </w:drawing>
        <w:drawing>
          <wp:anchor simplePos="0" relativeHeight="251657728" behindDoc="1" locked="0" layoutInCell="0" allowOverlap="1">
            <wp:simplePos x="0" y="0"/>
            <wp:positionH relativeFrom="column">
              <wp:posOffset>6789420</wp:posOffset>
            </wp:positionH>
            <wp:positionV relativeFrom="paragraph">
              <wp:posOffset>-1767840</wp:posOffset>
            </wp:positionV>
            <wp:extent cx="2057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6789420</wp:posOffset>
            </wp:positionH>
            <wp:positionV relativeFrom="paragraph">
              <wp:posOffset>-1802130</wp:posOffset>
            </wp:positionV>
            <wp:extent cx="2019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19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-1630680</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-1493520</wp:posOffset>
            </wp:positionV>
            <wp:extent cx="3429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-1287780</wp:posOffset>
            </wp:positionV>
            <wp:extent cx="23660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-1150620</wp:posOffset>
            </wp:positionV>
            <wp:extent cx="41059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column">
              <wp:posOffset>2880995</wp:posOffset>
            </wp:positionH>
            <wp:positionV relativeFrom="paragraph">
              <wp:posOffset>-1184910</wp:posOffset>
            </wp:positionV>
            <wp:extent cx="41097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097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-1013460</wp:posOffset>
            </wp:positionV>
            <wp:extent cx="32829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such term in the definition of “Cash Equivalents.”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Foreign Bank</w:t>
      </w:r>
      <w:r>
        <w:rPr>
          <w:rFonts w:ascii="Arial" w:cs="Arial" w:eastAsia="Arial" w:hAnsi="Arial"/>
          <w:sz w:val="18"/>
          <w:szCs w:val="18"/>
          <w:color w:val="auto"/>
        </w:rPr>
        <w:t>” has the meaning assigned to such term in the definition of “Cash Equivalents.”</w:t>
      </w:r>
    </w:p>
    <w:p>
      <w:pPr>
        <w:spacing w:after="0" w:line="225"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with respect to any Lender, any Person (other than a natural person) that is engaged in making, purchasing, holding or otherwise investing in commercial loans, bonds and/or similar extensions of credit in the ordinary course of its activities and is administered, advised or managed by (a) such Lender, (b) any Affiliate of such Lender or (c) any entity or any Affiliate of any entity that administers, advises or manages such Lender.</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 606</w:t>
      </w:r>
      <w:r>
        <w:rPr>
          <w:rFonts w:ascii="Arial" w:cs="Arial" w:eastAsia="Arial" w:hAnsi="Arial"/>
          <w:sz w:val="18"/>
          <w:szCs w:val="18"/>
          <w:color w:val="auto"/>
        </w:rPr>
        <w:t>” means the Financial Accounting Standards Board Accounting Standards Certification Topic No. 606, as amended.</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46" w:name="page47"/>
    <w:bookmarkEnd w:id="46"/>
    <w:p>
      <w:pPr>
        <w:jc w:val="both"/>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Person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or as otherwise required to be entered into under the terms of this Agreement, substantially in the form of Exhibit A or any other form reasonably approved by the Administrative Agent.</w:t>
      </w:r>
    </w:p>
    <w:p>
      <w:pPr>
        <w:spacing w:after="0" w:line="184"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Target and its consolidated subsidiaries as of December 31, 2017 and December 31, 2018 and the related audited consolidated statements of operations and consolidated statements of comprehensive income, consolidated statements of changes in Redeemable Class B Units and members’ equity and consolidated audited statements of cash flows for the fiscal years ended December 31, 2017 and December 31, 2018.</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at any date of determination, a cumulative amount equal to (without duplication):</w:t>
      </w:r>
    </w:p>
    <w:p>
      <w:pPr>
        <w:spacing w:after="0" w:line="117" w:lineRule="exact"/>
        <w:rPr>
          <w:sz w:val="20"/>
          <w:szCs w:val="20"/>
          <w:color w:val="auto"/>
        </w:rPr>
      </w:pPr>
    </w:p>
    <w:p>
      <w:pPr>
        <w:ind w:left="680" w:hanging="244"/>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 amount (which shall not be less than zero) equal to the Available Excess Cash Flow Amount as of such date,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jc w:val="both"/>
        <w:ind w:firstLine="436"/>
        <w:spacing w:after="0" w:line="259" w:lineRule="auto"/>
        <w:tabs>
          <w:tab w:leader="none" w:pos="7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 the Net Proceeds of sales of Investments and (ii) Returns, profits, distributions and similar amounts on Investments (not to exceed the original amount of such Investments), in the case of each of clause (i) and (ii), to the extent (x) received by the Borrower and the Restricted Subsidiaries after the Effective Date and on or prior to such date, (y) in the form of cash or Cash Equivalents and (z) such Investment was made using the Available Amount,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color w:val="auto"/>
        </w:rPr>
      </w:pPr>
    </w:p>
    <w:p>
      <w:pPr>
        <w:jc w:val="both"/>
        <w:ind w:firstLine="436"/>
        <w:spacing w:after="0" w:line="271" w:lineRule="auto"/>
        <w:tabs>
          <w:tab w:leader="none" w:pos="693"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Investments of the Borrower or any Restricted Subsidiary in any Unrestricted Subsidiary or any third-party (including any Joint Venture) that has been re-designated as a Restricted Subsidiary or that has been merged, amalgamated or consolidated with or into, or transfers or conveys all of its assets to, or is liquidated, wound up or dissolved into, the Borrower or any Restricted Subsidiary, in each case (x) after the Effective Date and on or prior to such date (up to the lesser of (i) the Fair Market Value of the Investments of the Borrower and the Restricted Subsidiaries in such Unrestricted Subsidiary or third-party at the time of such re-designation or merger, amalgamation or consolidation and (ii) the Fair Market Value of the original Investment by the Borrower and the Restricted Subsidiaries in such Unrestricted Subsidiary or third-party;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such original Investment was made with cash, the Fair Market value of such Investment shall be deemed to be the cash value) and (y) to the extent such Investment was made using the Available Amount, </w:t>
      </w:r>
      <w:r>
        <w:rPr>
          <w:rFonts w:ascii="Arial" w:cs="Arial" w:eastAsia="Arial" w:hAnsi="Arial"/>
          <w:sz w:val="17"/>
          <w:szCs w:val="17"/>
          <w:u w:val="single" w:color="auto"/>
          <w:color w:val="auto"/>
        </w:rPr>
        <w:t>plus</w:t>
      </w:r>
    </w:p>
    <w:p>
      <w:pPr>
        <w:spacing w:after="0" w:line="70" w:lineRule="exact"/>
        <w:rPr>
          <w:rFonts w:ascii="Arial" w:cs="Arial" w:eastAsia="Arial" w:hAnsi="Arial"/>
          <w:sz w:val="17"/>
          <w:szCs w:val="17"/>
          <w:color w:val="auto"/>
        </w:rPr>
      </w:pPr>
    </w:p>
    <w:p>
      <w:pPr>
        <w:jc w:val="both"/>
        <w:ind w:firstLine="436"/>
        <w:spacing w:after="0" w:line="263" w:lineRule="auto"/>
        <w:tabs>
          <w:tab w:leader="none" w:pos="7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Net Proceeds of a sale or other Disposition of any Unrestricted Subsidiary or Joint Venture (including the issuance of stock of an Unrestricted Subsidiary) received by the Borrower or any Restricted Subsidiary to the extent the Investment in such Unrestricted Subsidiary or Joint Venture was made using the Available Amount (not to exceed the original amount of such Investments), </w:t>
      </w:r>
      <w:r>
        <w:rPr>
          <w:rFonts w:ascii="Arial" w:cs="Arial" w:eastAsia="Arial" w:hAnsi="Arial"/>
          <w:sz w:val="18"/>
          <w:szCs w:val="18"/>
          <w:u w:val="single" w:color="auto"/>
          <w:color w:val="auto"/>
        </w:rPr>
        <w:t>plus</w:t>
      </w:r>
    </w:p>
    <w:p>
      <w:pPr>
        <w:spacing w:after="0" w:line="75" w:lineRule="exact"/>
        <w:rPr>
          <w:rFonts w:ascii="Arial" w:cs="Arial" w:eastAsia="Arial" w:hAnsi="Arial"/>
          <w:sz w:val="18"/>
          <w:szCs w:val="18"/>
          <w:color w:val="auto"/>
        </w:rPr>
      </w:pPr>
    </w:p>
    <w:p>
      <w:pPr>
        <w:jc w:val="both"/>
        <w:ind w:firstLine="436"/>
        <w:spacing w:after="0" w:line="263" w:lineRule="auto"/>
        <w:tabs>
          <w:tab w:leader="none" w:pos="6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extent not included in Consolidated Net Income, dividends or other distributions or Returns on capital received by the Borrower or any Restricted Subsidiary from an Unrestricted Subsidiary or Joint Venture to the extent the Investment in such Unrestricted Subsidiary or Joint Venture was made using the Available Amount (not to exceed the original amount of such Investments)</w:t>
      </w:r>
      <w:r>
        <w:rPr>
          <w:rFonts w:ascii="Arial" w:cs="Arial" w:eastAsia="Arial" w:hAnsi="Arial"/>
          <w:sz w:val="18"/>
          <w:szCs w:val="18"/>
          <w:u w:val="single" w:color="auto"/>
          <w:color w:val="auto"/>
        </w:rPr>
        <w:t>.</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Equity Amount</w:t>
      </w:r>
      <w:r>
        <w:rPr>
          <w:rFonts w:ascii="Arial" w:cs="Arial" w:eastAsia="Arial" w:hAnsi="Arial"/>
          <w:sz w:val="18"/>
          <w:szCs w:val="18"/>
          <w:color w:val="auto"/>
        </w:rPr>
        <w:t>” means, at any date of determination, a cumulative amount of cash or Cash Equivalents or the Fair Market Value of other property or assets equal to (without duplication):</w:t>
      </w:r>
    </w:p>
    <w:p>
      <w:pPr>
        <w:spacing w:after="0" w:line="62" w:lineRule="exact"/>
        <w:rPr>
          <w:sz w:val="20"/>
          <w:szCs w:val="20"/>
          <w:color w:val="auto"/>
        </w:rPr>
      </w:pPr>
    </w:p>
    <w:p>
      <w:pPr>
        <w:ind w:left="440" w:right="20" w:firstLine="419"/>
        <w:spacing w:after="0" w:line="277" w:lineRule="auto"/>
        <w:tabs>
          <w:tab w:leader="none" w:pos="11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greater of (i) $5,000,000 and (ii) 12.5% of Consolidated Cash EBITDA for the Test Period most recently ended on or prior to the date of determination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47" w:name="page48"/>
    <w:bookmarkEnd w:id="47"/>
    <w:p>
      <w:pPr>
        <w:ind w:left="44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(measured as of the date such determination based upon the financial statements most recently delivered on or prior to such date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62" w:lineRule="exact"/>
        <w:rPr>
          <w:sz w:val="20"/>
          <w:szCs w:val="20"/>
          <w:color w:val="auto"/>
        </w:rPr>
      </w:pPr>
    </w:p>
    <w:p>
      <w:pPr>
        <w:jc w:val="both"/>
        <w:ind w:left="440" w:right="20" w:firstLine="419"/>
        <w:spacing w:after="0" w:line="296" w:lineRule="auto"/>
        <w:tabs>
          <w:tab w:leader="none" w:pos="11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aggregate amount of cash and Cash Equivalents and the Fair Market Value of marketable securities or other property, in each case, contributed to the capital of the Borrower, or the proceeds received by the Borrower from the issuance of any Equity Interests of any Parent Entity (including Holdings) or the Borrower (or incurrences of Indebtedness that have been converted into or exchanged for Qualified Equity Interests of Holdings or the Borrower), in each case during the period after the Effective Date through and including such date, but excluding (i) amounts received from Holdings, the Borrower or any Restricted Subsidiary and (ii) all proceeds from the issuances of Disqualified Equity Interests, </w:t>
      </w:r>
      <w:r>
        <w:rPr>
          <w:rFonts w:ascii="Arial" w:cs="Arial" w:eastAsia="Arial" w:hAnsi="Arial"/>
          <w:sz w:val="16"/>
          <w:szCs w:val="16"/>
          <w:u w:val="single" w:color="auto"/>
          <w:color w:val="auto"/>
        </w:rPr>
        <w:t>plus</w:t>
      </w:r>
    </w:p>
    <w:p>
      <w:pPr>
        <w:spacing w:after="0" w:line="53" w:lineRule="exact"/>
        <w:rPr>
          <w:rFonts w:ascii="Arial" w:cs="Arial" w:eastAsia="Arial" w:hAnsi="Arial"/>
          <w:sz w:val="16"/>
          <w:szCs w:val="16"/>
          <w:color w:val="auto"/>
        </w:rPr>
      </w:pPr>
    </w:p>
    <w:p>
      <w:pPr>
        <w:ind w:left="440" w:right="20" w:firstLine="419"/>
        <w:spacing w:after="0" w:line="342" w:lineRule="auto"/>
        <w:tabs>
          <w:tab w:leader="none" w:pos="1121"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Returns received after the Effective Date and on or prior to such date in cash or Cash Equivalents by the Borrower and the Restricted Subsidiaries on Investments made using the Available Equity Amount (not to exceed the original amount of such Investments), </w:t>
      </w:r>
      <w:r>
        <w:rPr>
          <w:rFonts w:ascii="Arial" w:cs="Arial" w:eastAsia="Arial" w:hAnsi="Arial"/>
          <w:sz w:val="16"/>
          <w:szCs w:val="16"/>
          <w:u w:val="single" w:color="auto"/>
          <w:color w:val="auto"/>
        </w:rPr>
        <w:t>plus</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amount as of such date of any Retained Declined Proceeds since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Available Equity Amount shall not include any Cure Amount.</w:t>
      </w:r>
    </w:p>
    <w:p>
      <w:pPr>
        <w:spacing w:after="0" w:line="225" w:lineRule="exact"/>
        <w:rPr>
          <w:sz w:val="20"/>
          <w:szCs w:val="20"/>
          <w:color w:val="auto"/>
        </w:rPr>
      </w:pPr>
    </w:p>
    <w:p>
      <w:pPr>
        <w:jc w:val="both"/>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Excess Cash Flow Amount</w:t>
      </w:r>
      <w:r>
        <w:rPr>
          <w:rFonts w:ascii="Arial" w:cs="Arial" w:eastAsia="Arial" w:hAnsi="Arial"/>
          <w:sz w:val="17"/>
          <w:szCs w:val="17"/>
          <w:color w:val="auto"/>
        </w:rPr>
        <w:t xml:space="preserve">” means, at any date of determination, an amount equal to (a) commencing with the fiscal year of the Borrower ending December 31, 2020, the sum of the amount of Excess Cash Flow (only to the extent such Excess Cash Flow amount for any such fiscal year exceeds $0) for each fiscal year of the Borrower in respect of which consolidated financial statements have been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on or prior to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sum of the aggregate principal amount of the portion of such Excess Cash Flow for such completed fiscal year that has been (or will be for such completed fiscal year ended) after the Effective Date and prior to such date of determination applied to the prepayment of the Term Loans or other Indebtedness in accordance with </w:t>
      </w:r>
      <w:r>
        <w:rPr>
          <w:rFonts w:ascii="Arial" w:cs="Arial" w:eastAsia="Arial" w:hAnsi="Arial"/>
          <w:sz w:val="17"/>
          <w:szCs w:val="17"/>
          <w:u w:val="single" w:color="auto"/>
          <w:color w:val="auto"/>
        </w:rPr>
        <w:t>Section 2.11(d)</w:t>
      </w:r>
      <w:r>
        <w:rPr>
          <w:rFonts w:ascii="Arial" w:cs="Arial" w:eastAsia="Arial" w:hAnsi="Arial"/>
          <w:sz w:val="17"/>
          <w:szCs w:val="17"/>
          <w:color w:val="auto"/>
        </w:rPr>
        <w:t xml:space="preserve"> (without giving effect to any reduction in the dollar amount of such mandatory prepayment as a result of any voluntary prepayment).</w:t>
      </w:r>
    </w:p>
    <w:p>
      <w:pPr>
        <w:spacing w:after="0" w:line="177"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4" w:lineRule="exact"/>
        <w:rPr>
          <w:sz w:val="20"/>
          <w:szCs w:val="20"/>
          <w:color w:val="auto"/>
        </w:rPr>
      </w:pPr>
    </w:p>
    <w:p>
      <w:pPr>
        <w:jc w:val="both"/>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 collectively, those certain agreements on capital requirements, leverage ratios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each as published by the Basel Committee on Banking Supervision in December 2010 (as revised from time to time), and as implemented by a Lender’s primary U.S. federal banking regulatory authority or primary non-U.S. financial regulatory authority, as applicable.</w:t>
      </w:r>
    </w:p>
    <w:p>
      <w:pPr>
        <w:spacing w:after="0" w:line="176"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required by the Beneficial Ownership Regulation, which certification shall be substantially similar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48" w:name="page49"/>
    <w:bookmarkEnd w:id="48"/>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substance to the form of Certification Regarding Beneficial Owners of Legal Entity Customers included as Appendix A to the Beneficial Ownership Regulation.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any party means an “affiliate” (as such term is defined under, and interpreted in accordance with, 12 U.S.C. 1841(k)) of such party.</w:t>
      </w:r>
    </w:p>
    <w:p>
      <w:pPr>
        <w:spacing w:after="0" w:line="170"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(a) initially, Merger Sub, and (b) upon and after the consummation of the Merger, Norvax, and shall include any Successor Borrower, to the extent applicable.</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Loans of the same Class and Type, made, converted or continued on the same date and, in the case of Eurocurrency Loans, as to which a single Interest Period is in effect, or (b) a Swingline Loan.</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Minimum</w:t>
      </w:r>
      <w:r>
        <w:rPr>
          <w:rFonts w:ascii="Arial" w:cs="Arial" w:eastAsia="Arial" w:hAnsi="Arial"/>
          <w:sz w:val="18"/>
          <w:szCs w:val="18"/>
          <w:color w:val="auto"/>
        </w:rPr>
        <w:t>” means (a) in the case of a Term Loan Borrowing or a Revolving Loan Borrowing, $1,000,000 and (b) in the case of a Swingline Loan, $100,000.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means $100,000.</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and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Eurocurrency Loan the term “Business Day” shall also exclude any day on which banks are not open for dealings in Dollar deposits in the London interbank market.</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for any period, the additions to property, plant and equipment and other capital expenditures of the Borrower and the Restricted Subsidiaries that are (or should be) set forth in a consolidated statement of cash flows of the Borrower for such period prepared in accordance with GAAP.</w:t>
      </w:r>
    </w:p>
    <w:p>
      <w:pPr>
        <w:spacing w:after="0" w:line="18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Software Expenditures</w:t>
      </w:r>
      <w:r>
        <w:rPr>
          <w:rFonts w:ascii="Arial" w:cs="Arial" w:eastAsia="Arial" w:hAnsi="Arial"/>
          <w:sz w:val="18"/>
          <w:szCs w:val="18"/>
          <w:color w:val="auto"/>
        </w:rPr>
        <w:t>” means, for any period, the aggregate of all expenditures (whether paid in cash or accrued as liabilities) by a Person during such period in respect of licenses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purchased software or internally developed software and software enhancements that are (or should be) set forth in a consolidated statement of cash flows of the Borrower for such period prepared in accordance with GAAP.</w:t>
      </w:r>
    </w:p>
    <w:p>
      <w:pPr>
        <w:spacing w:after="0" w:line="170"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Collateral Agent, for the benefit of one or more of the Issuing Banks or Revolving Lenders, as collateral for LC Exposure or obligations of the Revolving Lenders to fund participations in respect of LC Exposure, cash or deposit account balances under the sole dominion and control of the Collateral Agent or, if the Collateral Agent and each Issuing Bank shall agree in their sole discretion, other credit support, in each case pursuant to documentation in form and substance reasonably satisfactory to the Collateral Agent and each applicable Issuing Bank. “</w:t>
      </w:r>
      <w:r>
        <w:rPr>
          <w:rFonts w:ascii="Arial" w:cs="Arial" w:eastAsia="Arial" w:hAnsi="Arial"/>
          <w:sz w:val="18"/>
          <w:szCs w:val="18"/>
          <w:u w:val="single" w:color="auto"/>
          <w:color w:val="auto"/>
        </w:rPr>
        <w:t>Cash Collateral</w:t>
      </w:r>
      <w:r>
        <w:rPr>
          <w:rFonts w:ascii="Arial" w:cs="Arial" w:eastAsia="Arial" w:hAnsi="Arial"/>
          <w:sz w:val="18"/>
          <w:szCs w:val="18"/>
          <w:color w:val="auto"/>
        </w:rPr>
        <w:t>” and “</w:t>
      </w:r>
      <w:r>
        <w:rPr>
          <w:rFonts w:ascii="Arial" w:cs="Arial" w:eastAsia="Arial" w:hAnsi="Arial"/>
          <w:sz w:val="18"/>
          <w:szCs w:val="18"/>
          <w:u w:val="single" w:color="auto"/>
          <w:color w:val="auto"/>
        </w:rPr>
        <w:t>Cash Collateralization</w:t>
      </w:r>
      <w:r>
        <w:rPr>
          <w:rFonts w:ascii="Arial" w:cs="Arial" w:eastAsia="Arial" w:hAnsi="Arial"/>
          <w:sz w:val="18"/>
          <w:szCs w:val="18"/>
          <w:color w:val="auto"/>
        </w:rPr>
        <w:t>” shall have meanings correlative to the foregoing and shall include the proceeds of such cash collateral and other credit support.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any of the following, to the extent owned by the Borrower or any Restricted Subsidiary:</w:t>
      </w:r>
    </w:p>
    <w:p>
      <w:pPr>
        <w:spacing w:after="0" w:line="117" w:lineRule="exact"/>
        <w:rPr>
          <w:sz w:val="20"/>
          <w:szCs w:val="20"/>
          <w:color w:val="auto"/>
        </w:rPr>
      </w:pPr>
    </w:p>
    <w:p>
      <w:pPr>
        <w:ind w:right="20" w:firstLine="436"/>
        <w:spacing w:after="0" w:line="277" w:lineRule="auto"/>
        <w:tabs>
          <w:tab w:leader="none" w:pos="7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Dollars, Euros, Sterling, Australian dollars, Canadian dollars, Yuan and such other currencies held by it from time to time in the ordinary course of business;</w:t>
      </w:r>
    </w:p>
    <w:p>
      <w:pPr>
        <w:spacing w:after="0" w:line="62" w:lineRule="exact"/>
        <w:rPr>
          <w:rFonts w:ascii="Arial" w:cs="Arial" w:eastAsia="Arial" w:hAnsi="Arial"/>
          <w:sz w:val="18"/>
          <w:szCs w:val="18"/>
          <w:color w:val="auto"/>
        </w:rPr>
      </w:pPr>
    </w:p>
    <w:p>
      <w:pPr>
        <w:jc w:val="both"/>
        <w:ind w:firstLine="436"/>
        <w:spacing w:after="0" w:line="279"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readily marketable obligations issued or directly and fully guaranteed or insured by the government or any agency or instrumentality of (i) the United States, (ii) Switzerland or (iii) any member nation of the European Union rated A-2 (or the equivalent thereof) or better by S&amp;P or P-2 (or the equivalent thereof) or better by Moody’s, having average maturities of not more than 24 months from the date of acquisition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full faith and credit of the United States or such member nation of the European Union is pledged in support thereof;</w:t>
      </w:r>
    </w:p>
    <w:p>
      <w:pPr>
        <w:spacing w:after="0" w:line="63" w:lineRule="exact"/>
        <w:rPr>
          <w:rFonts w:ascii="Arial" w:cs="Arial" w:eastAsia="Arial" w:hAnsi="Arial"/>
          <w:sz w:val="17"/>
          <w:szCs w:val="17"/>
          <w:color w:val="auto"/>
        </w:rPr>
      </w:pPr>
    </w:p>
    <w:p>
      <w:pPr>
        <w:jc w:val="both"/>
        <w:ind w:right="20" w:firstLine="436"/>
        <w:spacing w:after="0" w:line="259" w:lineRule="auto"/>
        <w:tabs>
          <w:tab w:leader="none" w:pos="6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time deposits with, or insured certificates of deposit or bankers’ acceptances of, any commercial bank that (i) is a Lender or (ii) has combined capital and surplus of at least (x) $250,000,000 in the case of U.S. banks and (y) $100,000,000 (or the Dollar Equivalent as of the date of determination) in the case of non-U.S. banks (any such bank meeting the requirements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in each case with average maturities of not more than 24 months from the date of acquisition thereof;</w:t>
      </w:r>
    </w:p>
    <w:p>
      <w:pPr>
        <w:spacing w:after="0" w:line="78" w:lineRule="exact"/>
        <w:rPr>
          <w:rFonts w:ascii="Arial" w:cs="Arial" w:eastAsia="Arial" w:hAnsi="Arial"/>
          <w:sz w:val="18"/>
          <w:szCs w:val="18"/>
          <w:color w:val="auto"/>
        </w:rPr>
      </w:pPr>
    </w:p>
    <w:p>
      <w:pPr>
        <w:jc w:val="both"/>
        <w:ind w:firstLine="436"/>
        <w:spacing w:after="0" w:line="286" w:lineRule="auto"/>
        <w:tabs>
          <w:tab w:leader="none" w:pos="6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24 months from the date of acquisition thereof;</w:t>
      </w:r>
    </w:p>
    <w:p>
      <w:pPr>
        <w:spacing w:after="0" w:line="57" w:lineRule="exact"/>
        <w:rPr>
          <w:rFonts w:ascii="Arial" w:cs="Arial" w:eastAsia="Arial" w:hAnsi="Arial"/>
          <w:sz w:val="17"/>
          <w:szCs w:val="17"/>
          <w:color w:val="auto"/>
        </w:rPr>
      </w:pPr>
    </w:p>
    <w:p>
      <w:pPr>
        <w:jc w:val="both"/>
        <w:ind w:firstLine="436"/>
        <w:spacing w:after="0" w:line="254" w:lineRule="auto"/>
        <w:tabs>
          <w:tab w:leader="none" w:pos="716"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repurchase agreements entered into by any Person with an Approved Bank, a bank or trust company (including any of the Lenders) or recognized securities dealer, in each case, having capital and surplus in excess of (x) $250,000,000 in the case of U.S. banks and (y) $100,000,000 (or the Dollar Equivalent as of the date of determination) in the case of non-U.S. banks, in each case, for direct obligations issued by or fully guaranteed or insured by the government or any agency or instrumentality of (i) the United States, (ii) Switzerland or (iii) any member nation of the European Union rated A (or the equivalent thereof) or better by S&amp;P and A2 (or the equivalent thereof) or better by Moody’s, in which such Person shall have a perfected first priority security interest (subject to no other Liens) and having, on the date of purchase thereof, a Fair Market Value of at least 100% of the amount of the repurchase obligations;</w:t>
      </w:r>
    </w:p>
    <w:p>
      <w:pPr>
        <w:spacing w:after="0" w:line="86" w:lineRule="exact"/>
        <w:rPr>
          <w:rFonts w:ascii="Arial" w:cs="Arial" w:eastAsia="Arial" w:hAnsi="Arial"/>
          <w:sz w:val="18"/>
          <w:szCs w:val="18"/>
          <w:color w:val="auto"/>
        </w:rPr>
      </w:pPr>
    </w:p>
    <w:p>
      <w:pPr>
        <w:ind w:right="20" w:firstLine="436"/>
        <w:spacing w:after="0" w:line="277" w:lineRule="auto"/>
        <w:tabs>
          <w:tab w:leader="none" w:pos="673"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marketable short-term money market and similar highly liquid funds either (i) having assets in excess of (x) $250,000,000 in the case of U.S. banks or other U.S. financial institutions and (y)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50" w:name="page51"/>
    <w:bookmarkEnd w:id="50"/>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$100,000,000 (or the Dollar Equivalent as of the date of determination) in the case of non-U.S. banks or other non-U.S. financial institutions or</w:t>
      </w:r>
    </w:p>
    <w:p>
      <w:pPr>
        <w:spacing w:after="0" w:line="35" w:lineRule="exact"/>
        <w:rPr>
          <w:sz w:val="20"/>
          <w:szCs w:val="20"/>
          <w:color w:val="auto"/>
        </w:rPr>
      </w:pPr>
    </w:p>
    <w:p>
      <w:pPr>
        <w:ind w:left="4" w:right="20" w:hanging="4"/>
        <w:spacing w:after="0" w:line="260" w:lineRule="auto"/>
        <w:tabs>
          <w:tab w:leader="none" w:pos="2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having a rating of at least A-2 or P-2 from either S&amp;P or Moody’s (or, if at any time neither S&amp;P nor Moody’s shall be rating such obligations, an equivalent rating from another nationally recognized rating service);</w:t>
      </w:r>
    </w:p>
    <w:p>
      <w:pPr>
        <w:spacing w:after="0" w:line="77" w:lineRule="exact"/>
        <w:rPr>
          <w:rFonts w:ascii="Arial" w:cs="Arial" w:eastAsia="Arial" w:hAnsi="Arial"/>
          <w:sz w:val="18"/>
          <w:szCs w:val="18"/>
          <w:color w:val="auto"/>
        </w:rPr>
      </w:pPr>
    </w:p>
    <w:p>
      <w:pPr>
        <w:jc w:val="both"/>
        <w:ind w:left="4" w:firstLine="436"/>
        <w:spacing w:after="0" w:line="263" w:lineRule="auto"/>
        <w:tabs>
          <w:tab w:leader="none" w:pos="706"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securities with average maturities of 24 months or less from the date of acquisition issued or fully guaranteed by any state, commonwealth or territory of the United States, or by any political subdivision or taxing authority of any such state, commonwealth or territory or by a foreign government having an investment grade rating from either S&amp;P or Moody’s (or the equivalent thereof);</w:t>
      </w:r>
    </w:p>
    <w:p>
      <w:pPr>
        <w:spacing w:after="0" w:line="75" w:lineRule="exact"/>
        <w:rPr>
          <w:rFonts w:ascii="Arial" w:cs="Arial" w:eastAsia="Arial" w:hAnsi="Arial"/>
          <w:sz w:val="18"/>
          <w:szCs w:val="18"/>
          <w:color w:val="auto"/>
        </w:rPr>
      </w:pPr>
    </w:p>
    <w:p>
      <w:pPr>
        <w:ind w:left="4" w:right="20" w:firstLine="436"/>
        <w:spacing w:after="0" w:line="277" w:lineRule="auto"/>
        <w:tabs>
          <w:tab w:leader="none" w:pos="7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investments with average maturities of 24 months or less from the date of acquisition in mutual funds rated AAA- (or the equivalent thereof) or better by S&amp;P or Aaa3 (or the equivalent thereof) or better by Moody’s;</w:t>
      </w:r>
    </w:p>
    <w:p>
      <w:pPr>
        <w:spacing w:after="0" w:line="62" w:lineRule="exact"/>
        <w:rPr>
          <w:rFonts w:ascii="Arial" w:cs="Arial" w:eastAsia="Arial" w:hAnsi="Arial"/>
          <w:sz w:val="18"/>
          <w:szCs w:val="18"/>
          <w:color w:val="auto"/>
        </w:rPr>
      </w:pPr>
    </w:p>
    <w:p>
      <w:pPr>
        <w:jc w:val="both"/>
        <w:ind w:left="4" w:right="20" w:firstLine="436"/>
        <w:spacing w:after="0" w:line="311" w:lineRule="auto"/>
        <w:tabs>
          <w:tab w:leader="none" w:pos="664"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instruments equivalent to those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(h)</w:t>
      </w:r>
      <w:r>
        <w:rPr>
          <w:rFonts w:ascii="Arial" w:cs="Arial" w:eastAsia="Arial" w:hAnsi="Arial"/>
          <w:sz w:val="16"/>
          <w:szCs w:val="16"/>
          <w:color w:val="auto"/>
        </w:rPr>
        <w:t xml:space="preserve">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40" w:lineRule="exact"/>
        <w:rPr>
          <w:rFonts w:ascii="Arial" w:cs="Arial" w:eastAsia="Arial" w:hAnsi="Arial"/>
          <w:sz w:val="16"/>
          <w:szCs w:val="16"/>
          <w:color w:val="auto"/>
        </w:rPr>
      </w:pPr>
    </w:p>
    <w:p>
      <w:pPr>
        <w:jc w:val="both"/>
        <w:ind w:left="4" w:right="20" w:firstLine="436"/>
        <w:spacing w:after="0" w:line="287" w:lineRule="auto"/>
        <w:tabs>
          <w:tab w:leader="none" w:pos="693"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investments, classified in accordance with GAAP as current assets,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24"/>
        </w:numPr>
        <w:rPr>
          <w:rFonts w:ascii="Arial" w:cs="Arial" w:eastAsia="Arial" w:hAnsi="Arial"/>
          <w:sz w:val="18"/>
          <w:szCs w:val="18"/>
          <w:u w:val="single" w:color="auto"/>
          <w:color w:val="auto"/>
        </w:rPr>
      </w:pPr>
      <w:r>
        <w:rPr>
          <w:rFonts w:ascii="Arial" w:cs="Arial" w:eastAsia="Arial" w:hAnsi="Arial"/>
          <w:sz w:val="18"/>
          <w:szCs w:val="18"/>
          <w:color w:val="auto"/>
        </w:rPr>
        <w:t>of this definition;</w:t>
      </w:r>
    </w:p>
    <w:p>
      <w:pPr>
        <w:spacing w:after="0" w:line="102" w:lineRule="exact"/>
        <w:rPr>
          <w:rFonts w:ascii="Arial" w:cs="Arial" w:eastAsia="Arial" w:hAnsi="Arial"/>
          <w:sz w:val="18"/>
          <w:szCs w:val="18"/>
          <w:u w:val="single" w:color="auto"/>
          <w:color w:val="auto"/>
        </w:rPr>
      </w:pPr>
    </w:p>
    <w:p>
      <w:pPr>
        <w:jc w:val="both"/>
        <w:ind w:left="4" w:firstLine="436"/>
        <w:spacing w:after="0" w:line="290" w:lineRule="auto"/>
        <w:tabs>
          <w:tab w:leader="none" w:pos="708"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with respect to any Foreign Subsidiary: (i) obligations of the national government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6"/>
          <w:szCs w:val="16"/>
          <w:u w:val="single" w:color="auto"/>
          <w:color w:val="auto"/>
        </w:rPr>
        <w:t>Approved Foreign Bank</w:t>
      </w:r>
      <w:r>
        <w:rPr>
          <w:rFonts w:ascii="Arial" w:cs="Arial" w:eastAsia="Arial" w:hAnsi="Arial"/>
          <w:sz w:val="16"/>
          <w:szCs w:val="16"/>
          <w:color w:val="auto"/>
        </w:rPr>
        <w:t>”), and in each case with maturities of not more than 24 months from the date of acquisition and (iii) the equivalent of demand deposit accounts which are maintained with an Approved Foreign Bank;</w:t>
      </w:r>
    </w:p>
    <w:p>
      <w:pPr>
        <w:spacing w:after="0" w:line="57" w:lineRule="exact"/>
        <w:rPr>
          <w:rFonts w:ascii="Arial" w:cs="Arial" w:eastAsia="Arial" w:hAnsi="Arial"/>
          <w:sz w:val="16"/>
          <w:szCs w:val="16"/>
          <w:color w:val="auto"/>
        </w:rPr>
      </w:pPr>
    </w:p>
    <w:p>
      <w:pPr>
        <w:jc w:val="both"/>
        <w:ind w:left="4" w:right="20" w:firstLine="436"/>
        <w:spacing w:after="0" w:line="263" w:lineRule="auto"/>
        <w:tabs>
          <w:tab w:leader="none" w:pos="702"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interest bearing instruments with a maximum maturity of 180 days in respect of which the obligor is a G8 government or other G8 governmental agency or a G8 financial institution with credit ratings from S&amp;P of at least “A-2” or the equivalent thereof or from Moody’s of at least “P-2” or the equivalent thereof; and</w:t>
      </w:r>
    </w:p>
    <w:p>
      <w:pPr>
        <w:spacing w:after="0" w:line="75" w:lineRule="exact"/>
        <w:rPr>
          <w:rFonts w:ascii="Arial" w:cs="Arial" w:eastAsia="Arial" w:hAnsi="Arial"/>
          <w:sz w:val="18"/>
          <w:szCs w:val="18"/>
          <w:color w:val="auto"/>
        </w:rPr>
      </w:pPr>
    </w:p>
    <w:p>
      <w:pPr>
        <w:ind w:left="744" w:hanging="304"/>
        <w:spacing w:after="0"/>
        <w:tabs>
          <w:tab w:leader="none" w:pos="7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investment funds investing at least 90% of their assets in securities of the types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(l)</w:t>
      </w:r>
      <w:r>
        <w:rPr>
          <w:rFonts w:ascii="Arial" w:cs="Arial" w:eastAsia="Arial" w:hAnsi="Arial"/>
          <w:sz w:val="18"/>
          <w:szCs w:val="18"/>
          <w:color w:val="auto"/>
        </w:rPr>
        <w:t xml:space="preserve"> above.</w:t>
      </w:r>
    </w:p>
    <w:p>
      <w:pPr>
        <w:spacing w:after="0" w:line="225"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Obligations</w:t>
      </w:r>
      <w:r>
        <w:rPr>
          <w:rFonts w:ascii="Arial" w:cs="Arial" w:eastAsia="Arial" w:hAnsi="Arial"/>
          <w:sz w:val="18"/>
          <w:szCs w:val="18"/>
          <w:color w:val="auto"/>
        </w:rPr>
        <w:t>” means (a) obligations in respect of any treasury management services, overdraft and related liabilities arising from treasury, depository, cash pooling arrangements and cash management services or any automated clearing house transfers of funds and (b) other obligations in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4" w:right="4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of netting services, employee credit, commercial credit card, debit card, stored value card or purchase card programs and similar arrangements.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has the meaning assigned to such term in the definition of “Secured Cash Management Obligations.”</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Event</w:t>
      </w:r>
      <w:r>
        <w:rPr>
          <w:rFonts w:ascii="Arial" w:cs="Arial" w:eastAsia="Arial" w:hAnsi="Arial"/>
          <w:sz w:val="18"/>
          <w:szCs w:val="18"/>
          <w:color w:val="auto"/>
        </w:rPr>
        <w:t>” means any event that gives rise to the receipt by the Borrower or any Restricted Subsidiary of any insurance proceeds, condemnation awards or eminent domain awards in respect of any equipment, fixed assets or real property (including any improvements thereon) to replace or repair such equipment, fixed assets or real property.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117" w:lineRule="exact"/>
        <w:rPr>
          <w:sz w:val="20"/>
          <w:szCs w:val="20"/>
          <w:color w:val="auto"/>
        </w:rPr>
      </w:pPr>
    </w:p>
    <w:p>
      <w:pPr>
        <w:ind w:right="20" w:firstLine="436"/>
        <w:spacing w:after="0" w:line="277" w:lineRule="auto"/>
        <w:tabs>
          <w:tab w:leader="none" w:pos="7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Holdings, directly or indirectly through wholly-owned subsidiaries that are Guarantors (including, for the avoidance of doubt, through wholly-owned subsidiaries that are subsidiaries of the Borrower), to own all of the Equity Interests in the Borrower,</w:t>
      </w:r>
    </w:p>
    <w:p>
      <w:pPr>
        <w:spacing w:after="0" w:line="62" w:lineRule="exact"/>
        <w:rPr>
          <w:rFonts w:ascii="Arial" w:cs="Arial" w:eastAsia="Arial" w:hAnsi="Arial"/>
          <w:sz w:val="18"/>
          <w:szCs w:val="18"/>
          <w:color w:val="auto"/>
        </w:rPr>
      </w:pPr>
    </w:p>
    <w:p>
      <w:pPr>
        <w:ind w:right="20" w:firstLine="436"/>
        <w:spacing w:after="0" w:line="277" w:lineRule="auto"/>
        <w:tabs>
          <w:tab w:leader="none" w:pos="6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an IPO, the failure by the Permitted Holders to, directly or indirectly through one or more holding companies, own beneficially and of record at least a majority of the outstanding Voting Stock of Holdings, or</w:t>
      </w:r>
    </w:p>
    <w:p>
      <w:pPr>
        <w:spacing w:after="0" w:line="62" w:lineRule="exact"/>
        <w:rPr>
          <w:rFonts w:ascii="Arial" w:cs="Arial" w:eastAsia="Arial" w:hAnsi="Arial"/>
          <w:sz w:val="18"/>
          <w:szCs w:val="18"/>
          <w:color w:val="auto"/>
        </w:rPr>
      </w:pPr>
    </w:p>
    <w:p>
      <w:pPr>
        <w:jc w:val="both"/>
        <w:ind w:firstLine="436"/>
        <w:spacing w:after="0" w:line="291" w:lineRule="auto"/>
        <w:tabs>
          <w:tab w:leader="none" w:pos="6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after an IPO, any person, entity or “group” (within the meaning of Section 13(d)(3) or Section 14(d)(2) of the Exchange Act, but excluding any employee benefit plan and/or Person acting as the trustee, agent or other fiduciary or administrator therefor), other than the Permitted Holders (or any Parent Entity of Holdings controlled directly or indirectly by the Permitted Holders), shall at any time have acquired direct or indirect beneficial ownership of voting power of the outstanding Voting Stock of Holdings having more than the greater of (A) 35.0% of the outstanding Voting Stock of Holdings and (B) the percentage of the then-existing outstanding Voting Stock of Holdings owned in the aggregate, directly or indirectly, beneficially, by the Permitted Holders, unless the Permitted Holders, directly or indirectly through one or more Parent Entities of Holdings, have the right (pursuant to contract, proxy, ownership of Equity Interests or otherwise) to designate or appoint (and do so designate or appoint) the Board of Directors of Holdings.</w:t>
      </w:r>
    </w:p>
    <w:p>
      <w:pPr>
        <w:spacing w:after="0" w:line="166" w:lineRule="exact"/>
        <w:rPr>
          <w:sz w:val="20"/>
          <w:szCs w:val="20"/>
          <w:color w:val="auto"/>
        </w:rPr>
      </w:pPr>
    </w:p>
    <w:p>
      <w:pPr>
        <w:jc w:val="both"/>
        <w:ind w:firstLine="440"/>
        <w:spacing w:after="0" w:line="288" w:lineRule="auto"/>
        <w:rPr>
          <w:sz w:val="20"/>
          <w:szCs w:val="20"/>
          <w:color w:val="auto"/>
        </w:rPr>
      </w:pPr>
      <w:r>
        <w:rPr>
          <w:rFonts w:ascii="Arial" w:cs="Arial" w:eastAsia="Arial" w:hAnsi="Arial"/>
          <w:sz w:val="16"/>
          <w:szCs w:val="16"/>
          <w:color w:val="auto"/>
        </w:rPr>
        <w:t>For purposes of this definition and any related definition to the extent used 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(iii) a Person or group shall not be deemed to beneficially own securities subject to an equity or asset purchase agreement, merger agreement or similar agreement (or voting or option or similar agreement related thereto) until the consummation of the transactions contemplated by such agreement, (iv) if any group includes one or more Permitted Holders, the issued and outstanding Voting Stock of Holdings beneficially owned, directly or indirectly, by any Permitted Holders that are part of such group shall not be treated as being beneficially owned by any other member of such group for purposes of determining whether a Change in Control has occurred and (v) a Person or group will not be deemed to beneficially own the Voting Stock of another Person as a result of its ownership of the Voting Stock or other securities of such other Person’s Parent Entity (or related contractual rights) unless it owns at least a majority of the total voting power of the Voting Stock of such Parent Entity.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52" w:name="page53"/>
    <w:bookmarkEnd w:id="52"/>
    <w:p>
      <w:pPr>
        <w:ind w:left="4" w:right="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(a) the adoption of any rule, regulation, treaty or other law after the date of this Agreement, (b) any change in any rule, regulation, treaty or other law or in the administration or interpretation thereof by any Governmental Authority after the date of this Agreement or</w:t>
      </w:r>
    </w:p>
    <w:p>
      <w:pPr>
        <w:jc w:val="both"/>
        <w:ind w:left="4" w:hanging="4"/>
        <w:spacing w:after="0" w:line="251" w:lineRule="auto"/>
        <w:tabs>
          <w:tab w:leader="none" w:pos="2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making or issuance of any request, guideline or directive (whether or not having the force of law) of any Governmental Authority made or issued after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of 2010 and any requests, rules, guidelines or directives thereunder or issued in connection therewith and (ii) any requests, rules, guidelines or directives promulgated by the Bank of International Settlements, the Basel Committee on Banking Supervision (or any successor or similar authority) or United States or foreign regulatory authorities, in each case pursuant to Basel III, shall in each case be deemed to be a “Change in Law,” regardless of the date enacted, adopted, promulgated or issued after the date of this Agreement, but only to the extent the relevant increased costs or loss of yield would have been included if they had been imposed under applicable increased cost provisions, including, without limitation, for purposes of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98" w:lineRule="exact"/>
        <w:rPr>
          <w:sz w:val="20"/>
          <w:szCs w:val="20"/>
          <w:color w:val="auto"/>
        </w:rPr>
      </w:pPr>
    </w:p>
    <w:p>
      <w:pPr>
        <w:jc w:val="both"/>
        <w:ind w:left="4"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when used in reference to (a) any Loan or Borrowing, refers to whether such Loan, or the Loans comprising such Borrowing, are Revolving Loans, Class A Revolving Loans, Class B Revolving Loans, Other Revolving Loans, Initial Term Loans, 2020 Incremental Term Loans, 2021 Incremental Term Loans, 2021-2 Incremental Term Loans, any other Incremental Term Loans, Replacement Revolving Loans, Other Term Loans, or Swingline Loans, (b) any Commitment, refers to whether such Commitment is a Revolving Commitment, Class A Revolving Commitment, Class B Revolving Commitment, Other Revolving Commitment, Replacement Revolving Commitment, Initial Term Loan Commitment, 2020 Incremental Term Loan Commitment, 2021 Incremental Term Loan Commitment, 2021-2 Incremental Term Loan Commitment, any other Incremental Commitment or Other Term Commitment and (c) any Lender, refers to whether such Lender has a Loan or Commitment with respect to a particular Class of Loans or Commitments. Other Term Commitments, Other Term Loans, Other Revolving Commitments (and the Other Revolving Loans made pursuant thereto), Incremental Commitments and Incremental Term Loans, Replacement Revolving Commitments (and Replacement Revolving Loans made pursuant thereto) that have different terms and conditions shall be construed to be in different Classes.</w:t>
      </w:r>
    </w:p>
    <w:p>
      <w:pPr>
        <w:spacing w:after="0" w:line="168" w:lineRule="exact"/>
        <w:rPr>
          <w:sz w:val="20"/>
          <w:szCs w:val="20"/>
          <w:color w:val="auto"/>
        </w:rPr>
      </w:pPr>
    </w:p>
    <w:p>
      <w:pPr>
        <w:jc w:val="both"/>
        <w:ind w:left="4" w:right="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Revolving Commitment</w:t>
      </w:r>
      <w:r>
        <w:rPr>
          <w:rFonts w:ascii="Arial" w:cs="Arial" w:eastAsia="Arial" w:hAnsi="Arial"/>
          <w:sz w:val="16"/>
          <w:szCs w:val="16"/>
          <w:color w:val="auto"/>
        </w:rPr>
        <w:t>” means (a) prior to the Amendment No. 5 Effective Date, with respect to each Original Revolving Lender, its Original Revolving Commitment and (b) on or after Amendment No. 5 Effective Date, (i) with respect to each Original Revolving Lender that is not party to the Amendment No. 5 but whose name is set forth on Schedule 1-B to Amendment No. 5, the amount set forth on Schedule 1-B to Amendment No. 5 opposite such Lender’s name as such Lender’s Commitment under the heading “Class A Revolving Commitments”, which Commitment shall terminate on the Revolving Maturity Date, as such Class A Revolving Commitment may be reduced from time to time pursuant to the terms hereof and</w:t>
      </w:r>
    </w:p>
    <w:p>
      <w:pPr>
        <w:spacing w:after="0" w:line="2" w:lineRule="exact"/>
        <w:rPr>
          <w:sz w:val="20"/>
          <w:szCs w:val="20"/>
          <w:color w:val="auto"/>
        </w:rPr>
      </w:pPr>
    </w:p>
    <w:p>
      <w:pPr>
        <w:jc w:val="both"/>
        <w:ind w:left="4" w:right="20" w:hanging="4"/>
        <w:spacing w:after="0" w:line="273" w:lineRule="auto"/>
        <w:tabs>
          <w:tab w:leader="none" w:pos="281"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the case of any Lender that receives an assignment of any portion of a Class A Revolving Commitment, the amount specified as such Lender’s “Class A Revolving Commitment” in the Assignment and Acceptance pursuant to which such Lender assumed a portion of the Total Class A Revolving Commitment, as such Class A Revolving Commitment may be reduced from time to time pursuant to the terms hereof. As of Amendment No. 5 Effective Date, the aggregate amount of the Class A Revolving Commitments outstanding is $30,000,000.</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Revolving Facility</w:t>
      </w:r>
      <w:r>
        <w:rPr>
          <w:rFonts w:ascii="Arial" w:cs="Arial" w:eastAsia="Arial" w:hAnsi="Arial"/>
          <w:sz w:val="18"/>
          <w:szCs w:val="18"/>
          <w:color w:val="auto"/>
        </w:rPr>
        <w:t>” means the revolving credit facility represented by the Class A Revolving Commitments.</w:t>
      </w:r>
    </w:p>
    <w:p>
      <w:pPr>
        <w:spacing w:after="0" w:line="225"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Revolving Lender</w:t>
      </w:r>
      <w:r>
        <w:rPr>
          <w:rFonts w:ascii="Arial" w:cs="Arial" w:eastAsia="Arial" w:hAnsi="Arial"/>
          <w:sz w:val="18"/>
          <w:szCs w:val="18"/>
          <w:color w:val="auto"/>
        </w:rPr>
        <w:t>” means (a) prior to the Amendment No. 5 Effective Date, each Original Revolving Lender, (b) as of Amendment No. 5 Effective Date, each Original Revolving Lender that is not party to Amendment No. 5 but whose name and the aggregate principal amount of its Class A</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4" w:right="439" w:bottom="1440" w:gutter="0" w:footer="0" w:header="0"/>
        </w:sectPr>
      </w:pPr>
    </w:p>
    <w:bookmarkStart w:id="53" w:name="page54"/>
    <w:bookmarkEnd w:id="53"/>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Revolving Commitment are set forth on Schedule 1-B to Amendment No. 5 and (c) on or after the Amendment No. 5 Effective Date, without duplication of clause (b) above as of Amendment No. 5 Effective Date, each Lender that holds a Class A Revolving Commitment.</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Revolving Loan</w:t>
      </w:r>
      <w:r>
        <w:rPr>
          <w:rFonts w:ascii="Arial" w:cs="Arial" w:eastAsia="Arial" w:hAnsi="Arial"/>
          <w:sz w:val="18"/>
          <w:szCs w:val="18"/>
          <w:color w:val="auto"/>
        </w:rPr>
        <w:t>” means a Revolving Credit Loan made by any Class A Revolving Lender pursuant to its Class A Revolving Commitment.</w:t>
      </w:r>
    </w:p>
    <w:p>
      <w:pPr>
        <w:spacing w:after="0" w:line="170" w:lineRule="exact"/>
        <w:rPr>
          <w:sz w:val="20"/>
          <w:szCs w:val="20"/>
          <w:color w:val="auto"/>
        </w:rPr>
      </w:pPr>
    </w:p>
    <w:p>
      <w:pPr>
        <w:jc w:val="both"/>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Revolving Commitment</w:t>
      </w:r>
      <w:r>
        <w:rPr>
          <w:rFonts w:ascii="Arial" w:cs="Arial" w:eastAsia="Arial" w:hAnsi="Arial"/>
          <w:sz w:val="16"/>
          <w:szCs w:val="16"/>
          <w:color w:val="auto"/>
        </w:rPr>
        <w:t>” means (a) on or after Amendment No. 5 Effective Date, with respect to each Original Revolving Lender that is party to Amendment No. 5, the amount set forth on Schedule I-B to Amendment No. 5 opposite such Lender’s name as such Lender’s Commitment under the heading “Class B Revolving Commitments”, which Commitment shall terminate on the Revolving Maturity Date, as such Class B Revolving Commitment may be reduced from time to time pursuant to the terms hereof, (b) in the case of any Lender that receives an assignment of any portion of a Class B Revolving Commitment, the amount specified as such Lender’s “Class B Revolving Commitment” in the Assignment and Acceptance pursuant to which such Lender assumed a portion of the Total Class B Revolving Commitment, as such Class B Revolving Commitment may be reduced from time to time pursuant to the terms hereof and (c) in the case of any Class B Revolving Lender that increases its Class B Revolving Commitment or becomes an Incremental Revolving Credit Commitment Increase Lender, in each case pursuant to Section 2.14, the amount specified in the applicable Incremental Agreement, as such Class B Revolving Commitment may be reduced from time to time pursuant to the terms hereof. As of Amendment No. 5 Effective Date, the aggregate amount of the Class B Revolving Commitments outstanding is $170,000,000.</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Revolving Facility</w:t>
      </w:r>
      <w:r>
        <w:rPr>
          <w:rFonts w:ascii="Arial" w:cs="Arial" w:eastAsia="Arial" w:hAnsi="Arial"/>
          <w:sz w:val="18"/>
          <w:szCs w:val="18"/>
          <w:color w:val="auto"/>
        </w:rPr>
        <w:t>” means the revolving credit facility represented by the Class B Revolving Commitments.</w:t>
      </w:r>
    </w:p>
    <w:p>
      <w:pPr>
        <w:spacing w:after="0" w:line="225"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Revolving Lender</w:t>
      </w:r>
      <w:r>
        <w:rPr>
          <w:rFonts w:ascii="Arial" w:cs="Arial" w:eastAsia="Arial" w:hAnsi="Arial"/>
          <w:sz w:val="18"/>
          <w:szCs w:val="18"/>
          <w:color w:val="auto"/>
        </w:rPr>
        <w:t>” means (a) as of Amendment No. 5 Effective Date, each Original Revolving Credit Lender that is party to Amendment No. 5 and whose name and the aggregate principal amount of its Class B Revolving Commitment are set forth on Schedule 2 to Amendment No. 5 and (b) on or after Amendment No. 5 Effective Date, without duplication of clause (a) above as of Amendment No. 5 Effective Date, each Lender that holds a Class B Revolving Commitment.</w:t>
      </w:r>
    </w:p>
    <w:p>
      <w:pPr>
        <w:spacing w:after="0" w:line="187"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Revolving Loan</w:t>
      </w:r>
      <w:r>
        <w:rPr>
          <w:rFonts w:ascii="Arial" w:cs="Arial" w:eastAsia="Arial" w:hAnsi="Arial"/>
          <w:sz w:val="18"/>
          <w:szCs w:val="18"/>
          <w:color w:val="auto"/>
        </w:rPr>
        <w:t>” means a Revolving Credit Loan made by any Class B Revolving Lender pursuant to its Class B Revolving Commitment.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assets, whether real or personal, tangible or intangible, on which Liens are purported to be granted pursuant to the Security Documents as security for the Secured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has the meaning assigned to such term in the Collateral Agreement.</w:t>
      </w:r>
    </w:p>
    <w:p>
      <w:pPr>
        <w:spacing w:after="0" w:line="22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Agreement</w:t>
      </w:r>
      <w:r>
        <w:rPr>
          <w:rFonts w:ascii="Arial" w:cs="Arial" w:eastAsia="Arial" w:hAnsi="Arial"/>
          <w:sz w:val="18"/>
          <w:szCs w:val="18"/>
          <w:color w:val="auto"/>
        </w:rPr>
        <w:t xml:space="preserve">” means the Collateral Agreement among Holdings, the Borrower, each other Loan Party and the Collateral Agent,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means, at any time, the requirement that:</w:t>
      </w:r>
    </w:p>
    <w:p>
      <w:pPr>
        <w:spacing w:after="0" w:line="117" w:lineRule="exact"/>
        <w:rPr>
          <w:sz w:val="20"/>
          <w:szCs w:val="20"/>
          <w:color w:val="auto"/>
        </w:rPr>
      </w:pPr>
    </w:p>
    <w:p>
      <w:pPr>
        <w:jc w:val="both"/>
        <w:ind w:right="20" w:firstLine="436"/>
        <w:spacing w:after="0" w:line="263"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(i) Holdings, the Borrower and each other Domestic Subsidiary (other than an Excluded Subsidiary) either (x) a counterpart of the Guarantee Agreement duly executed and delivered on behalf of such Person or (y) in the case of any Person that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54" w:name="page55"/>
    <w:bookmarkEnd w:id="54"/>
    <w:p>
      <w:pPr>
        <w:jc w:val="both"/>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becomes or is required to become a Loan Party after the Effective Date (including by ceasing to be an Excluded Subsidiary), a supplement to the Guarantee Agreement, in the form specified therein, duly executed and delivered on behalf of such Person and (ii) Holdings, the Borrower and each Subsidiary Loan Party either (x) a counterpart of the Collateral Agreement duly executed and delivered on behalf of such Person or (y) in the case of any Person that becomes or is required to become a Loan Party after the Effective Date (including by ceasing to be an Excluded Subsidiary), a supplement to the Collateral Agreement, in the form specified therein, duly executed and delivered on behalf of such Person, in each case under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together with, in the case of any such Loan Document executed and delivered after the Effective Date, documents of the type referred to in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4.01(d)</w:t>
      </w:r>
      <w:r>
        <w:rPr>
          <w:rFonts w:ascii="Arial" w:cs="Arial" w:eastAsia="Arial" w:hAnsi="Arial"/>
          <w:sz w:val="18"/>
          <w:szCs w:val="18"/>
          <w:color w:val="auto"/>
        </w:rPr>
        <w:t>;</w:t>
      </w:r>
    </w:p>
    <w:p>
      <w:pPr>
        <w:spacing w:after="0" w:line="87" w:lineRule="exact"/>
        <w:rPr>
          <w:sz w:val="20"/>
          <w:szCs w:val="20"/>
          <w:color w:val="auto"/>
        </w:rPr>
      </w:pPr>
    </w:p>
    <w:p>
      <w:pPr>
        <w:jc w:val="both"/>
        <w:ind w:right="20" w:firstLine="436"/>
        <w:spacing w:after="0" w:line="25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outstanding Equity Interests of the Borrower and the Restricted Subsidiaries (other than any Equity Interests constituting Excluded Assets) owned by or on behalf of any Loan Party shall have been pledged pursuant to the Collateral Agreement and (except in the case of Equity Interests of Immaterial Subsidiaries or of Persons who are not Restricted Subsidiaries, including any Joint Ventures that are not Restricted Subsidiaries) the Collateral Agent shall have received certificates or other instruments representing all such Equity Interests (if any), together with undated stock powers or other instruments of transfer with respect thereto endorsed in blank;</w:t>
      </w:r>
    </w:p>
    <w:p>
      <w:pPr>
        <w:spacing w:after="0" w:line="79" w:lineRule="exact"/>
        <w:rPr>
          <w:rFonts w:ascii="Arial" w:cs="Arial" w:eastAsia="Arial" w:hAnsi="Arial"/>
          <w:sz w:val="18"/>
          <w:szCs w:val="18"/>
          <w:color w:val="auto"/>
        </w:rPr>
      </w:pPr>
    </w:p>
    <w:p>
      <w:pPr>
        <w:jc w:val="both"/>
        <w:ind w:firstLine="436"/>
        <w:spacing w:after="0" w:line="272" w:lineRule="auto"/>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other than to the extent constituting an Excluded Asset, if any Indebtedness for borrowed money of any Person other than Holdings, the Borrower or the Restricted Subsidiaries is (x) owing to any Loan Party, (y) in a principal amount in excess of $2,500,000 and (z) evidenced by a promissory note, such promissory note shall have been pledged pursuant to the Collateral Agreement and the Collateral Agent shall have received all such promissory notes, together with undated instruments of transfer with respect thereto endorsed in blank and (ii) all Indebtedness for borrowed money of Holdings, the Borrower and each Restricted Subsidiary that is owing to any Loan Party shall be evidenced by the Intercompany Note, and such Intercompany Note shall have been pledged pursuant to the Collateral Agreement and the Collateral Agent shall have received such Intercompany Note, together with undated instruments of transfer with respect thereto endorsed in blank;</w:t>
      </w:r>
    </w:p>
    <w:p>
      <w:pPr>
        <w:spacing w:after="0" w:line="69" w:lineRule="exact"/>
        <w:rPr>
          <w:rFonts w:ascii="Arial" w:cs="Arial" w:eastAsia="Arial" w:hAnsi="Arial"/>
          <w:sz w:val="17"/>
          <w:szCs w:val="17"/>
          <w:color w:val="auto"/>
        </w:rPr>
      </w:pPr>
    </w:p>
    <w:p>
      <w:pPr>
        <w:jc w:val="both"/>
        <w:ind w:firstLine="436"/>
        <w:spacing w:after="0" w:line="293" w:lineRule="auto"/>
        <w:tabs>
          <w:tab w:leader="none" w:pos="7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than to the extent constituting an Excluded Asset, all certificates, agreements, documents and instruments, including Uniform Commercial Code financing statements and intellectual property security agreements, required by the Security Documents, Requirements of Law and reasonably requested by the Administrative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Administrative Agent in proper form for filing, registration or recording, in each case, subject to exceptions and limitations otherwise set forth in this Agreement and the other Loan Documents;</w:t>
      </w:r>
    </w:p>
    <w:p>
      <w:pPr>
        <w:spacing w:after="0" w:line="56" w:lineRule="exact"/>
        <w:rPr>
          <w:rFonts w:ascii="Arial" w:cs="Arial" w:eastAsia="Arial" w:hAnsi="Arial"/>
          <w:sz w:val="16"/>
          <w:szCs w:val="16"/>
          <w:color w:val="auto"/>
        </w:rPr>
      </w:pPr>
    </w:p>
    <w:p>
      <w:pPr>
        <w:jc w:val="both"/>
        <w:ind w:right="20" w:firstLine="436"/>
        <w:spacing w:after="0" w:line="273" w:lineRule="auto"/>
        <w:tabs>
          <w:tab w:leader="none" w:pos="702"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 than with respect to any Excluded Account, each Loan Party shall use reasonable best efforts to obtain a control agreement (each, an “</w:t>
      </w:r>
      <w:r>
        <w:rPr>
          <w:rFonts w:ascii="Arial" w:cs="Arial" w:eastAsia="Arial" w:hAnsi="Arial"/>
          <w:sz w:val="17"/>
          <w:szCs w:val="17"/>
          <w:u w:val="single" w:color="auto"/>
          <w:color w:val="auto"/>
        </w:rPr>
        <w:t>Account Control Agreement</w:t>
      </w:r>
      <w:r>
        <w:rPr>
          <w:rFonts w:ascii="Arial" w:cs="Arial" w:eastAsia="Arial" w:hAnsi="Arial"/>
          <w:sz w:val="17"/>
          <w:szCs w:val="17"/>
          <w:color w:val="auto"/>
        </w:rPr>
        <w:t>”) (or, if any such Loan Party is unable to obtain a control agreement from the financial institution where any deposit account, securities account or commodities account is located, it will relocate such account to another financial institution and obtain a control agreement), with the Collateral Agent and any bank with which such Loan Party maintains a deposit account, securities account or commodities account (each as defined in the UCC) (collectively, the “</w:t>
      </w:r>
      <w:r>
        <w:rPr>
          <w:rFonts w:ascii="Arial" w:cs="Arial" w:eastAsia="Arial" w:hAnsi="Arial"/>
          <w:sz w:val="17"/>
          <w:szCs w:val="17"/>
          <w:u w:val="single" w:color="auto"/>
          <w:color w:val="auto"/>
        </w:rPr>
        <w:t>Controlled Accounts</w:t>
      </w:r>
      <w:r>
        <w:rPr>
          <w:rFonts w:ascii="Arial" w:cs="Arial" w:eastAsia="Arial" w:hAnsi="Arial"/>
          <w:sz w:val="17"/>
          <w:szCs w:val="17"/>
          <w:color w:val="auto"/>
        </w:rPr>
        <w:t>”) not later than 90 days following the opening or acquisition of any such account (or such longer period as the Administrative Agent may agree in its sole discretion); and</w:t>
      </w:r>
    </w:p>
    <w:p>
      <w:pPr>
        <w:spacing w:after="0" w:line="69" w:lineRule="exact"/>
        <w:rPr>
          <w:rFonts w:ascii="Arial" w:cs="Arial" w:eastAsia="Arial" w:hAnsi="Arial"/>
          <w:sz w:val="17"/>
          <w:szCs w:val="17"/>
          <w:color w:val="auto"/>
        </w:rPr>
      </w:pPr>
    </w:p>
    <w:p>
      <w:pPr>
        <w:ind w:right="20" w:firstLine="436"/>
        <w:spacing w:after="0" w:line="277" w:lineRule="auto"/>
        <w:tabs>
          <w:tab w:leader="none" w:pos="6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Administrative Agent shall have received (i) counterparts of a Mortgage with respect to each Mortgaged Property duly executed and delivered by the record owner of such Mortgaged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55" w:name="page56"/>
    <w:bookmarkEnd w:id="55"/>
    <w:p>
      <w:pPr>
        <w:jc w:val="both"/>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(ii) a policy or policies of title insurance or a marked unconditional commitment or binder thereof issued by a nationally recognized title insurance company reasonably acceptable to the Administrative Agent insuring the Lien of each such Mortgage as a first priority Lien on the title to such Mortgaged Property described therein, for an amount no less than the Fair Market Value of such Mortgaged Property together with such endorsements as the Collateral Agent may reasonably request and which are available at commercially reasonable rates in the jurisdiction where the applicable Mortgaged Property is located, (iii) such affidavits, instruments of indemnification (including a so-called “gap” indemnification) as are customarily requested by the title company to induce the title company to issue the title policies and endorsements contemplated above, (iv) evidence reasonably acceptable to the Administrative Agent of payment by Holdings, the Borrower or any other Subsidiary of all title policy premiums, search and examination charges, escrow charges and related charges, mortgage recording taxes, fees, charges, costs and expenses required for the recording of the Mortgages and issuance of the title policies referred to above, (v) a survey of each Mortgaged Property in such form as shall be required by the title company to issue the so called comprehensive and other survey related endorsements and to remove the standard survey exceptions from the title policies and endorsements contemplated above (provided, however, that a survey shall not be required to the extent that the issuer of the applicable title insurance policy provides reasonable and customary survey related coverages (including, without limitation, survey related endorsements) in the applicable title insurance policy based on an existing survey and/or such other documentation as may be reasonably satisfactory to the title insurer),</w:t>
      </w:r>
    </w:p>
    <w:p>
      <w:pPr>
        <w:spacing w:after="0" w:line="2" w:lineRule="exact"/>
        <w:rPr>
          <w:sz w:val="20"/>
          <w:szCs w:val="20"/>
          <w:color w:val="auto"/>
        </w:rPr>
      </w:pPr>
    </w:p>
    <w:p>
      <w:pPr>
        <w:jc w:val="both"/>
        <w:ind w:left="4" w:right="20" w:hanging="4"/>
        <w:spacing w:after="0" w:line="281" w:lineRule="auto"/>
        <w:tabs>
          <w:tab w:leader="none" w:pos="321"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required pursuant to the Flood Insurance Laws, completed “Life of Loan” Federal Emergency Management Agency (“FEMA”) Standard Flood Hazard Determination with respect to each Mortgaged Property subject to the applicable FEMA rules and regulations (together with a notice about special flood hazard area status and flood disaster assistance duly executed by Holdings, the Borrower and each Loan Party relating thereto), (vii) if any Mortgaged Property is located in an area determined by FEMA to have special flood hazards, evidence of such flood insurance as may be required under any Requirements of Law, including Regulation H of the Board of Governors and the other Flood Insurance Laws and as required under Section 5.07,</w:t>
      </w:r>
    </w:p>
    <w:p>
      <w:pPr>
        <w:spacing w:after="0" w:line="2" w:lineRule="exact"/>
        <w:rPr>
          <w:rFonts w:ascii="Arial" w:cs="Arial" w:eastAsia="Arial" w:hAnsi="Arial"/>
          <w:sz w:val="16"/>
          <w:szCs w:val="16"/>
          <w:color w:val="auto"/>
        </w:rPr>
      </w:pPr>
    </w:p>
    <w:p>
      <w:pPr>
        <w:jc w:val="both"/>
        <w:ind w:left="4" w:right="20" w:hanging="4"/>
        <w:spacing w:after="0" w:line="255" w:lineRule="auto"/>
        <w:tabs>
          <w:tab w:leader="none" w:pos="4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legal opinions as the Administrative Agent may reasonably request with respect to the enforceability of any such Mortgage and such other customary matters as are reasonably requested by the Administrative Agent, and (ix) existing environmental assessment reports, to the extent available and in the possession or reasonable control of the Borrower or its Subsidiaries.</w:t>
      </w:r>
    </w:p>
    <w:p>
      <w:pPr>
        <w:spacing w:after="0" w:line="190" w:lineRule="exact"/>
        <w:rPr>
          <w:sz w:val="20"/>
          <w:szCs w:val="20"/>
          <w:color w:val="auto"/>
        </w:rPr>
      </w:pPr>
    </w:p>
    <w:p>
      <w:pPr>
        <w:jc w:val="both"/>
        <w:ind w:left="4" w:firstLine="440"/>
        <w:spacing w:after="0" w:line="284" w:lineRule="auto"/>
        <w:rPr>
          <w:sz w:val="20"/>
          <w:szCs w:val="20"/>
          <w:color w:val="auto"/>
        </w:rPr>
      </w:pPr>
      <w:r>
        <w:rPr>
          <w:rFonts w:ascii="Arial" w:cs="Arial" w:eastAsia="Arial" w:hAnsi="Arial"/>
          <w:sz w:val="16"/>
          <w:szCs w:val="16"/>
          <w:color w:val="auto"/>
        </w:rPr>
        <w:t>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 if such assets constitute Excluded Assets, (ii) if, and for so long as and to the extent that the Administrative Agent and the Borrower reasonably agree that the cost, burden, difficulty or consequence of creating or perfecting such pledges or security interests in such assets, or obtaining such title insurance, legal opinions or other deliverables in respect of such assets, or providing such Guarantees outweighs the benefits to be obtained by the Lenders therefrom,</w:t>
      </w:r>
    </w:p>
    <w:p>
      <w:pPr>
        <w:spacing w:after="0" w:line="4" w:lineRule="exact"/>
        <w:rPr>
          <w:sz w:val="20"/>
          <w:szCs w:val="20"/>
          <w:color w:val="auto"/>
        </w:rPr>
      </w:pPr>
    </w:p>
    <w:p>
      <w:pPr>
        <w:jc w:val="both"/>
        <w:ind w:left="4" w:hanging="4"/>
        <w:spacing w:after="0" w:line="287" w:lineRule="auto"/>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and for so long as and to the extent that the Borrower reasonably determines in consultation with (but without the consent of) the Administrative Agent that such creation or perfection of pledges of or security interest or Guarantee would result in any material adverse Tax consequences to Holdings, the Borrower or one of their respective Subsidiaries or to any direct or indirect Parent Entity or other equityholder of any of the foregoing (including the imposition of material withholding, recording or other Taxes) and/or (iv) if the grant or perfection of a security interest in such asset would (A) be prohibited or restricted by any applicable license, franchise, charter, authorization or other applicable Requirement of Laws (including any legally effective prohibition or restriction on such grant or perfection), (B) require the consent of any applicable Governmental Authority (except to the extent such consent has been obtained), (C) violate the terms of any contract (to the extent binding on such Person or property at the time of the acquisition thereof and not incurred in contemplation of such acquisition) (in each case of (A), (B) and (C), after</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4" w:right="439" w:bottom="1440" w:gutter="0" w:footer="0" w:header="0"/>
        </w:sectPr>
      </w:pPr>
    </w:p>
    <w:bookmarkStart w:id="56" w:name="page57"/>
    <w:bookmarkEnd w:id="56"/>
    <w:p>
      <w:pPr>
        <w:jc w:val="both"/>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giving effect to the applicable anti-assignment provisions of the UCC or other similar applicable law) or (D) trigger termination of any contract pursuant to any “change of control” or similar provision (to the extent binding on such Person or property at the time of the acquisition thereof and not incurred in contemplation of such acquisition); it being understood that the Collateral shall include any proceeds and/or receivables (other than to the extent constituting Excluded Assets) arising out of any contract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iv)(C)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to the extent the assignment of such proceeds or receivables is expressly deemed effective under the UCC or other similar applicable law notwithstanding the relevant prohibition, violation or termination right, (b) Liens required to be granted from time to time pursuant to the term “Collateral and Guarantee Requirement” shall be subject to exceptions and limitations set forth herein and in the Security Documents as in effect on the Effective Date, (c) no control agreements or other control or similar arrangements shall be required with respect to any Excluded Account, (d) no perfection actions (beyond the filing of a financing statement under the Uniform Commercial Code) shall be required, nor shall the Administrative Agent or Collateral Agent be authorized to take any actions (beyond the filing of a financing statement under the Uniform Commercial Code) with respect to (A) commercial tort claims with a value less than $2,500,000,</w:t>
      </w:r>
    </w:p>
    <w:p>
      <w:pPr>
        <w:spacing w:after="0" w:line="5" w:lineRule="exact"/>
        <w:rPr>
          <w:sz w:val="20"/>
          <w:szCs w:val="20"/>
          <w:color w:val="auto"/>
        </w:rPr>
      </w:pPr>
    </w:p>
    <w:p>
      <w:pPr>
        <w:jc w:val="both"/>
        <w:ind w:left="4" w:hanging="4"/>
        <w:spacing w:after="0" w:line="285" w:lineRule="auto"/>
        <w:tabs>
          <w:tab w:leader="none" w:pos="291"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Vehicles and other assets subject to certificates of title, (C) letter of credit rights, (D) promissory notes evidencing debt for borrowed money by any Person in a principal amount individually or in an aggregate of less than $2,500,000, and (E) (i) the Equity Interests of any Immaterial Subsidiary and/or (ii) the Equity Interests of a Person that is not a subsidiary, which Person, if a Subsidiary, would constitute an Immaterial Subsidiary, including any Joint Venture that is not a Subsidiary, (e) no actions in any non-U.S. jurisdiction or required by the laws of any non-U.S. jurisdiction shall be required to be taken, nor shall the Administrative Agent be authorized to take any such action, to create any security interests in assets located or titled outside of the United States (including any Equity Interests of Foreign Subsidiaries and any Foreign Intellectual Property) or to perfect or make enforceable any security interests in any such assets (it being understood that there shall be no security agreements or pledge agreements governed under the laws of any non-U.S. jurisdiction), and (f) no Loan Party shall be required to seek any landlord lien waiver, estoppel, warehouseman waiver or other collateral access or similar letter or agreement. The Administrative Agent (in its reasonable discretion) may grant extensions of time for the creation and perfection of security interests in or the obtaining of title insurance, legal opinions or other deliverables with respect to particular assets or the provision of any Guarantee by any Subsidiary (including extensions beyond the Effective Date, the timelines set forth in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or in connection with assets acquired, or Subsidiaries formed or acquired, after the Effective Date) where it determines that such action cannot be accomplished without undue effort or expense by the time or times at which it would otherwise be required to be accomplished by this Agreement or the Security Documents.</w:t>
      </w:r>
    </w:p>
    <w:p>
      <w:pPr>
        <w:spacing w:after="0" w:line="169" w:lineRule="exact"/>
        <w:rPr>
          <w:sz w:val="20"/>
          <w:szCs w:val="20"/>
          <w:color w:val="auto"/>
        </w:rPr>
      </w:pPr>
    </w:p>
    <w:p>
      <w:pPr>
        <w:jc w:val="both"/>
        <w:ind w:left="4"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any Lender, its Incremental Commitment, its Revolving Commitment (including the 2020 Incremental Revolving Commitments, Incremental No. 3 Revolving Commitments, Incremental No. 4 Revolving Commitments, Class A Revolving Commitments and Class B Revolving Commitments), Replacement Revolving Commitment, Other Revolving Commitment of any Class, Initial Term Loan Commitment, 2020 Incremental Term Loan Commitment, 2021 Incremental Term Loan Commitment, 2021-2 Incremental Term Loan Commitment or Other Term Commitment of any Class or any combination thereof (as the context requires).</w:t>
      </w:r>
    </w:p>
    <w:p>
      <w:pPr>
        <w:spacing w:after="0" w:line="188"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means that certain Commitment Letter, dated as of August 15, 2019, by and among Blizzard Parent, LLC, Owl Rock Capital Corporation, Owl Rock Capital Corporation II, Owl Rock Technology Finance Corp. and Owl Rock Capital Advisors, LLC, MidCap Financial Trust and Benefit Street Partners L.L.C..</w:t>
      </w:r>
    </w:p>
    <w:p>
      <w:pPr>
        <w:spacing w:after="0" w:line="184" w:lineRule="exact"/>
        <w:rPr>
          <w:sz w:val="20"/>
          <w:szCs w:val="20"/>
          <w:color w:val="auto"/>
        </w:rPr>
      </w:pPr>
    </w:p>
    <w:p>
      <w:pPr>
        <w:jc w:val="center"/>
        <w:ind w:left="860" w:right="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 as amended from time to time, and any successor statute. 18</w:t>
      </w:r>
    </w:p>
    <w:p>
      <w:pPr>
        <w:sectPr>
          <w:pgSz w:w="11900" w:h="16838" w:orient="portrait"/>
          <w:cols w:equalWidth="0" w:num="1">
            <w:col w:w="11024"/>
          </w:cols>
          <w:pgMar w:left="436" w:top="274" w:right="439" w:bottom="1440" w:gutter="0" w:footer="0" w:header="0"/>
        </w:sectPr>
      </w:pPr>
    </w:p>
    <w:bookmarkStart w:id="57" w:name="page58"/>
    <w:bookmarkEnd w:id="5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Company Competitor</w:t>
      </w:r>
      <w:r>
        <w:rPr>
          <w:rFonts w:ascii="Arial" w:cs="Arial" w:eastAsia="Arial" w:hAnsi="Arial"/>
          <w:sz w:val="18"/>
          <w:szCs w:val="18"/>
          <w:color w:val="auto"/>
        </w:rPr>
        <w:t>” means any competitor of Holdings, the Borrower or any of its Subsidiaries.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Competitor Debt Fund Affiliate</w:t>
      </w:r>
      <w:r>
        <w:rPr>
          <w:rFonts w:ascii="Arial" w:cs="Arial" w:eastAsia="Arial" w:hAnsi="Arial"/>
          <w:sz w:val="16"/>
          <w:szCs w:val="16"/>
          <w:color w:val="auto"/>
        </w:rPr>
        <w:t>” means, with respect to any Company Competitor or any Affiliate thereof, any debt fund, investment vehicle, regulated bank entity or unregulated lending entity that is (i) engaged in making, purchasing, holding or otherwise investing in commercial loans and similar extensions of credit in the ordinary course of business and (ii) managed, sponsored or advised by any Person that is Controlling, Controlled by or under common Control with the relevant Company Competitor or Affiliate thereof, but only to the extent that no personnel involved with the investment in the relevant Company Competitor (A) makes (or has the right to make or participate with others in making) investment decisions on behalf of, or otherwise cause the direction of the investment policies of, such debt fund, investment vehicle, regulated bank entity or unregulated entity or (B) except in its capacity as a Lender or potential lender, has access to any information (other than information that is publicly available) relating to Holdings, the Borrower and/or any entity that forms part of any of their respective businesses (including any of their respective subsidiaries).</w:t>
      </w:r>
    </w:p>
    <w:p>
      <w:pPr>
        <w:spacing w:after="0" w:line="1"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EBITDA</w:t>
      </w:r>
      <w:r>
        <w:rPr>
          <w:rFonts w:ascii="Arial" w:cs="Arial" w:eastAsia="Arial" w:hAnsi="Arial"/>
          <w:sz w:val="18"/>
          <w:szCs w:val="18"/>
          <w:color w:val="auto"/>
        </w:rPr>
        <w:t xml:space="preserve">” means, for any period, Consolidated EBITDA,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of the net decrease in the Contract Asset Balance on the last day of such period compared to the first day of such period,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100% of the net increase in the Contract Asset Balance on the last day of such period compared to the first day of such period.</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Compliance Certificate required to be delivered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the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w:t>
      </w:r>
    </w:p>
    <w:p>
      <w:pPr>
        <w:spacing w:after="0" w:line="117" w:lineRule="exact"/>
        <w:rPr>
          <w:sz w:val="20"/>
          <w:szCs w:val="20"/>
          <w:color w:val="auto"/>
        </w:rPr>
      </w:pPr>
    </w:p>
    <w:p>
      <w:pPr>
        <w:ind w:left="440" w:right="20" w:firstLine="948"/>
        <w:spacing w:after="0" w:line="342" w:lineRule="auto"/>
        <w:tabs>
          <w:tab w:leader="none" w:pos="16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without duplication and to the extent already deducted or, in the case of clauses (v), (viii), (xiii) and (xix) below, to the extent not included (and not added back or excluded) in arriving at such Consolidated Net Income, the sum of the following amounts for such period:</w:t>
      </w:r>
    </w:p>
    <w:p>
      <w:pPr>
        <w:spacing w:after="0" w:line="15" w:lineRule="exact"/>
        <w:rPr>
          <w:rFonts w:ascii="Arial" w:cs="Arial" w:eastAsia="Arial" w:hAnsi="Arial"/>
          <w:sz w:val="16"/>
          <w:szCs w:val="16"/>
          <w:color w:val="auto"/>
        </w:rPr>
      </w:pPr>
    </w:p>
    <w:p>
      <w:pPr>
        <w:jc w:val="both"/>
        <w:ind w:left="440" w:right="20" w:firstLine="419"/>
        <w:spacing w:after="0" w:line="271" w:lineRule="auto"/>
        <w:tabs>
          <w:tab w:leader="none" w:pos="108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total interest expense and, to the extent not reflected in such total interest expense, non-cash interest payments, premium payments, debt discount, fees, charges and related expenses incurred in connection with borrowed money (including capitalized interest) or in connection with the deferred purchase price of assets, the implied interest component of synthetic leases with respect to such period, interest in respect of Financing Lease Obligations, any discounts, yield and other fees and charges (including any interest expense) related to any Permitted Receivables Financing, any losses on hedging obligations or other derivative instruments entered into for the purpose of hedging interest rate risk, net of interest income and gains on such hedging obligations or such derivative instruments, and commissions, discounts and other fees and charges owed with respect to bankers acceptances, and bank and letter of credit fees and costs of surety bonds in connection with financing activities (whether amortized or immediately expensed),</w:t>
      </w:r>
    </w:p>
    <w:p>
      <w:pPr>
        <w:spacing w:after="0" w:line="70" w:lineRule="exact"/>
        <w:rPr>
          <w:rFonts w:ascii="Arial" w:cs="Arial" w:eastAsia="Arial" w:hAnsi="Arial"/>
          <w:sz w:val="17"/>
          <w:szCs w:val="17"/>
          <w:color w:val="auto"/>
        </w:rPr>
      </w:pPr>
    </w:p>
    <w:p>
      <w:pPr>
        <w:jc w:val="both"/>
        <w:ind w:left="440" w:right="20" w:firstLine="419"/>
        <w:spacing w:after="0" w:line="286" w:lineRule="auto"/>
        <w:tabs>
          <w:tab w:leader="none" w:pos="1138"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provision for taxes based on income, profits, revenue or capital, and sales taxes, including federal, foreign and state income, franchise, excise and similar taxes based on income, profits, revenue or capital and foreign withholding taxes paid or accrued during such period (including in respect of repatriated funds) including penalties and interest related to such taxes or arising from any tax examinations,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58" w:name="page59"/>
    <w:bookmarkEnd w:id="58"/>
    <w:p>
      <w:pPr>
        <w:ind w:right="20" w:firstLine="419"/>
        <w:spacing w:after="0" w:line="277" w:lineRule="auto"/>
        <w:tabs>
          <w:tab w:leader="none" w:pos="747"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depreciation and amortization (including amortization of (A) deferred financing commissions, fees, expenses, yield or costs (including original issue discount) and (B) intangible assets, including goodwill and Capitalized Software Expenditures),</w:t>
      </w:r>
    </w:p>
    <w:p>
      <w:pPr>
        <w:spacing w:after="0" w:line="62" w:lineRule="exact"/>
        <w:rPr>
          <w:rFonts w:ascii="Arial" w:cs="Arial" w:eastAsia="Arial" w:hAnsi="Arial"/>
          <w:sz w:val="18"/>
          <w:szCs w:val="18"/>
          <w:color w:val="auto"/>
        </w:rPr>
      </w:pPr>
    </w:p>
    <w:p>
      <w:pPr>
        <w:jc w:val="both"/>
        <w:ind w:firstLine="419"/>
        <w:spacing w:after="0" w:line="279" w:lineRule="auto"/>
        <w:tabs>
          <w:tab w:leader="none" w:pos="738"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non-cash charges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if any non-cash charges represent an accrual or reserve for potential cash items in any future period, (A) the Borrower may determine not to add back such non-cash charge in the current period or (B) to the extent the Borrower decides to add back such non-cash charge, the cash payment in respect thereof in such future period shall be subtracted from Consolidated EBITDA to such extent), and excluding amortization of a prepaid cash item that was paid in a prior period,</w:t>
      </w:r>
    </w:p>
    <w:p>
      <w:pPr>
        <w:spacing w:after="0" w:line="63" w:lineRule="exact"/>
        <w:rPr>
          <w:rFonts w:ascii="Arial" w:cs="Arial" w:eastAsia="Arial" w:hAnsi="Arial"/>
          <w:sz w:val="17"/>
          <w:szCs w:val="17"/>
          <w:color w:val="auto"/>
        </w:rPr>
      </w:pPr>
    </w:p>
    <w:p>
      <w:pPr>
        <w:ind w:firstLine="419"/>
        <w:spacing w:after="0" w:line="277" w:lineRule="auto"/>
        <w:tabs>
          <w:tab w:leader="none" w:pos="7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aggregate amount of Consolidated Net Income attributable to non-controlling interests of third parties in any non wholly-owned Subsidiary, excluding cash distributions in respect thereof to the extent already included in Consolidated Net Income,</w:t>
      </w:r>
    </w:p>
    <w:p>
      <w:pPr>
        <w:spacing w:after="0" w:line="62" w:lineRule="exact"/>
        <w:rPr>
          <w:rFonts w:ascii="Arial" w:cs="Arial" w:eastAsia="Arial" w:hAnsi="Arial"/>
          <w:sz w:val="18"/>
          <w:szCs w:val="18"/>
          <w:color w:val="auto"/>
        </w:rPr>
      </w:pPr>
    </w:p>
    <w:p>
      <w:pPr>
        <w:jc w:val="both"/>
        <w:ind w:firstLine="419"/>
        <w:spacing w:after="0" w:line="286" w:lineRule="auto"/>
        <w:tabs>
          <w:tab w:leader="none" w:pos="7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the amount of management, monitoring, consulting and advisory fees, indemnities and related expenses paid or accrued in such period to (or on behalf of) any Investor (including any termination fees payable in connection with the early termination of management and monitoring agreements and any expenses paid in connection with the limited partnership agreement, unitholder agreement or similar agreement applicable to any Parent Entity (in each case, including any amortization thereof)), (B) the amount of any fees or reimbursements (including pursuant to any management agreement) of directors, officers, employees, consultants and board observers</w:t>
      </w:r>
      <w:r>
        <w:rPr>
          <w:rFonts w:ascii="Arial" w:cs="Arial" w:eastAsia="Arial" w:hAnsi="Arial"/>
          <w:sz w:val="16"/>
          <w:szCs w:val="16"/>
          <w:color w:val="FF4338"/>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(provided that the aggregate amount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of consulting fees, costs and expenses paid to the nationally recognized consulting firm identified prior to the Amendment No. 7 Effective Date to the Lenders and the Administrative Agent for any fiscal quarter ending after March 31, 2023 shall not be added back pursuant to this clause (B), but instead shall be subject to clause (a)(xx) of this definition and/or clause (b) of Consolidated Net Income),</w:t>
      </w:r>
      <w:r>
        <w:rPr>
          <w:rFonts w:ascii="Arial" w:cs="Arial" w:eastAsia="Arial" w:hAnsi="Arial"/>
          <w:sz w:val="16"/>
          <w:szCs w:val="16"/>
          <w:color w:val="0000FF"/>
        </w:rPr>
        <w:t xml:space="preserve"> </w:t>
      </w:r>
      <w:r>
        <w:rPr>
          <w:rFonts w:ascii="Arial" w:cs="Arial" w:eastAsia="Arial" w:hAnsi="Arial"/>
          <w:sz w:val="16"/>
          <w:szCs w:val="16"/>
          <w:color w:val="000000"/>
        </w:rPr>
        <w:t>(C) the amount of payments made to</w:t>
      </w:r>
      <w:r>
        <w:rPr>
          <w:rFonts w:ascii="Arial" w:cs="Arial" w:eastAsia="Arial" w:hAnsi="Arial"/>
          <w:sz w:val="16"/>
          <w:szCs w:val="16"/>
          <w:color w:val="0000FF"/>
        </w:rPr>
        <w:t xml:space="preserve"> </w:t>
      </w:r>
      <w:r>
        <w:rPr>
          <w:rFonts w:ascii="Arial" w:cs="Arial" w:eastAsia="Arial" w:hAnsi="Arial"/>
          <w:sz w:val="16"/>
          <w:szCs w:val="16"/>
          <w:color w:val="000000"/>
        </w:rPr>
        <w:t xml:space="preserve">option holders of Holdings, the Borrower or any Parent Entity in connection with, or as a result of, any distribution being made to shareholders of such Person or its direct or indirect Parent Entities, which payments are being made to compensate such option holders as though they were shareholders at the time of, and entitled to share in, such distribution, and the employer portion of any payroll taxes associated therewith, in each case to the extent permitted in the Loan Documents, and (D) amounts of the type described in clauses (A) through (C) of this </w:t>
      </w:r>
      <w:r>
        <w:rPr>
          <w:rFonts w:ascii="Arial" w:cs="Arial" w:eastAsia="Arial" w:hAnsi="Arial"/>
          <w:sz w:val="16"/>
          <w:szCs w:val="16"/>
          <w:u w:val="single" w:color="auto"/>
          <w:color w:val="000000"/>
        </w:rPr>
        <w:t>paragraph (vi)</w:t>
      </w:r>
      <w:r>
        <w:rPr>
          <w:rFonts w:ascii="Arial" w:cs="Arial" w:eastAsia="Arial" w:hAnsi="Arial"/>
          <w:sz w:val="16"/>
          <w:szCs w:val="16"/>
          <w:color w:val="000000"/>
        </w:rPr>
        <w:t xml:space="preserve"> paid or accrued on or prior to the Effective Date (and following the Effective Date, with respect to indemnification or other amounts owed in respect of arrangements in effect prior to the Effective Date) and payable to Affiliates of the Target prior to the Effective Date;</w:t>
      </w:r>
    </w:p>
    <w:p>
      <w:pPr>
        <w:spacing w:after="0" w:line="62" w:lineRule="exact"/>
        <w:rPr>
          <w:rFonts w:ascii="Arial" w:cs="Arial" w:eastAsia="Arial" w:hAnsi="Arial"/>
          <w:sz w:val="16"/>
          <w:szCs w:val="16"/>
          <w:color w:val="auto"/>
        </w:rPr>
      </w:pPr>
    </w:p>
    <w:p>
      <w:pPr>
        <w:ind w:left="780" w:hanging="361"/>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or discounts on sales of receivables and related assets in connection with any Permitted Receivables Financing,</w:t>
      </w:r>
    </w:p>
    <w:p>
      <w:pPr>
        <w:spacing w:after="0" w:line="117" w:lineRule="exact"/>
        <w:rPr>
          <w:rFonts w:ascii="Arial" w:cs="Arial" w:eastAsia="Arial" w:hAnsi="Arial"/>
          <w:sz w:val="18"/>
          <w:szCs w:val="18"/>
          <w:color w:val="auto"/>
        </w:rPr>
      </w:pPr>
    </w:p>
    <w:p>
      <w:pPr>
        <w:jc w:val="both"/>
        <w:ind w:firstLine="419"/>
        <w:spacing w:after="0" w:line="263" w:lineRule="auto"/>
        <w:tabs>
          <w:tab w:leader="none" w:pos="8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cash receipts (or any netting arrangements resulting in reduced cash expenditures) not included in the calculation of Consolidated EBITDA in any prior period to the extent non-cash gains relating to such receipts were deducted in the calculation of Consolidated EBITDA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 for any previous period and not added back,</w:t>
      </w:r>
    </w:p>
    <w:p>
      <w:pPr>
        <w:spacing w:after="0" w:line="75" w:lineRule="exact"/>
        <w:rPr>
          <w:rFonts w:ascii="Arial" w:cs="Arial" w:eastAsia="Arial" w:hAnsi="Arial"/>
          <w:sz w:val="18"/>
          <w:szCs w:val="18"/>
          <w:color w:val="auto"/>
        </w:rPr>
      </w:pPr>
    </w:p>
    <w:p>
      <w:pPr>
        <w:jc w:val="both"/>
        <w:ind w:right="20" w:firstLine="419"/>
        <w:spacing w:after="0" w:line="301" w:lineRule="auto"/>
        <w:tabs>
          <w:tab w:leader="none" w:pos="733"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any costs or expenses incurred or paid by the Borrower (or Holdings or any Parent Entity) or any Restricted Subsidiary pursuant to any management equity plan, stock option plan, “phantom” stock plans or any other management or employee benefit plan or long term incentive plan or agreement, any severance agreement or any stock subscription or shareholder agreement, non-compete agreements and other similar agreements and the employer portion of any payroll taxes associated therewith, and (B) any charge in connection with the rollover,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4989830</wp:posOffset>
            </wp:positionH>
            <wp:positionV relativeFrom="paragraph">
              <wp:posOffset>-2556510</wp:posOffset>
            </wp:positionV>
            <wp:extent cx="17227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-2419350</wp:posOffset>
            </wp:positionV>
            <wp:extent cx="67036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-2282190</wp:posOffset>
            </wp:positionV>
            <wp:extent cx="67119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-2145030</wp:posOffset>
            </wp:positionV>
            <wp:extent cx="49974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7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80"/>
          </w:cols>
          <w:pgMar w:left="880" w:top="274" w:right="439" w:bottom="1440" w:gutter="0" w:footer="0" w:header="0"/>
        </w:sectPr>
      </w:pPr>
    </w:p>
    <w:bookmarkStart w:id="59" w:name="page60"/>
    <w:bookmarkEnd w:id="59"/>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acceleration or payout of equity interests held by management and members of the board of the Borrower (or Holdings, or any Parent Entity) and the employer portion of any payroll taxes associated therewith, in each case under this </w:t>
      </w:r>
      <w:r>
        <w:rPr>
          <w:rFonts w:ascii="Arial" w:cs="Arial" w:eastAsia="Arial" w:hAnsi="Arial"/>
          <w:sz w:val="18"/>
          <w:szCs w:val="18"/>
          <w:u w:val="single" w:color="auto"/>
          <w:color w:val="auto"/>
        </w:rPr>
        <w:t>clause (B)</w:t>
      </w:r>
      <w:r>
        <w:rPr>
          <w:rFonts w:ascii="Arial" w:cs="Arial" w:eastAsia="Arial" w:hAnsi="Arial"/>
          <w:sz w:val="18"/>
          <w:szCs w:val="18"/>
          <w:color w:val="auto"/>
        </w:rPr>
        <w:t>, to the extent any such cash charge is funded with net cash proceeds contributed to the Borrower as a capital contribution or as a result of Net Proceeds of an issuance of Equity Interests (other than Disqualified Equity Interests, any “specified equity contribution” or any “excluded contribution” (other than any such excluded contribution designated for such purpose)) of the Borrower,</w:t>
      </w:r>
    </w:p>
    <w:p>
      <w:pPr>
        <w:spacing w:after="0" w:line="80" w:lineRule="exact"/>
        <w:rPr>
          <w:sz w:val="20"/>
          <w:szCs w:val="20"/>
          <w:color w:val="auto"/>
        </w:rPr>
      </w:pPr>
    </w:p>
    <w:p>
      <w:pPr>
        <w:jc w:val="both"/>
        <w:ind w:right="20" w:firstLine="419"/>
        <w:spacing w:after="0" w:line="286" w:lineRule="auto"/>
        <w:tabs>
          <w:tab w:leader="none" w:pos="69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57" w:lineRule="exact"/>
        <w:rPr>
          <w:rFonts w:ascii="Arial" w:cs="Arial" w:eastAsia="Arial" w:hAnsi="Arial"/>
          <w:sz w:val="17"/>
          <w:szCs w:val="17"/>
          <w:color w:val="auto"/>
        </w:rPr>
      </w:pPr>
    </w:p>
    <w:p>
      <w:pPr>
        <w:ind w:left="720" w:hanging="301"/>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charges attributable to, and payments of, legal settlements, fines, judgments or orders,</w:t>
      </w:r>
    </w:p>
    <w:p>
      <w:pPr>
        <w:spacing w:after="0" w:line="117" w:lineRule="exact"/>
        <w:rPr>
          <w:rFonts w:ascii="Arial" w:cs="Arial" w:eastAsia="Arial" w:hAnsi="Arial"/>
          <w:sz w:val="18"/>
          <w:szCs w:val="18"/>
          <w:color w:val="auto"/>
        </w:rPr>
      </w:pPr>
    </w:p>
    <w:p>
      <w:pPr>
        <w:jc w:val="both"/>
        <w:ind w:firstLine="419"/>
        <w:spacing w:after="0" w:line="259" w:lineRule="auto"/>
        <w:tabs>
          <w:tab w:leader="none" w:pos="784"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earn-out obligations and other post-closing obligations to sellers (including transaction tax benefit payments or to the extent accounted for as bonuses or otherwise) incurred in connection with the Transactions and/or any Acquisition Transaction or other Investment (including any acquisition or other investment consummated prior to the Effective Date) or adjustments thereof, which is paid or accrued during the applicable period,</w:t>
      </w:r>
    </w:p>
    <w:p>
      <w:pPr>
        <w:spacing w:after="0" w:line="78" w:lineRule="exact"/>
        <w:rPr>
          <w:rFonts w:ascii="Arial" w:cs="Arial" w:eastAsia="Arial" w:hAnsi="Arial"/>
          <w:sz w:val="18"/>
          <w:szCs w:val="18"/>
          <w:color w:val="auto"/>
        </w:rPr>
      </w:pPr>
    </w:p>
    <w:p>
      <w:pPr>
        <w:jc w:val="both"/>
        <w:ind w:right="20" w:firstLine="419"/>
        <w:spacing w:after="0" w:line="257" w:lineRule="auto"/>
        <w:tabs>
          <w:tab w:leader="none" w:pos="8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the extent not otherwise included in Consolidated Net Income, proceeds of business interruption insurance in an amount representing the earnings for the applicable period that such proceeds are intended to replace (whether or not then received so long as the Borrower in good faith expects to receive such proceeds within the next four fiscal quarters (it being understood that to the extent such proceeds are not actually received within such fiscal quarters, such proceeds shall be deducted in calculating Consolidated EBITDA for such fiscal quarters)),</w:t>
      </w:r>
    </w:p>
    <w:p>
      <w:pPr>
        <w:spacing w:after="0" w:line="79" w:lineRule="exact"/>
        <w:rPr>
          <w:rFonts w:ascii="Arial" w:cs="Arial" w:eastAsia="Arial" w:hAnsi="Arial"/>
          <w:sz w:val="18"/>
          <w:szCs w:val="18"/>
          <w:color w:val="auto"/>
        </w:rPr>
      </w:pPr>
    </w:p>
    <w:p>
      <w:pPr>
        <w:ind w:right="20" w:firstLine="419"/>
        <w:spacing w:after="0" w:line="277" w:lineRule="auto"/>
        <w:tabs>
          <w:tab w:leader="none" w:pos="8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of any charge or deduction associated with any Restricted Subsidiary that is attributable to any non-controlling interest or minority interest of any third party,</w:t>
      </w:r>
    </w:p>
    <w:p>
      <w:pPr>
        <w:spacing w:after="0" w:line="62" w:lineRule="exact"/>
        <w:rPr>
          <w:rFonts w:ascii="Arial" w:cs="Arial" w:eastAsia="Arial" w:hAnsi="Arial"/>
          <w:sz w:val="18"/>
          <w:szCs w:val="18"/>
          <w:color w:val="auto"/>
        </w:rPr>
      </w:pPr>
    </w:p>
    <w:p>
      <w:pPr>
        <w:jc w:val="both"/>
        <w:ind w:firstLine="419"/>
        <w:spacing w:after="0" w:line="288" w:lineRule="auto"/>
        <w:tabs>
          <w:tab w:leader="none" w:pos="793"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(A) the amount of any charge in connection with a single or one-time event, including, without limitation, in connection with the Transactions and/or any Acquisition Transaction or other Investment consummated after the Effective Date (including, without limitation, legal, accounting and other professional fees and expenses incurred in connection with acquisitions and other investments made prior to the Effective Date) and (B) charges, expenses or losses incurred in such period in connection with any Tax Restructuring (in each case, whether or not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added to Consolidated EBITDA pursuant to this clause (a)(xv), when combined, without duplication, with any amount added pursuant to </w:t>
      </w:r>
      <w:r>
        <w:rPr>
          <w:rFonts w:ascii="Arial" w:cs="Arial" w:eastAsia="Arial" w:hAnsi="Arial"/>
          <w:sz w:val="16"/>
          <w:szCs w:val="16"/>
          <w:u w:val="single" w:color="auto"/>
          <w:color w:val="auto"/>
        </w:rPr>
        <w:t>clauses (a)(xvi)</w:t>
      </w:r>
      <w:r>
        <w:rPr>
          <w:rFonts w:ascii="Arial" w:cs="Arial" w:eastAsia="Arial" w:hAnsi="Arial"/>
          <w:sz w:val="16"/>
          <w:szCs w:val="16"/>
          <w:u w:val="single" w:color="auto"/>
          <w:color w:val="0000FF"/>
        </w:rPr>
        <w:t>, (a)(xx)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of this definition, excluded pursuant to </w:t>
      </w:r>
      <w:r>
        <w:rPr>
          <w:rFonts w:ascii="Arial" w:cs="Arial" w:eastAsia="Arial" w:hAnsi="Arial"/>
          <w:sz w:val="16"/>
          <w:szCs w:val="16"/>
          <w:u w:val="single" w:color="auto"/>
          <w:color w:val="auto"/>
        </w:rPr>
        <w:t>clause</w:t>
      </w:r>
      <w:r>
        <w:rPr>
          <w:rFonts w:ascii="Arial" w:cs="Arial" w:eastAsia="Arial" w:hAnsi="Arial"/>
          <w:sz w:val="16"/>
          <w:szCs w:val="16"/>
          <w:u w:val="single" w:color="auto"/>
          <w:color w:val="0000FF"/>
        </w:rPr>
        <w:t>s</w:t>
      </w:r>
      <w:r>
        <w:rPr>
          <w:rFonts w:ascii="Arial" w:cs="Arial" w:eastAsia="Arial" w:hAnsi="Arial"/>
          <w:sz w:val="16"/>
          <w:szCs w:val="16"/>
          <w:color w:val="auto"/>
        </w:rPr>
        <w:t xml:space="preserve"> (a) </w:t>
      </w:r>
      <w:r>
        <w:rPr>
          <w:rFonts w:ascii="Arial" w:cs="Arial" w:eastAsia="Arial" w:hAnsi="Arial"/>
          <w:sz w:val="16"/>
          <w:szCs w:val="16"/>
          <w:color w:val="0000FF"/>
        </w:rPr>
        <w:t>and (b)</w:t>
      </w:r>
      <w:r>
        <w:rPr>
          <w:rFonts w:ascii="Arial" w:cs="Arial" w:eastAsia="Arial" w:hAnsi="Arial"/>
          <w:sz w:val="16"/>
          <w:szCs w:val="16"/>
          <w:color w:val="auto"/>
        </w:rPr>
        <w:t xml:space="preserve"> of the definition of “Consolidated Net Income” and included pursuant to </w:t>
      </w:r>
      <w:r>
        <w:rPr>
          <w:rFonts w:ascii="Arial" w:cs="Arial" w:eastAsia="Arial" w:hAnsi="Arial"/>
          <w:sz w:val="16"/>
          <w:szCs w:val="16"/>
          <w:u w:val="single" w:color="auto"/>
          <w:color w:val="auto"/>
        </w:rPr>
        <w:t>Section 1.11(c</w:t>
      </w:r>
      <w:r>
        <w:rPr>
          <w:rFonts w:ascii="Arial" w:cs="Arial" w:eastAsia="Arial" w:hAnsi="Arial"/>
          <w:sz w:val="16"/>
          <w:szCs w:val="16"/>
          <w:color w:val="auto"/>
        </w:rPr>
        <w:t>)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60" w:lineRule="exact"/>
        <w:rPr>
          <w:rFonts w:ascii="Arial" w:cs="Arial" w:eastAsia="Arial" w:hAnsi="Arial"/>
          <w:sz w:val="16"/>
          <w:szCs w:val="16"/>
          <w:color w:val="auto"/>
        </w:rPr>
      </w:pPr>
    </w:p>
    <w:p>
      <w:pPr>
        <w:ind w:right="20" w:firstLine="419"/>
        <w:spacing w:after="0" w:line="277" w:lineRule="auto"/>
        <w:tabs>
          <w:tab w:leader="none" w:pos="8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charges relating to the sale of products in new locations, including, without limitation, start-up costs, initial testing and registration costs in new markets, the cost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-902335</wp:posOffset>
            </wp:positionV>
            <wp:extent cx="3683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-902335</wp:posOffset>
            </wp:positionV>
            <wp:extent cx="431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6036945</wp:posOffset>
            </wp:positionH>
            <wp:positionV relativeFrom="paragraph">
              <wp:posOffset>-936625</wp:posOffset>
            </wp:positionV>
            <wp:extent cx="539115" cy="43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9115" cy="43180"/>
                    </a:xfrm>
                    <a:prstGeom prst="rect">
                      <a:avLst/>
                    </a:prstGeom>
                    <a:noFill/>
                  </pic:spPr>
                </pic:pic>
              </a:graphicData>
            </a:graphic>
          </wp:anchor>
        </w:drawing>
      </w:r>
    </w:p>
    <w:p>
      <w:pPr>
        <w:spacing w:after="0" w:line="8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80" w:top="274" w:right="439" w:bottom="1440" w:gutter="0" w:footer="0" w:header="0"/>
        </w:sectPr>
      </w:pPr>
    </w:p>
    <w:bookmarkStart w:id="60" w:name="page61"/>
    <w:bookmarkEnd w:id="60"/>
    <w:p>
      <w:pPr>
        <w:jc w:val="both"/>
        <w:ind w:left="4"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feasibility studies, travel costs for employees engaged in activities relating to any or all of the foregoing and the allocation of general and administrative support in connection with any or all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added to Consolidated EBITDA pursuant to this clause (a)(xvi), when combined, without duplication, with any amount added pursuant to clauses (a)(xv), </w:t>
      </w:r>
      <w:r>
        <w:rPr>
          <w:rFonts w:ascii="Arial" w:cs="Arial" w:eastAsia="Arial" w:hAnsi="Arial"/>
          <w:sz w:val="18"/>
          <w:szCs w:val="18"/>
          <w:u w:val="single" w:color="auto"/>
          <w:color w:val="0000FF"/>
        </w:rPr>
        <w:t>(a)(xx)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(b)(1)</w:t>
      </w:r>
      <w:r>
        <w:rPr>
          <w:rFonts w:ascii="Arial" w:cs="Arial" w:eastAsia="Arial" w:hAnsi="Arial"/>
          <w:sz w:val="18"/>
          <w:szCs w:val="18"/>
          <w:color w:val="auto"/>
        </w:rPr>
        <w:t xml:space="preserve"> of this definition, excluded pursuant to clause</w:t>
      </w:r>
      <w:r>
        <w:rPr>
          <w:rFonts w:ascii="Arial" w:cs="Arial" w:eastAsia="Arial" w:hAnsi="Arial"/>
          <w:sz w:val="18"/>
          <w:szCs w:val="18"/>
          <w:u w:val="single" w:color="auto"/>
          <w:color w:val="0000FF"/>
        </w:rPr>
        <w:t>s</w:t>
      </w:r>
      <w:r>
        <w:rPr>
          <w:rFonts w:ascii="Arial" w:cs="Arial" w:eastAsia="Arial" w:hAnsi="Arial"/>
          <w:sz w:val="18"/>
          <w:szCs w:val="18"/>
          <w:color w:val="auto"/>
        </w:rPr>
        <w:t xml:space="preserve"> (a) </w:t>
      </w:r>
      <w:r>
        <w:rPr>
          <w:rFonts w:ascii="Arial" w:cs="Arial" w:eastAsia="Arial" w:hAnsi="Arial"/>
          <w:sz w:val="18"/>
          <w:szCs w:val="18"/>
          <w:u w:val="single" w:color="auto"/>
          <w:color w:val="0000FF"/>
        </w:rPr>
        <w:t>and (b)</w:t>
      </w:r>
      <w:r>
        <w:rPr>
          <w:rFonts w:ascii="Arial" w:cs="Arial" w:eastAsia="Arial" w:hAnsi="Arial"/>
          <w:sz w:val="18"/>
          <w:szCs w:val="18"/>
          <w:color w:val="auto"/>
        </w:rPr>
        <w:t xml:space="preserve"> of the definition of “Consolidated Net Income” and included pursuant to </w:t>
      </w:r>
      <w:r>
        <w:rPr>
          <w:rFonts w:ascii="Arial" w:cs="Arial" w:eastAsia="Arial" w:hAnsi="Arial"/>
          <w:sz w:val="18"/>
          <w:szCs w:val="18"/>
          <w:u w:val="single" w:color="auto"/>
          <w:color w:val="auto"/>
        </w:rPr>
        <w:t>Section 1.11(c)</w:t>
      </w:r>
      <w:r>
        <w:rPr>
          <w:rFonts w:ascii="Arial" w:cs="Arial" w:eastAsia="Arial" w:hAnsi="Arial"/>
          <w:sz w:val="18"/>
          <w:szCs w:val="18"/>
          <w:color w:val="auto"/>
        </w:rPr>
        <w:t xml:space="preserve">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-683260</wp:posOffset>
            </wp:positionV>
            <wp:extent cx="3511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-546100</wp:posOffset>
            </wp:positionV>
            <wp:extent cx="431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-546100</wp:posOffset>
            </wp:positionV>
            <wp:extent cx="3429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64" w:lineRule="exact"/>
        <w:rPr>
          <w:sz w:val="20"/>
          <w:szCs w:val="20"/>
          <w:color w:val="auto"/>
        </w:rPr>
      </w:pPr>
    </w:p>
    <w:p>
      <w:pPr>
        <w:jc w:val="both"/>
        <w:ind w:left="4" w:firstLine="419"/>
        <w:spacing w:after="0" w:line="293" w:lineRule="auto"/>
        <w:tabs>
          <w:tab w:leader="none" w:pos="874" w:val="left"/>
        </w:tabs>
        <w:numPr>
          <w:ilvl w:val="1"/>
          <w:numId w:val="38"/>
        </w:numPr>
        <w:rPr>
          <w:rFonts w:ascii="Arial" w:cs="Arial" w:eastAsia="Arial" w:hAnsi="Arial"/>
          <w:sz w:val="16"/>
          <w:szCs w:val="16"/>
          <w:color w:val="auto"/>
        </w:rPr>
      </w:pPr>
      <w:r>
        <w:rPr>
          <w:rFonts w:ascii="Arial" w:cs="Arial" w:eastAsia="Arial" w:hAnsi="Arial"/>
          <w:sz w:val="16"/>
          <w:szCs w:val="16"/>
          <w:color w:val="auto"/>
        </w:rPr>
        <w:t>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as applicable to companies with equity or debt securities held by the public, the rules of national securities exchange companies with listed equity or debt securities, employees’, consultants’, directors’ or managers’ compensation, fees and expense reimbursement, charges relating to investor relations, shareholder meetings and reports to shareholders or debtholders, directors’ and officers’ insurance and other executive costs, legal and other professional fees and listing fees (collectively, “</w:t>
      </w:r>
      <w:r>
        <w:rPr>
          <w:rFonts w:ascii="Arial" w:cs="Arial" w:eastAsia="Arial" w:hAnsi="Arial"/>
          <w:sz w:val="16"/>
          <w:szCs w:val="16"/>
          <w:u w:val="single" w:color="auto"/>
          <w:color w:val="auto"/>
        </w:rPr>
        <w:t>Public Company Costs</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924" w:hanging="501"/>
        <w:spacing w:after="0"/>
        <w:tabs>
          <w:tab w:leader="none" w:pos="9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20" w:firstLine="419"/>
        <w:spacing w:after="0" w:line="277" w:lineRule="auto"/>
        <w:tabs>
          <w:tab w:leader="none" w:pos="8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add-backs and adjustments identified in the quality of earnings analysis prepared by PricewaterhouseCoopers LLP dated June 8, 2019 (the “</w:t>
      </w:r>
      <w:r>
        <w:rPr>
          <w:rFonts w:ascii="Arial" w:cs="Arial" w:eastAsia="Arial" w:hAnsi="Arial"/>
          <w:sz w:val="18"/>
          <w:szCs w:val="18"/>
          <w:u w:val="single" w:color="auto"/>
          <w:color w:val="auto"/>
        </w:rPr>
        <w:t>QofE Report</w:t>
      </w:r>
      <w:r>
        <w:rPr>
          <w:rFonts w:ascii="Arial" w:cs="Arial" w:eastAsia="Arial" w:hAnsi="Arial"/>
          <w:sz w:val="18"/>
          <w:szCs w:val="18"/>
          <w:color w:val="auto"/>
        </w:rPr>
        <w:t>”) and delivered to the Joint Lead Arrangers,</w:t>
      </w:r>
    </w:p>
    <w:p>
      <w:pPr>
        <w:spacing w:after="0" w:line="62" w:lineRule="exact"/>
        <w:rPr>
          <w:rFonts w:ascii="Arial" w:cs="Arial" w:eastAsia="Arial" w:hAnsi="Arial"/>
          <w:sz w:val="18"/>
          <w:szCs w:val="18"/>
          <w:color w:val="auto"/>
        </w:rPr>
      </w:pPr>
    </w:p>
    <w:p>
      <w:pPr>
        <w:jc w:val="both"/>
        <w:ind w:left="4" w:firstLine="419"/>
        <w:spacing w:after="0" w:line="284" w:lineRule="auto"/>
        <w:tabs>
          <w:tab w:leader="none" w:pos="777"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costs, expenses, charges, accruals, reserves or expenses, in each case incurred in such period and attributable to the undertaking and/or the implementation of cost savings initiatives, operating expense reductions and other similar costs restructurings, strategic initiatives and any accruals or reserves (including restructuring and integration costs related to acquisitions after the Effective Date and adjustments to existing reserves) whether or not classified as restructuring expense on the consolidated financial statements; </w:t>
      </w:r>
      <w:r>
        <w:rPr>
          <w:rFonts w:ascii="Arial" w:cs="Arial" w:eastAsia="Arial" w:hAnsi="Arial"/>
          <w:sz w:val="16"/>
          <w:szCs w:val="16"/>
          <w:color w:val="FF4338"/>
          <w:strike w:val="1"/>
        </w:rPr>
        <w:t>and</w:t>
      </w:r>
      <w:r>
        <w:rPr>
          <w:rFonts w:ascii="Arial" w:cs="Arial" w:eastAsia="Arial" w:hAnsi="Arial"/>
          <w:sz w:val="16"/>
          <w:szCs w:val="16"/>
          <w:u w:val="single" w:color="auto"/>
          <w:color w:val="0000FF"/>
        </w:rPr>
        <w:t>provided that the aggregate amount added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to Consolidated EBITDA pursuant to this clause (a)(xx) (other than the aggregate amount of vendor and real estate restructuring charges and/or costs and fees, costs, charges and expenses paid to the nationally recognized consulting firm identified prior to the Amendment No. 7 Effective Date to the Lenders and the Administrative Agent, in each case, for any fiscal quarter ending on or prior to March 31, 2023), when combined, without duplication, with any amount added pursuant to clauses (a)(xv), (a)(xvi) and (b)(1) of this definition, excluded pursuant to clauses (a) and</w:t>
      </w:r>
    </w:p>
    <w:p>
      <w:pPr>
        <w:jc w:val="both"/>
        <w:ind w:left="4" w:hanging="4"/>
        <w:spacing w:after="0" w:line="295" w:lineRule="auto"/>
        <w:tabs>
          <w:tab w:leader="none" w:pos="260" w:val="left"/>
        </w:tabs>
        <w:numPr>
          <w:ilvl w:val="0"/>
          <w:numId w:val="39"/>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of the definition of “Consolidated Net Income” and included pursuant to Section 1.11(c)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 and</w:t>
      </w:r>
    </w:p>
    <w:p>
      <w:pPr>
        <w:spacing w:after="0" w:line="53" w:lineRule="exact"/>
        <w:rPr>
          <w:rFonts w:ascii="Arial" w:cs="Arial" w:eastAsia="Arial" w:hAnsi="Arial"/>
          <w:sz w:val="16"/>
          <w:szCs w:val="16"/>
          <w:u w:val="single" w:color="auto"/>
          <w:color w:val="0000FF"/>
        </w:rPr>
      </w:pPr>
    </w:p>
    <w:p>
      <w:pPr>
        <w:ind w:left="4" w:firstLine="419"/>
        <w:spacing w:after="0" w:line="277" w:lineRule="auto"/>
        <w:tabs>
          <w:tab w:leader="none" w:pos="829" w:val="left"/>
        </w:tabs>
        <w:numPr>
          <w:ilvl w:val="1"/>
          <w:numId w:val="39"/>
        </w:numPr>
        <w:rPr>
          <w:rFonts w:ascii="Arial" w:cs="Arial" w:eastAsia="Arial" w:hAnsi="Arial"/>
          <w:sz w:val="18"/>
          <w:szCs w:val="18"/>
          <w:color w:val="auto"/>
        </w:rPr>
      </w:pPr>
      <w:r>
        <w:rPr>
          <w:rFonts w:ascii="Arial" w:cs="Arial" w:eastAsia="Arial" w:hAnsi="Arial"/>
          <w:sz w:val="18"/>
          <w:szCs w:val="18"/>
          <w:color w:val="auto"/>
        </w:rPr>
        <w:t>operating expenses incurred on or prior to the Effective Date attributable to (A) salary obligations paid to employees terminated prior to the Effective Date and (B) wages paid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4786630</wp:posOffset>
            </wp:positionH>
            <wp:positionV relativeFrom="paragraph">
              <wp:posOffset>-1450975</wp:posOffset>
            </wp:positionV>
            <wp:extent cx="19202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202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-1313815</wp:posOffset>
            </wp:positionV>
            <wp:extent cx="67119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-1176655</wp:posOffset>
            </wp:positionV>
            <wp:extent cx="67036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-1039495</wp:posOffset>
            </wp:positionV>
            <wp:extent cx="67119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-902335</wp:posOffset>
            </wp:positionV>
            <wp:extent cx="67119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-765175</wp:posOffset>
            </wp:positionV>
            <wp:extent cx="67119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-628015</wp:posOffset>
            </wp:positionV>
            <wp:extent cx="67036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-490855</wp:posOffset>
            </wp:positionV>
            <wp:extent cx="670369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62147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83"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84"/>
          </w:cols>
          <w:pgMar w:left="876" w:top="274" w:right="439" w:bottom="1440" w:gutter="0" w:footer="0" w:header="0"/>
        </w:sectPr>
      </w:pPr>
    </w:p>
    <w:bookmarkStart w:id="61" w:name="page62"/>
    <w:bookmarkEnd w:id="6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executives in excess of the amounts the Borrower is required to pay pursuant to its employment agreements,</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jc w:val="both"/>
        <w:ind w:left="440" w:firstLine="419"/>
        <w:spacing w:after="0" w:line="282" w:lineRule="auto"/>
        <w:tabs>
          <w:tab w:leader="none" w:pos="1118"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(1) without duplication, the amount of “run rate” cost savings, operating expense reductions and synergies related to the Transactions and any Specified Transaction, any restructuring, cost saving initiative or other initiative that are projected by the Borrower in good faith to be realized as a result of actions that have been taken or initiated or are expected to be taken or initiated on or prior to the date that six fiscal quarters after the date of consummation of the Transactions, such Specified Transaction, restructuring, cost saving initiative or other initiative, in each case, as applicable, including any cost savings, expenses and charges (including restructuring and integration charges) in connection with, or incurred by or on behalf of, any Joint Venture of the Borrower or any of the Restricted Subsidiaries (whether accounted for on the financial statements of any such Joint Venture or the Borrower; provided that the share of any such “run rate” cost savings, operating expense reductions and synergies with respect to a Joint Venture that are to be allocated to the Borrower or any of the Restricted Subsidiaries shall not exceed the total amount thereof for any such Joint Venture multiplied by the percentage of income of such Joint Venture reasonably projected by the Borrower in good faith to be included in Consolidated Net Income for the relevant Test Period) with respect to any of the Transactions, Specified Transaction and any restructuring, cost saving initiative or other initiative (which cost savings shall be added to Consolidated EBITDA for each Test Period until fully realized and shall be calculated on a pro forma basis as though such cost savings had been realized on the first day of the relevant Test Period, net of the amount of actual benefits realized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cost savings are reasonably identifiable and factually supportable and (B) no cost savings, operating expense reductions or synergies shall be added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to the extent duplicative of any expenses or charges relating to such cost savings, operating expense reductions or synergies that are included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or otherwise added back in the computation of Consolidated EBITDA (whether through a pro forma adjustment or otherwise) for such period (it being understood and agreed that “run rate” shall mean the full recurring benefit that is associated with any action taken) and (C) the aggregate amount added to Consolidated EBITDA pursuant to this clause (b)(1), when combined, without duplication, with any amount added pursuant to </w:t>
      </w:r>
      <w:r>
        <w:rPr>
          <w:rFonts w:ascii="Arial" w:cs="Arial" w:eastAsia="Arial" w:hAnsi="Arial"/>
          <w:sz w:val="16"/>
          <w:szCs w:val="16"/>
          <w:u w:val="single" w:color="auto"/>
          <w:color w:val="auto"/>
        </w:rPr>
        <w:t>clauses (a)(xv)</w:t>
      </w:r>
      <w:r>
        <w:rPr>
          <w:rFonts w:ascii="Arial" w:cs="Arial" w:eastAsia="Arial" w:hAnsi="Arial"/>
          <w:sz w:val="16"/>
          <w:szCs w:val="16"/>
          <w:color w:val="auto"/>
        </w:rPr>
        <w:t xml:space="preserve"> </w:t>
      </w:r>
      <w:r>
        <w:rPr>
          <w:rFonts w:ascii="Arial" w:cs="Arial" w:eastAsia="Arial" w:hAnsi="Arial"/>
          <w:sz w:val="16"/>
          <w:szCs w:val="16"/>
          <w:color w:val="FF4338"/>
        </w:rPr>
        <w:t>and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(a)(xvi)</w:t>
      </w:r>
      <w:r>
        <w:rPr>
          <w:rFonts w:ascii="Arial" w:cs="Arial" w:eastAsia="Arial" w:hAnsi="Arial"/>
          <w:sz w:val="16"/>
          <w:szCs w:val="16"/>
          <w:color w:val="auto"/>
        </w:rPr>
        <w:t xml:space="preserve"> </w:t>
      </w:r>
      <w:r>
        <w:rPr>
          <w:rFonts w:ascii="Arial" w:cs="Arial" w:eastAsia="Arial" w:hAnsi="Arial"/>
          <w:sz w:val="16"/>
          <w:szCs w:val="16"/>
          <w:color w:val="0000FF"/>
        </w:rPr>
        <w:t>and (a)(xx)</w:t>
      </w:r>
      <w:r>
        <w:rPr>
          <w:rFonts w:ascii="Arial" w:cs="Arial" w:eastAsia="Arial" w:hAnsi="Arial"/>
          <w:sz w:val="16"/>
          <w:szCs w:val="16"/>
          <w:color w:val="auto"/>
        </w:rPr>
        <w:t xml:space="preserve"> of this definition, excluded pursuant to </w:t>
      </w:r>
      <w:r>
        <w:rPr>
          <w:rFonts w:ascii="Arial" w:cs="Arial" w:eastAsia="Arial" w:hAnsi="Arial"/>
          <w:sz w:val="16"/>
          <w:szCs w:val="16"/>
          <w:u w:val="single" w:color="auto"/>
          <w:color w:val="auto"/>
        </w:rPr>
        <w:t>clause</w:t>
      </w:r>
      <w:r>
        <w:rPr>
          <w:rFonts w:ascii="Arial" w:cs="Arial" w:eastAsia="Arial" w:hAnsi="Arial"/>
          <w:sz w:val="16"/>
          <w:szCs w:val="16"/>
          <w:u w:val="single" w:color="auto"/>
          <w:color w:val="0000FF"/>
        </w:rPr>
        <w:t>s</w:t>
      </w:r>
      <w:r>
        <w:rPr>
          <w:rFonts w:ascii="Arial" w:cs="Arial" w:eastAsia="Arial" w:hAnsi="Arial"/>
          <w:sz w:val="16"/>
          <w:szCs w:val="16"/>
          <w:color w:val="auto"/>
        </w:rPr>
        <w:t xml:space="preserve"> (a) </w:t>
      </w:r>
      <w:r>
        <w:rPr>
          <w:rFonts w:ascii="Arial" w:cs="Arial" w:eastAsia="Arial" w:hAnsi="Arial"/>
          <w:sz w:val="16"/>
          <w:szCs w:val="16"/>
          <w:color w:val="0000FF"/>
        </w:rPr>
        <w:t>and (b)</w:t>
      </w:r>
      <w:r>
        <w:rPr>
          <w:rFonts w:ascii="Arial" w:cs="Arial" w:eastAsia="Arial" w:hAnsi="Arial"/>
          <w:sz w:val="16"/>
          <w:szCs w:val="16"/>
          <w:color w:val="auto"/>
        </w:rPr>
        <w:t xml:space="preserve"> of the definition of “Consolidated Net Income” and included pursuant to </w:t>
      </w:r>
      <w:r>
        <w:rPr>
          <w:rFonts w:ascii="Arial" w:cs="Arial" w:eastAsia="Arial" w:hAnsi="Arial"/>
          <w:sz w:val="16"/>
          <w:szCs w:val="16"/>
          <w:u w:val="single" w:color="auto"/>
          <w:color w:val="auto"/>
        </w:rPr>
        <w:t>Section 1.11(c)</w:t>
      </w:r>
      <w:r>
        <w:rPr>
          <w:rFonts w:ascii="Arial" w:cs="Arial" w:eastAsia="Arial" w:hAnsi="Arial"/>
          <w:sz w:val="16"/>
          <w:szCs w:val="16"/>
          <w:color w:val="auto"/>
        </w:rPr>
        <w:t xml:space="preserve"> for any Test Period shall not exceed (x) for purpose of any calculation of Consolidated EBITDA under this Agreement, an amount equal to 20.0% of Consolidated EBITDA for such Test Period (calculated prior to giving effect to such add-backs) and</w:t>
      </w:r>
    </w:p>
    <w:p>
      <w:pPr>
        <w:spacing w:after="0" w:line="10" w:lineRule="exact"/>
        <w:rPr>
          <w:rFonts w:ascii="Arial" w:cs="Arial" w:eastAsia="Arial" w:hAnsi="Arial"/>
          <w:sz w:val="16"/>
          <w:szCs w:val="16"/>
          <w:color w:val="auto"/>
        </w:rPr>
      </w:pPr>
    </w:p>
    <w:p>
      <w:pPr>
        <w:jc w:val="both"/>
        <w:ind w:left="440" w:hanging="4"/>
        <w:spacing w:after="0" w:line="255" w:lineRule="auto"/>
        <w:tabs>
          <w:tab w:leader="none" w:pos="7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purposes of any calculation of Consolidated Cash EBITDA under this Agreement, an amount equal to 25.0% of Consolidated Cash EBITDA for such Test Period (calculated prior to giving effect to such add-backs) and (2) other adjustments and add-backs calculated in accordance with Regulation 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-761365</wp:posOffset>
            </wp:positionV>
            <wp:extent cx="1936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-683895</wp:posOffset>
            </wp:positionV>
            <wp:extent cx="260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-683895</wp:posOffset>
            </wp:positionV>
            <wp:extent cx="5397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-718185</wp:posOffset>
            </wp:positionV>
            <wp:extent cx="5391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9115" cy="889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-683895</wp:posOffset>
            </wp:positionV>
            <wp:extent cx="431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-718185</wp:posOffset>
            </wp:positionV>
            <wp:extent cx="510540" cy="43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0540" cy="43180"/>
                    </a:xfrm>
                    <a:prstGeom prst="rect">
                      <a:avLst/>
                    </a:prstGeom>
                    <a:noFill/>
                  </pic:spPr>
                </pic:pic>
              </a:graphicData>
            </a:graphic>
          </wp:anchor>
        </w:drawing>
      </w:r>
    </w:p>
    <w:p>
      <w:pPr>
        <w:spacing w:after="0" w:line="62" w:lineRule="exact"/>
        <w:rPr>
          <w:sz w:val="20"/>
          <w:szCs w:val="20"/>
          <w:color w:val="auto"/>
        </w:rPr>
      </w:pPr>
    </w:p>
    <w:p>
      <w:pPr>
        <w:ind w:left="1380"/>
        <w:spacing w:after="0"/>
        <w:rPr>
          <w:sz w:val="20"/>
          <w:szCs w:val="20"/>
          <w:color w:val="auto"/>
        </w:rPr>
      </w:pPr>
      <w:r>
        <w:rPr>
          <w:rFonts w:ascii="Arial" w:cs="Arial" w:eastAsia="Arial" w:hAnsi="Arial"/>
          <w:sz w:val="18"/>
          <w:szCs w:val="18"/>
          <w:u w:val="single" w:color="auto"/>
          <w:color w:val="auto"/>
        </w:rPr>
        <w:t>less</w:t>
      </w:r>
    </w:p>
    <w:p>
      <w:pPr>
        <w:spacing w:after="0" w:line="117" w:lineRule="exact"/>
        <w:rPr>
          <w:sz w:val="20"/>
          <w:szCs w:val="20"/>
          <w:color w:val="auto"/>
        </w:rPr>
      </w:pPr>
    </w:p>
    <w:p>
      <w:pPr>
        <w:ind w:firstLine="436"/>
        <w:spacing w:after="0" w:line="277" w:lineRule="auto"/>
        <w:tabs>
          <w:tab w:leader="none" w:pos="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without duplication and (other than with respect to clauses (ii) and (iii) below) to the extent included in arriving at such Consolidated Net Income, the sum of the following amounts for such period:</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083"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non-cash gains (excluding any non-cash gain to the extent it represents the reversal of an accrual or reserve for a potential cash item that reduced Consolidated Net Income or Consolidated EBITDA in any prior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62" w:name="page63"/>
    <w:bookmarkEnd w:id="62"/>
    <w:p>
      <w:pPr>
        <w:ind w:left="440" w:right="20" w:firstLine="419"/>
        <w:spacing w:after="0" w:line="308" w:lineRule="auto"/>
        <w:tabs>
          <w:tab w:leader="none" w:pos="1144" w:val="left"/>
        </w:tabs>
        <w:numPr>
          <w:ilvl w:val="0"/>
          <w:numId w:val="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any non-controlling interest consisting of loss attributable to non-controlling interests of third parties in any Restricted Subsidiary that is not a wholly owned subsidiary added to and not deducted in such period from Consolidated Net Income,</w:t>
      </w:r>
    </w:p>
    <w:p>
      <w:pPr>
        <w:spacing w:after="0" w:line="38" w:lineRule="exact"/>
        <w:rPr>
          <w:rFonts w:ascii="Arial" w:cs="Arial" w:eastAsia="Arial" w:hAnsi="Arial"/>
          <w:sz w:val="17"/>
          <w:szCs w:val="17"/>
          <w:color w:val="auto"/>
        </w:rPr>
      </w:pPr>
    </w:p>
    <w:p>
      <w:pPr>
        <w:jc w:val="both"/>
        <w:ind w:left="440" w:right="20" w:firstLine="419"/>
        <w:spacing w:after="0" w:line="263" w:lineRule="auto"/>
        <w:tabs>
          <w:tab w:leader="none" w:pos="1181"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 expenditures (or any netting arrangements resulting in increased cash expenditures) not representing Consolidated EBITDA in any period to the extent non-cash losses relating to such expenditures were added to the calculation of Consolidated EBITDA for any previous periods and not subtracted back; and</w:t>
      </w:r>
    </w:p>
    <w:p>
      <w:pPr>
        <w:spacing w:after="0" w:line="75" w:lineRule="exact"/>
        <w:rPr>
          <w:rFonts w:ascii="Arial" w:cs="Arial" w:eastAsia="Arial" w:hAnsi="Arial"/>
          <w:sz w:val="18"/>
          <w:szCs w:val="18"/>
          <w:color w:val="auto"/>
        </w:rPr>
      </w:pPr>
    </w:p>
    <w:p>
      <w:pPr>
        <w:jc w:val="both"/>
        <w:ind w:left="440" w:right="20" w:firstLine="419"/>
        <w:spacing w:after="0" w:line="257" w:lineRule="auto"/>
        <w:tabs>
          <w:tab w:leader="none" w:pos="11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interest expense and principal payments made by any Receivables Subsidiary in respect of any Permitted Receivables Financing, but excluding (A) payments of principal to the extent effecting a Refinancing thereof or (B) any other prepayment of any such Permitted Receivables Financing, but only to the extent that any remaining Permitted Receivables Financing Assets formerly subject to any such Permitted Refinancing Facility are transferred by the Receivables Subsidiary to a the Borrower or a Restricted Subsidiary (other than a Receivables Subsidiary) in connection with such prepayment,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 each case, as determined on a consolidated basis for the Borrower and the Restricted Subsidiaries in accordance with GAAP; provided that:</w:t>
      </w:r>
    </w:p>
    <w:p>
      <w:pPr>
        <w:spacing w:after="0" w:line="129" w:lineRule="exact"/>
        <w:rPr>
          <w:sz w:val="20"/>
          <w:szCs w:val="20"/>
          <w:color w:val="auto"/>
        </w:rPr>
      </w:pPr>
    </w:p>
    <w:p>
      <w:pPr>
        <w:jc w:val="both"/>
        <w:ind w:left="440" w:firstLine="419"/>
        <w:spacing w:after="0" w:line="290" w:lineRule="auto"/>
        <w:tabs>
          <w:tab w:leader="none" w:pos="10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there shall be included in determining Consolidated EBITDA for any period, without duplication, the Acquired EBITDA of any Person, property, business or asset acquired by the Borrower or any Restricted Subsidiary during such period (other than any Unrestricted Subsidiary) whether such acquisition occurred before or after the Effective Date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Effective Date, and not subsequently so disposed of, an “</w:t>
      </w:r>
      <w:r>
        <w:rPr>
          <w:rFonts w:ascii="Arial" w:cs="Arial" w:eastAsia="Arial" w:hAnsi="Arial"/>
          <w:sz w:val="16"/>
          <w:szCs w:val="16"/>
          <w:u w:val="single" w:color="auto"/>
          <w:color w:val="auto"/>
        </w:rPr>
        <w:t>Acquired Entity or Business</w:t>
      </w:r>
      <w:r>
        <w:rPr>
          <w:rFonts w:ascii="Arial" w:cs="Arial" w:eastAsia="Arial" w:hAnsi="Arial"/>
          <w:sz w:val="16"/>
          <w:szCs w:val="16"/>
          <w:color w:val="auto"/>
        </w:rPr>
        <w:t>”), and the Acquired EBITDA of any Unrestricted Subsidiary that is converted into a Restricted Subsidiary during such period (each, a “</w:t>
      </w:r>
      <w:r>
        <w:rPr>
          <w:rFonts w:ascii="Arial" w:cs="Arial" w:eastAsia="Arial" w:hAnsi="Arial"/>
          <w:sz w:val="16"/>
          <w:szCs w:val="16"/>
          <w:u w:val="single" w:color="auto"/>
          <w:color w:val="auto"/>
        </w:rPr>
        <w:t>Converted Restricted Subsidiary</w:t>
      </w:r>
      <w:r>
        <w:rPr>
          <w:rFonts w:ascii="Arial" w:cs="Arial" w:eastAsia="Arial" w:hAnsi="Arial"/>
          <w:sz w:val="16"/>
          <w:szCs w:val="16"/>
          <w:color w:val="auto"/>
        </w:rPr>
        <w:t>”), in each case based on the Acquired EBITDA of such Pro Forma Entity for such period (including the portion thereof occurring prior to such acquisition or conversion) determined on a historical pro forma basis,</w:t>
      </w:r>
    </w:p>
    <w:p>
      <w:pPr>
        <w:spacing w:after="0" w:line="57" w:lineRule="exact"/>
        <w:rPr>
          <w:sz w:val="20"/>
          <w:szCs w:val="20"/>
          <w:color w:val="auto"/>
        </w:rPr>
      </w:pPr>
    </w:p>
    <w:p>
      <w:pPr>
        <w:jc w:val="both"/>
        <w:ind w:left="440" w:right="20" w:firstLine="419"/>
        <w:spacing w:after="0" w:line="290" w:lineRule="auto"/>
        <w:tabs>
          <w:tab w:leader="none" w:pos="115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there shall be excluded in determining Consolidated EBITDA for any period the Disposed EBITDA of any Person, property, business or asset (other than any Unrestricted Subsidiary) sold, transferred or otherwise disposed of, closed or classified as discontinued operations by the Borrower or any Restricted Subsidiary during such period (but if such operations are classified as discontinued due to the fact that they are subject to an agreement to dispose of such operations, only when and to the extent such operations are actually disposed of) (each such Person, property, business or asset so sold, transferred or otherwise disposed of, closed or classified, a “</w:t>
      </w:r>
      <w:r>
        <w:rPr>
          <w:rFonts w:ascii="Arial" w:cs="Arial" w:eastAsia="Arial" w:hAnsi="Arial"/>
          <w:sz w:val="16"/>
          <w:szCs w:val="16"/>
          <w:u w:val="single" w:color="auto"/>
          <w:color w:val="auto"/>
        </w:rPr>
        <w:t>Sold Entity or Business</w:t>
      </w:r>
      <w:r>
        <w:rPr>
          <w:rFonts w:ascii="Arial" w:cs="Arial" w:eastAsia="Arial" w:hAnsi="Arial"/>
          <w:sz w:val="16"/>
          <w:szCs w:val="16"/>
          <w:color w:val="auto"/>
        </w:rPr>
        <w:t>”), and the Disposed EBITDA of any Restricted Subsidiary that is converted into an Unrestricted Subsidiary during such period (each, a “</w:t>
      </w:r>
      <w:r>
        <w:rPr>
          <w:rFonts w:ascii="Arial" w:cs="Arial" w:eastAsia="Arial" w:hAnsi="Arial"/>
          <w:sz w:val="16"/>
          <w:szCs w:val="16"/>
          <w:u w:val="single" w:color="auto"/>
          <w:color w:val="auto"/>
        </w:rPr>
        <w:t>Converted Unrestricted Subsidiary</w:t>
      </w:r>
      <w:r>
        <w:rPr>
          <w:rFonts w:ascii="Arial" w:cs="Arial" w:eastAsia="Arial" w:hAnsi="Arial"/>
          <w:sz w:val="16"/>
          <w:szCs w:val="16"/>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w:t>
      </w:r>
    </w:p>
    <w:p>
      <w:pPr>
        <w:spacing w:after="0" w:line="57" w:lineRule="exact"/>
        <w:rPr>
          <w:sz w:val="20"/>
          <w:szCs w:val="20"/>
          <w:color w:val="auto"/>
        </w:rPr>
      </w:pPr>
    </w:p>
    <w:p>
      <w:pPr>
        <w:ind w:left="440" w:right="20" w:firstLine="419"/>
        <w:spacing w:after="0" w:line="308" w:lineRule="auto"/>
        <w:tabs>
          <w:tab w:leader="none" w:pos="12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Consolidated EBITDA shall be </w:t>
      </w:r>
      <w:r>
        <w:rPr>
          <w:rFonts w:ascii="Arial" w:cs="Arial" w:eastAsia="Arial" w:hAnsi="Arial"/>
          <w:sz w:val="17"/>
          <w:szCs w:val="17"/>
          <w:i w:val="1"/>
          <w:iCs w:val="1"/>
          <w:color w:val="auto"/>
        </w:rPr>
        <w:t>increased</w:t>
      </w:r>
      <w:r>
        <w:rPr>
          <w:rFonts w:ascii="Arial" w:cs="Arial" w:eastAsia="Arial" w:hAnsi="Arial"/>
          <w:sz w:val="17"/>
          <w:szCs w:val="17"/>
          <w:color w:val="auto"/>
        </w:rPr>
        <w:t xml:space="preserve"> (with respect to losses) or </w:t>
      </w:r>
      <w:r>
        <w:rPr>
          <w:rFonts w:ascii="Arial" w:cs="Arial" w:eastAsia="Arial" w:hAnsi="Arial"/>
          <w:sz w:val="17"/>
          <w:szCs w:val="17"/>
          <w:i w:val="1"/>
          <w:iCs w:val="1"/>
          <w:color w:val="auto"/>
        </w:rPr>
        <w:t>decreased</w:t>
      </w:r>
      <w:r>
        <w:rPr>
          <w:rFonts w:ascii="Arial" w:cs="Arial" w:eastAsia="Arial" w:hAnsi="Arial"/>
          <w:sz w:val="17"/>
          <w:szCs w:val="17"/>
          <w:color w:val="auto"/>
        </w:rPr>
        <w:t xml:space="preserve"> (with respect to gains) by, without duplication, any net realized gains and losses relating to (i) amounts denominated in foreign currencies resulting from the application of FASB ASC 830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63" w:name="page64"/>
    <w:bookmarkEnd w:id="63"/>
    <w:p>
      <w:pPr>
        <w:jc w:val="both"/>
        <w:ind w:left="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net realized gains and losses from exchange rate fluctuations on intercompany balances and balance sheet items, net of realized gains or losses from related Swap Agreements (entered into in the ordinary course of business or consistent with past practice)) or (ii) any other amounts denominated in or otherwise trued-up to provide similar accounting as if it were denominated in foreign currencies.</w:t>
      </w:r>
    </w:p>
    <w:p>
      <w:pPr>
        <w:spacing w:after="0" w:line="16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 xml:space="preserve">Notwithstanding the foregoing, but subject to any adjustment as set forth above in clauses (I) and (II) of the immediately preceding proviso with respect to Acquisitions and Dispositions occurring prior to, on and following the Effective Date and other adjustments contemplated by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Consolidated EBITDA shall be $5,200,000, $19,500,000, $13,000,000 and $135,700,000 for the fiscal quarters ended March 31, 2019, June 30, 2019, September 30, 2019 and December 31, 2019, respectively.</w:t>
      </w:r>
    </w:p>
    <w:p>
      <w:pPr>
        <w:spacing w:after="0" w:line="187"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the Net Income of the Borrower and the Restricted Subsidiaries for such period determined on a consolidated basis in accordance with GAAP, excluding, without duplication:</w:t>
      </w:r>
    </w:p>
    <w:p>
      <w:pPr>
        <w:spacing w:after="0" w:line="62" w:lineRule="exact"/>
        <w:rPr>
          <w:sz w:val="20"/>
          <w:szCs w:val="20"/>
          <w:color w:val="auto"/>
        </w:rPr>
      </w:pPr>
    </w:p>
    <w:p>
      <w:pPr>
        <w:jc w:val="both"/>
        <w:ind w:firstLine="436"/>
        <w:spacing w:after="0" w:line="291" w:lineRule="auto"/>
        <w:tabs>
          <w:tab w:leader="none" w:pos="692"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extraordinary, exceptional, unusual or non-recurring gains or losses (less all fees and expenses relating thereto) or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excluded pursuant to clause (a) of this definition, when combined, without duplication, with amounts added to Consolidated EBITDA pursuant to </w:t>
      </w:r>
      <w:r>
        <w:rPr>
          <w:rFonts w:ascii="Arial" w:cs="Arial" w:eastAsia="Arial" w:hAnsi="Arial"/>
          <w:sz w:val="16"/>
          <w:szCs w:val="16"/>
          <w:u w:val="single" w:color="auto"/>
          <w:color w:val="auto"/>
        </w:rPr>
        <w:t>clauses (a)(xv)</w:t>
      </w:r>
      <w:r>
        <w:rPr>
          <w:rFonts w:ascii="Arial" w:cs="Arial" w:eastAsia="Arial" w:hAnsi="Arial"/>
          <w:sz w:val="16"/>
          <w:szCs w:val="16"/>
          <w:color w:val="auto"/>
        </w:rPr>
        <w:t xml:space="preserve">, </w:t>
      </w:r>
      <w:r>
        <w:rPr>
          <w:rFonts w:ascii="Arial" w:cs="Arial" w:eastAsia="Arial" w:hAnsi="Arial"/>
          <w:sz w:val="16"/>
          <w:szCs w:val="16"/>
          <w:u w:val="single" w:color="auto"/>
          <w:color w:val="auto"/>
        </w:rPr>
        <w:t>(a)(xvi)</w:t>
      </w:r>
      <w:r>
        <w:rPr>
          <w:rFonts w:ascii="Arial" w:cs="Arial" w:eastAsia="Arial" w:hAnsi="Arial"/>
          <w:sz w:val="16"/>
          <w:szCs w:val="16"/>
          <w:u w:val="single" w:color="auto"/>
          <w:color w:val="0000FF"/>
        </w:rPr>
        <w:t>, (a)(xx)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(b)(1)</w:t>
      </w:r>
      <w:r>
        <w:rPr>
          <w:rFonts w:ascii="Arial" w:cs="Arial" w:eastAsia="Arial" w:hAnsi="Arial"/>
          <w:sz w:val="16"/>
          <w:szCs w:val="16"/>
          <w:color w:val="auto"/>
        </w:rPr>
        <w:t xml:space="preserve"> of the definition of “Consolidated EBITDA</w:t>
      </w:r>
      <w:r>
        <w:rPr>
          <w:rFonts w:ascii="Arial" w:cs="Arial" w:eastAsia="Arial" w:hAnsi="Arial"/>
          <w:sz w:val="16"/>
          <w:szCs w:val="16"/>
          <w:u w:val="single" w:color="auto"/>
          <w:color w:val="0000FF"/>
        </w:rPr>
        <w:t>”, excluded pursuant to clause (b) of the definition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“Consolidated Net Income</w:t>
      </w:r>
      <w:r>
        <w:rPr>
          <w:rFonts w:ascii="Arial" w:cs="Arial" w:eastAsia="Arial" w:hAnsi="Arial"/>
          <w:sz w:val="16"/>
          <w:szCs w:val="16"/>
          <w:color w:val="000000"/>
        </w:rPr>
        <w:t>” and included pursuant to</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 1.11(c)</w:t>
      </w:r>
      <w:r>
        <w:rPr>
          <w:rFonts w:ascii="Arial" w:cs="Arial" w:eastAsia="Arial" w:hAnsi="Arial"/>
          <w:sz w:val="16"/>
          <w:szCs w:val="16"/>
          <w:color w:val="000000"/>
        </w:rPr>
        <w:t>, in each case, for any Test Period shall not exceed (x) for purpose of any</w:t>
      </w:r>
      <w:r>
        <w:rPr>
          <w:rFonts w:ascii="Arial" w:cs="Arial" w:eastAsia="Arial" w:hAnsi="Arial"/>
          <w:sz w:val="16"/>
          <w:szCs w:val="16"/>
          <w:color w:val="0000FF"/>
        </w:rPr>
        <w:t xml:space="preserve"> </w:t>
      </w:r>
      <w:r>
        <w:rPr>
          <w:rFonts w:ascii="Arial" w:cs="Arial" w:eastAsia="Arial" w:hAnsi="Arial"/>
          <w:sz w:val="16"/>
          <w:szCs w:val="16"/>
          <w:color w:val="000000"/>
        </w:rPr>
        <w:t>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58" w:lineRule="exact"/>
        <w:rPr>
          <w:rFonts w:ascii="Arial" w:cs="Arial" w:eastAsia="Arial" w:hAnsi="Arial"/>
          <w:sz w:val="16"/>
          <w:szCs w:val="16"/>
          <w:color w:val="auto"/>
        </w:rPr>
      </w:pPr>
    </w:p>
    <w:p>
      <w:pPr>
        <w:jc w:val="both"/>
        <w:ind w:firstLine="436"/>
        <w:spacing w:after="0" w:line="285" w:lineRule="auto"/>
        <w:tabs>
          <w:tab w:leader="none" w:pos="717"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restructuring charges, severance costs, security, relocation costs, integration and facilities’ opening costs, redundancy charges, any charges relating to any Tax Restructuring, business optimization charges, including related to new product introductions, systems implementation charges, charges relating to entry into a new market, consulting charges, product and intellectual property development, software development charges, charges associated with new systems design, project startup charges, information technology charges, charges in connection with new operations, corporate development charges, recruiting fees, signing costs, retention or completion bonuses (and the employer portion of any payroll taxes associated therewith), transition costs, costs (including in respect of employees and management) related to establishing new facilities or reserves or related to discontinuation/closure/consolidation of facilities, internal costs in respect of strategic initiatives, duplicative rent expense, implementation of any enhanced accounting function (including in connection with becoming a standalone entity or public company) and curtailments or modifications to pension and post-retirement employee benefit plans (including any settlement of multi-employer plan or pension liabilities), in each case, incurred during such period</w:t>
      </w:r>
      <w:r>
        <w:rPr>
          <w:rFonts w:ascii="Arial" w:cs="Arial" w:eastAsia="Arial" w:hAnsi="Arial"/>
          <w:sz w:val="16"/>
          <w:szCs w:val="16"/>
          <w:color w:val="FF4338"/>
          <w:strike w:val="1"/>
        </w:rPr>
        <w:t>,</w:t>
      </w:r>
      <w:r>
        <w:rPr>
          <w:rFonts w:ascii="Arial" w:cs="Arial" w:eastAsia="Arial" w:hAnsi="Arial"/>
          <w:sz w:val="16"/>
          <w:szCs w:val="16"/>
          <w:u w:val="single" w:color="auto"/>
          <w:color w:val="0000FF"/>
        </w:rPr>
        <w:t>; provided that the aggregate amount excluded pursuant to clause (b) of this definition (other than the aggregate amount of vendor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 real estate restructuring charges and/or costs and fees, costs, charges and expenses paid to the nationally recognized consulting firm identified prior to the Amendment No. 7 Effective Date to the Lenders and the Administrative Agent, in each case, for any fiscal quarter ending on or prior to March 31, 2023), when combined, without duplication, with amounts added to Consolidated EBITDA pursuant to clauses (a)(xv), (a)(xvi), (a)(xx) and (b)(1) of the definition of “Consolidated EBITDA”, excluded pursuant to clause (a) of the definition of “Consolidated Net Income” and included pursuant to Section 1.11(c), in each case, for any Test Period shall not exceed (x) for purpose of any calculation of Consolidated EBITDA under this Agreement, an amount equal to 20.0% of Consolidated EBITDA for such Test Period (calculated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-2818765</wp:posOffset>
            </wp:positionV>
            <wp:extent cx="3771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-2818765</wp:posOffset>
            </wp:positionV>
            <wp:extent cx="24688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688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-2681605</wp:posOffset>
            </wp:positionV>
            <wp:extent cx="12598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5984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-829945</wp:posOffset>
            </wp:positionV>
            <wp:extent cx="60947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-692785</wp:posOffset>
            </wp:positionV>
            <wp:extent cx="69862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-555625</wp:posOffset>
            </wp:positionV>
            <wp:extent cx="6995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995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69862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410591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64" w:name="page65"/>
    <w:bookmarkEnd w:id="64"/>
    <w:p>
      <w:pPr>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giving effect to such add-backs) and (y) for purposes of any calculation of Consolidated Cash EBITDA under this Agreement, an amount equal to 25.0% of Consolidated Cash EBITDA for such Test Period (calculated prior to giving effect to such add-backs),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47917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42" w:lineRule="exact"/>
        <w:rPr>
          <w:sz w:val="20"/>
          <w:szCs w:val="20"/>
          <w:color w:val="auto"/>
        </w:rPr>
      </w:pPr>
    </w:p>
    <w:p>
      <w:pPr>
        <w:ind w:right="20" w:firstLine="436"/>
        <w:spacing w:after="0" w:line="277" w:lineRule="auto"/>
        <w:tabs>
          <w:tab w:leader="none" w:pos="6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cumulative effect of a change in accounting policy or in accounting principles, including if reflected through a restatement or retroactive application, during such period,</w:t>
      </w:r>
    </w:p>
    <w:p>
      <w:pPr>
        <w:spacing w:after="0" w:line="62" w:lineRule="exact"/>
        <w:rPr>
          <w:rFonts w:ascii="Arial" w:cs="Arial" w:eastAsia="Arial" w:hAnsi="Arial"/>
          <w:sz w:val="18"/>
          <w:szCs w:val="18"/>
          <w:color w:val="auto"/>
        </w:rPr>
      </w:pPr>
    </w:p>
    <w:p>
      <w:pPr>
        <w:jc w:val="both"/>
        <w:ind w:firstLine="436"/>
        <w:spacing w:after="0" w:line="255" w:lineRule="auto"/>
        <w:tabs>
          <w:tab w:leader="none" w:pos="72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Transaction Costs, including (i) payment of any severance and the amount of any other success, change of control or similar bonuses or payments payable to any current or former employee, director, officer or consultant of the Borrower or any of its Subsidiaries as a result of the consummation of the Transactions without the requirement of any action on the part of the Borrower or any of its Subsidiaries, and (ii) costs in connection with payments related to the rollover, acceleration or payout of equity interests and stock options held by management and members of the board of the Borrower and its Subsidiaries, including the payment of any employer taxes related to the items in this clause (d), and similar costs, expenses or charges incurred in connection with each Specified Acquisition,</w:t>
      </w:r>
    </w:p>
    <w:p>
      <w:pPr>
        <w:spacing w:after="0" w:line="84" w:lineRule="exact"/>
        <w:rPr>
          <w:rFonts w:ascii="Arial" w:cs="Arial" w:eastAsia="Arial" w:hAnsi="Arial"/>
          <w:sz w:val="18"/>
          <w:szCs w:val="18"/>
          <w:color w:val="auto"/>
        </w:rPr>
      </w:pPr>
    </w:p>
    <w:p>
      <w:pPr>
        <w:jc w:val="both"/>
        <w:ind w:right="20" w:firstLine="436"/>
        <w:spacing w:after="0" w:line="311" w:lineRule="auto"/>
        <w:tabs>
          <w:tab w:leader="none" w:pos="69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net income (loss) for such period of any Person that is an Unrestricted Subsidiary and any Person that is not the Borrower or a Subsidiary or that is accounted for by the equity method of accounting, except to the extent of the amount of dividends or distributions or other similar payments that are actually paid in cash (or to the extent converted into cash) by such Person to the Borrower or any Restricted Subsidiary during such period,</w:t>
      </w:r>
    </w:p>
    <w:p>
      <w:pPr>
        <w:spacing w:after="0" w:line="40" w:lineRule="exact"/>
        <w:rPr>
          <w:rFonts w:ascii="Arial" w:cs="Arial" w:eastAsia="Arial" w:hAnsi="Arial"/>
          <w:sz w:val="16"/>
          <w:szCs w:val="16"/>
          <w:color w:val="auto"/>
        </w:rPr>
      </w:pPr>
    </w:p>
    <w:p>
      <w:pPr>
        <w:jc w:val="both"/>
        <w:ind w:right="20" w:firstLine="436"/>
        <w:spacing w:after="0" w:line="253" w:lineRule="auto"/>
        <w:tabs>
          <w:tab w:leader="none" w:pos="6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 of debt, issuance of equity securities (including any IPO of any Parent Entity), refinancing transaction or amendment or other modification of or waiver or consent or forbearance or restructuring relating to any debt instrument (in each case, including the Transaction Costs and any such transaction consummated prior to the Effective Date and any such transaction undertaken but not completed and/or successful) and any charges or non-recurring merger costs incurred during such period as a result of any such transaction, in each case whether or not successful or completed (including, for the avoidance of doubt, the effects of expensing all transaction-related expenses in accordance with FASB Accounting Standards Codification 805 and gains or losses associated with FASB Accounting Standards Codification 460),</w:t>
      </w:r>
    </w:p>
    <w:p>
      <w:pPr>
        <w:spacing w:after="0" w:line="88" w:lineRule="exact"/>
        <w:rPr>
          <w:rFonts w:ascii="Arial" w:cs="Arial" w:eastAsia="Arial" w:hAnsi="Arial"/>
          <w:sz w:val="18"/>
          <w:szCs w:val="18"/>
          <w:color w:val="auto"/>
        </w:rPr>
      </w:pPr>
    </w:p>
    <w:p>
      <w:pPr>
        <w:ind w:left="700" w:hanging="264"/>
        <w:spacing w:after="0"/>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income (loss) for such period attributable to the early extinguishment of Indebtedness, hedging agreements or other derivative instruments,</w:t>
      </w:r>
    </w:p>
    <w:p>
      <w:pPr>
        <w:spacing w:after="0" w:line="140" w:lineRule="exact"/>
        <w:rPr>
          <w:rFonts w:ascii="Arial" w:cs="Arial" w:eastAsia="Arial" w:hAnsi="Arial"/>
          <w:sz w:val="16"/>
          <w:szCs w:val="16"/>
          <w:color w:val="auto"/>
        </w:rPr>
      </w:pPr>
    </w:p>
    <w:p>
      <w:pPr>
        <w:jc w:val="both"/>
        <w:ind w:firstLine="436"/>
        <w:spacing w:after="0" w:line="272" w:lineRule="auto"/>
        <w:tabs>
          <w:tab w:leader="none" w:pos="709" w:val="left"/>
        </w:tabs>
        <w:numPr>
          <w:ilvl w:val="0"/>
          <w:numId w:val="48"/>
        </w:numPr>
        <w:rPr>
          <w:rFonts w:ascii="Arial" w:cs="Arial" w:eastAsia="Arial" w:hAnsi="Arial"/>
          <w:sz w:val="17"/>
          <w:szCs w:val="17"/>
          <w:color w:val="auto"/>
        </w:rPr>
      </w:pPr>
      <w:r>
        <w:rPr>
          <w:rFonts w:ascii="Arial" w:cs="Arial" w:eastAsia="Arial" w:hAnsi="Arial"/>
          <w:sz w:val="17"/>
          <w:szCs w:val="17"/>
          <w:color w:val="auto"/>
        </w:rPr>
        <w:t>accruals and reserves that are established or adjusted in accordance with GAAP (including any adjustment of estimated payouts on existing earnouts, inventory, property and equipment, leases, rights fee arrangements, software, goodwill, intangible assets, in-process research and development, deferred revenue, advanced billings and debt line items thereof) resulting from the application of recapitalization accounting or the acquisition method of accounting, as the case may be, in relation to the Transactions or any consummated acquisition (or the amortization or write-off of any amounts thereof) or changes as a result of the adoption or modification of accounting policies during such period or inventory valuation policy methods (including changes in capitalization or variances) or other inventory adjustments (including any non-cash increase in expense as a result of last-in-first-out and/or first-in-last-out methods of accounting),</w:t>
      </w:r>
    </w:p>
    <w:p>
      <w:pPr>
        <w:spacing w:after="0" w:line="69" w:lineRule="exact"/>
        <w:rPr>
          <w:rFonts w:ascii="Arial" w:cs="Arial" w:eastAsia="Arial" w:hAnsi="Arial"/>
          <w:sz w:val="17"/>
          <w:szCs w:val="17"/>
          <w:color w:val="auto"/>
        </w:rPr>
      </w:pPr>
    </w:p>
    <w:p>
      <w:pPr>
        <w:ind w:left="660" w:hanging="224"/>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Non-Cash Compensation Expenses,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65" w:name="page66"/>
    <w:bookmarkEnd w:id="65"/>
    <w:p>
      <w:pPr>
        <w:ind w:right="20" w:firstLine="436"/>
        <w:spacing w:after="0" w:line="277" w:lineRule="auto"/>
        <w:tabs>
          <w:tab w:leader="none" w:pos="694"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income (loss) attributable to deferred compensation plans or trusts, any employment benefit scheme or any similar equity plan or agreement,</w:t>
      </w:r>
    </w:p>
    <w:p>
      <w:pPr>
        <w:spacing w:after="0" w:line="62" w:lineRule="exact"/>
        <w:rPr>
          <w:rFonts w:ascii="Arial" w:cs="Arial" w:eastAsia="Arial" w:hAnsi="Arial"/>
          <w:sz w:val="18"/>
          <w:szCs w:val="18"/>
          <w:color w:val="auto"/>
        </w:rPr>
      </w:pPr>
    </w:p>
    <w:p>
      <w:pPr>
        <w:ind w:right="20" w:firstLine="436"/>
        <w:spacing w:after="0" w:line="277" w:lineRule="auto"/>
        <w:tabs>
          <w:tab w:leader="none" w:pos="6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income (loss) from investments recorded using the equity method of accounting (but including any cash dividends or distributions actually received by the Borrower or any Restricted Subsidiary in respect of such investment),</w:t>
      </w:r>
    </w:p>
    <w:p>
      <w:pPr>
        <w:spacing w:after="0" w:line="62" w:lineRule="exact"/>
        <w:rPr>
          <w:rFonts w:ascii="Arial" w:cs="Arial" w:eastAsia="Arial" w:hAnsi="Arial"/>
          <w:sz w:val="18"/>
          <w:szCs w:val="18"/>
          <w:color w:val="auto"/>
        </w:rPr>
      </w:pPr>
    </w:p>
    <w:p>
      <w:pPr>
        <w:jc w:val="both"/>
        <w:ind w:firstLine="436"/>
        <w:spacing w:after="0" w:line="263" w:lineRule="auto"/>
        <w:tabs>
          <w:tab w:leader="none" w:pos="65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gain (loss) on asset sales, disposals or abandonments (other than asset sales, disposals or abandonments in the ordinary course of business) or income (loss) from discontinued operations (but if such operations are classified as discontinued due to the fact that they are subject to an agreement to dispose of such operations, only when and to the extent such operations are actually disposed of),</w:t>
      </w:r>
    </w:p>
    <w:p>
      <w:pPr>
        <w:spacing w:after="0" w:line="75" w:lineRule="exact"/>
        <w:rPr>
          <w:rFonts w:ascii="Arial" w:cs="Arial" w:eastAsia="Arial" w:hAnsi="Arial"/>
          <w:sz w:val="18"/>
          <w:szCs w:val="18"/>
          <w:color w:val="auto"/>
        </w:rPr>
      </w:pPr>
    </w:p>
    <w:p>
      <w:pPr>
        <w:jc w:val="both"/>
        <w:ind w:firstLine="436"/>
        <w:spacing w:after="0" w:line="259" w:lineRule="auto"/>
        <w:tabs>
          <w:tab w:leader="none" w:pos="7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non-cash gain (loss) attributable to the mark to market movement in the valuation of hedging obligations or other derivative instruments pursuant to FASB Accounting Standards Codification 815-Derivatives and Hedging or mark to market movement of other financial instruments pursuant to FASB Accounting Standards Codification 825-Financial Instruments; provided that any cash payments or receipts relating to transactions realized in a given period shall be taken into account in such period,</w:t>
      </w:r>
    </w:p>
    <w:p>
      <w:pPr>
        <w:spacing w:after="0" w:line="78" w:lineRule="exact"/>
        <w:rPr>
          <w:rFonts w:ascii="Arial" w:cs="Arial" w:eastAsia="Arial" w:hAnsi="Arial"/>
          <w:sz w:val="18"/>
          <w:szCs w:val="18"/>
          <w:color w:val="auto"/>
        </w:rPr>
      </w:pPr>
    </w:p>
    <w:p>
      <w:pPr>
        <w:jc w:val="both"/>
        <w:ind w:right="20" w:firstLine="436"/>
        <w:spacing w:after="0" w:line="263" w:lineRule="auto"/>
        <w:tabs>
          <w:tab w:leader="none" w:pos="6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non-cash gain (loss) related to currency remeasurements of Indebtedness (including the net loss or gain resulting from hedging agreements for currency exchange risk and revaluations of intercompany balances or any other currency-related risk), unrealized or realized net foreign currency translation or transaction gains or losses impacting net income,</w:t>
      </w:r>
    </w:p>
    <w:p>
      <w:pPr>
        <w:spacing w:after="0" w:line="75" w:lineRule="exact"/>
        <w:rPr>
          <w:rFonts w:ascii="Arial" w:cs="Arial" w:eastAsia="Arial" w:hAnsi="Arial"/>
          <w:sz w:val="18"/>
          <w:szCs w:val="18"/>
          <w:color w:val="auto"/>
        </w:rPr>
      </w:pPr>
    </w:p>
    <w:p>
      <w:pPr>
        <w:ind w:firstLine="436"/>
        <w:spacing w:after="0" w:line="342" w:lineRule="auto"/>
        <w:tabs>
          <w:tab w:leader="none" w:pos="698"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non-cash expenses, accruals or reserves related to adjustments to historical tax exposures (provided, in each case, that the cash payment in respect thereof in such future period shall be subtracted from Consolidated Net Income for the period in which such cash payment was made),</w:t>
      </w:r>
    </w:p>
    <w:p>
      <w:pPr>
        <w:spacing w:after="0" w:line="15" w:lineRule="exact"/>
        <w:rPr>
          <w:rFonts w:ascii="Arial" w:cs="Arial" w:eastAsia="Arial" w:hAnsi="Arial"/>
          <w:sz w:val="16"/>
          <w:szCs w:val="16"/>
          <w:color w:val="auto"/>
        </w:rPr>
      </w:pPr>
    </w:p>
    <w:p>
      <w:pPr>
        <w:ind w:right="20" w:firstLine="436"/>
        <w:spacing w:after="0" w:line="277" w:lineRule="auto"/>
        <w:tabs>
          <w:tab w:leader="none" w:pos="7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impairment charge or asset write-off or write-down related to intangible assets (including goodwill), long-lived assets, and investments in debt and equity securities, in each case, including as a result of a Change in Law;</w:t>
      </w:r>
    </w:p>
    <w:p>
      <w:pPr>
        <w:spacing w:after="0" w:line="62" w:lineRule="exact"/>
        <w:rPr>
          <w:rFonts w:ascii="Arial" w:cs="Arial" w:eastAsia="Arial" w:hAnsi="Arial"/>
          <w:sz w:val="18"/>
          <w:szCs w:val="18"/>
          <w:color w:val="auto"/>
        </w:rPr>
      </w:pPr>
    </w:p>
    <w:p>
      <w:pPr>
        <w:jc w:val="both"/>
        <w:ind w:right="20" w:firstLine="436"/>
        <w:spacing w:after="0" w:line="259" w:lineRule="auto"/>
        <w:tabs>
          <w:tab w:leader="none" w:pos="7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effects of purchase accounting, fair value accounting or recapitalization accounting adjustments (including the effects of such adjustments pushed down to the referent Person and its Restricted Subsidiaries) resulting from the application of purchase accounting, fair value accounting or recapitalization accounting in relation to the Transactions or any Acquisition Transaction consummated before or after the Effective Date, and the amortization, write-down or write-off of any amounts thereof, will be excluded; and</w:t>
      </w:r>
    </w:p>
    <w:p>
      <w:pPr>
        <w:spacing w:after="0" w:line="78" w:lineRule="exact"/>
        <w:rPr>
          <w:rFonts w:ascii="Arial" w:cs="Arial" w:eastAsia="Arial" w:hAnsi="Arial"/>
          <w:sz w:val="18"/>
          <w:szCs w:val="18"/>
          <w:color w:val="auto"/>
        </w:rPr>
      </w:pPr>
    </w:p>
    <w:p>
      <w:pPr>
        <w:ind w:right="20" w:firstLine="436"/>
        <w:spacing w:after="0" w:line="277" w:lineRule="auto"/>
        <w:tabs>
          <w:tab w:leader="none" w:pos="6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of any expense required to be recorded as compensation expense related to contingent transaction consideration and the employer portion of any payroll taxes associated therewith.</w:t>
      </w:r>
    </w:p>
    <w:p>
      <w:pPr>
        <w:spacing w:after="0" w:line="170"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There shall be included in Consolidated Net Income, without duplication, the amount of any cash tax benefits related to the tax amortization of intangible assets in such period. In addition, to the extent not already included in Consolidated Net Income, Consolidated Net Income shall include the amount of proceeds received or, so long as the Borrower has made a determination that there exists reasonable evidence that such amount will in fact be reimbursed by the insurer or indemnifying party and only to the extent that such amount is in fact reimbursed within 365 days of the date of the insurable or indemnifiable event (it being understood that to the extent such proceeds are not actually received within such 365 day period, such proceeds shall be deducted in calculating Consolidated Net Income for such period), due from insurance or reimbursement of expenses and charges that are covered by indemnification and other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reimbursement provisions in connection with any acquisition or other Investment or any disposition of any asset permitted hereunder.</w:t>
      </w:r>
    </w:p>
    <w:p>
      <w:pPr>
        <w:spacing w:after="0" w:line="225"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Assets</w:t>
      </w:r>
      <w:r>
        <w:rPr>
          <w:rFonts w:ascii="Arial" w:cs="Arial" w:eastAsia="Arial" w:hAnsi="Arial"/>
          <w:sz w:val="17"/>
          <w:szCs w:val="17"/>
          <w:color w:val="auto"/>
        </w:rPr>
        <w:t xml:space="preserve">” means, as at any date of determination, the amount that would be set forth opposite the caption “total assets” (or any like caption) on the most recent consolidated balance sheet of the Borrower and the Restricted Subsidiaries in accordance with GAAP (excluding, for the avoidance of doubt, amounts attributable to Unrestricted Subsidiaries). Prior to the delivery of the financial statements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5.01(b)</w:t>
      </w:r>
      <w:r>
        <w:rPr>
          <w:rFonts w:ascii="Arial" w:cs="Arial" w:eastAsia="Arial" w:hAnsi="Arial"/>
          <w:sz w:val="17"/>
          <w:szCs w:val="17"/>
          <w:color w:val="auto"/>
        </w:rPr>
        <w:t>, Consolidated Total Assets shall be determined by reference to the Pro Forma Financial Statements.</w:t>
      </w:r>
    </w:p>
    <w:p>
      <w:pPr>
        <w:spacing w:after="0" w:line="171" w:lineRule="exact"/>
        <w:rPr>
          <w:sz w:val="20"/>
          <w:szCs w:val="20"/>
          <w:color w:val="auto"/>
        </w:rPr>
      </w:pPr>
    </w:p>
    <w:p>
      <w:pPr>
        <w:jc w:val="both"/>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Debt</w:t>
      </w:r>
      <w:r>
        <w:rPr>
          <w:rFonts w:ascii="Arial" w:cs="Arial" w:eastAsia="Arial" w:hAnsi="Arial"/>
          <w:sz w:val="16"/>
          <w:szCs w:val="16"/>
          <w:color w:val="auto"/>
        </w:rPr>
        <w:t xml:space="preserve">” means, as of any date of determination, the outstanding principal amount of all third party indebtedness for borrowed money (including purchase money indebtedness and, if not paid when due and payable, earn-out obligations or similar obligations), unreimbursed drawings under letters of credit to the extent not reimbursed within one Business Day following the drawing thereof (or such later time as may be permitted by the documentation governing the issuance of such letter of credit), Financing Lease Obligations and third party Indebtedness obligations evidenced by bonds, debentures, notes or similar instruments, in each case of the Borrower and the Restricted Subsidiaries on such date, on a consolidated basis and determined in accordance with GAAP (but without giving effect to any election to value any such Indebtedness at “fair value”, as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“GAAP”, or any other accounting principle that results in any such Indebtedness (other than zero coupon Indebtedness) being reflected as an amount below the stated principal amount thereof and excluding, in any event, the effects of any discounting of Indebtedness resulting from the application of acquisition method accounting in connection with any Permitted Acquisition or other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Permitted Receivables Financings shall not constitute Indebtedness of the type included in the definition of Consolidated Total Debt.</w:t>
      </w:r>
    </w:p>
    <w:p>
      <w:pPr>
        <w:spacing w:after="0" w:line="168" w:lineRule="exact"/>
        <w:rPr>
          <w:sz w:val="20"/>
          <w:szCs w:val="20"/>
          <w:color w:val="auto"/>
        </w:rPr>
      </w:pPr>
    </w:p>
    <w:p>
      <w:pPr>
        <w:jc w:val="both"/>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Net Debt</w:t>
      </w:r>
      <w:r>
        <w:rPr>
          <w:rFonts w:ascii="Arial" w:cs="Arial" w:eastAsia="Arial" w:hAnsi="Arial"/>
          <w:sz w:val="17"/>
          <w:szCs w:val="17"/>
          <w:color w:val="auto"/>
        </w:rPr>
        <w:t xml:space="preserve">” means, as of any date of determination, Consolidated Total Debt as of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an amount (which shall not be less than zero and not to exceed $25,000,000) of the aggregate amount of unrestricted cash and Cash Equivalents owned by the Borrower or any Restricted Subsidiary and held in deposit accounts or securities accounts that are subject to Account Control Agreements granting the Collateral Agent a first priority perfected lien, as reflected on a balance sheet prepared as of such date on a consolidated basis in accordance with GAAP but without giving pro forma effect to the receipt of the proceeds of any Indebtedness that is incurred on such date.</w:t>
      </w:r>
    </w:p>
    <w:p>
      <w:pPr>
        <w:spacing w:after="0" w:line="176" w:lineRule="exact"/>
        <w:rPr>
          <w:sz w:val="20"/>
          <w:szCs w:val="20"/>
          <w:color w:val="auto"/>
        </w:rPr>
      </w:pPr>
    </w:p>
    <w:p>
      <w:pPr>
        <w:jc w:val="both"/>
        <w:ind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Working Capital</w:t>
      </w:r>
      <w:r>
        <w:rPr>
          <w:rFonts w:ascii="Arial" w:cs="Arial" w:eastAsia="Arial" w:hAnsi="Arial"/>
          <w:sz w:val="16"/>
          <w:szCs w:val="16"/>
          <w:color w:val="auto"/>
        </w:rPr>
        <w:t xml:space="preserve">” means, at any date, the excess of (a) the sum of all amounts (other than cash and Cash Equivalents) that would, in conformity with GAAP, be set forth opposite the caption “total current assets” (or any like caption) on a consolidated balance sheet of the Borrower and the Restricted Subsidiaries at such date, excluding the current portion of current and deferred income taxes over (b) the sum of all amounts that would, in conformity with GAAP, be set forth opposite the caption “total current liabilities” (or any like caption) on a consolidated balance sheet of the Borrower and the Restricted Subsidiaries on such date, including (for purposes of both clauses (a) and (b)) current and long-term deferred revenue but excluding (for purposes of both clauses (a) and (b) above, as applicable), without duplication, (i) the current portion of any Funded Debt, (ii) all Indebtedness consisting of Loans and obligations under the Revolving Credit Facility, any Replacement Revolving Facility, Other Revolving Loans or any other revolving credit facility that is effective in reliance on </w:t>
      </w:r>
      <w:r>
        <w:rPr>
          <w:rFonts w:ascii="Arial" w:cs="Arial" w:eastAsia="Arial" w:hAnsi="Arial"/>
          <w:sz w:val="16"/>
          <w:szCs w:val="16"/>
          <w:u w:val="single" w:color="auto"/>
          <w:color w:val="auto"/>
        </w:rPr>
        <w:t>Section 6.01(a)(xxiii</w:t>
      </w:r>
      <w:r>
        <w:rPr>
          <w:rFonts w:ascii="Arial" w:cs="Arial" w:eastAsia="Arial" w:hAnsi="Arial"/>
          <w:sz w:val="16"/>
          <w:szCs w:val="16"/>
          <w:color w:val="auto"/>
        </w:rPr>
        <w:t xml:space="preserve">), to the extent otherwise included therein, (iii) the current portion of interest, (iv) the current portion of current and deferred income taxes, (v) any other liabilities that are not Indebtedness and will not be settled in cash or Cash Equivalents during the next succeeding twelve month period after such date, (vi) the effects from applying recapitalization or purchase accounting, (vii) any earn out obligations and (viii) any asset or liability in respect of net obligations of such Person in respect of Swap Agreements entered into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Excess Cash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67" w:name="page68"/>
    <w:bookmarkEnd w:id="67"/>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Flow, increases or decreases in working capital (A) arising from acquisitions or dispositions by the Borrower and the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 accordance with GAAP of assets or liabilities, as applicable, between current and noncurrent or (z) the effects of acquisition method accounting.</w:t>
      </w:r>
    </w:p>
    <w:p>
      <w:pPr>
        <w:spacing w:after="0" w:line="177" w:lineRule="exact"/>
        <w:rPr>
          <w:sz w:val="20"/>
          <w:szCs w:val="20"/>
          <w:color w:val="auto"/>
        </w:rPr>
      </w:pPr>
    </w:p>
    <w:p>
      <w:pPr>
        <w:jc w:val="both"/>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 Asset Balance Coverage Ratio</w:t>
      </w:r>
      <w:r>
        <w:rPr>
          <w:rFonts w:ascii="Arial" w:cs="Arial" w:eastAsia="Arial" w:hAnsi="Arial"/>
          <w:sz w:val="16"/>
          <w:szCs w:val="16"/>
          <w:color w:val="auto"/>
        </w:rPr>
        <w:t>” means, on any date of determination, the ratio of (a) the Contract Asset Balance as of the last day of the Test Period most recently ended on or prior to such date of determination to (b) Consolidated Total Net Debt as of the last day of such Test Period.</w:t>
      </w:r>
    </w:p>
    <w:p>
      <w:pPr>
        <w:spacing w:after="0" w:line="124"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Asset Balance</w:t>
      </w:r>
      <w:r>
        <w:rPr>
          <w:rFonts w:ascii="Arial" w:cs="Arial" w:eastAsia="Arial" w:hAnsi="Arial"/>
          <w:sz w:val="18"/>
          <w:szCs w:val="18"/>
          <w:color w:val="auto"/>
        </w:rPr>
        <w:t>” means, as of the date of determination and on a consolidated basis, the aggregate value of cash payments due to, but not yet received by, the Borrower and its Restricted Subsidiaries (including any Receivables Subsidiary) in connection with all policies sold on behalf of insurance carriers, including but not limited to, all current and future cash flows associated with first year and renewal commissions, net of any commissions due to external producers in respect of such policies.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has the meaning assigned to such term in the definition of “Excess Cash Flow.”</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Account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clause (e</w:t>
      </w:r>
      <w:r>
        <w:rPr>
          <w:rFonts w:ascii="Arial" w:cs="Arial" w:eastAsia="Arial" w:hAnsi="Arial"/>
          <w:sz w:val="17"/>
          <w:szCs w:val="17"/>
          <w:color w:val="auto"/>
        </w:rPr>
        <w:t>) of the definition of “Collateral and Guarantee Requirement.”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Restricted Subsidiary</w:t>
      </w:r>
      <w:r>
        <w:rPr>
          <w:rFonts w:ascii="Arial" w:cs="Arial" w:eastAsia="Arial" w:hAnsi="Arial"/>
          <w:sz w:val="18"/>
          <w:szCs w:val="18"/>
          <w:color w:val="auto"/>
        </w:rPr>
        <w:t>” has the meaning assigned to such term in the definition of “Consolidated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Unrestricted Subsidiary</w:t>
      </w:r>
      <w:r>
        <w:rPr>
          <w:rFonts w:ascii="Arial" w:cs="Arial" w:eastAsia="Arial" w:hAnsi="Arial"/>
          <w:sz w:val="18"/>
          <w:szCs w:val="18"/>
          <w:color w:val="auto"/>
        </w:rPr>
        <w:t>” has the meaning assigned to such term in the definition of “Consolidated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Corrective Loan Modification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31" w:lineRule="exact"/>
        <w:rPr>
          <w:sz w:val="20"/>
          <w:szCs w:val="20"/>
          <w:color w:val="auto"/>
        </w:rPr>
      </w:pPr>
    </w:p>
    <w:p>
      <w:pPr>
        <w:ind w:left="960" w:hanging="53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30" w:lineRule="exact"/>
        <w:rPr>
          <w:rFonts w:ascii="Arial" w:cs="Arial" w:eastAsia="Arial" w:hAnsi="Arial"/>
          <w:sz w:val="18"/>
          <w:szCs w:val="18"/>
          <w:color w:val="auto"/>
        </w:rPr>
      </w:pPr>
    </w:p>
    <w:p>
      <w:pPr>
        <w:ind w:left="5420" w:right="2880" w:hanging="4992"/>
        <w:spacing w:after="0" w:line="449" w:lineRule="auto"/>
        <w:tabs>
          <w:tab w:leader="none" w:pos="97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 29</w:t>
      </w:r>
    </w:p>
    <w:p>
      <w:pPr>
        <w:sectPr>
          <w:pgSz w:w="11900" w:h="16838" w:orient="portrait"/>
          <w:cols w:equalWidth="0" w:num="1">
            <w:col w:w="11020"/>
          </w:cols>
          <w:pgMar w:left="440" w:top="274" w:right="439" w:bottom="1440" w:gutter="0" w:footer="0" w:header="0"/>
        </w:sectPr>
      </w:pPr>
    </w:p>
    <w:bookmarkStart w:id="68" w:name="page69"/>
    <w:bookmarkEnd w:id="6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9.22</w:t>
      </w:r>
      <w:r>
        <w:rPr>
          <w:rFonts w:ascii="Arial" w:cs="Arial" w:eastAsia="Arial" w:hAnsi="Arial"/>
          <w:sz w:val="18"/>
          <w:szCs w:val="18"/>
          <w:color w:val="auto"/>
        </w:rPr>
        <w:t>.</w:t>
      </w:r>
    </w:p>
    <w:p>
      <w:pPr>
        <w:spacing w:after="0" w:line="225" w:lineRule="exact"/>
        <w:rPr>
          <w:sz w:val="20"/>
          <w:szCs w:val="20"/>
          <w:color w:val="auto"/>
        </w:rPr>
      </w:pPr>
    </w:p>
    <w:p>
      <w:pPr>
        <w:jc w:val="both"/>
        <w:ind w:left="4" w:firstLine="44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 Refinancing Indebtedness</w:t>
      </w:r>
      <w:r>
        <w:rPr>
          <w:rFonts w:ascii="Arial" w:cs="Arial" w:eastAsia="Arial" w:hAnsi="Arial"/>
          <w:sz w:val="16"/>
          <w:szCs w:val="16"/>
          <w:color w:val="auto"/>
        </w:rPr>
        <w:t>” means Permitted Equal Priority Refinancing Debt, Permitted Junior Priority Refinancing Debt or Permitted Unsecured Refinancing Debt, in each case, that is issued, incurred or otherwise obtained (including by means of the extension or renewal of existing Indebtedness) to Refinance, in whole or part, existing Initial Term Loans, 2020 Incremental Term Loans, 2021 Incremental Term Loans, 2021-2 Incremental Term Loans, any other Incremental Term Loans, Other Term Loans, Replacement Revolving Loans (or unused Replacement Revolving Commitments), Revolving Loans (or unused Revolving Commitments), Other Revolving Loans (or unused Other Revolving Commitments) or any then-existing Credit Agreement Refinancing Indebtedness (“</w:t>
      </w:r>
      <w:r>
        <w:rPr>
          <w:rFonts w:ascii="Arial" w:cs="Arial" w:eastAsia="Arial" w:hAnsi="Arial"/>
          <w:sz w:val="16"/>
          <w:szCs w:val="16"/>
          <w:u w:val="single" w:color="auto"/>
          <w:color w:val="auto"/>
        </w:rPr>
        <w:t>Refinanced Credit Agreement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(a) except with respect to Indebtedness constituting a customary bridge facility, so long as the long-term Indebtedness into which any such customary bridge facility is to be converted or exchanged satisfies the requirements of this clause (a) and such conversion or exchange is subject only to conditions customary for similar conversions or exchanges or Indebtedness subject to Customary Escrow Provisions, does not mature earlier than and, except in the case of the Revolving Commitments, does not have a Weighted Average Life to Maturity shorter than, the earlier of the maturity of such Refinanced Credit Agreement Debt and the Latest Maturity Date, (b) does not have mandatory prepayment or redemption provisions (other than customary asset sale proceeds events, insurance, eminent domain and condemnation proceeds events, change of control offers, events of default or, in the case of loans, excess cash flow sweeps), that could result in the prepayment or redemption thereof prior to the earlier of the maturity date of the Refinanced Credit Agreement Debt and the Latest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requirements of this clause (b) shall not apply to the extent such Indebtedness constitutes a customary bridge facility, so long as the long-term Indebtedness into which any such customary bridge facility is to be converted or exchanged satisfies the requirements of this clause (b) and such conversion or exchange is subject only to conditions customary for similar conversions or exchanges or if such Indebtedness is subject to Customary Escrow Provisions;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such Indebtedness that is secured on an equal priority basis with the Liens securing the Secured Obligations may participate in any mandatory prepayments on a pro rata basis (or on a basis that is less than pro rata, but not on a greater than pro rata basis with the Loans), (c) with respect to Refinanced Credit Agreement Debt consisting of Revolving Loans (or unused Revolving Commitments), Replacement Revolving Commitments or Other Revolving Loans (or unused Other Revolving Commitments), will not require scheduled amortization or mandatory commitment reductions prior to the earlier of the Latest Maturity Date and the maturity of such Refinanced Credit Agreement Debt, (d) except as otherwise provided herein or such amount is otherwise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is in an original aggregate principal amount not greater than the aggregate principal amount of (or the accreted value, if applicable, shall not be greater than that of) the Refinanced Credit Agreement Debt (plus any premium (including tender premiums, if any), accrued interest and fees and expenses incurred in connection with such exchange, extension, renewal, replacement or refinancing (including defeasance costs, underwriting discounts, upfront fees or similar fees, original issue discount or initial yield payments) plus an amount equal to existing unutilized commitments and letters of credit undrawn),</w:t>
      </w:r>
    </w:p>
    <w:p>
      <w:pPr>
        <w:spacing w:after="0" w:line="10" w:lineRule="exact"/>
        <w:rPr>
          <w:sz w:val="20"/>
          <w:szCs w:val="20"/>
          <w:color w:val="auto"/>
        </w:rPr>
      </w:pPr>
    </w:p>
    <w:p>
      <w:pPr>
        <w:jc w:val="both"/>
        <w:ind w:left="4" w:right="20" w:hanging="4"/>
        <w:spacing w:after="0" w:line="268" w:lineRule="auto"/>
        <w:tabs>
          <w:tab w:leader="none" w:pos="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is not incurred or guaranteed by any entity that is not a Loan Party, (f) in the case of any secured Indebtedness (i) is not secured by any assets not securing the Secured Obligations and (ii) is secured on an equal priority basis with, or on a junior basis to, the Liens securing the Secured Obligations and is subject to the relevant Intercreditor Agreements, (g) has terms and conditions (excluding pricing, interest rate margins, rate floors, discounts, fees, premiums and, subject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prepayment or redemption provisions, which shall be determined by the Borrower), that are not materially more restrictive on Holdings, the Borrower and its Restricted Subsidiaries than those applicable to the Refinanced Credit Agreement Debt,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 the benefit of all Credit Facilities hereunder not constituting Refinanced Credit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274" w:right="439" w:bottom="1440" w:gutter="0" w:footer="0" w:header="0"/>
        </w:sectPr>
      </w:pPr>
    </w:p>
    <w:bookmarkStart w:id="69" w:name="page70"/>
    <w:bookmarkEnd w:id="69"/>
    <w:p>
      <w:pPr>
        <w:jc w:val="both"/>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Debt or (ii) only applicable to periods after the Latest Maturity Date at the time of such refinancing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(x) the documentation governing such Indebtedness that includes a financial maintenance covenant consists of a revolving credit facility (whether or not the documentation therefor includes any other facilities) and (y) such financial maintenance covenant is a “springing” financial maintenance covenant for the benefit of such revolving credit facility or a covenant only applicable to, or for the benefit of, a revolving credit facility, then such Indebtedness or commitments shall not be deemed “more restrictive” with respect to any Term Facility solely as a result of such financial maintenance covenant benefiting only such revolving credit facilities));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certificate of a Responsible Officer of the Borrower delivered to the Administrative Agent </w:t>
      </w:r>
      <w:r>
        <w:rPr>
          <w:rFonts w:ascii="Arial" w:cs="Arial" w:eastAsia="Arial" w:hAnsi="Arial"/>
          <w:sz w:val="17"/>
          <w:szCs w:val="17"/>
          <w:u w:val="single" w:color="auto"/>
          <w:color w:val="0000FF"/>
        </w:rPr>
        <w:t>and the Required Lenders</w:t>
      </w:r>
      <w:r>
        <w:rPr>
          <w:rFonts w:ascii="Arial" w:cs="Arial" w:eastAsia="Arial" w:hAnsi="Arial"/>
          <w:sz w:val="17"/>
          <w:szCs w:val="17"/>
          <w:color w:val="auto"/>
        </w:rPr>
        <w:t xml:space="preserve">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w:t>
      </w:r>
      <w:r>
        <w:rPr>
          <w:rFonts w:ascii="Arial" w:cs="Arial" w:eastAsia="Arial" w:hAnsi="Arial"/>
          <w:sz w:val="17"/>
          <w:szCs w:val="17"/>
          <w:u w:val="single" w:color="auto"/>
          <w:color w:val="0000FF"/>
        </w:rPr>
        <w:t>or the Required Lenders</w:t>
      </w:r>
      <w:r>
        <w:rPr>
          <w:rFonts w:ascii="Arial" w:cs="Arial" w:eastAsia="Arial" w:hAnsi="Arial"/>
          <w:sz w:val="17"/>
          <w:szCs w:val="17"/>
          <w:color w:val="auto"/>
        </w:rPr>
        <w:t xml:space="preserve"> notif</w:t>
      </w:r>
      <w:r>
        <w:rPr>
          <w:rFonts w:ascii="Arial" w:cs="Arial" w:eastAsia="Arial" w:hAnsi="Arial"/>
          <w:sz w:val="17"/>
          <w:szCs w:val="17"/>
          <w:color w:val="FF4338"/>
          <w:strike w:val="1"/>
        </w:rPr>
        <w:t>ies</w:t>
      </w:r>
      <w:r>
        <w:rPr>
          <w:rFonts w:ascii="Arial" w:cs="Arial" w:eastAsia="Arial" w:hAnsi="Arial"/>
          <w:sz w:val="17"/>
          <w:szCs w:val="17"/>
          <w:u w:val="single" w:color="auto"/>
          <w:color w:val="0000FF"/>
        </w:rPr>
        <w:t>y</w:t>
      </w:r>
      <w:r>
        <w:rPr>
          <w:rFonts w:ascii="Arial" w:cs="Arial" w:eastAsia="Arial" w:hAnsi="Arial"/>
          <w:sz w:val="17"/>
          <w:szCs w:val="17"/>
          <w:color w:val="auto"/>
        </w:rPr>
        <w:t xml:space="preserve"> the Borrower within such five Business Day period that it disagrees with such determination (including a reasonable description of the basis upon which it disagrees) and (h) if subordinate in right of payment to the Credit Facilities hereunder, subject to a Subordination Agreement or subordination provisions reasonably acceptable to the Administrative Agent</w:t>
      </w:r>
      <w:r>
        <w:rPr>
          <w:rFonts w:ascii="Arial" w:cs="Arial" w:eastAsia="Arial" w:hAnsi="Arial"/>
          <w:sz w:val="17"/>
          <w:szCs w:val="17"/>
          <w:u w:val="single" w:color="auto"/>
          <w:color w:val="0000FF"/>
        </w:rPr>
        <w:t>,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Required Lenders</w:t>
      </w:r>
      <w:r>
        <w:rPr>
          <w:rFonts w:ascii="Arial" w:cs="Arial" w:eastAsia="Arial" w:hAnsi="Arial"/>
          <w:sz w:val="17"/>
          <w:szCs w:val="17"/>
          <w:color w:val="0000FF"/>
        </w:rPr>
        <w:t xml:space="preserve"> </w:t>
      </w:r>
      <w:r>
        <w:rPr>
          <w:rFonts w:ascii="Arial" w:cs="Arial" w:eastAsia="Arial" w:hAnsi="Arial"/>
          <w:sz w:val="17"/>
          <w:szCs w:val="17"/>
          <w:color w:val="000000"/>
        </w:rPr>
        <w:t>and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-823595</wp:posOffset>
            </wp:positionV>
            <wp:extent cx="11741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-412115</wp:posOffset>
            </wp:positionV>
            <wp:extent cx="157734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77340" cy="8890"/>
                    </a:xfrm>
                    <a:prstGeom prst="rect">
                      <a:avLst/>
                    </a:prstGeom>
                    <a:noFill/>
                  </pic:spPr>
                </pic:pic>
              </a:graphicData>
            </a:graphic>
          </wp:anchor>
        </w:drawing>
        <w:drawing>
          <wp:anchor simplePos="0" relativeHeight="251657728" behindDoc="1" locked="0" layoutInCell="0" allowOverlap="1">
            <wp:simplePos x="0" y="0"/>
            <wp:positionH relativeFrom="column">
              <wp:posOffset>6786880</wp:posOffset>
            </wp:positionH>
            <wp:positionV relativeFrom="paragraph">
              <wp:posOffset>-137795</wp:posOffset>
            </wp:positionV>
            <wp:extent cx="1968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8140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Facilities</w:t>
      </w:r>
      <w:r>
        <w:rPr>
          <w:rFonts w:ascii="Arial" w:cs="Arial" w:eastAsia="Arial" w:hAnsi="Arial"/>
          <w:sz w:val="18"/>
          <w:szCs w:val="18"/>
          <w:color w:val="auto"/>
        </w:rPr>
        <w:t>” means the Revolving Credit Facility and the Term Facility.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Customary Escrow Provisions</w:t>
      </w:r>
      <w:r>
        <w:rPr>
          <w:rFonts w:ascii="Arial" w:cs="Arial" w:eastAsia="Arial" w:hAnsi="Arial"/>
          <w:sz w:val="16"/>
          <w:szCs w:val="16"/>
          <w:color w:val="auto"/>
        </w:rPr>
        <w:t>” means customary prepayment or redemption terms relating to Escrowed Proceeds under escrow arrangements.</w:t>
      </w:r>
    </w:p>
    <w:p>
      <w:pPr>
        <w:spacing w:after="0" w:line="248"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Protection Requirements</w:t>
      </w:r>
      <w:r>
        <w:rPr>
          <w:rFonts w:ascii="Arial" w:cs="Arial" w:eastAsia="Arial" w:hAnsi="Arial"/>
          <w:sz w:val="18"/>
          <w:szCs w:val="18"/>
          <w:color w:val="auto"/>
        </w:rPr>
        <w:t>” means all Requirements of Law, to the extent applicable to the items and services provided by the Borrower and each Restricted Subsidiary, relating to the privacy and security of information technology assets and equipment, computers, systems, networks, hardware, software, websites, applications, and databases and personal, personally identifiable, sensitive, confidential or regulated data and, in each case, to the protection thereof from unauthorized use, access, misappropriation or modification.</w:t>
      </w:r>
    </w:p>
    <w:p>
      <w:pPr>
        <w:spacing w:after="0" w:line="187"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jc w:val="both"/>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that has (a) failed to fund any portion of its Loans or participations in Letters of Credit or Swingline Loans within two Business Days of the date on which such funding is required hereunder, (b) notified the Borrower, the Administrative Agent, any Issuing Bank, the Swingline Lender or any Lender in writing that it does not intend to comply with any of its funding obligations under this Agreement or has made a public statement (or provided any written notification to any Person) to the effect that it does not intend to comply with its funding obligations under this Agreement or under other agreements in which it commits to extend credit, (c) failed, within one Business Day after request by the Administrative Agent (whether acting on its own behalf or at the reasonable request of the Borrower (it being understood that the Administrative Agent shall comply with any such reasonable request)), to confirm that it will comply with the terms of this Agreement relating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70" w:name="page71"/>
    <w:bookmarkEnd w:id="70"/>
    <w:p>
      <w:pPr>
        <w:jc w:val="both"/>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its obligations to fund prospective Loans and participations in then outstanding Letters of Credit and Swingline Loans, (d) otherwise failed to pay over to the Administrative Agent or any other Lender any other amount required to be paid by it hereunder within one Business Day of the date when due, unless the subject of a good faith dispute or subsequently cured, (e) (i) become or is insolvent or has a parent company that has become or is insolvent or</w:t>
      </w:r>
    </w:p>
    <w:p>
      <w:pPr>
        <w:spacing w:after="0" w:line="2" w:lineRule="exact"/>
        <w:rPr>
          <w:sz w:val="20"/>
          <w:szCs w:val="20"/>
          <w:color w:val="auto"/>
        </w:rPr>
      </w:pPr>
    </w:p>
    <w:p>
      <w:pPr>
        <w:jc w:val="both"/>
        <w:ind w:left="4" w:hanging="4"/>
        <w:spacing w:after="0" w:line="268" w:lineRule="auto"/>
        <w:tabs>
          <w:tab w:leader="none" w:pos="288"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become or has a parent company that has become the subject of a bankruptcy or insolvency proceeding or any action or proceeding of the type described in </w:t>
      </w:r>
      <w:r>
        <w:rPr>
          <w:rFonts w:ascii="Arial" w:cs="Arial" w:eastAsia="Arial" w:hAnsi="Arial"/>
          <w:sz w:val="17"/>
          <w:szCs w:val="17"/>
          <w:u w:val="single" w:color="auto"/>
          <w:color w:val="auto"/>
        </w:rPr>
        <w:t>Section 7.01(h)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7.01(i)</w:t>
      </w:r>
      <w:r>
        <w:rPr>
          <w:rFonts w:ascii="Arial" w:cs="Arial" w:eastAsia="Arial" w:hAnsi="Arial"/>
          <w:sz w:val="17"/>
          <w:szCs w:val="17"/>
          <w:color w:val="auto"/>
        </w:rPr>
        <w:t xml:space="preserve">,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(f) becomes the subject of a Bail-In Action. Any determination by the Administrative Agent that a Lender is a Defaulting Lender under any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(f)</w:t>
      </w:r>
      <w:r>
        <w:rPr>
          <w:rFonts w:ascii="Arial" w:cs="Arial" w:eastAsia="Arial" w:hAnsi="Arial"/>
          <w:sz w:val="17"/>
          <w:szCs w:val="17"/>
          <w:color w:val="auto"/>
        </w:rPr>
        <w:t xml:space="preserve"> above shall be conclusive and binding absent manifest error, and such Lender shall be deemed to be a Defaulting Lender (subject to </w:t>
      </w:r>
      <w:r>
        <w:rPr>
          <w:rFonts w:ascii="Arial" w:cs="Arial" w:eastAsia="Arial" w:hAnsi="Arial"/>
          <w:sz w:val="17"/>
          <w:szCs w:val="17"/>
          <w:u w:val="single" w:color="auto"/>
          <w:color w:val="auto"/>
        </w:rPr>
        <w:t>Section 2.22(b)</w:t>
      </w:r>
      <w:r>
        <w:rPr>
          <w:rFonts w:ascii="Arial" w:cs="Arial" w:eastAsia="Arial" w:hAnsi="Arial"/>
          <w:sz w:val="17"/>
          <w:szCs w:val="17"/>
          <w:color w:val="auto"/>
        </w:rPr>
        <w:t>) upon delivery of written notice of such determination to the Borrower, any Issuing Bank, the Swingline Lender and each Lender.</w:t>
      </w:r>
    </w:p>
    <w:p>
      <w:pPr>
        <w:spacing w:after="0" w:line="179" w:lineRule="exact"/>
        <w:rPr>
          <w:sz w:val="20"/>
          <w:szCs w:val="20"/>
          <w:color w:val="auto"/>
        </w:rPr>
      </w:pPr>
    </w:p>
    <w:p>
      <w:pPr>
        <w:jc w:val="both"/>
        <w:ind w:left="4"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 Fronting Exposure</w:t>
      </w:r>
      <w:r>
        <w:rPr>
          <w:rFonts w:ascii="Arial" w:cs="Arial" w:eastAsia="Arial" w:hAnsi="Arial"/>
          <w:sz w:val="18"/>
          <w:szCs w:val="18"/>
          <w:color w:val="auto"/>
        </w:rPr>
        <w:t>” means, at any time there is a Revolving Lender that is a Defaulting Lender, (a) with respect to any Issuing Bank, such Defaulting Lender’s Applicable Percentage of the outstanding Letter of Credit obligations other than Letter of Credit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LLC</w:t>
      </w:r>
      <w:r>
        <w:rPr>
          <w:rFonts w:ascii="Arial" w:cs="Arial" w:eastAsia="Arial" w:hAnsi="Arial"/>
          <w:sz w:val="18"/>
          <w:szCs w:val="18"/>
          <w:color w:val="auto"/>
        </w:rPr>
        <w:t>” means any limited liability company organized or formed under the laws of the State of Delaware.</w:t>
      </w:r>
    </w:p>
    <w:p>
      <w:pPr>
        <w:spacing w:after="0" w:line="225"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LLC Division</w:t>
      </w:r>
      <w:r>
        <w:rPr>
          <w:rFonts w:ascii="Arial" w:cs="Arial" w:eastAsia="Arial" w:hAnsi="Arial"/>
          <w:sz w:val="18"/>
          <w:szCs w:val="18"/>
          <w:color w:val="auto"/>
        </w:rPr>
        <w:t>” means the statutory division of any Delaware LLC into two or more Delaware LLCs pursuant to Section 18-217 of the Delaware Limited Liability Company Act.</w:t>
      </w:r>
    </w:p>
    <w:p>
      <w:pPr>
        <w:spacing w:after="0" w:line="170" w:lineRule="exact"/>
        <w:rPr>
          <w:sz w:val="20"/>
          <w:szCs w:val="20"/>
          <w:color w:val="auto"/>
        </w:rPr>
      </w:pPr>
    </w:p>
    <w:p>
      <w:pPr>
        <w:jc w:val="both"/>
        <w:ind w:left="4"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Non-Cash Consideration</w:t>
      </w:r>
      <w:r>
        <w:rPr>
          <w:rFonts w:ascii="Arial" w:cs="Arial" w:eastAsia="Arial" w:hAnsi="Arial"/>
          <w:sz w:val="17"/>
          <w:szCs w:val="17"/>
          <w:color w:val="auto"/>
        </w:rPr>
        <w:t xml:space="preserve">” means the Fair Market Value of non-cash consideration received by the Borrower or any Restricted Subsidiary in connection with a Disposition pursuant to </w:t>
      </w:r>
      <w:r>
        <w:rPr>
          <w:rFonts w:ascii="Arial" w:cs="Arial" w:eastAsia="Arial" w:hAnsi="Arial"/>
          <w:sz w:val="17"/>
          <w:szCs w:val="17"/>
          <w:u w:val="single" w:color="auto"/>
          <w:color w:val="auto"/>
        </w:rPr>
        <w:t>Section 6.05(j)</w:t>
      </w:r>
      <w:r>
        <w:rPr>
          <w:rFonts w:ascii="Arial" w:cs="Arial" w:eastAsia="Arial" w:hAnsi="Arial"/>
          <w:sz w:val="17"/>
          <w:szCs w:val="17"/>
          <w:color w:val="auto"/>
        </w:rPr>
        <w:t xml:space="preserve">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171" w:lineRule="exact"/>
        <w:rPr>
          <w:sz w:val="20"/>
          <w:szCs w:val="20"/>
          <w:color w:val="auto"/>
        </w:rPr>
      </w:pPr>
    </w:p>
    <w:p>
      <w:pPr>
        <w:jc w:val="both"/>
        <w:ind w:left="4"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Disposed EBITDA</w:t>
      </w:r>
      <w:r>
        <w:rPr>
          <w:rFonts w:ascii="Arial" w:cs="Arial" w:eastAsia="Arial" w:hAnsi="Arial"/>
          <w:sz w:val="18"/>
          <w:szCs w:val="18"/>
          <w:color w:val="auto"/>
        </w:rPr>
        <w:t>” means, with respect to any Sold Entity or Business or Converted Unrestricted Subsidiary for any period, the amount for such period of Consolidated EBITDA of such Sold Entity or Business or Converted Unrestricted Subsidiary (determined as if references to the Borrower and the Restricted Subsidiaries in the definition of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74" w:right="439" w:bottom="1440" w:gutter="0" w:footer="0" w:header="0"/>
        </w:sectPr>
      </w:pPr>
    </w:p>
    <w:bookmarkStart w:id="71" w:name="page72"/>
    <w:bookmarkEnd w:id="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Disposition/Casualty Prepayment Event</w:t>
      </w:r>
      <w:r>
        <w:rPr>
          <w:rFonts w:ascii="Arial" w:cs="Arial" w:eastAsia="Arial" w:hAnsi="Arial"/>
          <w:sz w:val="18"/>
          <w:szCs w:val="18"/>
          <w:color w:val="auto"/>
        </w:rPr>
        <w:t>” has the meaning assigned to such term in the definition of “Prepayment Event”.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Percentage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2.11(c)</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w:t>
      </w:r>
      <w:r>
        <w:rPr>
          <w:rFonts w:ascii="Arial" w:cs="Arial" w:eastAsia="Arial" w:hAnsi="Arial"/>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76" w:lineRule="exact"/>
        <w:rPr>
          <w:sz w:val="20"/>
          <w:szCs w:val="20"/>
          <w:color w:val="auto"/>
        </w:rPr>
      </w:pPr>
    </w:p>
    <w:p>
      <w:pPr>
        <w:ind w:right="20" w:firstLine="436"/>
        <w:spacing w:after="0" w:line="277" w:lineRule="auto"/>
        <w:tabs>
          <w:tab w:leader="none" w:pos="6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62" w:lineRule="exact"/>
        <w:rPr>
          <w:rFonts w:ascii="Arial" w:cs="Arial" w:eastAsia="Arial" w:hAnsi="Arial"/>
          <w:sz w:val="18"/>
          <w:szCs w:val="18"/>
          <w:color w:val="auto"/>
        </w:rPr>
      </w:pPr>
    </w:p>
    <w:p>
      <w:pPr>
        <w:ind w:right="20" w:firstLine="436"/>
        <w:spacing w:after="0" w:line="342" w:lineRule="auto"/>
        <w:tabs>
          <w:tab w:leader="none" w:pos="699" w:val="left"/>
        </w:tabs>
        <w:numPr>
          <w:ilvl w:val="0"/>
          <w:numId w:val="53"/>
        </w:numPr>
        <w:rPr>
          <w:rFonts w:ascii="Arial" w:cs="Arial" w:eastAsia="Arial" w:hAnsi="Arial"/>
          <w:sz w:val="16"/>
          <w:szCs w:val="16"/>
          <w:color w:val="auto"/>
        </w:rPr>
      </w:pPr>
      <w:r>
        <w:rPr>
          <w:rFonts w:ascii="Arial" w:cs="Arial" w:eastAsia="Arial" w:hAnsi="Arial"/>
          <w:sz w:val="16"/>
          <w:szCs w:val="16"/>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15" w:lineRule="exact"/>
        <w:rPr>
          <w:rFonts w:ascii="Arial" w:cs="Arial" w:eastAsia="Arial" w:hAnsi="Arial"/>
          <w:sz w:val="16"/>
          <w:szCs w:val="16"/>
          <w:color w:val="auto"/>
        </w:rPr>
      </w:pPr>
    </w:p>
    <w:p>
      <w:pPr>
        <w:jc w:val="both"/>
        <w:ind w:right="20" w:firstLine="436"/>
        <w:spacing w:after="0" w:line="263"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each case, on or prior to the date 91 days after the Latest Maturity Date (determined as of the date of issuance thereof or, in the case of any such Equity Interests outstanding on the Effective Date,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any Equity Interest in any Person that would not constitute a Disqualified Equity Interest but for terms thereof giving holders thereof the right to require such Person to redeem or purchase such Equity Interest upon the occurrence of an “asset sale,” a “change of control”, eminent domain event, condemnation event, or similar event shall not constitute a Disqualified Equity Interest if any such requirement becomes operative only after repayment in full of all the Loans and all other Loan Document Obligations that are accrued and payable and the termination of the Commitments, (ii) if any Equity Interest in any Person is issued pursuant to any plan for the benefit of directors, officers, employees, members of management, managers or consultants, of Holdings (or any other Parent Entity), the Borrower or any other Subsidiary or by any such plan to such employees, such Equity Interest shall not constitute a Disqualified Equity Interest solely because it may be required to be repurchased by Holdings (or any other Parent Entity), the Borrower or any other Subsidiary in order to satisfy applicable statutory or regulatory obligations of such Person and (iii) no Equity Interest held by any future, present or former employee, director, officer, manager, member of management, consultant or independent contractor (or their respective affiliates or Immediate Family Members) of the Borrower (or any Parent Entity or any Subsidiary) shall be considered a Disqualified Equity Interest solely because such stock is redeemable or subject to repurchase pursuant to any customary stock option, employee stock award or similar agreement that may be in effect from time to time.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Lenders</w:t>
      </w:r>
      <w:r>
        <w:rPr>
          <w:rFonts w:ascii="Arial" w:cs="Arial" w:eastAsia="Arial" w:hAnsi="Arial"/>
          <w:sz w:val="18"/>
          <w:szCs w:val="18"/>
          <w:color w:val="auto"/>
        </w:rPr>
        <w:t>” means:</w:t>
      </w:r>
    </w:p>
    <w:p>
      <w:pPr>
        <w:spacing w:after="0" w:line="117" w:lineRule="exact"/>
        <w:rPr>
          <w:sz w:val="20"/>
          <w:szCs w:val="20"/>
          <w:color w:val="auto"/>
        </w:rPr>
      </w:pPr>
    </w:p>
    <w:p>
      <w:pPr>
        <w:ind w:left="660" w:hanging="224"/>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those Persons identified by Holdings or the Borrower to the Joint Bookrunners in writing on or prior to the Signing Date;</w:t>
      </w:r>
    </w:p>
    <w:p>
      <w:pPr>
        <w:spacing w:after="0" w:line="117" w:lineRule="exact"/>
        <w:rPr>
          <w:rFonts w:ascii="Arial" w:cs="Arial" w:eastAsia="Arial" w:hAnsi="Arial"/>
          <w:sz w:val="18"/>
          <w:szCs w:val="18"/>
          <w:color w:val="auto"/>
        </w:rPr>
      </w:pPr>
    </w:p>
    <w:p>
      <w:pPr>
        <w:ind w:right="20" w:firstLine="436"/>
        <w:spacing w:after="0" w:line="277"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Company Competitor that is identified in writing (which list of Company Competitors may be supplemented by the Borrower after the Effective Date by means of a written notice to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72" w:name="page73"/>
    <w:bookmarkEnd w:id="7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but which supplementation shall not apply retroactively to disqualify any previously acquired assignment or participation in any Loan); and</w:t>
      </w:r>
    </w:p>
    <w:p>
      <w:pPr>
        <w:spacing w:after="0" w:line="62" w:lineRule="exact"/>
        <w:rPr>
          <w:sz w:val="20"/>
          <w:szCs w:val="20"/>
          <w:color w:val="auto"/>
        </w:rPr>
      </w:pPr>
    </w:p>
    <w:p>
      <w:pPr>
        <w:jc w:val="both"/>
        <w:ind w:firstLine="436"/>
        <w:spacing w:after="0" w:line="263" w:lineRule="auto"/>
        <w:tabs>
          <w:tab w:leader="none" w:pos="7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any Affiliate of any Person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(other than any Competitor Debt Fund Affiliate) that is (x) identified in writing to the Administrative Agent, (y) a known Affiliate of such Person in the marketplace or (z) readily identifiable on the basis of such Affiliate’s name;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being understood and agreed that the identification of any Person as a Disqualified Lender after the Effective Date shall not apply to retroactively disqualify any previously acquired assignment or participation interest in any Loan.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9.04(h)(ii)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Divided Delaware LLC</w:t>
      </w:r>
      <w:r>
        <w:rPr>
          <w:rFonts w:ascii="Arial" w:cs="Arial" w:eastAsia="Arial" w:hAnsi="Arial"/>
          <w:sz w:val="18"/>
          <w:szCs w:val="18"/>
          <w:color w:val="auto"/>
        </w:rPr>
        <w:t>” means any Delaware LLC which has been formed upon the consummation of a Delaware LLC Division.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jc w:val="both"/>
        <w:ind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xml:space="preserve">” means, at any time, (a) with respect to any amount denominated in Dollars, such amount, and (b) with respect to any amount denominated in any other currency, the equivalent amount thereof in Dollars as determined in accordance with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hereof.</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not a Foreign Subsidiary.</w:t>
      </w:r>
    </w:p>
    <w:p>
      <w:pPr>
        <w:spacing w:after="0" w:line="225"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ECF Percentage</w:t>
      </w:r>
      <w:r>
        <w:rPr>
          <w:rFonts w:ascii="Arial" w:cs="Arial" w:eastAsia="Arial" w:hAnsi="Arial"/>
          <w:sz w:val="16"/>
          <w:szCs w:val="16"/>
          <w:color w:val="auto"/>
        </w:rPr>
        <w:t xml:space="preserve">” means, with respect to the prepayment required by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with respect to any Excess Cash Flow Period, (a) 50%, if the Total Net Cash Leverage Ratio (after giving effect to the Permitted ECF Recalculation Considerations) as of the end of such Excess Cash Flow Period is greater than 4.50:1.00, (b) 25%, if the Total Net Cash Leverage Ratio (after giving effect to the Permitted ECF Recalculation Considerations) as of the end of such Excess Cash Flow Period is greater than 4.00:1.00 but less than or equal to 4.50:1.00 and (c) 0%, if the Total Net Cash Leverage Ratio (after giving effect to the Permitted ECF Recalculation Considerations) as of the end of such Excess Cash Flow Period is equal to or less than 4.00:1.00.</w:t>
      </w:r>
    </w:p>
    <w:p>
      <w:pPr>
        <w:spacing w:after="0" w:line="161"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means the date on which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which date is September 13, 2019.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73" w:name="page74"/>
    <w:bookmarkEnd w:id="73"/>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Effective Date Refinancing</w:t>
      </w:r>
      <w:r>
        <w:rPr>
          <w:rFonts w:ascii="Arial" w:cs="Arial" w:eastAsia="Arial" w:hAnsi="Arial"/>
          <w:sz w:val="18"/>
          <w:szCs w:val="18"/>
          <w:color w:val="auto"/>
        </w:rPr>
        <w:t>” means, collectively, the repayment, repurchase or other discharge of the Existing Credit Agreement Indebtedness, the termination of all commitments to extend credit thereunder and the termination and/or release of any security interests and guarantees in connection therewith.</w:t>
      </w:r>
    </w:p>
    <w:p>
      <w:pPr>
        <w:spacing w:after="0" w:line="184"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Yield</w:t>
      </w:r>
      <w:r>
        <w:rPr>
          <w:rFonts w:ascii="Arial" w:cs="Arial" w:eastAsia="Arial" w:hAnsi="Arial"/>
          <w:sz w:val="16"/>
          <w:szCs w:val="16"/>
          <w:color w:val="auto"/>
        </w:rPr>
        <w:t xml:space="preserve">” means, as of any date of determination, the effective yield paid by the Borrower on any Indebtedness as determined by the Borrower and the Administrative Agent in a manner consistent with generally accepted financial practices, taking into account the applicable interest rate margins, any interest rate “floors” (the effect of which floors shall be determined in a manner set forth in the proviso below and assuming that, if interest on such Indebtedness is calculated on the basis of a floating rate, the “Adjusted LIBOR Rate” or similar component of such formula is included in the calculation of Effective Yield) or similar devices and all fees, including upfront or similar fees or original issue discount (amortized over the shorter of (x) the remaining weighted average life to maturity of such Indebtedness and (y) the four years following the date of incurrence thereof, and, if applicable, assuming any replacement revolving credit commitments were fully drawn) payable generally by the Borrower to Lenders or other institutions providing such Indebtedness, but excluding any commitment fees, arrangement fees, structuring fees, underwriting fees, closing payments or other similar fees payable to any arrangers and/or bookrunners (or their respective Affiliates) in connection therewith that are not generally shared with all relevant lenders or holders (in their capacities as such) and, if applicable, ticking fees accruing prior to the funding of such Indebtedness and customary consent or amendment fees for an amendment paid generally to consenting Lenders (and regardless of whether any such fees are paid to, or shared in whole or in part with, any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Indebtedness that includes a “floor”, (a) to the extent that the Adjusted LIBOR Rate on the date that the Effective Yield is being calculated is less than such floor, the amount of such difference shall be deemed added to the interest rate margin for such Indebtedness for the purpose of calculating the Effective Yield and (b) to the extent that the Adjusted LIBOR Rate on the date that the Effective Yield is being calculated is greater than such floor, then the floor shall be disregarded in calculating the Effective Yield.</w:t>
      </w:r>
    </w:p>
    <w:p>
      <w:pPr>
        <w:spacing w:after="0" w:line="16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 a Lender, (b) an Affiliate of a Lender, (c) an Approved Fund and (d) any other Person, other than, in each case, (i) a natural person, (ii) a Defaulting Lender, (iii) a Disqualified Lender (to the extent that the list of Disqualified Lenders has been received by such assignee upon its request), or (iv) Holdings, the Borrower or any of their Affiliates.</w:t>
      </w:r>
    </w:p>
    <w:p>
      <w:pPr>
        <w:spacing w:after="0" w:line="18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applicable common law and applicable Requirements of Law, and all applicable injunctions or legally binding agreements issued, promulgated or entered into by or with any Governmental Authority, in each instance relating to the protection of the environment, including with respect to the preservation or reclamation of natural resources or the generation, use, handling transportation, storage, treatment or disposal (including any Release or threatened Release) of any Hazardous Material, or, to the extent relating to exposure to Hazardous Materials, the protection of human health or safety.</w:t>
      </w:r>
    </w:p>
    <w:p>
      <w:pPr>
        <w:spacing w:after="0" w:line="188" w:lineRule="exact"/>
        <w:rPr>
          <w:sz w:val="20"/>
          <w:szCs w:val="20"/>
          <w:color w:val="auto"/>
        </w:rPr>
      </w:pPr>
    </w:p>
    <w:p>
      <w:pPr>
        <w:jc w:val="both"/>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the Borrower or any other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74" w:name="page75"/>
    <w:bookmarkEnd w:id="74"/>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Hazardous Materials or (e) any legally binding contract, agreement or other consensual arrangement pursuant to which liability is assumed or imposed with respect to any of the foregoing.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Equal Priority Intercreditor Agreement</w:t>
      </w:r>
      <w:r>
        <w:rPr>
          <w:rFonts w:ascii="Arial" w:cs="Arial" w:eastAsia="Arial" w:hAnsi="Arial"/>
          <w:sz w:val="18"/>
          <w:szCs w:val="18"/>
          <w:color w:val="auto"/>
        </w:rPr>
        <w:t>” has the meaning assigned to such term in the definition of “Intercreditor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Capitalization</w:t>
      </w:r>
      <w:r>
        <w:rPr>
          <w:rFonts w:ascii="Arial" w:cs="Arial" w:eastAsia="Arial" w:hAnsi="Arial"/>
          <w:sz w:val="18"/>
          <w:szCs w:val="18"/>
          <w:color w:val="auto"/>
        </w:rPr>
        <w:t>” has the meaning assigned to such term in the definition of “Equity Contribution”.</w:t>
      </w:r>
    </w:p>
    <w:p>
      <w:pPr>
        <w:spacing w:after="0" w:line="225"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Contribution</w:t>
      </w:r>
      <w:r>
        <w:rPr>
          <w:rFonts w:ascii="Arial" w:cs="Arial" w:eastAsia="Arial" w:hAnsi="Arial"/>
          <w:sz w:val="17"/>
          <w:szCs w:val="17"/>
          <w:color w:val="auto"/>
        </w:rPr>
        <w:t>” means the direct or indirect cash equity contributions made by the Sponsor and certain other Investors (including the Management Investors) arranged by or designated by the Sponsor directly or indirectly to the Parent and to Midco, the net proceeds of which will be further contributed by Parent and Midco, directly or indirectly, as cash equity to Merger Sub in connection with the consummation of the Merger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contributions in a form other than common Equity Interests shall be reasonably acceptable to the Joint Lead Arrangers), in an aggregate amount equal to, when combined with the Fair Market Value of any Equity Interests of any of the Rollover Investors rolled over or invested in connection with the Transactions (the foregoing, the “</w:t>
      </w:r>
      <w:r>
        <w:rPr>
          <w:rFonts w:ascii="Arial" w:cs="Arial" w:eastAsia="Arial" w:hAnsi="Arial"/>
          <w:sz w:val="17"/>
          <w:szCs w:val="17"/>
          <w:u w:val="single" w:color="auto"/>
          <w:color w:val="auto"/>
        </w:rPr>
        <w:t>Equity Capitalization</w:t>
      </w:r>
      <w:r>
        <w:rPr>
          <w:rFonts w:ascii="Arial" w:cs="Arial" w:eastAsia="Arial" w:hAnsi="Arial"/>
          <w:sz w:val="17"/>
          <w:szCs w:val="17"/>
          <w:color w:val="auto"/>
        </w:rPr>
        <w:t xml:space="preserve">”) at least 70.0% of the sum of (1) the aggregate amount of Credit Facilities funded on the Effective Date (but excluding the gross proceeds of any Loans borrowed on the Effective Date to fund working capital needs and certain original issue discount or upfront fees)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the Equity Capitalization of the Borrower and its Subsidiaries on the Effective Date after giving effect to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Sponsor, after giving effect to the Transactions, shall directly or indirectly control the voting of the capital stock having at least a majority of the ordinary voting power for the election of the Board of Directors of the Borrower on the Effective Date after giving effect to the Transactions.</w:t>
      </w:r>
    </w:p>
    <w:p>
      <w:pPr>
        <w:spacing w:after="0" w:line="182" w:lineRule="exact"/>
        <w:rPr>
          <w:sz w:val="20"/>
          <w:szCs w:val="20"/>
          <w:color w:val="auto"/>
        </w:rPr>
      </w:pPr>
    </w:p>
    <w:p>
      <w:pPr>
        <w:jc w:val="both"/>
        <w:ind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Equityholding Vehicle</w:t>
      </w:r>
      <w:r>
        <w:rPr>
          <w:rFonts w:ascii="Arial" w:cs="Arial" w:eastAsia="Arial" w:hAnsi="Arial"/>
          <w:sz w:val="16"/>
          <w:szCs w:val="16"/>
          <w:color w:val="auto"/>
        </w:rPr>
        <w:t>” means any Parent Entity and any equityholder thereof through which current, former or future officers, directors, employees, managers or consultants of Holdings or the Borrower or any of their subsidiaries or Parent Entity hold Equity Interests of such Parent Entity.</w:t>
      </w:r>
    </w:p>
    <w:p>
      <w:pPr>
        <w:spacing w:after="0" w:line="12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or interests in a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Section 414(c) of the Code or, solely for purposes of Section 302 of ERISA and Section 412 of the Code, is treated as a single employer under Sections 414(b), (c), (m) and (o) of the Code.</w:t>
      </w:r>
    </w:p>
    <w:p>
      <w:pPr>
        <w:spacing w:after="0" w:line="184" w:lineRule="exact"/>
        <w:rPr>
          <w:sz w:val="20"/>
          <w:szCs w:val="20"/>
          <w:color w:val="auto"/>
        </w:rPr>
      </w:pPr>
    </w:p>
    <w:p>
      <w:pPr>
        <w:jc w:val="both"/>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4043(c) of ERISA or the regulations issued thereunder with respect to a Plan (other than an event for which the 30 day notice period is waived); (b) any failure by a Loan Party or any ERISA Affiliate to satisfy the minimum funding standards (within the meaning of Section 412 or Section 430 of the Code or Section 302 or Section 303 of ERISA) applicable to any Plan, whether or not waived; (c) the filing pursuant to Section 412 of the Code or Section 302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(f) the receipt by a Loan Party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75" w:name="page76"/>
    <w:bookmarkEnd w:id="75"/>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any ERISA Affiliate from the PBGC or a plan administrator of any notice relating to an intention to terminate any Plan or Plans under Section 4041 of ERISA or to appoint a trustee to administer any Plan under Section 4042 of ERISA; (g) the incurrence by a Loan Party or any ERISA Affiliate of any liability with respect to the withdrawal from any Plan subject to Section 4063 of ERISA during a plan year in which it was a “substantial employer” (as defined in Section 4001(a)(2) of ERISA) or a cessation of operations that is treated as such a withdrawal under Section 4062(e) of ERISA, or a complete or partial withdrawal (within the meanings of Section 4203 and Section 4205 of ERISA, respectively) from a Multiemployer Plan; (h) the occurrence of a Foreign Benefit Plan Event; (i) the receipt by a Loan Party or any ERISA Affiliate of any notice, or the receipt by any Multiemployer Plan from a Loan Party or any ERISA Affiliate of any notice, concerning the imposition of Withdrawal Liability or a determination that a Multiemployer Plan is, or is expected to be, “insolvent,” within the meaning of Section 4245 of ERISA or in “endangered or critical status,” within the meaning of Section 305 of ERISA; (j) the occurrence of an act or omission which could reasonably be expected to give rise to the imposition on the Borrower, any of its Subsidiaries or any of their respective ERISA Affiliates of fines, penalties, excise taxes or related charges under Chapter 43 of the Code or under Section 409, Section 502(c), (i) or (l), or Section 4071 of ERISA in respect of any Plan; or (k) the incurrence of liability or the imposition of a Lien pursuant to Section 436 or 430(k) of the Code or pursuant to ERISA with respect to any Plan, other than for PBGC premiums due but not delinquent.</w:t>
      </w:r>
    </w:p>
    <w:p>
      <w:pPr>
        <w:spacing w:after="0" w:line="168"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Proceeds</w:t>
      </w:r>
      <w:r>
        <w:rPr>
          <w:rFonts w:ascii="Arial" w:cs="Arial" w:eastAsia="Arial" w:hAnsi="Arial"/>
          <w:sz w:val="18"/>
          <w:szCs w:val="18"/>
          <w:color w:val="auto"/>
        </w:rPr>
        <w:t>”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w:t>
      </w:r>
    </w:p>
    <w:p>
      <w:pPr>
        <w:spacing w:after="0" w:line="187"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single currency of the European Union as constituted by the Treaty on European Union and as referred to in the EMU Legislation.</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means, in respect of any Loan or Borrowing, a LIBOR Loan or Borrowing.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any period, an amount (if positive) equal to the excess of:</w:t>
      </w:r>
    </w:p>
    <w:p>
      <w:pPr>
        <w:spacing w:after="0" w:line="117" w:lineRule="exact"/>
        <w:rPr>
          <w:sz w:val="20"/>
          <w:szCs w:val="20"/>
          <w:color w:val="auto"/>
        </w:rPr>
      </w:pPr>
    </w:p>
    <w:p>
      <w:pPr>
        <w:ind w:left="680" w:hanging="244"/>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sum (in each case, for the Borrower and the Restricted Subsidiaries on a consolidated basis), without duplication, of:</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Consolidated Net Income for such period,</w:t>
      </w:r>
    </w:p>
    <w:p>
      <w:pPr>
        <w:spacing w:after="0" w:line="117" w:lineRule="exact"/>
        <w:rPr>
          <w:rFonts w:ascii="Arial" w:cs="Arial" w:eastAsia="Arial" w:hAnsi="Arial"/>
          <w:sz w:val="18"/>
          <w:szCs w:val="18"/>
          <w:color w:val="auto"/>
        </w:rPr>
      </w:pPr>
    </w:p>
    <w:p>
      <w:pPr>
        <w:jc w:val="both"/>
        <w:ind w:left="980" w:firstLine="408"/>
        <w:spacing w:after="0" w:line="286" w:lineRule="auto"/>
        <w:tabs>
          <w:tab w:leader="none" w:pos="1673" w:val="left"/>
        </w:tabs>
        <w:numPr>
          <w:ilvl w:val="1"/>
          <w:numId w:val="56"/>
        </w:numPr>
        <w:rPr>
          <w:rFonts w:ascii="Arial" w:cs="Arial" w:eastAsia="Arial" w:hAnsi="Arial"/>
          <w:sz w:val="17"/>
          <w:szCs w:val="17"/>
          <w:color w:val="auto"/>
        </w:rPr>
      </w:pPr>
      <w:r>
        <w:rPr>
          <w:rFonts w:ascii="Arial" w:cs="Arial" w:eastAsia="Arial" w:hAnsi="Arial"/>
          <w:sz w:val="17"/>
          <w:szCs w:val="17"/>
          <w:color w:val="auto"/>
        </w:rPr>
        <w:t>an amount equal to the amount of all non-cash charges to the extent deducted in arriving at such Consolidated Net Income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if any non-cash charge represents an accrual or reserve for cash items in any future period, the cash payment in respect thereof in such future period shall be subtracted from Excess Cash Flow in such future period),</w:t>
      </w:r>
    </w:p>
    <w:p>
      <w:pPr>
        <w:spacing w:after="0" w:line="57" w:lineRule="exact"/>
        <w:rPr>
          <w:rFonts w:ascii="Arial" w:cs="Arial" w:eastAsia="Arial" w:hAnsi="Arial"/>
          <w:sz w:val="17"/>
          <w:szCs w:val="17"/>
          <w:color w:val="auto"/>
        </w:rPr>
      </w:pPr>
    </w:p>
    <w:p>
      <w:pPr>
        <w:ind w:left="980" w:firstLine="408"/>
        <w:spacing w:after="0" w:line="308" w:lineRule="auto"/>
        <w:tabs>
          <w:tab w:leader="none" w:pos="1711"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(x) decreases in Consolidated Working Capital, long-term receivables and long-term prepaid assets, (y) increases in long-term deferred revenue for such period and (z) without duplication of amounts in the foregoing </w:t>
      </w:r>
      <w:r>
        <w:rPr>
          <w:rFonts w:ascii="Arial" w:cs="Arial" w:eastAsia="Arial" w:hAnsi="Arial"/>
          <w:sz w:val="17"/>
          <w:szCs w:val="17"/>
          <w:u w:val="single" w:color="auto"/>
          <w:color w:val="auto"/>
        </w:rPr>
        <w:t>clause (x)</w:t>
      </w:r>
      <w:r>
        <w:rPr>
          <w:rFonts w:ascii="Arial" w:cs="Arial" w:eastAsia="Arial" w:hAnsi="Arial"/>
          <w:sz w:val="17"/>
          <w:szCs w:val="17"/>
          <w:color w:val="auto"/>
        </w:rPr>
        <w:t>, decreases in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76" w:name="page77"/>
    <w:bookmarkEnd w:id="7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 Asset Balance on the last day of such period as compared to the first day of such period,</w:t>
      </w:r>
    </w:p>
    <w:p>
      <w:pPr>
        <w:spacing w:after="0" w:line="117" w:lineRule="exact"/>
        <w:rPr>
          <w:sz w:val="20"/>
          <w:szCs w:val="20"/>
          <w:color w:val="auto"/>
        </w:rPr>
      </w:pPr>
    </w:p>
    <w:p>
      <w:pPr>
        <w:ind w:left="980" w:right="20" w:firstLine="408"/>
        <w:spacing w:after="0" w:line="342" w:lineRule="auto"/>
        <w:tabs>
          <w:tab w:leader="none" w:pos="17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an amount equal to the aggregate net loss on Dispositions by the Borrower and the Restricted Subsidiaries during such period (other than Dispositions in the ordinary course of business) to the extent deducted in arriving at such Consolidated Net Income, and</w:t>
      </w:r>
    </w:p>
    <w:p>
      <w:pPr>
        <w:spacing w:after="0" w:line="15" w:lineRule="exact"/>
        <w:rPr>
          <w:rFonts w:ascii="Arial" w:cs="Arial" w:eastAsia="Arial" w:hAnsi="Arial"/>
          <w:sz w:val="16"/>
          <w:szCs w:val="16"/>
          <w:color w:val="auto"/>
        </w:rPr>
      </w:pPr>
    </w:p>
    <w:p>
      <w:pPr>
        <w:ind w:left="1640" w:hanging="252"/>
        <w:spacing w:after="0"/>
        <w:tabs>
          <w:tab w:leader="none" w:pos="1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extraordinary cash gains during such period; </w:t>
      </w:r>
      <w:r>
        <w:rPr>
          <w:rFonts w:ascii="Arial" w:cs="Arial" w:eastAsia="Arial" w:hAnsi="Arial"/>
          <w:sz w:val="18"/>
          <w:szCs w:val="18"/>
          <w:u w:val="single" w:color="auto"/>
          <w:color w:val="auto"/>
        </w:rPr>
        <w:t>less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36"/>
        <w:spacing w:after="0" w:line="277" w:lineRule="auto"/>
        <w:tabs>
          <w:tab w:leader="none" w:pos="72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sum (in each case, for the Borrower and the Restricted Subsidiaries on a consolidated basis), without duplication (including in any subsequent fiscal years), of:</w:t>
      </w:r>
    </w:p>
    <w:p>
      <w:pPr>
        <w:spacing w:after="0" w:line="62" w:lineRule="exact"/>
        <w:rPr>
          <w:rFonts w:ascii="Arial" w:cs="Arial" w:eastAsia="Arial" w:hAnsi="Arial"/>
          <w:sz w:val="18"/>
          <w:szCs w:val="18"/>
          <w:color w:val="auto"/>
        </w:rPr>
      </w:pPr>
    </w:p>
    <w:p>
      <w:pPr>
        <w:jc w:val="both"/>
        <w:ind w:left="980" w:firstLine="408"/>
        <w:spacing w:after="0" w:line="257" w:lineRule="auto"/>
        <w:tabs>
          <w:tab w:leader="none" w:pos="1623"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(q)</w:t>
      </w:r>
      <w:r>
        <w:rPr>
          <w:rFonts w:ascii="Arial" w:cs="Arial" w:eastAsia="Arial" w:hAnsi="Arial"/>
          <w:sz w:val="18"/>
          <w:szCs w:val="18"/>
          <w:color w:val="auto"/>
        </w:rPr>
        <w:t xml:space="preserve"> of the definition of “Consolidated Net Income”, except to the extent such cash charges were financed with long-term Indebtedness (other than revolving Indebtedness),</w:t>
      </w:r>
    </w:p>
    <w:p>
      <w:pPr>
        <w:spacing w:after="0" w:line="79" w:lineRule="exact"/>
        <w:rPr>
          <w:rFonts w:ascii="Arial" w:cs="Arial" w:eastAsia="Arial" w:hAnsi="Arial"/>
          <w:sz w:val="18"/>
          <w:szCs w:val="18"/>
          <w:color w:val="auto"/>
        </w:rPr>
      </w:pPr>
    </w:p>
    <w:p>
      <w:pPr>
        <w:jc w:val="both"/>
        <w:ind w:left="980" w:firstLine="408"/>
        <w:spacing w:after="0" w:line="279" w:lineRule="auto"/>
        <w:tabs>
          <w:tab w:leader="none" w:pos="1658" w:val="left"/>
        </w:tabs>
        <w:numPr>
          <w:ilvl w:val="1"/>
          <w:numId w:val="58"/>
        </w:numPr>
        <w:rPr>
          <w:rFonts w:ascii="Arial" w:cs="Arial" w:eastAsia="Arial" w:hAnsi="Arial"/>
          <w:sz w:val="17"/>
          <w:szCs w:val="17"/>
          <w:color w:val="auto"/>
        </w:rPr>
      </w:pPr>
      <w:r>
        <w:rPr>
          <w:rFonts w:ascii="Arial" w:cs="Arial" w:eastAsia="Arial" w:hAnsi="Arial"/>
          <w:sz w:val="17"/>
          <w:szCs w:val="17"/>
          <w:color w:val="auto"/>
        </w:rPr>
        <w:t>without duplication of amounts deducted pursuant to clause (x) below in prior fiscal years, the amount of Capital Expenditures and Capitalized Software Expenditures made or accrued in cash during such period or, at the option of the Borrower, made prior to the date the Borrower is required to make a payment of Excess Cash Flow in respect of such period, except to the extent that such Capital Expenditures were financed with long-term Indebtedness (other than revolving Indebtedness),</w:t>
      </w:r>
    </w:p>
    <w:p>
      <w:pPr>
        <w:spacing w:after="0" w:line="63" w:lineRule="exact"/>
        <w:rPr>
          <w:rFonts w:ascii="Arial" w:cs="Arial" w:eastAsia="Arial" w:hAnsi="Arial"/>
          <w:sz w:val="17"/>
          <w:szCs w:val="17"/>
          <w:color w:val="auto"/>
        </w:rPr>
      </w:pPr>
    </w:p>
    <w:p>
      <w:pPr>
        <w:jc w:val="both"/>
        <w:ind w:left="980" w:firstLine="408"/>
        <w:spacing w:after="0" w:line="287" w:lineRule="auto"/>
        <w:tabs>
          <w:tab w:leader="none" w:pos="1703"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(x) the aggregate amount of all principal payments of Indebtedness during such period, including (A) the principal payments of Term Loans under this Agreement made pursuant to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(B) the principal component of payments in respect of Financing Lease Obligations and (C) the amount of any mandatory prepayment of Loans, Incremental Equivalent Debt and Credit Agreement Refinancing Indebtedness, in each case, to the extent required due to a Disposition that resulted in an increase to Consolidated Net Income and not in excess of the amount of such increase but excluding (I) all prepayments of revolving loans and swingline loans (including the Revolving Loans and Swingline Loans) made during such period (other than in respect of any revolving credit facility to the extent there is not an equivalent permanent reduction in commitments thereunder), (II) all principal prepayments of Indebtedness (other than the Loans) to the extent reducing the required prepayment of Term Loans in respect of such period pursuant to the first sentence of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and (III) all such principal payments of Indebtedness to the extent financed with long-term Indebtedness (other than revolving Indebtedness) and (y) the aggregate amount of any premium, make-whole or penalty payments actually paid in cash by the Borrower and the Restricted Subsidiaries during such period that are required to be made in connection with any prepayment of Indebtedness referred to in clause (x), to the extent not financed with long-term Indebtedness (other than revolving Indebtedness),</w:t>
      </w:r>
    </w:p>
    <w:p>
      <w:pPr>
        <w:spacing w:after="0" w:line="59" w:lineRule="exact"/>
        <w:rPr>
          <w:rFonts w:ascii="Arial" w:cs="Arial" w:eastAsia="Arial" w:hAnsi="Arial"/>
          <w:sz w:val="16"/>
          <w:szCs w:val="16"/>
          <w:color w:val="auto"/>
        </w:rPr>
      </w:pPr>
    </w:p>
    <w:p>
      <w:pPr>
        <w:ind w:left="980" w:right="20" w:firstLine="408"/>
        <w:spacing w:after="0" w:line="277" w:lineRule="auto"/>
        <w:tabs>
          <w:tab w:leader="none" w:pos="1689"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 amount equal to the aggregate net non-cash gain on Dispositions by the Borrower and the Restricted Subsidiaries during such period (other than Dispositions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ordinary course of business) to the extent included in arriving at such Consolidated Net Income,</w:t>
      </w:r>
    </w:p>
    <w:p>
      <w:pPr>
        <w:spacing w:after="0" w:line="117" w:lineRule="exact"/>
        <w:rPr>
          <w:sz w:val="20"/>
          <w:szCs w:val="20"/>
          <w:color w:val="auto"/>
        </w:rPr>
      </w:pPr>
    </w:p>
    <w:p>
      <w:pPr>
        <w:jc w:val="both"/>
        <w:ind w:right="20" w:firstLine="408"/>
        <w:spacing w:after="0" w:line="263" w:lineRule="auto"/>
        <w:tabs>
          <w:tab w:leader="none" w:pos="67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(x) increases in Consolidated Working Capital, long-term receivables and long-term prepaid assets, (y) decreases in long-term deferred revenue for such period and (z) without duplication of amounts in the foregoing </w:t>
      </w:r>
      <w:r>
        <w:rPr>
          <w:rFonts w:ascii="Arial" w:cs="Arial" w:eastAsia="Arial" w:hAnsi="Arial"/>
          <w:sz w:val="18"/>
          <w:szCs w:val="18"/>
          <w:u w:val="single" w:color="auto"/>
          <w:color w:val="auto"/>
        </w:rPr>
        <w:t>clause (x)</w:t>
      </w:r>
      <w:r>
        <w:rPr>
          <w:rFonts w:ascii="Arial" w:cs="Arial" w:eastAsia="Arial" w:hAnsi="Arial"/>
          <w:sz w:val="18"/>
          <w:szCs w:val="18"/>
          <w:color w:val="auto"/>
        </w:rPr>
        <w:t>, increases in the Contract Asset Balance on the last day of such period as compared to the first day of such period,</w:t>
      </w:r>
    </w:p>
    <w:p>
      <w:pPr>
        <w:spacing w:after="0" w:line="75" w:lineRule="exact"/>
        <w:rPr>
          <w:rFonts w:ascii="Arial" w:cs="Arial" w:eastAsia="Arial" w:hAnsi="Arial"/>
          <w:sz w:val="18"/>
          <w:szCs w:val="18"/>
          <w:color w:val="auto"/>
        </w:rPr>
      </w:pPr>
    </w:p>
    <w:p>
      <w:pPr>
        <w:jc w:val="both"/>
        <w:ind w:left="440" w:firstLine="8"/>
        <w:spacing w:after="0" w:line="259" w:lineRule="auto"/>
        <w:tabs>
          <w:tab w:leader="none" w:pos="754"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cash payments by the Borrower and the Restricted Subsidiaries during such period in respect of liabilities of the Borrower and the Restricted Subsidiaries (including any earn-outs) other than Indebtedness, to the extent such payments are not expensed during such period or are not deducted in calculating Consolidated Net Income and were not financed with long-term Indebtedness (other than revolving Indebtedness),</w:t>
      </w:r>
    </w:p>
    <w:p>
      <w:pPr>
        <w:spacing w:after="0" w:line="78" w:lineRule="exact"/>
        <w:rPr>
          <w:rFonts w:ascii="Arial" w:cs="Arial" w:eastAsia="Arial" w:hAnsi="Arial"/>
          <w:sz w:val="18"/>
          <w:szCs w:val="18"/>
          <w:color w:val="auto"/>
        </w:rPr>
      </w:pPr>
    </w:p>
    <w:p>
      <w:pPr>
        <w:jc w:val="both"/>
        <w:ind w:left="440" w:firstLine="8"/>
        <w:spacing w:after="0" w:line="255" w:lineRule="auto"/>
        <w:tabs>
          <w:tab w:leader="none" w:pos="809" w:val="left"/>
        </w:tabs>
        <w:numPr>
          <w:ilvl w:val="1"/>
          <w:numId w:val="59"/>
        </w:numPr>
        <w:rPr>
          <w:rFonts w:ascii="Arial" w:cs="Arial" w:eastAsia="Arial" w:hAnsi="Arial"/>
          <w:sz w:val="18"/>
          <w:szCs w:val="18"/>
          <w:color w:val="auto"/>
        </w:rPr>
      </w:pPr>
      <w:r>
        <w:rPr>
          <w:rFonts w:ascii="Arial" w:cs="Arial" w:eastAsia="Arial" w:hAnsi="Arial"/>
          <w:sz w:val="18"/>
          <w:szCs w:val="18"/>
          <w:color w:val="auto"/>
        </w:rPr>
        <w:t>without duplication of amounts deducted pursuant to clause (x) below in prior fiscal years, the amount of Investments (other than (A) intercompany Investments, (B) Investments in Cash Equivalents and (C) Investments made using the Available Amount and the Available Equity Amount (other than clause (a) thereof)) and acquisitions not prohibited by this Agreement made in cash during such period or, at the option of the Borrower, made prior to the date the Borrower is required to make a payment of Excess Cash Flow in respect of such period, to the extent that such Investments or acquisitions and were not financed with long-term Indebtedness (other than revolving Indebtedness),</w:t>
      </w:r>
    </w:p>
    <w:p>
      <w:pPr>
        <w:spacing w:after="0" w:line="84" w:lineRule="exact"/>
        <w:rPr>
          <w:rFonts w:ascii="Arial" w:cs="Arial" w:eastAsia="Arial" w:hAnsi="Arial"/>
          <w:sz w:val="18"/>
          <w:szCs w:val="18"/>
          <w:color w:val="auto"/>
        </w:rPr>
      </w:pPr>
    </w:p>
    <w:p>
      <w:pPr>
        <w:jc w:val="both"/>
        <w:ind w:left="440" w:firstLine="8"/>
        <w:spacing w:after="0" w:line="291" w:lineRule="auto"/>
        <w:tabs>
          <w:tab w:leader="none" w:pos="846"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the amount of Restricted Payments (other than Restricted Payments to the Borrower or any Restricted Subsidiary) permitted by clause (i) (limited to the amount distributed for minority interests to any Person that is not a Restricted Subsidiary), (iii) (other than to the Borrower or any Restricted Subsidiary), (vi), (vii), (viii) (other than Restricted Payments made using the Available Amount and the Available Equity Amount (other than clause (a) thereof)), (x), (xi), (xii), (xiii), (xiv) and (xvi) (other than clause (A)(i) of clause (xvi)) of </w:t>
      </w:r>
      <w:r>
        <w:rPr>
          <w:rFonts w:ascii="Arial" w:cs="Arial" w:eastAsia="Arial" w:hAnsi="Arial"/>
          <w:sz w:val="16"/>
          <w:szCs w:val="16"/>
          <w:u w:val="single" w:color="auto"/>
          <w:color w:val="auto"/>
        </w:rPr>
        <w:t>Section 6.08(a)</w:t>
      </w:r>
      <w:r>
        <w:rPr>
          <w:rFonts w:ascii="Arial" w:cs="Arial" w:eastAsia="Arial" w:hAnsi="Arial"/>
          <w:sz w:val="16"/>
          <w:szCs w:val="16"/>
          <w:color w:val="auto"/>
        </w:rPr>
        <w:t xml:space="preserve"> that are paid in cash during such period or, at the option of the Borrower, made prior to the date the Borrower is required to make a payment of Excess Cash Flow in respect of such period, and not prohibited by this Agreement, to the extent such Restricted Payments were not financed with long-term Indebtedness (other than revolving Indebtedness),</w:t>
      </w:r>
    </w:p>
    <w:p>
      <w:pPr>
        <w:spacing w:after="0" w:line="58" w:lineRule="exact"/>
        <w:rPr>
          <w:sz w:val="20"/>
          <w:szCs w:val="20"/>
          <w:color w:val="auto"/>
        </w:rPr>
      </w:pPr>
    </w:p>
    <w:p>
      <w:pPr>
        <w:jc w:val="both"/>
        <w:ind w:right="20" w:firstLine="408"/>
        <w:spacing w:after="0" w:line="259" w:lineRule="auto"/>
        <w:tabs>
          <w:tab w:leader="none" w:pos="71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aggregate amount of expenditures actually made by the Borrower and the Restricted Subsidiaries in cash during such period (including expenditures for the payment of financing fees) to the extent that such expenditures are not expensed during such period or are not deducted (and not added back) in calculating Consolidated Net Income, to the extent that such expenditures were not financed with long-term Indebtedness (other than revolving Indebtedness),</w:t>
      </w:r>
    </w:p>
    <w:p>
      <w:pPr>
        <w:spacing w:after="0" w:line="79" w:lineRule="exact"/>
        <w:rPr>
          <w:sz w:val="20"/>
          <w:szCs w:val="20"/>
          <w:color w:val="auto"/>
        </w:rPr>
      </w:pPr>
    </w:p>
    <w:p>
      <w:pPr>
        <w:jc w:val="both"/>
        <w:ind w:left="440" w:right="20" w:firstLine="8"/>
        <w:spacing w:after="0" w:line="286" w:lineRule="auto"/>
        <w:tabs>
          <w:tab w:leader="none" w:pos="7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without duplication of amounts deducted from Excess Cash Flow in prior periods, (1) the aggregate consideration required to be paid in cash by the Borrower or any Restricted Subsidiary pursuant to binding contracts, commitments, letters of intent or purchase orders (the “</w:t>
      </w:r>
      <w:r>
        <w:rPr>
          <w:rFonts w:ascii="Arial" w:cs="Arial" w:eastAsia="Arial" w:hAnsi="Arial"/>
          <w:sz w:val="17"/>
          <w:szCs w:val="17"/>
          <w:u w:val="single" w:color="auto"/>
          <w:color w:val="auto"/>
        </w:rPr>
        <w:t>Contract Consideration</w:t>
      </w:r>
      <w:r>
        <w:rPr>
          <w:rFonts w:ascii="Arial" w:cs="Arial" w:eastAsia="Arial" w:hAnsi="Arial"/>
          <w:sz w:val="17"/>
          <w:szCs w:val="17"/>
          <w:color w:val="auto"/>
        </w:rPr>
        <w:t>”), in each case, entered into prior to or during such period and (2) the aggregate</w:t>
      </w:r>
    </w:p>
    <w:p>
      <w:pPr>
        <w:spacing w:after="0" w:line="9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040"/>
          </w:cols>
          <w:pgMar w:left="1420" w:top="274" w:right="439" w:bottom="1440" w:gutter="0" w:footer="0" w:header="0"/>
        </w:sectPr>
      </w:pPr>
    </w:p>
    <w:bookmarkStart w:id="78" w:name="page79"/>
    <w:bookmarkEnd w:id="78"/>
    <w:p>
      <w:pPr>
        <w:jc w:val="both"/>
        <w:ind w:left="14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cash that is reasonably expected to be paid in respect of planned cash expenditures by the Borrower or any Restricted Subsidiary (the “Planned Expenditures”), in the case of each of clauses (1) and (2), relating to Permitted Acquisitions, other Investments (other than intercompany Investments and Investments in Cash Equivalents), Capitalized Software Expenditures or Capital Expenditures (including other purchases of intellectual property) to be consummated or made during a subsequent period (and in the case of Planned Expenditures, during the immediately succeeding four fiscal quarters of the Borrower); provided that, in each case, to the extent the aggregate amount of internally generated cash flow of the Borrower or the Restricted Subsidiaries actually utilized to finance such Permitted Acquisitions, Investments, Capital Expenditures or Capitalized Software Expenditures during such subsequent period is less than the Contract Consideration or Planned Expenditures, as applicable, the amount of such shortfall shall be added to the calculation of Excess Cash Flow at the end of the succeeding fiscal year,</w:t>
      </w:r>
    </w:p>
    <w:p>
      <w:pPr>
        <w:spacing w:after="0" w:line="58" w:lineRule="exact"/>
        <w:rPr>
          <w:sz w:val="20"/>
          <w:szCs w:val="20"/>
          <w:color w:val="auto"/>
        </w:rPr>
      </w:pPr>
    </w:p>
    <w:p>
      <w:pPr>
        <w:jc w:val="both"/>
        <w:ind w:left="980" w:right="20" w:firstLine="408"/>
        <w:spacing w:after="0" w:line="263" w:lineRule="auto"/>
        <w:tabs>
          <w:tab w:leader="none" w:pos="17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of taxes (including penalties and interest or tax reserves) paid in cash and/or tax reserves set aside, payable, or reasonably estimated to be payable (without duplication) in such period to the extent they exceed the amount of tax expense deducted in determining Consolidated Net Income for such period,</w:t>
      </w:r>
    </w:p>
    <w:p>
      <w:pPr>
        <w:spacing w:after="0" w:line="75" w:lineRule="exact"/>
        <w:rPr>
          <w:rFonts w:ascii="Arial" w:cs="Arial" w:eastAsia="Arial" w:hAnsi="Arial"/>
          <w:sz w:val="18"/>
          <w:szCs w:val="18"/>
          <w:color w:val="auto"/>
        </w:rPr>
      </w:pPr>
    </w:p>
    <w:p>
      <w:pPr>
        <w:ind w:left="980" w:right="20" w:firstLine="408"/>
        <w:spacing w:after="0" w:line="277" w:lineRule="auto"/>
        <w:tabs>
          <w:tab w:leader="none" w:pos="17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of cash payments made in respect of pensions and other postemployment benefits in such period to the extent not deducted in arriving at such Consolidated Net Income,</w:t>
      </w:r>
    </w:p>
    <w:p>
      <w:pPr>
        <w:spacing w:after="0" w:line="62" w:lineRule="exact"/>
        <w:rPr>
          <w:rFonts w:ascii="Arial" w:cs="Arial" w:eastAsia="Arial" w:hAnsi="Arial"/>
          <w:sz w:val="18"/>
          <w:szCs w:val="18"/>
          <w:color w:val="auto"/>
        </w:rPr>
      </w:pPr>
    </w:p>
    <w:p>
      <w:pPr>
        <w:jc w:val="both"/>
        <w:ind w:left="980" w:right="20" w:firstLine="408"/>
        <w:spacing w:after="0" w:line="311" w:lineRule="auto"/>
        <w:tabs>
          <w:tab w:leader="none" w:pos="1789"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the extent not deducted in arriving at Consolidated Net Income, cash fees, expenses and purchase price adjustments incurred in such period in connection with the Transactions or any permitted Investment, issuance of Equity Interests or debt incurrence (whether or not consummated) and any Restricted Payment made in such period to pay any of the foregoing incurred by Holdings or any Parent Entity,</w:t>
      </w:r>
    </w:p>
    <w:p>
      <w:pPr>
        <w:spacing w:after="0" w:line="40" w:lineRule="exact"/>
        <w:rPr>
          <w:rFonts w:ascii="Arial" w:cs="Arial" w:eastAsia="Arial" w:hAnsi="Arial"/>
          <w:sz w:val="16"/>
          <w:szCs w:val="16"/>
          <w:color w:val="auto"/>
        </w:rPr>
      </w:pPr>
    </w:p>
    <w:p>
      <w:pPr>
        <w:ind w:left="980" w:right="20" w:firstLine="408"/>
        <w:spacing w:after="0" w:line="277" w:lineRule="auto"/>
        <w:tabs>
          <w:tab w:leader="none" w:pos="1781"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reimbursable and insured expenses in such period to the extent such reimbursement has not yet been received and to the extent not deducted in arriving at such Consolidated Net Income, and</w:t>
      </w:r>
    </w:p>
    <w:p>
      <w:pPr>
        <w:spacing w:after="0" w:line="62" w:lineRule="exact"/>
        <w:rPr>
          <w:rFonts w:ascii="Arial" w:cs="Arial" w:eastAsia="Arial" w:hAnsi="Arial"/>
          <w:sz w:val="18"/>
          <w:szCs w:val="18"/>
          <w:color w:val="auto"/>
        </w:rPr>
      </w:pPr>
    </w:p>
    <w:p>
      <w:pPr>
        <w:ind w:left="1740" w:hanging="352"/>
        <w:spacing w:after="0"/>
        <w:tabs>
          <w:tab w:leader="none" w:pos="17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extraordinary cash losses during such period and to the extent not deducted in arriving at such Consolidated Net Income.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 Period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 from time to time.</w:t>
      </w:r>
    </w:p>
    <w:p>
      <w:pPr>
        <w:spacing w:after="0" w:line="225"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means on any day, for purposes of determining the Dollar Equivalent of any currency other than Dollars the rate at which such other currency may be exchanged into Dollars at the time of determination on such day as set forth on the Bloomberg screen page for such currency. In the event that such rate does not appear on any Bloomberg screen page, the Exchange Rate shall be determined by reference to such other publicly available service for displaying exchange rates as may be agreed upon by the Administrative Agent and the Borrower or, in the absence of such an agreement, such Exchange Rate shall instead be the arithmetic average of the Exchange Rates of exchange quoted to the Administrative Agent for such currency, at or about such time as the Administrative Agent shall elect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79" w:name="page80"/>
    <w:bookmarkEnd w:id="79"/>
    <w:p>
      <w:pPr>
        <w:jc w:val="both"/>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determining that such rates shall be the basis for determining the Exchange Rate, on such date for the purchase of Dollars for delivery two Business Days later; provided that, if at the time of any such determination, for any reason, no such Exchange Rate is being quoted, the Administrative Agent may use any reasonable method it deems appropriate to determine such rate, and such determination shall be conclusive absent manifest error.</w:t>
      </w:r>
    </w:p>
    <w:p>
      <w:pPr>
        <w:spacing w:after="0" w:line="149" w:lineRule="exact"/>
        <w:rPr>
          <w:sz w:val="20"/>
          <w:szCs w:val="20"/>
          <w:color w:val="auto"/>
        </w:rPr>
      </w:pPr>
    </w:p>
    <w:p>
      <w:pPr>
        <w:jc w:val="both"/>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Accounts</w:t>
      </w:r>
      <w:r>
        <w:rPr>
          <w:rFonts w:ascii="Arial" w:cs="Arial" w:eastAsia="Arial" w:hAnsi="Arial"/>
          <w:sz w:val="17"/>
          <w:szCs w:val="17"/>
          <w:color w:val="auto"/>
        </w:rPr>
        <w:t>” means any deposit accounts, commodities account and securities accounts (each as defined in the UCC) (i) that are held by any Loan Party and are swept at least every two Business Days (or more frequently) to a Controlled Account, (ii) the balance of which consists exclusively of (x) withheld income taxes and federal, state or local employment taxes, and (y) amounts required to be paid over to an employee benefit plan, (iii) all segregated deposit accounts constituting or used for (and the balance of which consists solely of funds set aside for the purpose of managing) disbursement, tax accounts, payroll accounts (including payroll taxes required to be collected, remitted or withheld, including federal and state withholding taxes), employee wages and benefits, customs, fiduciary benefits, trust, escrow or similar purposes, (iv) that are zero balance accounts and (v) other accounts with an aggregate balance of less than $2,500,000 at all times.</w:t>
      </w:r>
    </w:p>
    <w:p>
      <w:pPr>
        <w:spacing w:after="0" w:line="177" w:lineRule="exact"/>
        <w:rPr>
          <w:sz w:val="20"/>
          <w:szCs w:val="20"/>
          <w:color w:val="auto"/>
        </w:rPr>
      </w:pPr>
    </w:p>
    <w:p>
      <w:pPr>
        <w:jc w:val="both"/>
        <w:ind w:firstLine="4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Assets</w:t>
      </w:r>
      <w:r>
        <w:rPr>
          <w:rFonts w:ascii="Arial" w:cs="Arial" w:eastAsia="Arial" w:hAnsi="Arial"/>
          <w:sz w:val="17"/>
          <w:szCs w:val="17"/>
          <w:color w:val="auto"/>
        </w:rPr>
        <w:t>” means (a) (x) any fee owned real property other than Material Real Property, (y) all leasehold interests in real property, (b) any governmental licenses or state or local franchises, charters or authorizations, to the extent a security interest in any such license, franchise, charter or authorization would be prohibited or restricted thereby (including any legally effective prohibition or restriction) after giving effect to any applicable anti-assignment provisions of the UCC or other applicable law notwithstanding such prohibition, (c) any asset to the extent a pledge thereof or grant of security interest therein is prohibited by any Requirement of Law (including any legally effective requirement to obtain the consent of any governmental authority, except to the extent such consent has been obtained) after giving effect to any applicable anti-assignment provisions of the UCC or other applicable law notwithstanding such prohibition, (d) margin stock and, to the extent (i) prohibited by the terms of, creating an enforceable right of termination in favor of any other party thereto (other than Holdings, the Borrower or any wholly-owned Restricted Subsidiary of the Borrower) or requiring the consent of one or more third parties (other than Holdings, the Borrower or any wholly-owned Restricted Subsidiary of the Borrower) under and/or (ii) any pledge could give rise to a “right of first refusal”, a “right of first offer” or a similar right that may be exercised by any third party (other than Holdings, the Borrower or any wholly-owned Restricted Subsidiary of Holdings or the Borrower) pursuant to, any applicable Organizational Documents, Joint Venture agreement or shareholders’ agreement, Equity Interests in any Person other than the Borrower or any Restricted Subsidiary that is a wholly-owned, Restricted Subsidiary (except any Subsidiary that becomes non wholly-owned as the result of the transfer of any of its equity interests to any Affiliate of the Borrower), (e) assets to the extent a security interest or grant of perfection in such assets would result in material adverse tax consequences to the Borrower or any of their Subsidiaries or any direct or indirect Parent Entity or other equityholder of the foregoing, as reasonably determined by the Borrower in consultation with (but without the consent of) the Administrative Agent, (f) Foreign Intellectual Property and any intent-to-use trademark application prior to the filing of a “Statement of Use”, “Amendment to Allege Use” or similar filing with respect thereto, (g) any lease, license or other agreement or any property subject to a purchase money security interest, Financing Lease Obligation or similar arrangement permitted hereunder to the extent that a grant of a security interest therein would violate or invalidate such lease, license or agreement or purchase money arrangement, Financing Lease Obligation or similar arrangement or create a breach, default or right of termination in favor of any other party thereto (other than Holdings, the Borrower or any wholly-owned Restricted Subsidiary) after giving effect to the applicable anti-assignment provisions of the Uniform Commercial Code of any applicable jurisdiction or other similar applicable law, other than proceeds and receivables thereof, the assignment of which is expressly deemed effective under the Uniform Commercial Code of any applicable jurisdiction or other similar applicable law notwithstanding such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80" w:name="page81"/>
    <w:bookmarkEnd w:id="80"/>
    <w:p>
      <w:pPr>
        <w:jc w:val="both"/>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prohibition, (h) in excess of 65% of the voting Equity Interests of (A) any Foreign Subsidiary or (B) any FSHCO, (i) Excluded Accounts, (j) the Equity Interests of any (i) Immaterial Subsidiary (except to the extent a Lien thereon cannot be perfected solely by filing a UCC financing statement),</w:t>
      </w:r>
    </w:p>
    <w:p>
      <w:pPr>
        <w:jc w:val="both"/>
        <w:ind w:left="4" w:hanging="4"/>
        <w:spacing w:after="0" w:line="285" w:lineRule="auto"/>
        <w:tabs>
          <w:tab w:leader="none" w:pos="282" w:val="left"/>
        </w:tabs>
        <w:numPr>
          <w:ilvl w:val="0"/>
          <w:numId w:val="63"/>
        </w:numPr>
        <w:rPr>
          <w:rFonts w:ascii="Arial" w:cs="Arial" w:eastAsia="Arial" w:hAnsi="Arial"/>
          <w:sz w:val="16"/>
          <w:szCs w:val="16"/>
          <w:color w:val="auto"/>
        </w:rPr>
      </w:pPr>
      <w:r>
        <w:rPr>
          <w:rFonts w:ascii="Arial" w:cs="Arial" w:eastAsia="Arial" w:hAnsi="Arial"/>
          <w:sz w:val="16"/>
          <w:szCs w:val="16"/>
          <w:color w:val="auto"/>
        </w:rPr>
        <w:t>Unrestricted Subsidiary, (iii) not-for-profit subsidiary, any Receivables Subsidiary and/or any captive insurance company, (iv) any employee stock ownership plan or trust established by Holdings or any of its Subsidiaries or a direct or indirect parent of Holdings (to the extent such employee stock ownership plan or trust has been funded by Holdings or any Subsidiary or a direct or indirect parent of Holdings), (v) any Equity Interests of any Person acquired after the Effective Date pursuant to a Permitted Acquisition or similar Investment that are pledged to secure Indebtedness permitted to be assumed hereunder (and not incurred in contemplation of the Effective Date or such Permitted Acquisition or similar Investment) existing at the time of such Permitted Acquisition or similar Investment and (vi) any Equity Interests of any Person other than a wholly-owned Restricted Subsidiary (except any Subsidiary that becomes non wholly-owned as the result of the transfer of any of its equity interests to any Affiliate of the Borrower), (k) Vehicles, aircrafts, aircraft engines and other assets subject to certificates of title to the extent a Lien thereon cannot be perfected solely by filing a UCC financing statement, and/or (l) receivables, leases contracts, loans, mortgages, royalties and related assets (or interests therein) including but not limited to inventory, bank accounts, records and proceeds of any of the foregoing (A) sold or contributed to any Receivables Subsidiary or (B) otherwise pledged, factored, transferred or sold in, in each case, connection with any Permitted Receivables Financing. Other assets shall be deemed to be “</w:t>
      </w:r>
      <w:r>
        <w:rPr>
          <w:rFonts w:ascii="Arial" w:cs="Arial" w:eastAsia="Arial" w:hAnsi="Arial"/>
          <w:sz w:val="16"/>
          <w:szCs w:val="16"/>
          <w:u w:val="single" w:color="auto"/>
          <w:color w:val="auto"/>
        </w:rPr>
        <w:t>Excluded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Assets</w:t>
      </w:r>
      <w:r>
        <w:rPr>
          <w:rFonts w:ascii="Arial" w:cs="Arial" w:eastAsia="Arial" w:hAnsi="Arial"/>
          <w:sz w:val="16"/>
          <w:szCs w:val="16"/>
          <w:color w:val="auto"/>
        </w:rPr>
        <w:t>” if the Administrative Agent and the Borrower reasonably agree in writing that the cost of obtaining or perfecting a security interest in such assets is excessive in relation to the benefit to the Lenders of the security to be afforded thereby.</w:t>
      </w:r>
    </w:p>
    <w:p>
      <w:pPr>
        <w:spacing w:after="0" w:line="16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xml:space="preserve">” means any of the following (except as otherwise provided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“Subsidiary Loan Party”):</w:t>
      </w:r>
    </w:p>
    <w:p>
      <w:pPr>
        <w:spacing w:after="0" w:line="35" w:lineRule="exact"/>
        <w:rPr>
          <w:sz w:val="20"/>
          <w:szCs w:val="20"/>
          <w:color w:val="auto"/>
        </w:rPr>
      </w:pPr>
    </w:p>
    <w:p>
      <w:pPr>
        <w:jc w:val="both"/>
        <w:ind w:left="4" w:hanging="4"/>
        <w:spacing w:after="0" w:line="285" w:lineRule="auto"/>
        <w:tabs>
          <w:tab w:leader="none" w:pos="256"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any Subsidiary that is not a wholly-owned subsidiary of Holdings, except to the extent such Subsidiary becomes a non-wholly-owned subsidiary of Holdings as a result of the transfer of any of its Equity Interests to an Affiliate of Holdings after the Effective Date, (b) each Subsidiary listed on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(c) any Unrestricted Subsidiary, (d) each Immaterial Subsidiary, (e) any Subsidiary that is prohibited by (i) applicable Requirements of Law or (ii) any contractual obligation existing on the Effective Date or on the date any such Subsidiary is acquired (so long as, in respect of any such contractual prohibition, such prohibition is not incurred in contemplation of the Effective Date or such acquisition and only for so long as such restriction is continuing), in each case from guaranteeing the Secured Obligations or which would require governmental (including regulatory) consent, approval, license or authorization to provide a Guarantee (unless such consent, approval, license or authorization has been received), (f) any Foreign Subsidiary, (g) any direct or indirect Domestic Subsidiary of a direct or indirect Foreign Subsidiary of the Borrower, (h) any FSHCO, (i) any Subsidiary for which the provision of a Guarantee would result in any material adverse Tax consequences to Holdings, the Borrower or one of their respective Subsidiaries or to any Parent Entity (as reasonably determined by the Borrower in consultation with (but without the consent of) the Administrative Agent), (j) any other Subsidiary excused from becoming a Loan Party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last paragraph of the definition of the term “Collateral and Guarantee Requirement,” (k) each Receivables Subsidiary, (l) any not-for-profit Subsidiaries or captive insurance companies.</w:t>
      </w:r>
    </w:p>
    <w:p>
      <w:pPr>
        <w:spacing w:after="0" w:line="172" w:lineRule="exact"/>
        <w:rPr>
          <w:sz w:val="20"/>
          <w:szCs w:val="20"/>
          <w:color w:val="auto"/>
        </w:rPr>
      </w:pPr>
    </w:p>
    <w:p>
      <w:pPr>
        <w:jc w:val="both"/>
        <w:ind w:left="4"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 any Swap Obligation if, and to the extent that, all or a portion of the Guarantee of such Guarantor of, or the grant by such Guarantor of a security interest to secure, as applicable, such Swap Obligation (or any Guarantee thereof) is or becomes illegal or unlawful under the Commodity Exchange Act or any rule, regulation or order of the U.S. Commodity Futures Trading Commission (or the application or official interpretation of any thereof) by virtue of (i) such Guarantor’s failure for any reason to constitute an “eligible contract participant” as defined in the Commodity Exchange Act (determined after giving effect to any applicable keep well, support, or other agreement for the benefit of such Guarantor and any and all Guarantees of</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4"/>
          </w:cols>
          <w:pgMar w:left="436" w:top="274" w:right="439" w:bottom="1440" w:gutter="0" w:footer="0" w:header="0"/>
        </w:sectPr>
      </w:pPr>
    </w:p>
    <w:bookmarkStart w:id="81" w:name="page82"/>
    <w:bookmarkEnd w:id="81"/>
    <w:p>
      <w:pPr>
        <w:jc w:val="both"/>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Guarantor’s Swap Obligations by other Loan Parties) at the time the Guarantee of such Guarantor, or a grant by such Guarantor of a security interest, becomes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Guarantee of such Guarantor of, or the grant by such Guarantor of a security interest to secure, as applicable, such Swap Obligation or (b) any other Swap Obligation designated as an “Excluded Swap Obligation” of such Guarantor as specified in any agreement between the relevant Loan Parties and counterparty applicable to such Swap Obligations.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178"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with respect to the Administrative Agent, any Lender or any other recipient of any payment to be made by or on account of any obligation of any Loan Party hereunder or under any other Loan Document, (a) Taxes imposed on (or measured by) its net income (however denominated), branch profits Taxes and franchise Taxes, in each case imposed by (i) a jurisdiction as a result of such recipient being organized or having its principal office located in or, in the case of any Lender, having its applicable lending office located in, such jurisdiction or (ii) any jurisdiction as a result of any other present or former connection between such recipient and the jurisdiction imposing such Tax (other than a connection arising solely from such recipient having executed, delivered, or become a party to, performed its obligations or received payments under, received or perfected a security interest under, sold or assigned an interest in, or engaged in any other transaction pursuant to, or enforced, any Loan Documents), (b) any Tax that is attributable to a Lender’s or the Administrative Agent’s failure to comply with </w:t>
      </w:r>
      <w:r>
        <w:rPr>
          <w:rFonts w:ascii="Arial" w:cs="Arial" w:eastAsia="Arial" w:hAnsi="Arial"/>
          <w:sz w:val="17"/>
          <w:szCs w:val="17"/>
          <w:u w:val="single" w:color="auto"/>
          <w:color w:val="auto"/>
        </w:rPr>
        <w:t>Section 2.17(e)</w:t>
      </w:r>
      <w:r>
        <w:rPr>
          <w:rFonts w:ascii="Arial" w:cs="Arial" w:eastAsia="Arial" w:hAnsi="Arial"/>
          <w:sz w:val="17"/>
          <w:szCs w:val="17"/>
          <w:color w:val="auto"/>
        </w:rPr>
        <w:t xml:space="preserve">, (c) except in the case of an assignee pursuant to a request by the Borrower under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any U.S. federal withholding Taxes imposed due to a Requirement of Law in effect at the time a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and (d) any withholding Tax imposed pursuant to FATCA.</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Class</w:t>
      </w:r>
      <w:r>
        <w:rPr>
          <w:rFonts w:ascii="Arial" w:cs="Arial" w:eastAsia="Arial" w:hAnsi="Arial"/>
          <w:sz w:val="18"/>
          <w:szCs w:val="18"/>
          <w:color w:val="auto"/>
        </w:rPr>
        <w:t>” means Existing Term Loan Classes and each Class of Existing Revolving Commitments.</w:t>
      </w:r>
    </w:p>
    <w:p>
      <w:pPr>
        <w:spacing w:after="0" w:line="225"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 Indebtedness</w:t>
      </w:r>
      <w:r>
        <w:rPr>
          <w:rFonts w:ascii="Arial" w:cs="Arial" w:eastAsia="Arial" w:hAnsi="Arial"/>
          <w:sz w:val="18"/>
          <w:szCs w:val="18"/>
          <w:color w:val="auto"/>
        </w:rPr>
        <w:t>” means the principal, interest, fees and other amounts, other than contingent obligations not due and payable and that by their terms survive the termination of the Existing Credit Facility (as defined below), outstanding under that certain Credit Agreement, dated as of October 31, 2014 (as amended, supplemented or otherwise modified from time to time prior to the Effective Date, the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Facility</w:t>
      </w:r>
      <w:r>
        <w:rPr>
          <w:rFonts w:ascii="Arial" w:cs="Arial" w:eastAsia="Arial" w:hAnsi="Arial"/>
          <w:sz w:val="18"/>
          <w:szCs w:val="18"/>
          <w:color w:val="auto"/>
        </w:rPr>
        <w:t>”), by and among Norvax, GoHealth LLC, Levelbott LLC and ASAP Quotes LLC (as borrowers) and FirstMerit Bank, N.A. (k/n/a Huntington National Bank) as lender.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Facility</w:t>
      </w:r>
      <w:r>
        <w:rPr>
          <w:rFonts w:ascii="Arial" w:cs="Arial" w:eastAsia="Arial" w:hAnsi="Arial"/>
          <w:sz w:val="18"/>
          <w:szCs w:val="18"/>
          <w:color w:val="auto"/>
        </w:rPr>
        <w:t>” has the meaning assigned to such term in the definition of “Existing Credit Agreement Indebtedness”.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Class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Commitments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Loans</w:t>
      </w:r>
      <w:r>
        <w:rPr>
          <w:rFonts w:ascii="Arial" w:cs="Arial" w:eastAsia="Arial" w:hAnsi="Arial"/>
          <w:sz w:val="18"/>
          <w:szCs w:val="18"/>
          <w:color w:val="auto"/>
        </w:rPr>
        <w:t xml:space="preserve">” has the meaning assigned to such term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Loan Class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82" w:name="page83"/>
    <w:bookmarkEnd w:id="82"/>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Extended Loans/Commitments</w:t>
      </w:r>
      <w:r>
        <w:rPr>
          <w:rFonts w:ascii="Arial" w:cs="Arial" w:eastAsia="Arial" w:hAnsi="Arial"/>
          <w:sz w:val="17"/>
          <w:szCs w:val="17"/>
          <w:color w:val="auto"/>
        </w:rPr>
        <w:t>” means Extended Term Loans, Extended Revolving Loans and/or Extended Revolving Commitments.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Commitments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Election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2.24(c)</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Series</w:t>
      </w:r>
      <w:r>
        <w:rPr>
          <w:rFonts w:ascii="Arial" w:cs="Arial" w:eastAsia="Arial" w:hAnsi="Arial"/>
          <w:sz w:val="18"/>
          <w:szCs w:val="18"/>
          <w:color w:val="auto"/>
        </w:rPr>
        <w:t>” means all Other Term Loans, Other Revolving Loans, Other Term Commitments or Other Revolving Commitments (as applicable) that are established pursuant to the same Loan Modification Agreement (or any subsequent Loan Modification Agreement to the extent such Loan Modification Agreements expressly provides that the Other Term Loans, Other Revolving Loans, Other Term Commitments or Other Revolving Commitments, as applicable, provided for therein are intended to be a part of any previously established Extension Series) and that provide for the same interest margins, extension fees, if any, and amortization schedule.</w:t>
      </w:r>
    </w:p>
    <w:p>
      <w:pPr>
        <w:spacing w:after="0" w:line="188"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 value shall be determined in good faith by the Borrower.</w:t>
      </w:r>
    </w:p>
    <w:p>
      <w:pPr>
        <w:spacing w:after="0" w:line="187"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in effect on the Effective Date (or any amended or successor version that is substantively comparable and not materially more onerous to comply with), any current or future Treasury regulations or official administrative interpretations thereof, any agreements entered into pursuant to current Section 1471(b)(1) of the Code, any intergovernmental agreements entered into in connection with the implementation of such current Sections of the Code (or any such amended or successor version described above), and any laws, fiscal or regulatory legislation, rules, guidance notes and practices adopted by a non-U.S. jurisdiction to implement the foregoing.</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Effective Rate for any day is less than zero, the Federal Funds Effective Rate for such day will be deemed to be zero;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such rate is not so published for any day that is a Business Day, the average (rounded upwards, if necessary, to the next 1/100 of 1%) of the quotations for the day of such transactions received by the Administrative Agent from three federal funds brokers of recognized standing selected by 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83" w:name="page84"/>
    <w:bookmarkEnd w:id="83"/>
    <w:p>
      <w:pPr>
        <w:jc w:val="both"/>
        <w:ind w:right="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Fee Letter</w:t>
      </w:r>
      <w:r>
        <w:rPr>
          <w:rFonts w:ascii="Arial" w:cs="Arial" w:eastAsia="Arial" w:hAnsi="Arial"/>
          <w:sz w:val="16"/>
          <w:szCs w:val="16"/>
          <w:color w:val="auto"/>
        </w:rPr>
        <w:t>” means, collectively, (i) that certain Credit Facilities Fee Letter, dated as of August 15, 2019, by and among Parent, Owl Rock Capital Corporation, Owl Rock Capital Corporation II, Owl Rock Technology Finance Corp. and Owl Rock Capital Advisors LLC, MidCap Financial Trust and Benefit Street Partners L.L.C. and (ii) that certain Fee Letter, dated as of August 15, 2019, by and among Parent and Owl Rock Capital Advisors, LLC.</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FEMA</w:t>
      </w:r>
      <w:r>
        <w:rPr>
          <w:rFonts w:ascii="Arial" w:cs="Arial" w:eastAsia="Arial" w:hAnsi="Arial"/>
          <w:sz w:val="18"/>
          <w:szCs w:val="18"/>
          <w:color w:val="auto"/>
        </w:rPr>
        <w:t>” means the Federal Emergency Management Agency or any successor governmental agency or similar authority.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Officer</w:t>
      </w:r>
      <w:r>
        <w:rPr>
          <w:rFonts w:ascii="Arial" w:cs="Arial" w:eastAsia="Arial" w:hAnsi="Arial"/>
          <w:sz w:val="17"/>
          <w:szCs w:val="17"/>
          <w:color w:val="auto"/>
        </w:rPr>
        <w:t>” means the chief financial officer, principal accounting officer, treasurer, assistant treasurer or controller of the Borrower.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Maintenance Covenant</w:t>
      </w:r>
      <w:r>
        <w:rPr>
          <w:rFonts w:ascii="Arial" w:cs="Arial" w:eastAsia="Arial" w:hAnsi="Arial"/>
          <w:sz w:val="18"/>
          <w:szCs w:val="18"/>
          <w:color w:val="auto"/>
        </w:rPr>
        <w:t xml:space="preserve">” means the covenant set forth in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Maintenance Covenant 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7.01(d)</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Lease Obligation</w:t>
      </w:r>
      <w:r>
        <w:rPr>
          <w:rFonts w:ascii="Arial" w:cs="Arial" w:eastAsia="Arial" w:hAnsi="Arial"/>
          <w:sz w:val="18"/>
          <w:szCs w:val="18"/>
          <w:color w:val="auto"/>
        </w:rPr>
        <w:t>” means, as applied to any Person, an obligation that is required to be accounted for as a financing or capital lease (and, for the avoidance of doubt, not an operating lease)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 as in effect on December 31, 2018 (it being understood that all obligations of the Borrower and the Restricted Subsidiaries that are or would be characterized as an operating lease as determined in accordance with GAAP as in effect on the December 31, 2018 (whether or not such operating lease was in effect on such date) shall continue to be accounted for as an operating lease (and not as a Financing Lease Obligation) for purposes of this Agreement regardless of any change in GAAP following December 31, 2018 that would otherwise require such obligation to be recharacterized as a Financing Lease Obligation, to the extent that financial reporting shall not be affected hereby).</w:t>
      </w:r>
    </w:p>
    <w:p>
      <w:pPr>
        <w:spacing w:after="0" w:line="196"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means, collectively, (a) the National Flood Insurance Act of 1968 as now or hereafter in effect or any successor statute thereto, (b) the Flood Disaster Protection Act of 1973 as now or hereafter in effect or any successor statute thereto, (c) the National Flood Insurance Reform Act of 1994 as now or hereafter in effect or any successor statute thereto, (d) the Flood Insurance Reform Act of 2004 as now or hereafter in effect or any successor statute thereto and (e) the Biggert-Waters Flood Insurance Reform Act of 2012 as now or hereafter in effect or any successor statute thereto.</w:t>
      </w:r>
    </w:p>
    <w:p>
      <w:pPr>
        <w:spacing w:after="0" w:line="188"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Benefit Plan Event</w:t>
      </w:r>
      <w:r>
        <w:rPr>
          <w:rFonts w:ascii="Arial" w:cs="Arial" w:eastAsia="Arial" w:hAnsi="Arial"/>
          <w:sz w:val="16"/>
          <w:szCs w:val="16"/>
          <w:color w:val="auto"/>
        </w:rPr>
        <w:t>” means, with respect to any Foreign Pension Plan, (a) the existence of unfunded liabilities in excess of the amount permitted under any applicable law or in excess of the amount that would be permitted absent a waiver from applicable Governmental Authority or (b) the failure to make the required contributions or payments, under any applicable law, on or before the due date for such contributions or payments.</w:t>
      </w:r>
    </w:p>
    <w:p>
      <w:pPr>
        <w:spacing w:after="0" w:line="149"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Intellectual Property</w:t>
      </w:r>
      <w:r>
        <w:rPr>
          <w:rFonts w:ascii="Arial" w:cs="Arial" w:eastAsia="Arial" w:hAnsi="Arial"/>
          <w:sz w:val="18"/>
          <w:szCs w:val="18"/>
          <w:color w:val="auto"/>
        </w:rPr>
        <w:t>” means any right, title or interest in or to any Intellectual Property governed by or arising or existing under, pursuant to or by virtue of the laws of any jurisdiction other than the United States of America or any state thereof.</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Pension Plan</w:t>
      </w:r>
      <w:r>
        <w:rPr>
          <w:rFonts w:ascii="Arial" w:cs="Arial" w:eastAsia="Arial" w:hAnsi="Arial"/>
          <w:sz w:val="18"/>
          <w:szCs w:val="18"/>
          <w:color w:val="auto"/>
        </w:rPr>
        <w:t>” means any defined benefit plan sponsored, maintained or contributed to by any Loan Party or any Foreign Subsidiary that under applicable law is required to be funded through a trust or other funding vehicle other than a trust or funding vehicle maintained exclusively by a Governmental Authority.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84" w:name="page85"/>
    <w:bookmarkEnd w:id="84"/>
    <w:p>
      <w:pPr>
        <w:jc w:val="both"/>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 jurisdiction other than the United States of America, any State thereof or the District of Columbia.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Subsidiary/FSHCO Prepayment Event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2.11(i)</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FSHCO</w:t>
      </w:r>
      <w:r>
        <w:rPr>
          <w:rFonts w:ascii="Arial" w:cs="Arial" w:eastAsia="Arial" w:hAnsi="Arial"/>
          <w:sz w:val="17"/>
          <w:szCs w:val="17"/>
          <w:color w:val="auto"/>
        </w:rPr>
        <w:t>” means any direct or indirect Domestic Subsidiary of Holdings (other than the Borrower) substantially all of the assets of which consist of the Equity Interests or Indebtedness of one or more Foreign Subsidiaries that are CFCs and any other assets incidental thereto.</w:t>
      </w:r>
    </w:p>
    <w:p>
      <w:pPr>
        <w:spacing w:after="0" w:line="146"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Funded Debt</w:t>
      </w:r>
      <w:r>
        <w:rPr>
          <w:rFonts w:ascii="Arial" w:cs="Arial" w:eastAsia="Arial" w:hAnsi="Arial"/>
          <w:sz w:val="17"/>
          <w:szCs w:val="17"/>
          <w:color w:val="auto"/>
        </w:rPr>
        <w:t>” means all Indebtedness of the Borrower and the Restricted Subsidiaries for borrowed money that matures more than one year from the date of its creation or matures within one year from such date that is renewable or extendable, at the option of the Borrower or any Restricted Subsidiary,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the United States of America, as in effect from time to time, subject to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248"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9.04(f)</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the ordinary course of business or customary and reasonable indemnity obligations in effect on the Effective Date or entered into after the Effective Date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86"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means the Guarantee Agreement among the Loan Parties and the Administrative Agent,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85" w:name="page86"/>
    <w:bookmarkEnd w:id="85"/>
    <w:p>
      <w:pPr>
        <w:jc w:val="both"/>
        <w:ind w:left="4"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Guarantors</w:t>
      </w:r>
      <w:r>
        <w:rPr>
          <w:rFonts w:ascii="Arial" w:cs="Arial" w:eastAsia="Arial" w:hAnsi="Arial"/>
          <w:sz w:val="18"/>
          <w:szCs w:val="18"/>
          <w:color w:val="auto"/>
        </w:rPr>
        <w:t>” means collectively, Holdings, the Subsidiary Loan Parties and the Borrower (other than with respect to its own Secured Obligations).</w:t>
      </w:r>
    </w:p>
    <w:p>
      <w:pPr>
        <w:spacing w:after="0" w:line="170"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radioactive, hazardous or toxic materials, substances, wastes or other pollutants, including petroleum or petroleum by-products or distillates, asbestos or asbestos containing materials, polychlorinated biphenyls, radon gas, infectious or medical wastes and all other materials, substances or wastes of any nature regulated as hazardous or toxic, or any other term of similar meaning and regulatory import, pursuant to any Environmental Law.</w:t>
      </w:r>
    </w:p>
    <w:p>
      <w:pPr>
        <w:spacing w:after="0" w:line="187" w:lineRule="exact"/>
        <w:rPr>
          <w:sz w:val="20"/>
          <w:szCs w:val="20"/>
          <w:color w:val="auto"/>
        </w:rPr>
      </w:pPr>
    </w:p>
    <w:p>
      <w:pPr>
        <w:jc w:val="both"/>
        <w:ind w:left="4"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Health Care Laws</w:t>
      </w:r>
      <w:r>
        <w:rPr>
          <w:rFonts w:ascii="Arial" w:cs="Arial" w:eastAsia="Arial" w:hAnsi="Arial"/>
          <w:sz w:val="16"/>
          <w:szCs w:val="16"/>
          <w:color w:val="auto"/>
        </w:rPr>
        <w:t>” means all health care regulatory Requirements of Law, to the extent applicable to the items and services provided by the Borrower and each Restricted Subsidiary, including, as may be applicable: (i) all Requirements of Law relating to state insurance, health maintenance organization or managed care Requirements of Law (including Requirements of Law relating to Medicaid programs and Medicare Supplement plans),</w:t>
      </w:r>
    </w:p>
    <w:p>
      <w:pPr>
        <w:spacing w:after="0" w:line="2" w:lineRule="exact"/>
        <w:rPr>
          <w:sz w:val="20"/>
          <w:szCs w:val="20"/>
          <w:color w:val="auto"/>
        </w:rPr>
      </w:pPr>
    </w:p>
    <w:p>
      <w:pPr>
        <w:jc w:val="both"/>
        <w:ind w:left="4" w:hanging="4"/>
        <w:spacing w:after="0" w:line="286" w:lineRule="auto"/>
        <w:tabs>
          <w:tab w:leader="none" w:pos="27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state professional fee-splitting Requirements of Law (including common law), (iii) the Medicare Program Requirements of Law at Title XVIII of the Social Security Act, 42 U.S.C. §§ 1395-1395hhh and Medicare Program rules promulgated thereunder, including but not limited to the Medicare Marketing and Communication Guidelines, 42 C.F.R. Parts 422, 423, and 417; and Requirements of Law and rules relating to Medicare Supplement (e.g., Medigap) plans, 42 U.S.C. § 1395ss and 42 C.F.R. Part 403, (iv) the Medicaid statute, Title XIX of the Social Security Act, 42 U.S.C. §§ 1396-1396v, (v) the Anti-Kickback Statute, 42 U.S.C. § 1320a-7b(b), (vi) the Federal False Claims Act, 31 U.S.C. §§ 3729-3733 (as amended), (vii) the Program Fraud Civil Remedies Act, 31 U.S.C. §§ 3801-3812, (viii) the Anti-Kickback Act of 1986, 41 U.S.C. §§ 51-58, (ix) the Federal Civil Monetary Penalties Law, 42 U.S.C. §§ 1320a-7a and 1320a-7b, (x) the Exclusion Laws, 42 U.S.C. § 1320a-7, (xi) the Federal Health Care Fraud Law (18 U.S.C. § 1347), (xii) TRICARE, 10 U.S.C. § 1071, (xiii) all state Requirements of Law governing the offer, payment, solicitation or receipt of any remuneration in exchange for a referral, furnishing, arranging for the furnishing, lease, purchase, order, or recommendation of any healthcare product or service.</w:t>
      </w:r>
    </w:p>
    <w:p>
      <w:pPr>
        <w:spacing w:after="0" w:line="172" w:lineRule="exact"/>
        <w:rPr>
          <w:sz w:val="20"/>
          <w:szCs w:val="20"/>
          <w:color w:val="auto"/>
        </w:rPr>
      </w:pPr>
    </w:p>
    <w:p>
      <w:pPr>
        <w:jc w:val="both"/>
        <w:ind w:left="4"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Holdings</w:t>
      </w:r>
      <w:r>
        <w:rPr>
          <w:rFonts w:ascii="Arial" w:cs="Arial" w:eastAsia="Arial" w:hAnsi="Arial"/>
          <w:sz w:val="17"/>
          <w:szCs w:val="17"/>
          <w:color w:val="auto"/>
        </w:rPr>
        <w:t>” means (a) Initial Holdings, (b) any Successor Holdings, to the extent applicable, or (c) at the election of the Borrower, any other Person or Persons (the “</w:t>
      </w:r>
      <w:r>
        <w:rPr>
          <w:rFonts w:ascii="Arial" w:cs="Arial" w:eastAsia="Arial" w:hAnsi="Arial"/>
          <w:sz w:val="17"/>
          <w:szCs w:val="17"/>
          <w:u w:val="single" w:color="auto"/>
          <w:color w:val="auto"/>
        </w:rPr>
        <w:t>New Holdings</w:t>
      </w:r>
      <w:r>
        <w:rPr>
          <w:rFonts w:ascii="Arial" w:cs="Arial" w:eastAsia="Arial" w:hAnsi="Arial"/>
          <w:sz w:val="17"/>
          <w:szCs w:val="17"/>
          <w:color w:val="auto"/>
        </w:rPr>
        <w:t>”) that is a Subsidiary of (or are Subsidiaries of) Holdings or of any Parent Entity of Holdings (or the previous New Holdings, as the case may be) (the “</w:t>
      </w:r>
      <w:r>
        <w:rPr>
          <w:rFonts w:ascii="Arial" w:cs="Arial" w:eastAsia="Arial" w:hAnsi="Arial"/>
          <w:sz w:val="17"/>
          <w:szCs w:val="17"/>
          <w:u w:val="single" w:color="auto"/>
          <w:color w:val="auto"/>
        </w:rPr>
        <w:t>Previous Holdings</w:t>
      </w:r>
      <w:r>
        <w:rPr>
          <w:rFonts w:ascii="Arial" w:cs="Arial" w:eastAsia="Arial" w:hAnsi="Arial"/>
          <w:sz w:val="17"/>
          <w:szCs w:val="17"/>
          <w:color w:val="auto"/>
        </w:rPr>
        <w:t xml:space="preserve">”) but not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New Holdings directly or indirectly owns 100% of the Equity Interests of the Borrower, (b) the New Holdings shall expressly assume all the obligations of the Previous Holdings under this Agreement and the other Loan Documents pursuant to a supplement hereto or thereto in form and substance reasonably satisfactory to the Administrative Agent, (c) the New Holdings shall have delivered to the Administrative Agent (for further distribution by the Administrative Agent to the Lenders) a certificate of an Responsible Officer stating that such substitution and any supplements to the Loan Documents preserve the enforceability of the Guarantee and the perfection and priority of the Liens under the Security Documents, (d) if reasonably requested by the Administrative Agent, an opinion of counsel in form and substance reasonably satisfactory to the Administrative Agent shall be delivered by the Borrower to the Administrative Agent to the effect that, without limitation, such substitution does not breach or result in a default under this Agreement or any other Loan Document, (e) all Equity Interests of the Borrower and substantially all of the other assets of the Previous Holdings are contributed or otherwise transferred to such New Holdings and pledged to secure the Secured Obligations and (f) no Event of Default has occurred and is continuing at the time of such substitution and such substitution does not result in any Event of Default or material tax liability;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each of the foregoing is satisfied, the Previous Holdings shall be automatically released from all its obligations under the Loan Documents and any reference to “Holdings” in the Loan Documents shall be meant to refer to the “New Holdings.”</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4"/>
          </w:cols>
          <w:pgMar w:left="436" w:top="274" w:right="439" w:bottom="1440" w:gutter="0" w:footer="0" w:header="0"/>
        </w:sectPr>
      </w:pPr>
    </w:p>
    <w:bookmarkStart w:id="86" w:name="page87"/>
    <w:bookmarkEnd w:id="8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as promulgated by the International Accounting Standards Board.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any Subsidiary that is not a Material Subsidiary.</w:t>
      </w:r>
    </w:p>
    <w:p>
      <w:pPr>
        <w:spacing w:after="0" w:line="225" w:lineRule="exact"/>
        <w:rPr>
          <w:sz w:val="20"/>
          <w:szCs w:val="20"/>
          <w:color w:val="auto"/>
        </w:rPr>
      </w:pPr>
    </w:p>
    <w:p>
      <w:pPr>
        <w:jc w:val="both"/>
        <w:ind w:left="4"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means with respect to any individual, such individual’s estate, heirs, legatees, distributees, child, stepchild, grandchild or more remote descendant, parent, stepparent, grandparent, spouse, former spouse, qualified domestic partner, sibling, niece, nephew, mother-in-law, father-in-law, son-in-law, daughter-in-law, brother-in-law or sister-in-law (including adoptive relationships), any person sharing an individual’s household (other than an unrelated tenant or employee)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2.14(a)(ii)</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Base Amount</w:t>
      </w:r>
      <w:r>
        <w:rPr>
          <w:rFonts w:ascii="Arial" w:cs="Arial" w:eastAsia="Arial" w:hAnsi="Arial"/>
          <w:sz w:val="16"/>
          <w:szCs w:val="16"/>
          <w:color w:val="auto"/>
        </w:rPr>
        <w:t>” means in the case of Indebtedness that constitutes Incremental Facilities, Incremental Equivalent Debt, Ratio Indebtedness and Acquisition Debt, an aggregate amount for all such Indebtedness not to exceed the sum of (i) the greater of (x) $25,000,000 and</w:t>
      </w:r>
    </w:p>
    <w:p>
      <w:pPr>
        <w:jc w:val="both"/>
        <w:ind w:left="4" w:hanging="4"/>
        <w:spacing w:after="0" w:line="253" w:lineRule="auto"/>
        <w:tabs>
          <w:tab w:leader="none" w:pos="267" w:val="left"/>
        </w:tabs>
        <w:numPr>
          <w:ilvl w:val="0"/>
          <w:numId w:val="66"/>
        </w:numPr>
        <w:rPr>
          <w:rFonts w:ascii="Arial" w:cs="Arial" w:eastAsia="Arial" w:hAnsi="Arial"/>
          <w:sz w:val="18"/>
          <w:szCs w:val="18"/>
          <w:color w:val="auto"/>
        </w:rPr>
      </w:pPr>
      <w:r>
        <w:rPr>
          <w:rFonts w:ascii="Arial" w:cs="Arial" w:eastAsia="Arial" w:hAnsi="Arial"/>
          <w:sz w:val="18"/>
          <w:szCs w:val="18"/>
          <w:color w:val="auto"/>
        </w:rPr>
        <w:t>100% of Consolidated Cash EBITDA for the Test Period most recently ended on or prior to such date of determination (measured as of such date), less (ii) the amount of all Incremental Facilities, all Incremental Equivalent Debt, all Ratio Indebtedness and all Acquisition Debt that was incurred in reliance on this definition and prior to the applicable date of incurrence, in each case, after giving effect to any permitted reclassification of the amounts incurred pursuant to this definition as being incurred pursuant to clause (c) of the definition of “Incremental Cap”, in accordance with the last sentence of the definition of “Incremental Cap”.</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Cap</w:t>
      </w:r>
      <w:r>
        <w:rPr>
          <w:rFonts w:ascii="Arial" w:cs="Arial" w:eastAsia="Arial" w:hAnsi="Arial"/>
          <w:sz w:val="18"/>
          <w:szCs w:val="18"/>
          <w:color w:val="auto"/>
        </w:rPr>
        <w:t>” means, as of any date of determination occurring after the Amendment No. 1 Effective Date, the sum of</w:t>
      </w:r>
    </w:p>
    <w:p>
      <w:pPr>
        <w:spacing w:after="0" w:line="117" w:lineRule="exact"/>
        <w:rPr>
          <w:sz w:val="20"/>
          <w:szCs w:val="20"/>
          <w:color w:val="auto"/>
        </w:rPr>
      </w:pPr>
    </w:p>
    <w:p>
      <w:pPr>
        <w:ind w:left="4" w:right="20" w:firstLine="436"/>
        <w:spacing w:after="0" w:line="277" w:lineRule="auto"/>
        <w:tabs>
          <w:tab w:leader="none" w:pos="709" w:val="left"/>
        </w:tabs>
        <w:numPr>
          <w:ilvl w:val="1"/>
          <w:numId w:val="67"/>
        </w:numPr>
        <w:rPr>
          <w:rFonts w:ascii="Arial" w:cs="Arial" w:eastAsia="Arial" w:hAnsi="Arial"/>
          <w:sz w:val="18"/>
          <w:szCs w:val="18"/>
          <w:color w:val="auto"/>
        </w:rPr>
      </w:pPr>
      <w:r>
        <w:rPr>
          <w:rFonts w:ascii="Arial" w:cs="Arial" w:eastAsia="Arial" w:hAnsi="Arial"/>
          <w:sz w:val="18"/>
          <w:szCs w:val="18"/>
          <w:color w:val="0000FF"/>
        </w:rPr>
        <w:t xml:space="preserve">after the Suspension Period has ended, </w:t>
      </w:r>
      <w:r>
        <w:rPr>
          <w:rFonts w:ascii="Arial" w:cs="Arial" w:eastAsia="Arial" w:hAnsi="Arial"/>
          <w:sz w:val="18"/>
          <w:szCs w:val="18"/>
          <w:color w:val="000000"/>
        </w:rPr>
        <w:t>the Incremental Base Amount</w:t>
      </w:r>
      <w:r>
        <w:rPr>
          <w:rFonts w:ascii="Arial" w:cs="Arial" w:eastAsia="Arial" w:hAnsi="Arial"/>
          <w:sz w:val="18"/>
          <w:szCs w:val="18"/>
          <w:color w:val="0000FF"/>
        </w:rPr>
        <w:t xml:space="preserve"> (for the avoidance of doubt, no amount shall be available under this </w:t>
      </w:r>
      <w:r>
        <w:rPr>
          <w:rFonts w:ascii="Arial" w:cs="Arial" w:eastAsia="Arial" w:hAnsi="Arial"/>
          <w:sz w:val="18"/>
          <w:szCs w:val="18"/>
          <w:u w:val="single" w:color="auto"/>
          <w:color w:val="0000FF"/>
        </w:rPr>
        <w:t>clause (a) during the Suspension Period)</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plus</w:t>
      </w:r>
    </w:p>
    <w:p>
      <w:pPr>
        <w:spacing w:after="0" w:line="62" w:lineRule="exact"/>
        <w:rPr>
          <w:rFonts w:ascii="Arial" w:cs="Arial" w:eastAsia="Arial" w:hAnsi="Arial"/>
          <w:sz w:val="18"/>
          <w:szCs w:val="18"/>
          <w:color w:val="auto"/>
        </w:rPr>
      </w:pPr>
    </w:p>
    <w:p>
      <w:pPr>
        <w:jc w:val="both"/>
        <w:ind w:left="4" w:firstLine="436"/>
        <w:spacing w:after="0" w:line="275" w:lineRule="auto"/>
        <w:tabs>
          <w:tab w:leader="none" w:pos="713"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the aggregate amount of all voluntary prepayments of any Term Loans, Incremental Equivalent Debt, and/or Credit Agreement Refinancing Indebtedness, in each case secured on an equal priority basis (except with respect to the control of remedies) with the Secured Obligations and/or voluntary permanent reductions of the Revolving Commitments (in each case other than with the proceeds of an Incremental Facility incurred pursuant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relevant prepayment is not funded with proceeds from the incurrence of any long-term Indebtedness (other than loans under any revolving credit facility), including any Indebtedness incurred pursuant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w:t>
      </w:r>
      <w:r>
        <w:rPr>
          <w:rFonts w:ascii="Arial" w:cs="Arial" w:eastAsia="Arial" w:hAnsi="Arial"/>
          <w:sz w:val="17"/>
          <w:szCs w:val="17"/>
          <w:u w:val="single" w:color="auto"/>
          <w:color w:val="auto"/>
        </w:rPr>
        <w:t>plus</w:t>
      </w:r>
    </w:p>
    <w:p>
      <w:pPr>
        <w:spacing w:after="0" w:line="68" w:lineRule="exact"/>
        <w:rPr>
          <w:rFonts w:ascii="Arial" w:cs="Arial" w:eastAsia="Arial" w:hAnsi="Arial"/>
          <w:sz w:val="17"/>
          <w:szCs w:val="17"/>
          <w:color w:val="auto"/>
        </w:rPr>
      </w:pPr>
    </w:p>
    <w:p>
      <w:pPr>
        <w:jc w:val="both"/>
        <w:ind w:left="4" w:right="20" w:firstLine="436"/>
        <w:spacing w:after="0" w:line="286" w:lineRule="auto"/>
        <w:tabs>
          <w:tab w:leader="none" w:pos="695"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the maximum aggregate principal amount that can be incurred, after giving effect to the incurrence of any Incremental Facility or Incremental Equivalent Debt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(which shall assume that the full amounts of any Incremental Revolving Commitment Increase established at such time are fully drawn, whether or not any such amounts are actually drawn) and the use of proceeds thereof, on a pro forma basis (but without giving effect to any simultaneous incurrence of any Incremental Facility or Incremental Equivalent Debt made pursuant to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w:t>
      </w:r>
    </w:p>
    <w:p>
      <w:pPr>
        <w:spacing w:after="0" w:line="1" w:lineRule="exact"/>
        <w:rPr>
          <w:rFonts w:ascii="Arial" w:cs="Arial" w:eastAsia="Arial" w:hAnsi="Arial"/>
          <w:sz w:val="16"/>
          <w:szCs w:val="16"/>
          <w:color w:val="auto"/>
        </w:rPr>
      </w:pPr>
    </w:p>
    <w:p>
      <w:pPr>
        <w:jc w:val="both"/>
        <w:ind w:left="4" w:right="20" w:hanging="4"/>
        <w:spacing w:after="0" w:line="255" w:lineRule="auto"/>
        <w:tabs>
          <w:tab w:leader="none" w:pos="266" w:val="left"/>
        </w:tabs>
        <w:numPr>
          <w:ilvl w:val="0"/>
          <w:numId w:val="68"/>
        </w:numPr>
        <w:rPr>
          <w:rFonts w:ascii="Arial" w:cs="Arial" w:eastAsia="Arial" w:hAnsi="Arial"/>
          <w:sz w:val="18"/>
          <w:szCs w:val="18"/>
          <w:u w:val="single" w:color="auto"/>
          <w:color w:val="auto"/>
        </w:rPr>
      </w:pPr>
      <w:r>
        <w:rPr>
          <w:rFonts w:ascii="Arial" w:cs="Arial" w:eastAsia="Arial" w:hAnsi="Arial"/>
          <w:sz w:val="18"/>
          <w:szCs w:val="18"/>
          <w:color w:val="auto"/>
        </w:rPr>
        <w:t xml:space="preserve">and any simultaneous borrowings of up to $15,000,000 under the Revolving Credit Facility), without causing the Total Net Cash Leverage Ratio to exceed </w:t>
      </w:r>
      <w:r>
        <w:rPr>
          <w:rFonts w:ascii="Arial" w:cs="Arial" w:eastAsia="Arial" w:hAnsi="Arial"/>
          <w:sz w:val="18"/>
          <w:szCs w:val="18"/>
          <w:u w:val="single" w:color="auto"/>
          <w:color w:val="0000FF"/>
        </w:rPr>
        <w:t>(x) during the Suspension Period, 4.00:1.00 and (y) after the Suspension Period has ended,</w:t>
      </w:r>
      <w:r>
        <w:rPr>
          <w:rFonts w:ascii="Arial" w:cs="Arial" w:eastAsia="Arial" w:hAnsi="Arial"/>
          <w:sz w:val="18"/>
          <w:szCs w:val="18"/>
          <w:color w:val="auto"/>
        </w:rPr>
        <w:t xml:space="preserve"> 6.00:1.00</w:t>
      </w:r>
      <w:r>
        <w:rPr>
          <w:rFonts w:ascii="Arial" w:cs="Arial" w:eastAsia="Arial" w:hAnsi="Arial"/>
          <w:sz w:val="18"/>
          <w:szCs w:val="18"/>
          <w:u w:val="single" w:color="auto"/>
          <w:color w:val="0000FF"/>
        </w:rPr>
        <w:t>, in each case,</w:t>
      </w:r>
      <w:r>
        <w:rPr>
          <w:rFonts w:ascii="Arial" w:cs="Arial" w:eastAsia="Arial" w:hAnsi="Arial"/>
          <w:sz w:val="18"/>
          <w:szCs w:val="18"/>
          <w:color w:val="auto"/>
        </w:rPr>
        <w:t xml:space="preserve"> for the Test Period most recently ended on or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-1952625</wp:posOffset>
            </wp:positionV>
            <wp:extent cx="6587490" cy="431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8749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-1781175</wp:posOffset>
            </wp:positionV>
            <wp:extent cx="18516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5166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-135255</wp:posOffset>
            </wp:positionV>
            <wp:extent cx="54432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43220" cy="8890"/>
                    </a:xfrm>
                    <a:prstGeom prst="rect">
                      <a:avLst/>
                    </a:prstGeom>
                    <a:noFill/>
                  </pic:spPr>
                </pic:pic>
              </a:graphicData>
            </a:graphic>
          </wp:anchor>
        </w:drawing>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4"/>
          </w:cols>
          <w:pgMar w:left="436" w:top="274" w:right="439" w:bottom="1440" w:gutter="0" w:footer="0" w:header="0"/>
        </w:sectPr>
      </w:pPr>
    </w:p>
    <w:bookmarkStart w:id="87" w:name="page88"/>
    <w:bookmarkEnd w:id="87"/>
    <w:p>
      <w:pPr>
        <w:jc w:val="both"/>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date of such incurrence (measured as of the date such Indebtedness is incurred based upon the financial statements most recently delivered (or required to have been delivered) on or prior to such date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Limited Condition Transaction, the testing thereof may be done in accordance with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76" w:lineRule="exact"/>
        <w:rPr>
          <w:sz w:val="20"/>
          <w:szCs w:val="20"/>
          <w:color w:val="auto"/>
        </w:rPr>
      </w:pPr>
    </w:p>
    <w:p>
      <w:pPr>
        <w:ind w:left="4" w:firstLine="436"/>
        <w:spacing w:after="0" w:line="308" w:lineRule="auto"/>
        <w:tabs>
          <w:tab w:leader="none" w:pos="707"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after giving effect to the amendment contemplated by Section 2 of the Incremental Facility Agreement No. 4, but prior to giving effect to the Revolving Credit Commitment Increase contemplated by Section 3 of Incremental Facility Agreement No. 4, $142,000,000, </w:t>
      </w:r>
      <w:r>
        <w:rPr>
          <w:rFonts w:ascii="Arial" w:cs="Arial" w:eastAsia="Arial" w:hAnsi="Arial"/>
          <w:sz w:val="17"/>
          <w:szCs w:val="17"/>
          <w:u w:val="single" w:color="auto"/>
          <w:color w:val="auto"/>
        </w:rPr>
        <w:t>plus</w:t>
      </w:r>
    </w:p>
    <w:p>
      <w:pPr>
        <w:spacing w:after="0" w:line="38" w:lineRule="exact"/>
        <w:rPr>
          <w:rFonts w:ascii="Arial" w:cs="Arial" w:eastAsia="Arial" w:hAnsi="Arial"/>
          <w:sz w:val="17"/>
          <w:szCs w:val="17"/>
          <w:color w:val="auto"/>
        </w:rPr>
      </w:pPr>
    </w:p>
    <w:p>
      <w:pPr>
        <w:ind w:left="4" w:right="20" w:firstLine="436"/>
        <w:spacing w:after="0" w:line="277" w:lineRule="auto"/>
        <w:tabs>
          <w:tab w:leader="none" w:pos="70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after giving effect to the amendment contemplated by Section 2 of Amendment No. 6, but prior to giving effect to the 2021-2 Incremental Term Loan Commitment contemplated by Section 3 of Amendment No. 6, $100,000,000.</w:t>
      </w:r>
    </w:p>
    <w:p>
      <w:pPr>
        <w:spacing w:after="0" w:line="170"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 xml:space="preserve">It is understood and agreed that, (x) any Incremental Facility or Incremental Equivalent Debt incurred in reliance on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definition may be reclassified as the Borrower elects and upon notice to the Administrative Agent, from time to time, as incurred in reliance on </w:t>
      </w:r>
      <w:r>
        <w:rPr>
          <w:rFonts w:ascii="Arial" w:cs="Arial" w:eastAsia="Arial" w:hAnsi="Arial"/>
          <w:sz w:val="16"/>
          <w:szCs w:val="16"/>
          <w:u w:val="single" w:color="auto"/>
          <w:color w:val="auto"/>
        </w:rPr>
        <w:t>clause</w:t>
      </w:r>
    </w:p>
    <w:p>
      <w:pPr>
        <w:jc w:val="both"/>
        <w:ind w:left="4" w:right="20" w:hanging="4"/>
        <w:spacing w:after="0" w:line="281" w:lineRule="auto"/>
        <w:tabs>
          <w:tab w:leader="none" w:pos="257" w:val="left"/>
        </w:tabs>
        <w:numPr>
          <w:ilvl w:val="0"/>
          <w:numId w:val="70"/>
        </w:numPr>
        <w:rPr>
          <w:rFonts w:ascii="Arial" w:cs="Arial" w:eastAsia="Arial" w:hAnsi="Arial"/>
          <w:sz w:val="16"/>
          <w:szCs w:val="16"/>
          <w:u w:val="single" w:color="auto"/>
          <w:color w:val="auto"/>
        </w:rPr>
      </w:pPr>
      <w:r>
        <w:rPr>
          <w:rFonts w:ascii="Arial" w:cs="Arial" w:eastAsia="Arial" w:hAnsi="Arial"/>
          <w:sz w:val="16"/>
          <w:szCs w:val="16"/>
          <w:color w:val="auto"/>
        </w:rPr>
        <w:t xml:space="preserve">if the Borrower is able to satisfy the applicable incurrence test set forth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at such time on a pro forma basis and (y) for the avoidance of doubt, the Loan Parties shall be deemed to have incurred any Incremental Facility or Incremental Equivalent Debt in reliance on the foregoing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u w:val="single" w:color="auto"/>
          <w:color w:val="auto"/>
        </w:rPr>
      </w:pPr>
    </w:p>
    <w:p>
      <w:pPr>
        <w:ind w:left="244" w:hanging="244"/>
        <w:spacing w:after="0"/>
        <w:tabs>
          <w:tab w:leader="none" w:pos="244" w:val="left"/>
        </w:tabs>
        <w:numPr>
          <w:ilvl w:val="0"/>
          <w:numId w:val="71"/>
        </w:numPr>
        <w:rPr>
          <w:rFonts w:ascii="Arial" w:cs="Arial" w:eastAsia="Arial" w:hAnsi="Arial"/>
          <w:sz w:val="18"/>
          <w:szCs w:val="18"/>
          <w:u w:val="single" w:color="auto"/>
          <w:color w:val="auto"/>
        </w:rPr>
      </w:pPr>
      <w:r>
        <w:rPr>
          <w:rFonts w:ascii="Arial" w:cs="Arial" w:eastAsia="Arial" w:hAnsi="Arial"/>
          <w:sz w:val="18"/>
          <w:szCs w:val="18"/>
          <w:color w:val="auto"/>
        </w:rPr>
        <w:t xml:space="preserve">prior to any such incurrence in reliance on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unless otherwise determined by the Borrower.</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6.01(a)(xxiii)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jc w:val="both"/>
        <w:ind w:left="4"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Agreement No. 2</w:t>
      </w:r>
      <w:r>
        <w:rPr>
          <w:rFonts w:ascii="Arial" w:cs="Arial" w:eastAsia="Arial" w:hAnsi="Arial"/>
          <w:sz w:val="17"/>
          <w:szCs w:val="17"/>
          <w:color w:val="auto"/>
        </w:rPr>
        <w:t>” means that certain Incremental Facility Agreement No. 2, dated as of May 7, 2020, among Holdings, the Borrower, the 2020 Incremental Revolving Lenders party thereto, the Administrative Agent and the other parties party thereto.</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Agreement No. 2 Effective Date</w:t>
      </w:r>
      <w:r>
        <w:rPr>
          <w:rFonts w:ascii="Arial" w:cs="Arial" w:eastAsia="Arial" w:hAnsi="Arial"/>
          <w:sz w:val="17"/>
          <w:szCs w:val="17"/>
          <w:color w:val="auto"/>
        </w:rPr>
        <w:t>” has the meaning assigned to such term in Incremental Facility Agreement No. 2.</w:t>
      </w:r>
    </w:p>
    <w:p>
      <w:pPr>
        <w:spacing w:after="0" w:line="237" w:lineRule="exact"/>
        <w:rPr>
          <w:sz w:val="20"/>
          <w:szCs w:val="20"/>
          <w:color w:val="auto"/>
        </w:rPr>
      </w:pPr>
    </w:p>
    <w:p>
      <w:pPr>
        <w:jc w:val="both"/>
        <w:ind w:left="4"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Agreement No. 3</w:t>
      </w:r>
      <w:r>
        <w:rPr>
          <w:rFonts w:ascii="Arial" w:cs="Arial" w:eastAsia="Arial" w:hAnsi="Arial"/>
          <w:sz w:val="17"/>
          <w:szCs w:val="17"/>
          <w:color w:val="auto"/>
        </w:rPr>
        <w:t>” means that certain Incremental Facility Agreement No. 3, dated as of June 11, 2020, among Holdings, the Borrower, the Incremental No. 3 Revolving Lenders party thereto, the Administrative Agent and the other parties party thereto.</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Agreement No. 3 Effective Date</w:t>
      </w:r>
      <w:r>
        <w:rPr>
          <w:rFonts w:ascii="Arial" w:cs="Arial" w:eastAsia="Arial" w:hAnsi="Arial"/>
          <w:sz w:val="17"/>
          <w:szCs w:val="17"/>
          <w:color w:val="auto"/>
        </w:rPr>
        <w:t>” has the meaning assigned to such term in Incremental Facility Agreement No. 3.</w:t>
      </w:r>
    </w:p>
    <w:p>
      <w:pPr>
        <w:spacing w:after="0" w:line="237"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Agreement No. 4</w:t>
      </w:r>
      <w:r>
        <w:rPr>
          <w:rFonts w:ascii="Arial" w:cs="Arial" w:eastAsia="Arial" w:hAnsi="Arial"/>
          <w:sz w:val="18"/>
          <w:szCs w:val="18"/>
          <w:color w:val="auto"/>
        </w:rPr>
        <w:t>” means that certain Amendment No. 4 to Credit Agreement and Incremental Facility Agreement, dated as of May 7, 2021, among Holdings, the Borrower, the Incremental No. 4 Revolving Lenders party thereto, the Administrative Agent and the other parties party thereto.</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Facility Agreement No. 4 Effective Date</w:t>
      </w:r>
      <w:r>
        <w:rPr>
          <w:rFonts w:ascii="Arial" w:cs="Arial" w:eastAsia="Arial" w:hAnsi="Arial"/>
          <w:sz w:val="17"/>
          <w:szCs w:val="17"/>
          <w:color w:val="auto"/>
        </w:rPr>
        <w:t>” has the meaning assigned to such term in Incremental Facility Agreement No. 4.</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2.20(f)</w:t>
      </w:r>
      <w:r>
        <w:rPr>
          <w:rFonts w:ascii="Arial" w:cs="Arial" w:eastAsia="Arial" w:hAnsi="Arial"/>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4"/>
          </w:cols>
          <w:pgMar w:left="436" w:top="274" w:right="439" w:bottom="1440" w:gutter="0" w:footer="0" w:header="0"/>
        </w:sectPr>
      </w:pPr>
    </w:p>
    <w:bookmarkStart w:id="88" w:name="page89"/>
    <w:bookmarkEnd w:id="88"/>
    <w:p>
      <w:pPr>
        <w:jc w:val="both"/>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Incremental No. 3 Revolving Commitments</w:t>
      </w:r>
      <w:r>
        <w:rPr>
          <w:rFonts w:ascii="Arial" w:cs="Arial" w:eastAsia="Arial" w:hAnsi="Arial"/>
          <w:sz w:val="18"/>
          <w:szCs w:val="18"/>
          <w:color w:val="auto"/>
        </w:rPr>
        <w:t>” means, in respect of each Incremental No. 3 Revolving Lender, the amount set forth opposite such Lender’s name on Schedule 1 to Incremental Facility Agreement No. 3. The aggregate amount of Incremental No. 3 Revolving Commitments as of the Incremental Facility Agreement No. 3 Effective Date is $8,000,000.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No. 3 Revolving Lenders</w:t>
      </w:r>
      <w:r>
        <w:rPr>
          <w:rFonts w:ascii="Arial" w:cs="Arial" w:eastAsia="Arial" w:hAnsi="Arial"/>
          <w:sz w:val="18"/>
          <w:szCs w:val="18"/>
          <w:color w:val="auto"/>
        </w:rPr>
        <w:t>” has the meaning assigned to such term in the Incremental Facility Agreement No. 3.</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No. 4 Revolving Commitments</w:t>
      </w:r>
      <w:r>
        <w:rPr>
          <w:rFonts w:ascii="Arial" w:cs="Arial" w:eastAsia="Arial" w:hAnsi="Arial"/>
          <w:sz w:val="18"/>
          <w:szCs w:val="18"/>
          <w:color w:val="auto"/>
        </w:rPr>
        <w:t>” means, in respect of each Incremental No. 4 Revolving Lender, the amount set forth opposite such Lender’s name on Schedule 1 to Incremental Facility Agreement No. 4. The aggregate amount of Incremental No. 4 Revolving Commitments as of the Incremental Facility Agreement No. 3 Effective Date is $142,000,000.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No. 4 Revolving Lenders</w:t>
      </w:r>
      <w:r>
        <w:rPr>
          <w:rFonts w:ascii="Arial" w:cs="Arial" w:eastAsia="Arial" w:hAnsi="Arial"/>
          <w:sz w:val="18"/>
          <w:szCs w:val="18"/>
          <w:color w:val="auto"/>
        </w:rPr>
        <w:t>” has the meaning assigned to such term in the Incremental Facility Agreement No. 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Refinancing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Refinancing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 which shall include the 2020 Incremental Term Loans, the 2021 Incremental Term Loans and the 2021-2 Incremental Term Loans.</w:t>
      </w:r>
    </w:p>
    <w:p>
      <w:pPr>
        <w:spacing w:after="0" w:line="170"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incur</w:t>
      </w:r>
      <w:r>
        <w:rPr>
          <w:rFonts w:ascii="Arial" w:cs="Arial" w:eastAsia="Arial" w:hAnsi="Arial"/>
          <w:sz w:val="17"/>
          <w:szCs w:val="17"/>
          <w:color w:val="auto"/>
        </w:rPr>
        <w:t xml:space="preserve">” means create, issue, assume, guarantee, incur or otherwise become directly or indirectly liable for any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Indebtedness of a Person existing at the time such Person becomes a Restricted Subsidiary (whether by merger, consolidation, acquisition or otherwise) shall be deemed to be incurred by such Person at the time it becomes a Restricted Subsidiary. The term “incurrence” when used as a noun shall have a correlative meaning. Solely for purposes of determining compliance with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63" w:lineRule="exact"/>
        <w:rPr>
          <w:sz w:val="20"/>
          <w:szCs w:val="20"/>
          <w:color w:val="auto"/>
        </w:rPr>
      </w:pPr>
    </w:p>
    <w:p>
      <w:pPr>
        <w:ind w:left="680" w:hanging="244"/>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amortization of debt discount or the accretion of principal with respect to a non-interest bearing or other discount security;</w:t>
      </w:r>
    </w:p>
    <w:p>
      <w:pPr>
        <w:spacing w:after="0" w:line="117" w:lineRule="exact"/>
        <w:rPr>
          <w:rFonts w:ascii="Arial" w:cs="Arial" w:eastAsia="Arial" w:hAnsi="Arial"/>
          <w:sz w:val="18"/>
          <w:szCs w:val="18"/>
          <w:color w:val="auto"/>
        </w:rPr>
      </w:pPr>
    </w:p>
    <w:p>
      <w:pPr>
        <w:ind w:firstLine="436"/>
        <w:spacing w:after="0" w:line="277" w:lineRule="auto"/>
        <w:tabs>
          <w:tab w:leader="none" w:pos="72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payment of regularly scheduled interest in the form of additional Indebtedness of the same instrument or the payment of regularly scheduled dividends on Equity Interests in the form of additional Equity Interests of the same class and with the same terms; and</w:t>
      </w:r>
    </w:p>
    <w:p>
      <w:pPr>
        <w:spacing w:after="0" w:line="62" w:lineRule="exact"/>
        <w:rPr>
          <w:rFonts w:ascii="Arial" w:cs="Arial" w:eastAsia="Arial" w:hAnsi="Arial"/>
          <w:sz w:val="18"/>
          <w:szCs w:val="18"/>
          <w:color w:val="auto"/>
        </w:rPr>
      </w:pPr>
    </w:p>
    <w:p>
      <w:pPr>
        <w:jc w:val="both"/>
        <w:ind w:firstLine="436"/>
        <w:spacing w:after="0" w:line="263" w:lineRule="auto"/>
        <w:tabs>
          <w:tab w:leader="none" w:pos="7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will not be deemed to be the incurrence of Indebtedness.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all obligations of such Person for borrowed money,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89" w:name="page90"/>
    <w:bookmarkEnd w:id="89"/>
    <w:p>
      <w:pPr>
        <w:ind w:left="4" w:right="20" w:firstLine="436"/>
        <w:spacing w:after="0" w:line="277" w:lineRule="auto"/>
        <w:tabs>
          <w:tab w:leader="none" w:pos="707"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obligations of such Person evidenced by bonds, debentures, notes or similar instruments to the extent the same would appear as a liability on a balance sheet of such Person prepared in accordance with GAAP,</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all obligations of such Person under conditional sale or other title retention agreements relating to property acquired by such Person,</w:t>
      </w:r>
    </w:p>
    <w:p>
      <w:pPr>
        <w:spacing w:after="0" w:line="128" w:lineRule="exact"/>
        <w:rPr>
          <w:rFonts w:ascii="Arial" w:cs="Arial" w:eastAsia="Arial" w:hAnsi="Arial"/>
          <w:sz w:val="17"/>
          <w:szCs w:val="17"/>
          <w:color w:val="auto"/>
        </w:rPr>
      </w:pPr>
    </w:p>
    <w:p>
      <w:pPr>
        <w:jc w:val="both"/>
        <w:ind w:left="4" w:firstLine="436"/>
        <w:spacing w:after="0" w:line="255" w:lineRule="auto"/>
        <w:tabs>
          <w:tab w:leader="none" w:pos="71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obligations of such Person in respect of the deferred purchase price of property or services (excluding (i) current trade or other ordinary course payables or liabilities or accrued expenses (but not any refinancings, extensions, renewals or replacements thereof) incurred in the ordinary course of business and maturing within 365 days after the incurrence thereof except if such trade or other ordinary course payables or liabilities or accrued expenses bear interest, (ii) any earn-out obligation, purchase price adjustment or similar obligation until such obligation becomes a liability on the balance sheet of such Person in accordance with GAAP and if not paid when due and payable and (iii) liabilities associated with customer prepayments and deposits),</w:t>
      </w:r>
    </w:p>
    <w:p>
      <w:pPr>
        <w:spacing w:after="0" w:line="84" w:lineRule="exact"/>
        <w:rPr>
          <w:rFonts w:ascii="Arial" w:cs="Arial" w:eastAsia="Arial" w:hAnsi="Arial"/>
          <w:sz w:val="18"/>
          <w:szCs w:val="18"/>
          <w:color w:val="auto"/>
        </w:rPr>
      </w:pPr>
    </w:p>
    <w:p>
      <w:pPr>
        <w:ind w:left="4" w:right="20" w:firstLine="436"/>
        <w:spacing w:after="0" w:line="308" w:lineRule="auto"/>
        <w:tabs>
          <w:tab w:leader="none" w:pos="69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all Indebtedness of others secured by (or for which the holder of such Indebtedness has an existing right, contingent or otherwise, to be secured by) any Lien on property owned or acquired by such Person, whether or not the Indebtedness secured thereby has been assumed,</w:t>
      </w:r>
    </w:p>
    <w:p>
      <w:pPr>
        <w:spacing w:after="0" w:line="38" w:lineRule="exact"/>
        <w:rPr>
          <w:rFonts w:ascii="Arial" w:cs="Arial" w:eastAsia="Arial" w:hAnsi="Arial"/>
          <w:sz w:val="17"/>
          <w:szCs w:val="17"/>
          <w:color w:val="auto"/>
        </w:rPr>
      </w:pPr>
    </w:p>
    <w:p>
      <w:pPr>
        <w:ind w:left="664" w:hanging="224"/>
        <w:spacing w:after="0"/>
        <w:tabs>
          <w:tab w:leader="none" w:pos="6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not otherwise included, all Guarantees by such Person of Indebtedness of others,</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Financing Lease Obligations of such Person,</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all obligations, contingent or otherwise, of such Person as an account party in respect of letters of credit and letters of guaranty, and</w:t>
      </w:r>
    </w:p>
    <w:p>
      <w:pPr>
        <w:spacing w:after="0" w:line="128" w:lineRule="exact"/>
        <w:rPr>
          <w:rFonts w:ascii="Arial" w:cs="Arial" w:eastAsia="Arial" w:hAnsi="Arial"/>
          <w:sz w:val="17"/>
          <w:szCs w:val="17"/>
          <w:color w:val="auto"/>
        </w:rPr>
      </w:pPr>
    </w:p>
    <w:p>
      <w:pPr>
        <w:ind w:left="664" w:hanging="224"/>
        <w:spacing w:after="0"/>
        <w:tabs>
          <w:tab w:leader="none" w:pos="6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obligations, contingent or otherwise, of such Person in respect of bankers’ acceptances;</w:t>
      </w:r>
    </w:p>
    <w:p>
      <w:pPr>
        <w:spacing w:after="0" w:line="225" w:lineRule="exact"/>
        <w:rPr>
          <w:sz w:val="20"/>
          <w:szCs w:val="20"/>
          <w:color w:val="auto"/>
        </w:rPr>
      </w:pPr>
    </w:p>
    <w:p>
      <w:pPr>
        <w:jc w:val="both"/>
        <w:ind w:left="4" w:right="20" w:firstLine="440"/>
        <w:spacing w:after="0" w:line="29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“Indebtedness” shall not include (i) prepaid or deferred revenue (including billing in excess of earnings), (ii) purchase price holdbacks in respect of a portion of the purchase price of an asset to satisfy warranties or other unperformed obligations of the seller of such asset,</w:t>
      </w:r>
    </w:p>
    <w:p>
      <w:pPr>
        <w:jc w:val="both"/>
        <w:ind w:left="4" w:hanging="4"/>
        <w:spacing w:after="0" w:line="252" w:lineRule="auto"/>
        <w:tabs>
          <w:tab w:leader="none" w:pos="3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contingent indemnity and similar obligations and amounts owed to dissenting equityholders in connection with, or as a result of, their exercise of appraisal rights and the settlement of any claims or actions (whether actual, contingent or potential) with respect thereto (including any accrued interest), with respect to the Permitted Acquisitions, (iv) liabilities associated with customer prepayments and deposits and other accrued obligations (including transfer pricing), in each case incurred in the ordinary course of business, (v) Non-Financing Lease Obligations, (vi) customary obligations under employment agreements and deferred compensation arrangements and (vii) Indebtedness of any Parent Entity (for which none of the Borrower or any Restricted Subsidiary are legally obligated) appearing on the balance sheet of the Borrower or any Restricted Subsidiary solely by reason of “pushdown” accounting under GAAP.</w:t>
      </w:r>
    </w:p>
    <w:p>
      <w:pPr>
        <w:spacing w:after="0" w:line="192" w:lineRule="exact"/>
        <w:rPr>
          <w:sz w:val="20"/>
          <w:szCs w:val="20"/>
          <w:color w:val="auto"/>
        </w:rPr>
      </w:pPr>
    </w:p>
    <w:p>
      <w:pPr>
        <w:jc w:val="both"/>
        <w:ind w:left="4" w:firstLine="440"/>
        <w:spacing w:after="0" w:line="287" w:lineRule="auto"/>
        <w:rPr>
          <w:sz w:val="20"/>
          <w:szCs w:val="20"/>
          <w:color w:val="auto"/>
        </w:rPr>
      </w:pPr>
      <w:r>
        <w:rPr>
          <w:rFonts w:ascii="Arial" w:cs="Arial" w:eastAsia="Arial" w:hAnsi="Arial"/>
          <w:sz w:val="16"/>
          <w:szCs w:val="16"/>
          <w:color w:val="auto"/>
        </w:rPr>
        <w:t xml:space="preserve">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w:t>
      </w:r>
      <w:r>
        <w:rPr>
          <w:rFonts w:ascii="Arial" w:cs="Arial" w:eastAsia="Arial" w:hAnsi="Arial"/>
          <w:sz w:val="16"/>
          <w:szCs w:val="16"/>
          <w:u w:val="single" w:color="auto"/>
          <w:color w:val="auto"/>
        </w:rPr>
        <w:t>clause</w:t>
      </w:r>
    </w:p>
    <w:p>
      <w:pPr>
        <w:spacing w:after="0" w:line="2" w:lineRule="exact"/>
        <w:rPr>
          <w:sz w:val="20"/>
          <w:szCs w:val="20"/>
          <w:color w:val="auto"/>
        </w:rPr>
      </w:pPr>
    </w:p>
    <w:p>
      <w:pPr>
        <w:ind w:left="4" w:right="20" w:hanging="4"/>
        <w:spacing w:after="0" w:line="290" w:lineRule="auto"/>
        <w:tabs>
          <w:tab w:leader="none" w:pos="254" w:val="left"/>
        </w:tabs>
        <w:numPr>
          <w:ilvl w:val="0"/>
          <w:numId w:val="75"/>
        </w:numPr>
        <w:rPr>
          <w:rFonts w:ascii="Arial" w:cs="Arial" w:eastAsia="Arial" w:hAnsi="Arial"/>
          <w:sz w:val="17"/>
          <w:szCs w:val="17"/>
          <w:u w:val="single" w:color="auto"/>
          <w:color w:val="auto"/>
        </w:rPr>
      </w:pPr>
      <w:r>
        <w:rPr>
          <w:rFonts w:ascii="Arial" w:cs="Arial" w:eastAsia="Arial" w:hAnsi="Arial"/>
          <w:sz w:val="17"/>
          <w:szCs w:val="17"/>
          <w:color w:val="auto"/>
        </w:rPr>
        <w:t>above shall (unless such Indebtedness has been assumed by such Person) be deemed to be equal to the lesser of (A) the aggregate unpaid amount of such Indebtedness and (B) the Fair Market Value of the property encumbered thereby as determined by such Person in good</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4"/>
          </w:cols>
          <w:pgMar w:left="436" w:top="274" w:right="439" w:bottom="1440" w:gutter="0" w:footer="0" w:header="0"/>
        </w:sectPr>
      </w:pPr>
    </w:p>
    <w:bookmarkStart w:id="90" w:name="page91"/>
    <w:bookmarkEnd w:id="90"/>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and Other Taxes, imposed on or with respect to any payment made by or on account of any obligation of any Loan Party under any Loan Document.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Holdings</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Revolving Borrowing Amount</w:t>
      </w:r>
      <w:r>
        <w:rPr>
          <w:rFonts w:ascii="Arial" w:cs="Arial" w:eastAsia="Arial" w:hAnsi="Arial"/>
          <w:sz w:val="17"/>
          <w:szCs w:val="17"/>
          <w:color w:val="auto"/>
        </w:rPr>
        <w:t xml:space="preserve">” means one or more Borrowings of Revolving Loans on the Effective Date in an amount not to exceed the aggregate amounts specified or referred to in the definition of the term “Permitted Initial Revolving Credit Borrowing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limitation, Letters of Credit may be issued on the Effective Date to, among other things, backstop, replace or otherwise provide credit support in respect of, letters of credit outstanding immediately prior to the Effective Date under the Existing Credit Facility.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assigned to such term in the Collateral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Facility</w:t>
      </w:r>
      <w:r>
        <w:rPr>
          <w:rFonts w:ascii="Arial" w:cs="Arial" w:eastAsia="Arial" w:hAnsi="Arial"/>
          <w:sz w:val="18"/>
          <w:szCs w:val="18"/>
          <w:color w:val="auto"/>
        </w:rPr>
        <w:t>” means the term loan facility represented by the Initial Term Loans.</w:t>
      </w:r>
    </w:p>
    <w:p>
      <w:pPr>
        <w:spacing w:after="0" w:line="225"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Commitment</w:t>
      </w:r>
      <w:r>
        <w:rPr>
          <w:rFonts w:ascii="Arial" w:cs="Arial" w:eastAsia="Arial" w:hAnsi="Arial"/>
          <w:sz w:val="18"/>
          <w:szCs w:val="18"/>
          <w:color w:val="auto"/>
        </w:rPr>
        <w:t xml:space="preserve">” means (a) with respect to each Term Lender that is a Lender on the Effective Date, the commitment of such Term Lender to make an Initial Term Loan hereunder on the Effective Date in the amount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“Initial Term Loan Commitment” and (b) with respect to any Lender that becomes a Lender after the Effective Date, or in the Assignment and Assumption to which such Lender shall have assumed its Initial Term Loan Commitment, as the case may be. As of the Effective Date, the Initial Term Loan Commitment was $300,000,000.</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xml:space="preserve">” means the loans made on the Effective Date pursuant to </w:t>
      </w:r>
      <w:r>
        <w:rPr>
          <w:rFonts w:ascii="Arial" w:cs="Arial" w:eastAsia="Arial" w:hAnsi="Arial"/>
          <w:sz w:val="18"/>
          <w:szCs w:val="18"/>
          <w:u w:val="single" w:color="auto"/>
          <w:color w:val="auto"/>
        </w:rPr>
        <w:t>Section 2.01(a)(i)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Maturity Date</w:t>
      </w:r>
      <w:r>
        <w:rPr>
          <w:rFonts w:ascii="Arial" w:cs="Arial" w:eastAsia="Arial" w:hAnsi="Arial"/>
          <w:sz w:val="18"/>
          <w:szCs w:val="18"/>
          <w:color w:val="auto"/>
        </w:rPr>
        <w:t>” means the sixth anniversary of the Effective Date.</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w:t>
      </w:r>
      <w:r>
        <w:rPr>
          <w:rFonts w:ascii="Arial" w:cs="Arial" w:eastAsia="Arial" w:hAnsi="Arial"/>
          <w:sz w:val="18"/>
          <w:szCs w:val="18"/>
          <w:color w:val="auto"/>
        </w:rPr>
        <w:t xml:space="preserve">” means the Intercompany Note, dated as of the Effective Date,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executed by Holdings, the Borrower and each other Restricted Subsidiary party thereto.</w:t>
      </w:r>
    </w:p>
    <w:p>
      <w:pPr>
        <w:spacing w:after="0" w:line="170" w:lineRule="exact"/>
        <w:rPr>
          <w:sz w:val="20"/>
          <w:szCs w:val="20"/>
          <w:color w:val="auto"/>
        </w:rPr>
      </w:pPr>
    </w:p>
    <w:p>
      <w:pPr>
        <w:jc w:val="both"/>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Agreements</w:t>
      </w:r>
      <w:r>
        <w:rPr>
          <w:rFonts w:ascii="Arial" w:cs="Arial" w:eastAsia="Arial" w:hAnsi="Arial"/>
          <w:sz w:val="18"/>
          <w:szCs w:val="18"/>
          <w:color w:val="auto"/>
        </w:rPr>
        <w:t>” means (a) to the extent executed in connection with the incurrence of Indebtedness secured by Liens on the Collateral which rank (or are intended to rank) equal in priority (but without regard to the control of remedies) to the Liens on the Collateral securing the Secured Obligations, an intercreditor agreement substantially in the form of Exhibit D among the Administrative Agent and/or the Collateral Agent and one or more authorized representatives for holders of one or more classes of applicable Indebtedness secured by Liens on the Collateral which are intended to rank equal in priority (but without regard to the control of remedies) to the Liens on the Collateral securing the Secured Obligations, with such changes thereto as are reasonably acceptable to the Administrative Agent and/or the Collateral Agent, the Required Lenders (provided that if any such Intercreditor Agreement is posted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91" w:name="page92"/>
    <w:bookmarkEnd w:id="91"/>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Lenders three Business Days before being executed and the Required Lenders shall not have objected thereto, the Required Lenders shall be deemed to have agreed that the Administrative Agent’s and/or the Collateral Agent’s entry into such Intercreditor Agreement is reasonable and to have consented to such Intercreditor Agreement and the Administrative Agent’s and/or the Collateral Agent’s execution thereof) and the Borrower (an intercreditor agreement described in this clause (a), an “</w:t>
      </w:r>
      <w:r>
        <w:rPr>
          <w:rFonts w:ascii="Arial" w:cs="Arial" w:eastAsia="Arial" w:hAnsi="Arial"/>
          <w:sz w:val="16"/>
          <w:szCs w:val="16"/>
          <w:u w:val="single" w:color="auto"/>
          <w:color w:val="auto"/>
        </w:rPr>
        <w:t>Equal Priority Intercreditor Agreement</w:t>
      </w:r>
      <w:r>
        <w:rPr>
          <w:rFonts w:ascii="Arial" w:cs="Arial" w:eastAsia="Arial" w:hAnsi="Arial"/>
          <w:sz w:val="16"/>
          <w:szCs w:val="16"/>
          <w:color w:val="auto"/>
        </w:rPr>
        <w:t>”) and (b) to the extent executed in connection with the incurrence of Indebtedness secured by Liens on the Collateral which rank (or are intended to rank) junior to the Liens on the Collateral securing the Secured Obligations, an intercreditor agreement substantially in the form of Exhibit E among the Administrative Agent and/or the Collateral Agent and one or more authorized representatives for holders of one or more classes of applicable Indebtedness secured by Liens on the Collateral which are intended to rank junior in priority (but without regard to the control of remedies) to the Liens on the Collateral securing the Secured Obligations, with such changes thereto as are reasonably acceptable to the Administrative Agent and/or the Collateral Agent, the Required Lenders (provided that if any such Intercreditor Agreement is posted to the Lenders three Business Days before being executed and the Required Lenders shall not have objected thereto, the Required Lenders shall be deemed to have agreed that the Administrative Agent’s and/or the Collateral Agent’s entry into such Intercreditor Agreement is reasonable and to have consented to such Intercreditor Agreement and the Administrative Agent’s and/or the Collateral Agent’s execution thereof) and the Borrower (an intercreditor agreement described in this clause (b), a “</w:t>
      </w:r>
      <w:r>
        <w:rPr>
          <w:rFonts w:ascii="Arial" w:cs="Arial" w:eastAsia="Arial" w:hAnsi="Arial"/>
          <w:sz w:val="16"/>
          <w:szCs w:val="16"/>
          <w:u w:val="single" w:color="auto"/>
          <w:color w:val="auto"/>
        </w:rPr>
        <w:t>Junior Priority Intercreditor Agreement</w:t>
      </w:r>
      <w:r>
        <w:rPr>
          <w:rFonts w:ascii="Arial" w:cs="Arial" w:eastAsia="Arial" w:hAnsi="Arial"/>
          <w:sz w:val="16"/>
          <w:szCs w:val="16"/>
          <w:color w:val="auto"/>
        </w:rPr>
        <w:t>”).</w:t>
      </w:r>
    </w:p>
    <w:p>
      <w:pPr>
        <w:spacing w:after="0" w:line="17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to convert or continue a Borrowing in accordance with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w:t>
      </w:r>
    </w:p>
    <w:p>
      <w:pPr>
        <w:spacing w:after="0" w:line="170"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the last Business Day of each March, June, September and December, (b) 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(c) to the extent necessary to create a fungible tranche of Term Loans, the date of the incurrence of any Incremental Term Loans.</w:t>
      </w:r>
    </w:p>
    <w:p>
      <w:pPr>
        <w:spacing w:after="0" w:line="188"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with respect to any Eurocurrency Borrowing, the period commencing on the date of such Borrowing and ending on the numerically corresponding day in the calendar month that is one, three or six months thereafter (or, if available to each Lender participating therein, 12 months or such other period less than one month thereafter as the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 No Interest Period shall extend beyond the maturity date of the facility under which such Loan was made.</w:t>
      </w:r>
    </w:p>
    <w:p>
      <w:pPr>
        <w:spacing w:after="0" w:line="166"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Screen Rate</w:t>
      </w:r>
      <w:r>
        <w:rPr>
          <w:rFonts w:ascii="Arial" w:cs="Arial" w:eastAsia="Arial" w:hAnsi="Arial"/>
          <w:sz w:val="17"/>
          <w:szCs w:val="17"/>
          <w:color w:val="auto"/>
        </w:rPr>
        <w:t>” means, in relation to the LIBO Rate, the rate which results from interpolating on a linear basis between: (a) the applicable LIBO Rate for the longest period (for which that LIBO Rate is available) which is less than the Interest Period of that Loan; and (b) the applicable LIBO Rate for the shortest period (for which that LIBO Rate is available) which exceeds the Interest Period of that Loan, each as of approximately 11:00 a.m. (London, England time) two Business Days prior to the commencement of such Interest Period of that Loan.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92" w:name="page93"/>
    <w:bookmarkEnd w:id="92"/>
    <w:p>
      <w:pPr>
        <w:jc w:val="both"/>
        <w:ind w:firstLine="4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as to any Person, any direct or indirect acquisition or investment by such Person, whether by means of (a) the purchase or other acquisition of Equity Interests or Indebtedness or other securities of another Person, (b) a loan, advance or capital contribution to, Guarantee or assumption of Indebtedness of, or purchase or other acquisition of any other Indebtedness or equity participation or interest in, another Person, including any partnership or Joint Venture interest in such other Person (excluding, in the case of the Borrower and the Restricted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(i) any Investment in the form of a loan or an advance shall be the principal amount thereof outstanding on such date, minus any payments in cash or Cash Equivalents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(iii)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minus any payments actually received by such investor representing a Return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(iv) any Investment (other than any Investment referred to in </w:t>
      </w:r>
      <w:r>
        <w:rPr>
          <w:rFonts w:ascii="Arial" w:cs="Arial" w:eastAsia="Arial" w:hAnsi="Arial"/>
          <w:sz w:val="16"/>
          <w:szCs w:val="16"/>
          <w:u w:val="single" w:color="auto"/>
          <w:color w:val="auto"/>
        </w:rPr>
        <w:t>clause</w:t>
      </w:r>
    </w:p>
    <w:p>
      <w:pPr>
        <w:spacing w:after="0" w:line="1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by the specified Person in the form of a purchase or other acquisition for value of any Equity Interests, evidences of Indebtedness or other securities of any other Person shall be the original cost of such Investment, except that the amount of any Investment in the form of an Acquisition Transaction shall be the Acquisition Consideration (including any Indebtedness assumed in connection therewith), plus (A) the cost of all additions thereto and minus (B) the amount of any portion of such Investment that has been repaid to the investor as a Return in respect of such Investment (to the extent such amounts referred to in clause (B)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if an Investment involves the acquisition of more than one Person, the amount of such Investment shall be allocated among the acquired Persons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pending the final determination of the amounts to be so allocated in accordance with GAAP, such allocation shall be as reasonably determined by a Financial Officer.</w:t>
      </w:r>
    </w:p>
    <w:p>
      <w:pPr>
        <w:spacing w:after="0" w:line="169"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means the Sponsor and certain other investors (including the Rollover Investors and the Management Investors) arranged by and/or designated by the Sponsor who hold, or will hold, Equity Interests in Holdings (or any Parent Entity) on or shortly following the Effective Date after giving effect to the Transactions.</w:t>
      </w:r>
    </w:p>
    <w:p>
      <w:pPr>
        <w:spacing w:after="0" w:line="18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(a) the initial underwritten public offering (other than a public offering pursuant to a registration statement on Form S-8) of common Equity Interests in Holdings, the Borrower or a Parent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74" w:right="439" w:bottom="1440" w:gutter="0" w:footer="0" w:header="0"/>
        </w:sectPr>
      </w:pPr>
    </w:p>
    <w:bookmarkStart w:id="93" w:name="page94"/>
    <w:bookmarkEnd w:id="93"/>
    <w:p>
      <w:pPr>
        <w:jc w:val="both"/>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Entity of Holdings or (b) the acquisition, purchase, merger or combination of Holdings, the Borrower or a Parent Entity of Holdings, by, or with, a publicly traded special acquisition company that (i) is an entity organized or existing under the laws of the United States, any State thereof or the District of Columbia, (ii) prior to the IPO, shall have engaged in no business or activities in any material respect other than activities related to becoming and acting as a publicly traded special acquisition company and entry into the IPO and (iii) immediately prior to the IPO, shall have no material assets other than cash and Cash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merger or combination pursuant to this sentence involving Holdings shall comply with the requirements of </w:t>
      </w:r>
      <w:r>
        <w:rPr>
          <w:rFonts w:ascii="Arial" w:cs="Arial" w:eastAsia="Arial" w:hAnsi="Arial"/>
          <w:sz w:val="18"/>
          <w:szCs w:val="18"/>
          <w:u w:val="single" w:color="auto"/>
          <w:color w:val="auto"/>
        </w:rPr>
        <w:t>Section 6.06(o)</w:t>
      </w:r>
      <w:r>
        <w:rPr>
          <w:rFonts w:ascii="Arial" w:cs="Arial" w:eastAsia="Arial" w:hAnsi="Arial"/>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International Chamber of Commerce (or such later version thereof as may be in effect at the time of issuance).</w:t>
      </w:r>
    </w:p>
    <w:p>
      <w:pPr>
        <w:spacing w:after="0" w:line="170"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(a) Owl Rock Capital Corporation and (b) each other Revolving Lender that shall have become an Issuing Bank hereunder as provided in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9.04(j)(i)</w:t>
      </w:r>
      <w:r>
        <w:rPr>
          <w:rFonts w:ascii="Arial" w:cs="Arial" w:eastAsia="Arial" w:hAnsi="Arial"/>
          <w:sz w:val="18"/>
          <w:szCs w:val="18"/>
          <w:color w:val="auto"/>
        </w:rPr>
        <w:t xml:space="preserve"> (other than any Person that shall have ceased to be an Issuing Bank as provided in </w:t>
      </w:r>
      <w:r>
        <w:rPr>
          <w:rFonts w:ascii="Arial" w:cs="Arial" w:eastAsia="Arial" w:hAnsi="Arial"/>
          <w:sz w:val="18"/>
          <w:szCs w:val="18"/>
          <w:u w:val="single" w:color="auto"/>
          <w:color w:val="auto"/>
        </w:rPr>
        <w:t>Section 2.05(l)</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9.04(j)(i)</w:t>
      </w:r>
      <w:r>
        <w:rPr>
          <w:rFonts w:ascii="Arial" w:cs="Arial" w:eastAsia="Arial" w:hAnsi="Arial"/>
          <w:sz w:val="18"/>
          <w:szCs w:val="18"/>
          <w:color w:val="auto"/>
        </w:rPr>
        <w:t>),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8" w:lineRule="exact"/>
        <w:rPr>
          <w:sz w:val="20"/>
          <w:szCs w:val="20"/>
          <w:color w:val="auto"/>
        </w:rPr>
      </w:pPr>
    </w:p>
    <w:p>
      <w:pPr>
        <w:jc w:val="both"/>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Letter of Credit Application, and any other document, agreement and instrument entered into by the Issuing Bank and the Borrower (or any Subsidiary) or in favor of the Issuing Bank and relating to such Letter of Credit.</w:t>
      </w:r>
    </w:p>
    <w:p>
      <w:pPr>
        <w:spacing w:after="0" w:line="12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Bookrunners</w:t>
      </w:r>
      <w:r>
        <w:rPr>
          <w:rFonts w:ascii="Arial" w:cs="Arial" w:eastAsia="Arial" w:hAnsi="Arial"/>
          <w:sz w:val="18"/>
          <w:szCs w:val="18"/>
          <w:color w:val="auto"/>
        </w:rPr>
        <w:t>” means Owl Rock Capital Advisors, LLC, MidCap Financial Trust (acting through its affiliates as it deems appropriate) and Benefit Street Partners L.L.C. (acting through such of its affiliates as it deems appropriate).</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means Owl Rock Capital Advisors, LLC, MidCap Financial Trust (acting through its affiliates as it deems appropriate) and Benefit Street Partners L.L.C. (acting through such of its affiliates as it deems appropriate).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joint venture, partnership or similar arrangement, whether in corporate, partnership or other legal form.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9.14(b)</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Indebtedness</w:t>
      </w:r>
      <w:r>
        <w:rPr>
          <w:rFonts w:ascii="Arial" w:cs="Arial" w:eastAsia="Arial" w:hAnsi="Arial"/>
          <w:sz w:val="18"/>
          <w:szCs w:val="18"/>
          <w:color w:val="auto"/>
        </w:rPr>
        <w:t>” means any debt for borrowed money that is secured by Liens on the Collateral which rank (or are intended to rank) junior in priority to the Liens on the Collateral securing the Secured Obligations.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Intercreditor Agreement</w:t>
      </w:r>
      <w:r>
        <w:rPr>
          <w:rFonts w:ascii="Arial" w:cs="Arial" w:eastAsia="Arial" w:hAnsi="Arial"/>
          <w:sz w:val="18"/>
          <w:szCs w:val="18"/>
          <w:color w:val="auto"/>
        </w:rPr>
        <w:t>” has the meaning assigned to such term in the definition of “Intercreditor Agreement.”</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at any date of determination, the latest maturity or expiration date applicable to any Loan or Commitment hereunder at such time, including the latest maturity or expiration date of any Incremental Facility, any Other Term Loan, any Other Term Commitment, any Other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4" w:right="4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Revolving Loan or any Other Revolving Commitment, in each case as extended in accordance with this Agreement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in the case of each Issuing Bank, such amount as set forth in </w:t>
      </w:r>
      <w:r>
        <w:rPr>
          <w:rFonts w:ascii="Arial" w:cs="Arial" w:eastAsia="Arial" w:hAnsi="Arial"/>
          <w:sz w:val="18"/>
          <w:szCs w:val="18"/>
          <w:u w:val="single" w:color="auto"/>
          <w:color w:val="auto"/>
        </w:rPr>
        <w:t>Schedule 2.05</w:t>
      </w:r>
      <w:r>
        <w:rPr>
          <w:rFonts w:ascii="Arial" w:cs="Arial" w:eastAsia="Arial" w:hAnsi="Arial"/>
          <w:sz w:val="18"/>
          <w:szCs w:val="18"/>
          <w:color w:val="auto"/>
        </w:rPr>
        <w:t xml:space="preserv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xml:space="preserve">” means, at any time, (a) the sum of the undrawn amounts of all outstanding Letters of Credit at such time plus (b) the sum of the amounts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Rule 3.14 of the ISP or Article 29(a) of the Uniform Customs and Practice for Documentary Credits or applicable law, or the express terms of the Letter of Credit, such Letter of Credit shall be deemed to be “outstanding” in the amount so remaining available to be drawn. Unless otherwise specified herein, the amount of a Letter of Credit at any time shall be deemed to be the amount available to be drawn under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Letter of Credit that, by its terms or the terms of any document related thereto, provides for one or more automatic increases in the amount available thereunder, the amount of such Letter of Credit shall be deemed to be the maximum amount available to be drawn under such Letter of Credit after giving effect to all such increases, whether or not such maximum amount is available to be drawn immediately at such time.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the Term Lenders, the Revolving Lenders and any other Person that shall have become a party hereto pursuant to an Assignment and Assumption or an Incremental Facility Amendment (including the 2020 Incremental Term Lenders under Amendment No. 1, the 2021 Incremental Term Lenders under Amendment No. 5 and the 2021-2 Incremental Term Lenders under Amendment No. 6), other than any such Person that ceases to be a party hereto pursuant to an Assignment and Assumption. Unless the context otherwise requires, the term “Lenders” includes the Swingline Lender.</w:t>
      </w:r>
    </w:p>
    <w:p>
      <w:pPr>
        <w:spacing w:after="0" w:line="157"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means any letter of credit issued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of this Agreement, other than any such letter of credit that shall have ceased to be a “Letter of Credit” outstanding hereunder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 Letter of Credit may be a commercial letter of credit, trade letter of credit or a standby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Issuing Bank shall be required to issue a commercial letter of credit or trade letter of credit without its consent.</w:t>
      </w:r>
    </w:p>
    <w:p>
      <w:pPr>
        <w:spacing w:after="0" w:line="187"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Issuing Bank.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$5,000,000.</w:t>
      </w:r>
    </w:p>
    <w:p>
      <w:pPr>
        <w:spacing w:after="0" w:line="225"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for any Interest Period as to any LIBOR Rate Loan, (i) the rate per annum determined by the Administrative Agent to be the offered rate which appears on the applicable Bloomberg screen page which displays the London interbank offered rate administered by ICE Benchmark Administration Limited (the “</w:t>
      </w:r>
      <w:r>
        <w:rPr>
          <w:rFonts w:ascii="Arial" w:cs="Arial" w:eastAsia="Arial" w:hAnsi="Arial"/>
          <w:sz w:val="18"/>
          <w:szCs w:val="18"/>
          <w:u w:val="single" w:color="auto"/>
          <w:color w:val="auto"/>
        </w:rPr>
        <w:t>LIBO Rate</w:t>
      </w:r>
      <w:r>
        <w:rPr>
          <w:rFonts w:ascii="Arial" w:cs="Arial" w:eastAsia="Arial" w:hAnsi="Arial"/>
          <w:sz w:val="18"/>
          <w:szCs w:val="18"/>
          <w:color w:val="auto"/>
        </w:rPr>
        <w:t>”) for deposits (for delivery on the first day of such Interest Period) with a term equivalent to such Interest Period in Dollars, determined as of approximately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95" w:name="page96"/>
    <w:bookmarkEnd w:id="95"/>
    <w:p>
      <w:pPr>
        <w:jc w:val="both"/>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11:00 a.m. (London, England time), two Business Days prior to the commencement of such Interest Period, or (ii) in the event the rate referenced in the preceding clause (i) does not appear on such page or service or if such page or service shall cease to be available, the rate determined by the Administrative Agent to be the offered rate on such other page or other service which displays the LIBO Rate for deposits (for delivery on the first day of such Interest Period) with a term equivalent to such Interest Period in Dollars, determined as of approximately 11:00 a.m. (London, England time) two Business Days prior to the commencement of such Interest Period; provided that if LIBO Rates are quoted under either of the preceding clauses</w:t>
      </w:r>
    </w:p>
    <w:p>
      <w:pPr>
        <w:spacing w:after="0" w:line="2" w:lineRule="exact"/>
        <w:rPr>
          <w:sz w:val="20"/>
          <w:szCs w:val="20"/>
          <w:color w:val="auto"/>
        </w:rPr>
      </w:pPr>
    </w:p>
    <w:p>
      <w:pPr>
        <w:jc w:val="both"/>
        <w:ind w:left="4" w:hanging="4"/>
        <w:spacing w:after="0" w:line="286" w:lineRule="auto"/>
        <w:tabs>
          <w:tab w:leader="none" w:pos="236"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or (ii), but there is no such quotation for the Interest Period elected, the LIBO Rate shall be equal to the Interpolated Screen Rate;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any such rate determined pursuant to the preceding clauses (i) or (ii) is less than zero, the LIBO Rate will be deemed to be zero;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LIBO Rates quoted under either of the preceding clauses (i) or (ii) are not available at such time for any reason, the rate per annum determined by the Administrative Agent to be the rate at which deposits in the relevant currency for delivery on the first day of such Interest Period in same day funds in the approximate amount of the Eurocurrency Loan being made, continued or converted and with a term equivalent to such Interest Period would be offered to major banks in the London or other offshore interbank market for such currency at their request at approximately 11:00 a.m. (London time) two Business Days prior to the commencement of such Interest Period. Notwithstanding the foregoing and solely with respect to Initial Term Loans, 2020 Incremental Term Loans, 2021 Incremental Term Loans, 2021-2 Incremental Term Loans and the Revolving Loans, the LIBO Rate will be deemed to be 1.00% per annum if the LIBO Rate calculated pursuant to the foregoing provisions would otherwise be less than 1.00% per annum.</w:t>
      </w:r>
    </w:p>
    <w:p>
      <w:pPr>
        <w:spacing w:after="0" w:line="172" w:lineRule="exact"/>
        <w:rPr>
          <w:sz w:val="20"/>
          <w:szCs w:val="20"/>
          <w:color w:val="auto"/>
        </w:rPr>
      </w:pPr>
    </w:p>
    <w:p>
      <w:pPr>
        <w:jc w:val="both"/>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when used in reference to any Loan or Borrowing, refers to whether such Loan, or the Loans comprising such Borrowing, bear interest at a rate determined by reference to the Adjusted LIBO Rate.</w:t>
      </w:r>
    </w:p>
    <w:p>
      <w:pPr>
        <w:spacing w:after="0" w:line="170" w:lineRule="exact"/>
        <w:rPr>
          <w:sz w:val="20"/>
          <w:szCs w:val="20"/>
          <w:color w:val="auto"/>
        </w:rPr>
      </w:pPr>
    </w:p>
    <w:p>
      <w:pPr>
        <w:jc w:val="both"/>
        <w:ind w:left="4"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with respect to any asset, (a) any mortgage, deed of trust, lien, pledge, hypothecation, encumbrance, charge or security interest in, on or of such asset and (b) the interest of a vendor or a lessor under any conditional sale agreement, financing or capital lease or title retention agreement (or any financing lease having substantially the same economic effect as any of the foregoing) relating to such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 Non-Financing Lease Obligation be deemed to be a Lien.</w:t>
      </w:r>
    </w:p>
    <w:p>
      <w:pPr>
        <w:spacing w:after="0" w:line="187"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any Acquisition Transaction or similar Investment permitted hereunder by the Borrower or one or more of its respective Restricted Subsidiaries of any assets, business or Person permitted to be acquired hereunder, in each case whose consummation is not conditioned on the availability of, or on obtaining, third-party financing.</w:t>
      </w:r>
    </w:p>
    <w:p>
      <w:pPr>
        <w:spacing w:after="0" w:line="184"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means, as of any date of determination, the sum of (a) the aggregate amount of unrestricted cash and Cash Equivalents owned by the Borrower or any Restricted Subsidiary and held in deposit accounts or securities accounts that are subject to Account Control Agreements granting the Collateral Agent a first priority perfected lien,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Revolving Commitments then in effect minus the Revolving Exposure of all Lenders at such time hereunder.</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 Cure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6.13(c)</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 Cure Contribution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6.13(c)</w:t>
      </w:r>
      <w:r>
        <w:rPr>
          <w:rFonts w:ascii="Arial" w:cs="Arial" w:eastAsia="Arial" w:hAnsi="Arial"/>
          <w:sz w:val="18"/>
          <w:szCs w:val="18"/>
          <w:color w:val="auto"/>
        </w:rPr>
        <w:t>.</w:t>
      </w:r>
    </w:p>
    <w:p>
      <w:pPr>
        <w:spacing w:after="0" w:line="225"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 Obligations</w:t>
      </w:r>
      <w:r>
        <w:rPr>
          <w:rFonts w:ascii="Arial" w:cs="Arial" w:eastAsia="Arial" w:hAnsi="Arial"/>
          <w:sz w:val="18"/>
          <w:szCs w:val="18"/>
          <w:color w:val="auto"/>
        </w:rPr>
        <w:t>” means (a) the due and punctual payment by the Borrower of (i) the principal of and interest at the applicable rate or rates provided in this Agreement (including interest accruing during the pendency of any bankruptcy, insolvency, receivership or other similar proceeding,</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4"/>
          </w:cols>
          <w:pgMar w:left="436" w:top="274" w:right="439" w:bottom="1440" w:gutter="0" w:footer="0" w:header="0"/>
        </w:sectPr>
      </w:pPr>
    </w:p>
    <w:bookmarkStart w:id="96" w:name="page97"/>
    <w:bookmarkEnd w:id="96"/>
    <w:p>
      <w:pPr>
        <w:jc w:val="both"/>
        <w:ind w:left="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regardless of whether allowed or allowable in such proceeding) on the Loans, when and as due, whether at maturity, by acceleration, upon one or more dates set for prepayment or otherwise, (ii) each payment required to be made by the Borrower under this Agreement in respect of any Letter of Credit, when and as due, including payments in respect of reimbursement of disbursements, interest thereon and obligations to provide cash collateral, and</w:t>
      </w:r>
    </w:p>
    <w:p>
      <w:pPr>
        <w:spacing w:after="0" w:line="2" w:lineRule="exact"/>
        <w:rPr>
          <w:sz w:val="20"/>
          <w:szCs w:val="20"/>
          <w:color w:val="auto"/>
        </w:rPr>
      </w:pPr>
    </w:p>
    <w:p>
      <w:pPr>
        <w:jc w:val="both"/>
        <w:ind w:left="4" w:hanging="4"/>
        <w:spacing w:after="0" w:line="251" w:lineRule="auto"/>
        <w:tabs>
          <w:tab w:leader="none" w:pos="321"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other monetary obligations of the Borrower under or pursuant to this Agreement and each of the other Loan Documents,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this Agreement and each of the other Loan Documents and (c) the due and punctual payment and performance of all the obligations of each other Loan Party under or pursuant to this Agreement and each of the other Loan Documents (including interest and monetary obligations incurred during the pendency of any bankruptcy, insolvency, receivership or other similar proceeding, regardless of whether allowed or allowable in such proceeding).</w:t>
      </w:r>
    </w:p>
    <w:p>
      <w:pPr>
        <w:spacing w:after="0" w:line="198" w:lineRule="exact"/>
        <w:rPr>
          <w:sz w:val="20"/>
          <w:szCs w:val="20"/>
          <w:color w:val="auto"/>
        </w:rPr>
      </w:pPr>
    </w:p>
    <w:p>
      <w:pPr>
        <w:jc w:val="both"/>
        <w:ind w:left="4"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xml:space="preserve">” means this Agreement, any Incremental Facility Amendment (including Amendment No. 1, Incremental Facility Agreement No. 2, Incremental Facility Agreement No. 3, Incremental Facility Agreement No. 4, Amendment No. 5 </w:t>
      </w:r>
      <w:r>
        <w:rPr>
          <w:rFonts w:ascii="Arial" w:cs="Arial" w:eastAsia="Arial" w:hAnsi="Arial"/>
          <w:sz w:val="16"/>
          <w:szCs w:val="16"/>
          <w:color w:val="FF4338"/>
        </w:rPr>
        <w:t>and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Amendment No. 6 </w:t>
      </w:r>
      <w:r>
        <w:rPr>
          <w:rFonts w:ascii="Arial" w:cs="Arial" w:eastAsia="Arial" w:hAnsi="Arial"/>
          <w:sz w:val="16"/>
          <w:szCs w:val="16"/>
          <w:color w:val="0000FF"/>
        </w:rPr>
        <w:t>and Amendment No. 7</w:t>
      </w:r>
      <w:r>
        <w:rPr>
          <w:rFonts w:ascii="Arial" w:cs="Arial" w:eastAsia="Arial" w:hAnsi="Arial"/>
          <w:sz w:val="16"/>
          <w:szCs w:val="16"/>
          <w:color w:val="auto"/>
        </w:rPr>
        <w:t xml:space="preserve">), any Loan Modification Agreement, the Guarantee Agreement, the Collateral Agreement, any Intercreditor Agreement, the other Security Documents and, except for purposes of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any promissory notes delivered pursuant to </w:t>
      </w:r>
      <w:r>
        <w:rPr>
          <w:rFonts w:ascii="Arial" w:cs="Arial" w:eastAsia="Arial" w:hAnsi="Arial"/>
          <w:sz w:val="16"/>
          <w:szCs w:val="16"/>
          <w:u w:val="single" w:color="auto"/>
          <w:color w:val="auto"/>
        </w:rPr>
        <w:t>Section 2.09(e)</w:t>
      </w:r>
      <w:r>
        <w:rPr>
          <w:rFonts w:ascii="Arial" w:cs="Arial" w:eastAsia="Arial" w:hAnsi="Arial"/>
          <w:sz w:val="16"/>
          <w:szCs w:val="16"/>
          <w:color w:val="auto"/>
        </w:rPr>
        <w:t xml:space="preserve"> </w:t>
      </w:r>
      <w:r>
        <w:rPr>
          <w:rFonts w:ascii="Arial" w:cs="Arial" w:eastAsia="Arial" w:hAnsi="Arial"/>
          <w:sz w:val="16"/>
          <w:szCs w:val="16"/>
          <w:color w:val="0000FF"/>
        </w:rPr>
        <w:t>and the Amendment No. 7 Fee Letter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-370840</wp:posOffset>
            </wp:positionV>
            <wp:extent cx="1936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-293370</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5854700</wp:posOffset>
            </wp:positionH>
            <wp:positionV relativeFrom="paragraph">
              <wp:posOffset>-293370</wp:posOffset>
            </wp:positionV>
            <wp:extent cx="10718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-327660</wp:posOffset>
            </wp:positionV>
            <wp:extent cx="10693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69340" cy="8255"/>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-19050</wp:posOffset>
            </wp:positionV>
            <wp:extent cx="17316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31645" cy="889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-53340</wp:posOffset>
            </wp:positionV>
            <wp:extent cx="17322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32280" cy="8255"/>
                    </a:xfrm>
                    <a:prstGeom prst="rect">
                      <a:avLst/>
                    </a:prstGeom>
                    <a:noFill/>
                  </pic:spPr>
                </pic:pic>
              </a:graphicData>
            </a:graphic>
          </wp:anchor>
        </w:drawing>
      </w:r>
    </w:p>
    <w:p>
      <w:pPr>
        <w:spacing w:after="0" w:line="137"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Agreement</w:t>
      </w:r>
      <w:r>
        <w:rPr>
          <w:rFonts w:ascii="Arial" w:cs="Arial" w:eastAsia="Arial" w:hAnsi="Arial"/>
          <w:sz w:val="18"/>
          <w:szCs w:val="18"/>
          <w:color w:val="auto"/>
        </w:rPr>
        <w:t xml:space="preserve">” means a Loan Modification Agreement, in form reasonably satisfactory to the Administrative Agent, among the Borrower, the Administrative Agent and one or more accepting lenders, effecting one or more amendments hereto and to the other Loan Documents as are contemplated by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means any Term Loan Extension Request or Revolving Credit Extension Request.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Holdings, the Borrower and the Subsidiary Loan Parties.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LTV Ratio</w:t>
      </w:r>
      <w:r>
        <w:rPr>
          <w:rFonts w:ascii="Arial" w:cs="Arial" w:eastAsia="Arial" w:hAnsi="Arial"/>
          <w:sz w:val="18"/>
          <w:szCs w:val="18"/>
          <w:color w:val="auto"/>
        </w:rPr>
        <w:t>” means, on any date of determination, the ratio of (a) Consolidated Total Net Debt as of the last day of the Test Period most recently ended on or prior to such determination to (b) the Contract Asset Balance as of the last day of such Test Period.</w:t>
      </w:r>
    </w:p>
    <w:p>
      <w:pPr>
        <w:spacing w:after="0" w:line="170" w:lineRule="exact"/>
        <w:rPr>
          <w:sz w:val="20"/>
          <w:szCs w:val="20"/>
          <w:color w:val="auto"/>
        </w:rPr>
      </w:pPr>
    </w:p>
    <w:p>
      <w:pPr>
        <w:jc w:val="both"/>
        <w:ind w:left="4"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in Interest</w:t>
      </w:r>
      <w:r>
        <w:rPr>
          <w:rFonts w:ascii="Arial" w:cs="Arial" w:eastAsia="Arial" w:hAnsi="Arial"/>
          <w:sz w:val="16"/>
          <w:szCs w:val="16"/>
          <w:color w:val="auto"/>
        </w:rPr>
        <w:t>”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(b) in the case of Lenders with Other Revolving Commitments, Lenders holding Other Revolving Commitments representing more than 50% of the sum of the aggregate Other Revolving Commitments of such Lenders in such Class, (c) in the case of Lenders with Replacement Revolving Commitments, Lenders holding Replacement Revolving Commitments representing more than 50% of the sum of the aggregate Replacement Revolving Commitment of such Class and (d) in the case of the Term Lenders of any Class, Lenders holding outstanding Term Loans of such Class representing more than 50% of all Term Loans of such Class outstanding at such time;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4"/>
          </w:cols>
          <w:pgMar w:left="436" w:top="274" w:right="439" w:bottom="1440" w:gutter="0" w:footer="0" w:header="0"/>
        </w:sectPr>
      </w:pPr>
    </w:p>
    <w:bookmarkStart w:id="97" w:name="page98"/>
    <w:bookmarkEnd w:id="97"/>
    <w:p>
      <w:pPr>
        <w:jc w:val="both"/>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Arial" w:cs="Arial" w:eastAsia="Arial" w:hAnsi="Arial"/>
          <w:sz w:val="18"/>
          <w:szCs w:val="18"/>
          <w:color w:val="auto"/>
        </w:rPr>
        <w:t xml:space="preserve"> that whenever there are one or more Defaulting Lenders, the total outstanding Term Loans, Revolving Exposures and unused Revolving Commitments, Replacement Revolving Commitments or Other Revolving Commitments of each Defaulting Lender shall be excluded for purposes of making a determination of the Majority in Interest.</w:t>
      </w:r>
    </w:p>
    <w:p>
      <w:pPr>
        <w:spacing w:after="0" w:line="184"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Investors</w:t>
      </w:r>
      <w:r>
        <w:rPr>
          <w:rFonts w:ascii="Arial" w:cs="Arial" w:eastAsia="Arial" w:hAnsi="Arial"/>
          <w:sz w:val="18"/>
          <w:szCs w:val="18"/>
          <w:color w:val="auto"/>
        </w:rPr>
        <w:t xml:space="preserve">” means (i) NVX Holdings, Inc., Brandon Cruz, Clint Jones and the other current and former directors, officers, partners, members and employees of any Parent Entity, Holdings, the Borrower and/or any of their respective subsidiaries who (directly or indirectly through one or more Equityholding Vehicles or investment vehicles) are (or will become) direct or indirect investors in the Equity Interests of Holdings, any other Parent Entity or in the Borrower as of the Effective Date or otherwise in connection with the Transactions and (ii) any other directors, officers, partners, members and employees of any Parent Entity, Holdings, the Borrower and/or any of their respective subsidiaries who (directly or indirectly through one or more Equityholding Vehicles or investment vehicles) become direct or indirect investors in the Equity Interests of Holdings, any other Parent Entity or the Borrower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Equity Interests that may be included as Management Investors pursuant to this clause (ii) shall in no event exceed 10% of all of the direct or indirect Equity Interests of Holdings, any other Parent Entity or the Borrower.</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Convention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assigned to such term in the definition of “Swap Agreement.”</w:t>
      </w:r>
    </w:p>
    <w:p>
      <w:pPr>
        <w:spacing w:after="0" w:line="225"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on the Effective Date, a Material Adverse Effect (as defined in the Merger Agreement) and (b) after the Effective Date, a circumstance or condition that would materially and adversely affect (i) the business, financial condition or results of operations of the Borrower and its Restricted Subsidiaries, taken as a whole, (ii) the ability of the Loan Parties, taken as a whole, to perform their payment obligations under the Loan Documents or (iii) the rights and remedies of the Administrative Agent, the Collateral Agent and the Lenders under the Loan Documents.</w:t>
      </w:r>
    </w:p>
    <w:p>
      <w:pPr>
        <w:spacing w:after="0" w:line="188"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xml:space="preserve">” means (without duplication) “third-party” indebtedness for borrowed money (other than the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the Restricted Subsidiaries in an aggregate principal amount exceeding </w:t>
      </w:r>
      <w:r>
        <w:rPr>
          <w:rFonts w:ascii="Arial" w:cs="Arial" w:eastAsia="Arial" w:hAnsi="Arial"/>
          <w:sz w:val="18"/>
          <w:szCs w:val="18"/>
          <w:u w:val="single" w:color="auto"/>
          <w:color w:val="0000FF"/>
        </w:rPr>
        <w:t>(x) during the Suspension Period, $5,000,000 and (y) after the Suspension Period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has ended,</w:t>
      </w:r>
      <w:r>
        <w:rPr>
          <w:rFonts w:ascii="Arial" w:cs="Arial" w:eastAsia="Arial" w:hAnsi="Arial"/>
          <w:sz w:val="18"/>
          <w:szCs w:val="18"/>
          <w:color w:val="0000FF"/>
        </w:rPr>
        <w:t xml:space="preserve"> </w:t>
      </w:r>
      <w:r>
        <w:rPr>
          <w:rFonts w:ascii="Arial" w:cs="Arial" w:eastAsia="Arial" w:hAnsi="Arial"/>
          <w:sz w:val="18"/>
          <w:szCs w:val="18"/>
          <w:color w:val="000000"/>
        </w:rPr>
        <w:t>$7,500,000;</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FF"/>
        </w:rPr>
        <w:t xml:space="preserve"> </w:t>
      </w:r>
      <w:r>
        <w:rPr>
          <w:rFonts w:ascii="Arial" w:cs="Arial" w:eastAsia="Arial" w:hAnsi="Arial"/>
          <w:sz w:val="18"/>
          <w:szCs w:val="18"/>
          <w:color w:val="000000"/>
        </w:rPr>
        <w:t>that in no event shall any Permitted Receivables Financing be considered Material Indebtedness for any purpose. For</w:t>
      </w:r>
      <w:r>
        <w:rPr>
          <w:rFonts w:ascii="Arial" w:cs="Arial" w:eastAsia="Arial" w:hAnsi="Arial"/>
          <w:sz w:val="18"/>
          <w:szCs w:val="18"/>
          <w:color w:val="0000FF"/>
        </w:rPr>
        <w:t xml:space="preserve"> </w:t>
      </w:r>
      <w:r>
        <w:rPr>
          <w:rFonts w:ascii="Arial" w:cs="Arial" w:eastAsia="Arial" w:hAnsi="Arial"/>
          <w:sz w:val="18"/>
          <w:szCs w:val="18"/>
          <w:color w:val="000000"/>
        </w:rPr>
        <w:t>purposes of determining Material Indebtedness, the “principal amount” of the obligations in respect of any Swap Agreement at any time shall be the Swap Termination Value thereof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-407035</wp:posOffset>
            </wp:positionV>
            <wp:extent cx="381444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144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-269875</wp:posOffset>
            </wp:positionV>
            <wp:extent cx="4800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75"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Real Property</w:t>
      </w:r>
      <w:r>
        <w:rPr>
          <w:rFonts w:ascii="Arial" w:cs="Arial" w:eastAsia="Arial" w:hAnsi="Arial"/>
          <w:sz w:val="17"/>
          <w:szCs w:val="17"/>
          <w:color w:val="auto"/>
        </w:rPr>
        <w:t>” means each parcel of real property and the improvements thereon owned in fee by a Loan Party with an individual Fair Market Value of greater than $2,500,000 as determined on the Effective Date for existing real property and on the date of acquisition for any after-acquired real property (or the date of substantial completion of any material improvements thereon or new construction thereof).</w:t>
      </w:r>
    </w:p>
    <w:p>
      <w:pPr>
        <w:spacing w:after="0" w:line="165"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xml:space="preserve">” means (a) each Restricted Subsidiary that, as of the last day of the fiscal quarter of the Borrower most recently ended for which financial statements have been (or were required to have been)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had revenues or total assets (determined on a consolidated basis for such Restricted Subsidiary and its Restricted Subsidiaries) for such quarter 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4" w:right="439" w:bottom="1440" w:gutter="0" w:footer="0" w:header="0"/>
        </w:sectPr>
      </w:pPr>
    </w:p>
    <w:bookmarkStart w:id="98" w:name="page99"/>
    <w:bookmarkEnd w:id="98"/>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excess of 5.0% of the consolidated revenues or Consolidated Total Assets, as applicable, of the Borrower and the Restricted Subsidiaries for such quarter or that is designated by the Borrower as a Material Subsidiary and (b) any Restricted Subsidiary that is part of a group comprising Restricted Subsidiaries that each would not have been a Material Subsidiary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but that, taken together, as of the last day of the fiscal quarter of the Borrower most recently ended for which financial statements have been (or were required to have been)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had revenues or total assets (determined on a consolidated basis for all such Restricted Subsidiaries and their respective Restricted Subsidiaries) for such quarter in excess of 10.0% of the consolidated revenues or Consolidated Total Assets, as applicable, of the Borrower and the Restricted Subsidiaries for such quarter.</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specified in the recitals to this Agreement.</w:t>
      </w:r>
    </w:p>
    <w:p>
      <w:pPr>
        <w:spacing w:after="0" w:line="22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the Agreement and Plan of Merger, dated as of August 15, 2019, by and among, Blizzard Aggregator, LLC, Parent, Initial Holdings, Merger Sub, the Target and Brandon Cruz as seller representative.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has the meaning specified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MFN Adjustment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2.20(b)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w:t>
      </w:r>
      <w:r>
        <w:rPr>
          <w:rFonts w:ascii="Arial" w:cs="Arial" w:eastAsia="Arial" w:hAnsi="Arial"/>
          <w:sz w:val="17"/>
          <w:szCs w:val="17"/>
          <w:color w:val="auto"/>
        </w:rPr>
        <w:t xml:space="preserve">” means a mortgage, deed of trust, security deed, assignment of leases and rents or other security document granting a Lien on any Mortgaged Property to secure the Secured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any Mortgaged Property is located in a jurisdiction which imposes mortgage recording tax or similar fees, the applicable Mortgage shall not secure an amount in excess of 100% of the Fair Market Value of such Mortgaged Property. Each Mortgage shall be in a form reasonably acceptable to the Administrative Agent.</w:t>
      </w:r>
    </w:p>
    <w:p>
      <w:pPr>
        <w:spacing w:after="0" w:line="171"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xml:space="preserve">” means each parcel of real property and the improvements thereon owned in fee by a Loan Party with respect to which a Mortgage is granted pursuant to </w:t>
      </w:r>
      <w:r>
        <w:rPr>
          <w:rFonts w:ascii="Arial" w:cs="Arial" w:eastAsia="Arial" w:hAnsi="Arial"/>
          <w:sz w:val="18"/>
          <w:szCs w:val="18"/>
          <w:u w:val="single" w:color="auto"/>
          <w:color w:val="auto"/>
        </w:rPr>
        <w:t>Section 4.01(f)</w:t>
      </w:r>
      <w:r>
        <w:rPr>
          <w:rFonts w:ascii="Arial" w:cs="Arial" w:eastAsia="Arial" w:hAnsi="Arial"/>
          <w:sz w:val="18"/>
          <w:szCs w:val="18"/>
          <w:color w:val="auto"/>
        </w:rPr>
        <w:t xml:space="preserve"> (if any) or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(if any).</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a Loan Party or any ERISA Affiliate makes or is obligated to make contributions or with respect to which any Loan Party or ERISA Affiliate could have liability under Section 4212(c) of ERISA.</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means, with respect to any Person, the net income (loss) attributable to such Person, determined on a consolidated basis in accordance with GAAP and before any reduction in respect of dividends on preferred Equity Interests (other than dividends on Disqualified Equity Interests).</w:t>
      </w:r>
    </w:p>
    <w:p>
      <w:pPr>
        <w:spacing w:after="0" w:line="184" w:lineRule="exact"/>
        <w:rPr>
          <w:sz w:val="20"/>
          <w:szCs w:val="20"/>
          <w:color w:val="auto"/>
        </w:rPr>
      </w:pPr>
    </w:p>
    <w:p>
      <w:pPr>
        <w:jc w:val="both"/>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Proceeds</w:t>
      </w:r>
      <w:r>
        <w:rPr>
          <w:rFonts w:ascii="Arial" w:cs="Arial" w:eastAsia="Arial" w:hAnsi="Arial"/>
          <w:sz w:val="17"/>
          <w:szCs w:val="17"/>
          <w:color w:val="auto"/>
        </w:rPr>
        <w:t xml:space="preserve">” means, with respect to any event, (a) the proceeds received in respect of such event in cash or Cash Equivalents, including (i) any cash or Cash Equivalents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eminent domain or similar event, condemnation or eminent domain awards and similar payments that are actually received,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274" w:right="439" w:bottom="1440" w:gutter="0" w:footer="0" w:header="0"/>
        </w:sectPr>
      </w:pPr>
    </w:p>
    <w:bookmarkStart w:id="99" w:name="page100"/>
    <w:bookmarkEnd w:id="99"/>
    <w:p>
      <w:pPr>
        <w:jc w:val="both"/>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 of (i) all fees and out-of-pocket expenses paid by the Borrower and the Restricted Subsidiaries in connection with such event (including attorney’s fees, investment banking fees, survey costs, title insurance premiums, and related search and recording charges, transfer taxes, deed or mortgage recording taxes, issuance costs, underwriting discounts and commissions, other customary costs and expenses and brokerage, consultant, accountant and other customary fees), (ii) in the case of a Disposition of an asset (including pursuant to a Sale Leaseback or Casualty Event or similar proceeding),</w:t>
      </w:r>
    </w:p>
    <w:p>
      <w:pPr>
        <w:spacing w:after="0" w:line="1" w:lineRule="exact"/>
        <w:rPr>
          <w:sz w:val="20"/>
          <w:szCs w:val="20"/>
          <w:color w:val="auto"/>
        </w:rPr>
      </w:pPr>
    </w:p>
    <w:p>
      <w:pPr>
        <w:jc w:val="both"/>
        <w:ind w:left="4" w:hanging="4"/>
        <w:spacing w:after="0" w:line="284" w:lineRule="auto"/>
        <w:tabs>
          <w:tab w:leader="none" w:pos="269"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the amount of all payments that are permitted hereunder and are made by the Borrower and the Restricted Subsidiaries as a result of such event to repay Indebtedness permitted to be incurred hereunder (other than (x) the Loans or (y) other Indebtedness that is secured by Liens on the Collateral that rank on an equal priority basis (but without regard to control of remedies) or on a junior basis, in either case, to the Liens on the Collateral securing the Secured Obligations and incurred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and secured by such asset or otherwise subject to mandatory prepayment as a result of such event, (y) the pro rata portion of net cash proceeds thereof (calculated without regard to this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attributable to minority interests and not available for distribution to or for the account of the Borrower and the Restricted Subsidiaries as a result thereof and (z) the amount of any liabilities directly associated with such asset and retained by the Borrower or the Restricted Subsidiaries, (iii) in the case of the incurrence of any Indebtedness the proceeds of which are required to be used to prepay any Class of Loans and/or reduce any Class of Commitments under this Agreement, accrued interest and premium, if any, on such Loans and any other amounts (other than principal) required to be paid in respect of such Loans and/or Commitments in connection with any such prepayment and/or reduction and (iv) the amount of all Taxes paid (or reasonably estimated to be payable) by the Borrower or any Restricted Subsidiary, including any Taxes payable by, or any Tax distribution to, Holdings or any Parent Entity and the amount of any reserves established by the Borrower and the Restricted Subsidiaries to fund contingent liabilities reasonably estimated to be payable that are directly attributable to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178"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Project</w:t>
      </w:r>
      <w:r>
        <w:rPr>
          <w:rFonts w:ascii="Arial" w:cs="Arial" w:eastAsia="Arial" w:hAnsi="Arial"/>
          <w:sz w:val="18"/>
          <w:szCs w:val="18"/>
          <w:color w:val="auto"/>
        </w:rPr>
        <w:t>” means (a) each facility which is either a new facility, branch or office or an expansion, relocation, remodeling or substantial modernization of an existing facility, branch or office owned by the Borrower or the Subsidiaries which in fact commences operations and (b) each creation (in one or a series of related transactions) of a business unit to the extent such business unit commences operations or each expansion (in one or a series of related transactions) of business into a new market.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Non-Accepting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2.24(h)</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Compensation Expense</w:t>
      </w:r>
      <w:r>
        <w:rPr>
          <w:rFonts w:ascii="Arial" w:cs="Arial" w:eastAsia="Arial" w:hAnsi="Arial"/>
          <w:sz w:val="18"/>
          <w:szCs w:val="18"/>
          <w:color w:val="auto"/>
        </w:rPr>
        <w:t>” means any non-cash expenses and costs that result from the issuance of stock-based awards, partnership interest-based awards and similar incentive based compensation awards or arrangements.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Non-Financing Lease Obligations</w:t>
      </w:r>
      <w:r>
        <w:rPr>
          <w:rFonts w:ascii="Arial" w:cs="Arial" w:eastAsia="Arial" w:hAnsi="Arial"/>
          <w:sz w:val="18"/>
          <w:szCs w:val="18"/>
          <w:color w:val="auto"/>
        </w:rPr>
        <w:t>” means a lease obligation that is not required to be accounted for as a financing or capital lease on both the balance sheet and the income statement for financial reporting purposes in accordance with GAAP. For avoidance of doubt, an operating lease or other obligation in respect of, or under, straight line leases, shall be considered a Non-Financing Lease Obligation.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Non-Loan Party</w:t>
      </w:r>
      <w:r>
        <w:rPr>
          <w:rFonts w:ascii="Arial" w:cs="Arial" w:eastAsia="Arial" w:hAnsi="Arial"/>
          <w:sz w:val="18"/>
          <w:szCs w:val="18"/>
          <w:color w:val="auto"/>
        </w:rPr>
        <w:t>” means any Person that is not a Loan Party.</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4"/>
          </w:cols>
          <w:pgMar w:left="436" w:top="274" w:right="439" w:bottom="1440" w:gutter="0" w:footer="0" w:header="0"/>
        </w:sectPr>
      </w:pPr>
    </w:p>
    <w:bookmarkStart w:id="100" w:name="page101"/>
    <w:bookmarkEnd w:id="100"/>
    <w:p>
      <w:pPr>
        <w:jc w:val="both"/>
        <w:ind w:right="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Not Otherwise Applied</w:t>
      </w:r>
      <w:r>
        <w:rPr>
          <w:rFonts w:ascii="Arial" w:cs="Arial" w:eastAsia="Arial" w:hAnsi="Arial"/>
          <w:sz w:val="16"/>
          <w:szCs w:val="16"/>
          <w:color w:val="auto"/>
        </w:rPr>
        <w:t xml:space="preserve">” means, with reference to the Available Amount or the Available Equity Amount, as applicable, that was not previously (or concurrently) applied pursuant to </w:t>
      </w:r>
      <w:r>
        <w:rPr>
          <w:rFonts w:ascii="Arial" w:cs="Arial" w:eastAsia="Arial" w:hAnsi="Arial"/>
          <w:sz w:val="16"/>
          <w:szCs w:val="16"/>
          <w:u w:val="single" w:color="auto"/>
          <w:color w:val="auto"/>
        </w:rPr>
        <w:t>Section 6.04(c)</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6.04(q)</w:t>
      </w:r>
      <w:r>
        <w:rPr>
          <w:rFonts w:ascii="Arial" w:cs="Arial" w:eastAsia="Arial" w:hAnsi="Arial"/>
          <w:sz w:val="16"/>
          <w:szCs w:val="16"/>
          <w:color w:val="auto"/>
        </w:rPr>
        <w:t xml:space="preserve">, </w:t>
      </w:r>
      <w:r>
        <w:rPr>
          <w:rFonts w:ascii="Arial" w:cs="Arial" w:eastAsia="Arial" w:hAnsi="Arial"/>
          <w:sz w:val="16"/>
          <w:szCs w:val="16"/>
          <w:u w:val="single" w:color="auto"/>
          <w:color w:val="auto"/>
        </w:rPr>
        <w:t>6.08(a)(vii)(E)</w:t>
      </w:r>
      <w:r>
        <w:rPr>
          <w:rFonts w:ascii="Arial" w:cs="Arial" w:eastAsia="Arial" w:hAnsi="Arial"/>
          <w:sz w:val="16"/>
          <w:szCs w:val="16"/>
          <w:color w:val="auto"/>
        </w:rPr>
        <w:t xml:space="preserve">, </w:t>
      </w:r>
      <w:r>
        <w:rPr>
          <w:rFonts w:ascii="Arial" w:cs="Arial" w:eastAsia="Arial" w:hAnsi="Arial"/>
          <w:sz w:val="16"/>
          <w:szCs w:val="16"/>
          <w:u w:val="single" w:color="auto"/>
          <w:color w:val="auto"/>
        </w:rPr>
        <w:t>6.08(a)(viii)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6.08(b)(iv)</w:t>
      </w:r>
      <w:r>
        <w:rPr>
          <w:rFonts w:ascii="Arial" w:cs="Arial" w:eastAsia="Arial" w:hAnsi="Arial"/>
          <w:sz w:val="16"/>
          <w:szCs w:val="16"/>
          <w:color w:val="auto"/>
        </w:rPr>
        <w:t xml:space="preserve"> or any Cure Amount.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Intent to Cure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7.02(c)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2.11(h)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Period</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OID</w:t>
      </w:r>
      <w:r>
        <w:rPr>
          <w:rFonts w:ascii="Arial" w:cs="Arial" w:eastAsia="Arial" w:hAnsi="Arial"/>
          <w:sz w:val="18"/>
          <w:szCs w:val="18"/>
          <w:color w:val="auto"/>
        </w:rPr>
        <w:t>” means original issue discount.</w:t>
      </w:r>
    </w:p>
    <w:p>
      <w:pPr>
        <w:spacing w:after="0" w:line="225"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Revolving Commitment</w:t>
      </w:r>
      <w:r>
        <w:rPr>
          <w:rFonts w:ascii="Arial" w:cs="Arial" w:eastAsia="Arial" w:hAnsi="Arial"/>
          <w:sz w:val="18"/>
          <w:szCs w:val="18"/>
          <w:color w:val="auto"/>
        </w:rPr>
        <w:t>” means each “Revolving Commitment” as defined in this Agreement as in effect immediately prior to Amendment No. 5 Effective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Revolving Facility</w:t>
      </w:r>
      <w:r>
        <w:rPr>
          <w:rFonts w:ascii="Arial" w:cs="Arial" w:eastAsia="Arial" w:hAnsi="Arial"/>
          <w:sz w:val="18"/>
          <w:szCs w:val="18"/>
          <w:color w:val="auto"/>
        </w:rPr>
        <w:t>” means the revolving credit facility represented by the Original Revolving Commitments.</w:t>
      </w:r>
    </w:p>
    <w:p>
      <w:pPr>
        <w:spacing w:after="0" w:line="22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Revolving Lender</w:t>
      </w:r>
      <w:r>
        <w:rPr>
          <w:rFonts w:ascii="Arial" w:cs="Arial" w:eastAsia="Arial" w:hAnsi="Arial"/>
          <w:sz w:val="18"/>
          <w:szCs w:val="18"/>
          <w:color w:val="auto"/>
        </w:rPr>
        <w:t>” means each “Revolving Lender” as defined in this Agreement as in effect immediately prior to Amendment No. 5 Effective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Revolving Loans</w:t>
      </w:r>
      <w:r>
        <w:rPr>
          <w:rFonts w:ascii="Arial" w:cs="Arial" w:eastAsia="Arial" w:hAnsi="Arial"/>
          <w:sz w:val="18"/>
          <w:szCs w:val="18"/>
          <w:color w:val="auto"/>
        </w:rPr>
        <w:t>” means the Revolving Loans outstanding immediately prior to Amendment No. 5 Effective Date.</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Commitments</w:t>
      </w:r>
      <w:r>
        <w:rPr>
          <w:rFonts w:ascii="Arial" w:cs="Arial" w:eastAsia="Arial" w:hAnsi="Arial"/>
          <w:sz w:val="18"/>
          <w:szCs w:val="18"/>
          <w:color w:val="auto"/>
        </w:rPr>
        <w:t>” means one or more Classes of revolving credit commitments hereunder or extended revolving commitments that result from a Loan Modification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Loans</w:t>
      </w:r>
      <w:r>
        <w:rPr>
          <w:rFonts w:ascii="Arial" w:cs="Arial" w:eastAsia="Arial" w:hAnsi="Arial"/>
          <w:sz w:val="18"/>
          <w:szCs w:val="18"/>
          <w:color w:val="auto"/>
        </w:rPr>
        <w:t>” means the revolving loans made pursuant to any Other Revolving Commitment.</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any and all present or future recording, stamp, documentary, transfer, sales, property or similar Taxes arising from any payment made under any Loan Document or from the execution, delivery, performance, enforcement or registration of, from the receipt or perfection of a security interest under, or otherwise with respect to, any Loan Document, except any such Taxes imposed with respect to an assignment, other than an assignment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w:t>
      </w:r>
    </w:p>
    <w:p>
      <w:pPr>
        <w:spacing w:after="0" w:line="187" w:lineRule="exact"/>
        <w:rPr>
          <w:sz w:val="20"/>
          <w:szCs w:val="20"/>
          <w:color w:val="auto"/>
        </w:rPr>
      </w:pPr>
    </w:p>
    <w:p>
      <w:pPr>
        <w:jc w:val="center"/>
        <w:ind w:left="640" w:right="2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Term Commitments</w:t>
      </w:r>
      <w:r>
        <w:rPr>
          <w:rFonts w:ascii="Arial" w:cs="Arial" w:eastAsia="Arial" w:hAnsi="Arial"/>
          <w:sz w:val="18"/>
          <w:szCs w:val="18"/>
          <w:color w:val="auto"/>
        </w:rPr>
        <w:t>” means one or more Classes of term loan commitments hereunder that result from a Loan Modification Agreement. 62</w:t>
      </w:r>
    </w:p>
    <w:p>
      <w:pPr>
        <w:sectPr>
          <w:pgSz w:w="11900" w:h="16838" w:orient="portrait"/>
          <w:cols w:equalWidth="0" w:num="1">
            <w:col w:w="11020"/>
          </w:cols>
          <w:pgMar w:left="440" w:top="274" w:right="439" w:bottom="1440" w:gutter="0" w:footer="0" w:header="0"/>
        </w:sectPr>
      </w:pPr>
    </w:p>
    <w:bookmarkStart w:id="101" w:name="page102"/>
    <w:bookmarkEnd w:id="101"/>
    <w:p>
      <w:pPr>
        <w:jc w:val="both"/>
        <w:ind w:left="4"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Other Term Loans</w:t>
      </w:r>
      <w:r>
        <w:rPr>
          <w:rFonts w:ascii="Arial" w:cs="Arial" w:eastAsia="Arial" w:hAnsi="Arial"/>
          <w:sz w:val="18"/>
          <w:szCs w:val="18"/>
          <w:color w:val="auto"/>
        </w:rPr>
        <w:t>” means one or more Classes of term loans that result from a Loan Modification Agreement, including any Extended Term Loans.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Entity</w:t>
      </w:r>
      <w:r>
        <w:rPr>
          <w:rFonts w:ascii="Arial" w:cs="Arial" w:eastAsia="Arial" w:hAnsi="Arial"/>
          <w:sz w:val="18"/>
          <w:szCs w:val="18"/>
          <w:color w:val="auto"/>
        </w:rPr>
        <w:t>” means Holdings and any Person that is a direct or indirect parent of Holdings (including Parent) and of which Holdings is a direct or indirect subsidiary.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9.04(c)(i)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9.04(c)(iii)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2.11(a)(ii)(C)(2)</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Receivables Grantor</w:t>
      </w:r>
      <w:r>
        <w:rPr>
          <w:rFonts w:ascii="Arial" w:cs="Arial" w:eastAsia="Arial" w:hAnsi="Arial"/>
          <w:sz w:val="18"/>
          <w:szCs w:val="18"/>
          <w:color w:val="auto"/>
        </w:rPr>
        <w:t>” shall mean the Borrower or any Restricted Subsidiary that is or that becomes a participant or originator in a Permitted Receivables Financing.</w:t>
      </w:r>
    </w:p>
    <w:p>
      <w:pPr>
        <w:spacing w:after="0" w:line="170"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0" w:lineRule="exact"/>
        <w:rPr>
          <w:sz w:val="20"/>
          <w:szCs w:val="20"/>
          <w:color w:val="auto"/>
        </w:rPr>
      </w:pPr>
    </w:p>
    <w:p>
      <w:pPr>
        <w:jc w:val="both"/>
        <w:ind w:left="4"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Requirements</w:t>
      </w:r>
      <w:r>
        <w:rPr>
          <w:rFonts w:ascii="Arial" w:cs="Arial" w:eastAsia="Arial" w:hAnsi="Arial"/>
          <w:sz w:val="18"/>
          <w:szCs w:val="18"/>
          <w:color w:val="auto"/>
        </w:rPr>
        <w:t>” means the filing of appropriate financing statements with the office of the Secretary of State or other appropriate office of the state of organization of each Loan Party, the filing of appropriate assignments or notices with the U.S. Patent and Trademark Office and the U.S. Copyright Office, the execution of the Account Control Agreements by the parties thereto, the proper recording or filing, as applicable, of Mortgages and fixture filings with respect to any Mortgaged Property, in each case in favor of the Collateral Agent for the benefit of the Secured Parties and the delivery to the Collateral Agent of any stock certificate or promissory note required to be delivered pursuant to the applicable Loan Documents, together with instruments of transfer executed in blank.</w:t>
      </w:r>
    </w:p>
    <w:p>
      <w:pPr>
        <w:spacing w:after="0" w:line="192"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an Acquisition Transaction together with other Investments necessary to consummate such Acquisition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2" w:lineRule="exact"/>
        <w:rPr>
          <w:sz w:val="20"/>
          <w:szCs w:val="20"/>
          <w:color w:val="auto"/>
        </w:rPr>
      </w:pPr>
    </w:p>
    <w:p>
      <w:pPr>
        <w:jc w:val="both"/>
        <w:ind w:left="4" w:firstLine="436"/>
        <w:spacing w:after="0" w:line="254" w:lineRule="auto"/>
        <w:tabs>
          <w:tab w:leader="none" w:pos="699"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except in the case of a Limited Condition Transaction (in which case, no Event of Default shall have occurred as of the applicable LCT Test Date and no Event of Default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shall have occurred and be continuing at the time of consummation thereof), after giving pro forma effect to any such Acquisition Transaction and Investment, no Event of Default shall have occurred and be continuing or would result therefrom,</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business of such Person, or such assets, as the case may be, constitutes a business permitted by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jc w:val="both"/>
        <w:ind w:left="4" w:right="20" w:firstLine="436"/>
        <w:spacing w:after="0" w:line="291" w:lineRule="auto"/>
        <w:tabs>
          <w:tab w:leader="none" w:pos="705"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with respect to each such purchase or other acquisition, all actions required to be taken with respect to any such newly created or acquired Subsidiary (including each subsidiary thereof that constitutes a Restricted Subsidiary) or assets in order to satisfy the requirements set forth in </w:t>
      </w:r>
      <w:r>
        <w:rPr>
          <w:rFonts w:ascii="Arial" w:cs="Arial" w:eastAsia="Arial" w:hAnsi="Arial"/>
          <w:sz w:val="16"/>
          <w:szCs w:val="16"/>
          <w:u w:val="single" w:color="auto"/>
          <w:color w:val="auto"/>
        </w:rPr>
        <w:t>clauses</w:t>
      </w:r>
    </w:p>
    <w:p>
      <w:pPr>
        <w:jc w:val="both"/>
        <w:ind w:left="4" w:right="2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the term “Collateral and Guarantee Requirement” to the extent applicable shall have been taken to the extent required by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(or arrangements for the taking of such actions after the consummation of the Permitted Acquisition shall have been made that are reasonably satisfactory to the Administrative Agent) (unless such newly created or acquired Restricted Subsidiary constitutes an Excluded Subsidiary or such newly created or acquired asset constitutes an Excluded Asset),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4"/>
          </w:cols>
          <w:pgMar w:left="436" w:top="274" w:right="439" w:bottom="1440" w:gutter="0" w:footer="0" w:header="0"/>
        </w:sectPr>
      </w:pPr>
    </w:p>
    <w:bookmarkStart w:id="102" w:name="page103"/>
    <w:bookmarkEnd w:id="102"/>
    <w:p>
      <w:pPr>
        <w:ind w:left="704" w:hanging="264"/>
        <w:spacing w:after="0"/>
        <w:tabs>
          <w:tab w:leader="none" w:pos="704" w:val="left"/>
        </w:tabs>
        <w:numPr>
          <w:ilvl w:val="1"/>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acquired Person becomes a Restricted Subsidiary,</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81"/>
        </w:numPr>
        <w:rPr>
          <w:rFonts w:ascii="Arial" w:cs="Arial" w:eastAsia="Arial" w:hAnsi="Arial"/>
          <w:sz w:val="16"/>
          <w:szCs w:val="16"/>
          <w:color w:val="auto"/>
        </w:rPr>
      </w:pPr>
      <w:r>
        <w:rPr>
          <w:rFonts w:ascii="Arial" w:cs="Arial" w:eastAsia="Arial" w:hAnsi="Arial"/>
          <w:sz w:val="16"/>
          <w:szCs w:val="16"/>
          <w:color w:val="auto"/>
        </w:rPr>
        <w:t>after giving effect to such Acquisition Transaction, the Borrower shall be in pro forma compliance with the Financial Maintenance Covenant,</w:t>
      </w:r>
    </w:p>
    <w:p>
      <w:pPr>
        <w:spacing w:after="0" w:line="140" w:lineRule="exact"/>
        <w:rPr>
          <w:rFonts w:ascii="Arial" w:cs="Arial" w:eastAsia="Arial" w:hAnsi="Arial"/>
          <w:sz w:val="16"/>
          <w:szCs w:val="16"/>
          <w:color w:val="auto"/>
        </w:rPr>
      </w:pPr>
    </w:p>
    <w:p>
      <w:pPr>
        <w:jc w:val="both"/>
        <w:ind w:left="4" w:right="20" w:firstLine="436"/>
        <w:spacing w:after="0" w:line="287" w:lineRule="auto"/>
        <w:tabs>
          <w:tab w:leader="none" w:pos="698" w:val="left"/>
        </w:tabs>
        <w:numPr>
          <w:ilvl w:val="1"/>
          <w:numId w:val="81"/>
        </w:numPr>
        <w:rPr>
          <w:rFonts w:ascii="Arial" w:cs="Arial" w:eastAsia="Arial" w:hAnsi="Arial"/>
          <w:sz w:val="16"/>
          <w:szCs w:val="16"/>
          <w:color w:val="auto"/>
        </w:rPr>
      </w:pPr>
      <w:r>
        <w:rPr>
          <w:rFonts w:ascii="Arial" w:cs="Arial" w:eastAsia="Arial" w:hAnsi="Arial"/>
          <w:sz w:val="16"/>
          <w:szCs w:val="16"/>
          <w:color w:val="auto"/>
        </w:rPr>
        <w:t>for any Acquisition Transaction or Investment for which the aggregate cash consideration exceeds $40,000,000, the Borrower shall have delivered to the Administrative Agent (for further distribution by the Administrative Agent to the Lenders) no later than three (3) Business Days prior to the closing date of such Acquisition Transaction, copies of (i) the most recent audited and/or unaudited financial statements of the target company,</w:t>
      </w:r>
    </w:p>
    <w:p>
      <w:pPr>
        <w:spacing w:after="0" w:line="2" w:lineRule="exact"/>
        <w:rPr>
          <w:rFonts w:ascii="Arial" w:cs="Arial" w:eastAsia="Arial" w:hAnsi="Arial"/>
          <w:sz w:val="16"/>
          <w:szCs w:val="16"/>
          <w:color w:val="auto"/>
        </w:rPr>
      </w:pPr>
    </w:p>
    <w:p>
      <w:pPr>
        <w:jc w:val="both"/>
        <w:ind w:left="4" w:right="20" w:hanging="4"/>
        <w:spacing w:after="0" w:line="271" w:lineRule="auto"/>
        <w:tabs>
          <w:tab w:leader="none" w:pos="3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latest draft acquisition or merger agreement and (iii) to the extent prepared, a quality of earnings analysis in respect of such Acquisition Transaction or Investment; provided that to the extent any such information or materials under clauses (i), (ii) or (iii) is subject to confidentiality restrictions preventing disclosure thereof to the Administrative Agent or the Lenders, such information or materials (or any part thereof) shall only be required to be delivered to the Administrative Agent and made available to any Lender to the extent that the Administrative Agent and each such Lender has executed a customary non-disclosure agreement with the target company with respect to such information or materials, and</w:t>
      </w:r>
    </w:p>
    <w:p>
      <w:pPr>
        <w:spacing w:after="0" w:line="70" w:lineRule="exact"/>
        <w:rPr>
          <w:rFonts w:ascii="Arial" w:cs="Arial" w:eastAsia="Arial" w:hAnsi="Arial"/>
          <w:sz w:val="17"/>
          <w:szCs w:val="17"/>
          <w:color w:val="auto"/>
        </w:rPr>
      </w:pPr>
    </w:p>
    <w:p>
      <w:pPr>
        <w:ind w:left="704" w:hanging="264"/>
        <w:spacing w:after="0"/>
        <w:tabs>
          <w:tab w:leader="none" w:pos="704"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Board of Directors of the target company shall not be contesting such Acquisition Transaction or Investment.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ECF Recalculation Considerations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17" w:lineRule="exact"/>
        <w:rPr>
          <w:sz w:val="20"/>
          <w:szCs w:val="20"/>
          <w:color w:val="auto"/>
        </w:rPr>
      </w:pPr>
    </w:p>
    <w:p>
      <w:pPr>
        <w:jc w:val="both"/>
        <w:ind w:left="4" w:right="20" w:firstLine="436"/>
        <w:spacing w:after="0" w:line="259" w:lineRule="auto"/>
        <w:tabs>
          <w:tab w:leader="none" w:pos="6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that are not delinquent for a period of more than 30 days or that are being contested in good faith and by appropriate proceedings diligently conducted, if adequate reserves with respect thereto are maintained on the books of the applicable Person in accordance with GAAP, in each case, the nonpayment of which could not reasonably be expected to result in a Material Adverse Effect;</w:t>
      </w:r>
    </w:p>
    <w:p>
      <w:pPr>
        <w:spacing w:after="0" w:line="78" w:lineRule="exact"/>
        <w:rPr>
          <w:rFonts w:ascii="Arial" w:cs="Arial" w:eastAsia="Arial" w:hAnsi="Arial"/>
          <w:sz w:val="18"/>
          <w:szCs w:val="18"/>
          <w:color w:val="auto"/>
        </w:rPr>
      </w:pPr>
    </w:p>
    <w:p>
      <w:pPr>
        <w:jc w:val="both"/>
        <w:ind w:left="4" w:firstLine="436"/>
        <w:spacing w:after="0" w:line="255" w:lineRule="auto"/>
        <w:tabs>
          <w:tab w:leader="none" w:pos="745"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imposed by statutory or common law, such as landlords’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Liens or that are being contested in good faith and by appropriate proceedings diligently conducted, if adequate reserves with respect thereto are maintained on the books of the applicable Person in accordance with GAAP, in each case so long as such Liens could not reasonably be expected to individually or in the aggregate have a Material Adverse Effect;</w:t>
      </w:r>
    </w:p>
    <w:p>
      <w:pPr>
        <w:spacing w:after="0" w:line="192" w:lineRule="exact"/>
        <w:rPr>
          <w:rFonts w:ascii="Arial" w:cs="Arial" w:eastAsia="Arial" w:hAnsi="Arial"/>
          <w:sz w:val="18"/>
          <w:szCs w:val="18"/>
          <w:color w:val="auto"/>
        </w:rPr>
      </w:pPr>
    </w:p>
    <w:p>
      <w:pPr>
        <w:jc w:val="both"/>
        <w:ind w:left="4" w:firstLine="436"/>
        <w:spacing w:after="0" w:line="293" w:lineRule="auto"/>
        <w:tabs>
          <w:tab w:leader="none" w:pos="71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(i) Liens incurred, pledges or deposits made in the ordinary course of business in connection with workers’ compensation, payroll taxes, unemployment insurance and other social security legislation, (ii) pledges or deposits made in the ordinary course of business securing liability for reimbursement or indemnification obligations of (including obligations in respect of letters of credit or bank guarantees or similar instruments for the benefit of) insurance carriers providing property, casualty or liability insurance to the Borrower or any Restricted Subsidiary or otherwise supporting the payment of items of the type set forth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(iii) deposit arrangements in the ordinary course of business under which software or source code is placed in escrow with customers or a third party agent for the benefit of customers on a non-exclusive basis;</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4"/>
          </w:cols>
          <w:pgMar w:left="436" w:top="274" w:right="439" w:bottom="1440" w:gutter="0" w:footer="0" w:header="0"/>
        </w:sectPr>
      </w:pPr>
    </w:p>
    <w:bookmarkStart w:id="103" w:name="page104"/>
    <w:bookmarkEnd w:id="103"/>
    <w:p>
      <w:pPr>
        <w:jc w:val="both"/>
        <w:ind w:firstLine="436"/>
        <w:spacing w:after="0" w:line="257"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incurred or deposits made to secure the performance of tenders, bids, trade contracts (other than for the payment of Indebtedness), governmental contracts and leases (other than Financing Lease Obligations),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w:t>
      </w:r>
    </w:p>
    <w:p>
      <w:pPr>
        <w:spacing w:after="0" w:line="79" w:lineRule="exact"/>
        <w:rPr>
          <w:rFonts w:ascii="Arial" w:cs="Arial" w:eastAsia="Arial" w:hAnsi="Arial"/>
          <w:sz w:val="18"/>
          <w:szCs w:val="18"/>
          <w:color w:val="auto"/>
        </w:rPr>
      </w:pPr>
    </w:p>
    <w:p>
      <w:pPr>
        <w:jc w:val="both"/>
        <w:ind w:right="20" w:firstLine="436"/>
        <w:spacing w:after="0" w:line="279" w:lineRule="auto"/>
        <w:tabs>
          <w:tab w:leader="none" w:pos="693"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easements, rights-of-way, restrictions, covenants, conditions, encroachments, protrusions, zoning restrictions and other similar encumbrances, matters that are or would be reflected on a survey of any real property, irregularities of title, title defects affecting real property that, in the aggregate, do not materially interfere with the ordinary conduct of the business of the Borrower and the Restricted Subsidiaries, taken as a whole, and any exception on the Mortgaged Policies issued to the Collateral Agent in connection with the Mortgaged Property;</w:t>
      </w:r>
    </w:p>
    <w:p>
      <w:pPr>
        <w:spacing w:after="0" w:line="63" w:lineRule="exact"/>
        <w:rPr>
          <w:rFonts w:ascii="Arial" w:cs="Arial" w:eastAsia="Arial" w:hAnsi="Arial"/>
          <w:sz w:val="17"/>
          <w:szCs w:val="17"/>
          <w:color w:val="auto"/>
        </w:rPr>
      </w:pPr>
    </w:p>
    <w:p>
      <w:pPr>
        <w:jc w:val="both"/>
        <w:ind w:right="20" w:firstLine="436"/>
        <w:spacing w:after="0" w:line="263" w:lineRule="auto"/>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 Liens securing, or otherwise arising from, judgments, awards attachments and/or decrees and notices of </w:t>
      </w:r>
      <w:r>
        <w:rPr>
          <w:rFonts w:ascii="Arial" w:cs="Arial" w:eastAsia="Arial" w:hAnsi="Arial"/>
          <w:sz w:val="18"/>
          <w:szCs w:val="18"/>
          <w:i w:val="1"/>
          <w:iCs w:val="1"/>
          <w:color w:val="auto"/>
        </w:rPr>
        <w:t>lis pendens</w:t>
      </w:r>
      <w:r>
        <w:rPr>
          <w:rFonts w:ascii="Arial" w:cs="Arial" w:eastAsia="Arial" w:hAnsi="Arial"/>
          <w:sz w:val="18"/>
          <w:szCs w:val="18"/>
          <w:color w:val="auto"/>
        </w:rPr>
        <w:t xml:space="preserve"> and associated rights relating to litigation being contested in good faith not constituting an Event of Default under </w:t>
      </w:r>
      <w:r>
        <w:rPr>
          <w:rFonts w:ascii="Arial" w:cs="Arial" w:eastAsia="Arial" w:hAnsi="Arial"/>
          <w:sz w:val="18"/>
          <w:szCs w:val="18"/>
          <w:u w:val="single" w:color="auto"/>
          <w:color w:val="auto"/>
        </w:rPr>
        <w:t>Section 7.01(j)</w:t>
      </w:r>
      <w:r>
        <w:rPr>
          <w:rFonts w:ascii="Arial" w:cs="Arial" w:eastAsia="Arial" w:hAnsi="Arial"/>
          <w:sz w:val="18"/>
          <w:szCs w:val="18"/>
          <w:color w:val="auto"/>
        </w:rPr>
        <w:t xml:space="preserve"> and (ii) any pledge and/or deposit securing any settlement of litigation;</w:t>
      </w:r>
    </w:p>
    <w:p>
      <w:pPr>
        <w:spacing w:after="0" w:line="75" w:lineRule="exact"/>
        <w:rPr>
          <w:rFonts w:ascii="Arial" w:cs="Arial" w:eastAsia="Arial" w:hAnsi="Arial"/>
          <w:sz w:val="18"/>
          <w:szCs w:val="18"/>
          <w:color w:val="auto"/>
        </w:rPr>
      </w:pPr>
    </w:p>
    <w:p>
      <w:pPr>
        <w:jc w:val="both"/>
        <w:ind w:right="20" w:firstLine="436"/>
        <w:spacing w:after="0" w:line="257" w:lineRule="auto"/>
        <w:tabs>
          <w:tab w:leader="none" w:pos="702"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Liens on goods the purchase price of which is financed by a documentary letter of credit issued for the account of the Borrower or any of the Restricted Subsidiaries or Liens on bills of lading, drafts or other documents of title arising by operation of law or pursuant to the standard terms of agreements relating to letters of credit, bank guarantees and other similar instruments;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secures only the obligations of the Borrower or such Restricted Subsidiaries in respect of such letter of credit, bank guarantee or other similar instrument to the extent such obligations are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jc w:val="both"/>
        <w:ind w:firstLine="436"/>
        <w:spacing w:after="0" w:line="263" w:lineRule="auto"/>
        <w:tabs>
          <w:tab w:leader="none" w:pos="696" w:val="left"/>
        </w:tabs>
        <w:numPr>
          <w:ilvl w:val="0"/>
          <w:numId w:val="84"/>
        </w:numPr>
        <w:rPr>
          <w:rFonts w:ascii="Arial" w:cs="Arial" w:eastAsia="Arial" w:hAnsi="Arial"/>
          <w:sz w:val="18"/>
          <w:szCs w:val="18"/>
          <w:color w:val="auto"/>
        </w:rPr>
      </w:pPr>
      <w:r>
        <w:rPr>
          <w:rFonts w:ascii="Arial" w:cs="Arial" w:eastAsia="Arial" w:hAnsi="Arial"/>
          <w:sz w:val="18"/>
          <w:szCs w:val="18"/>
          <w:color w:val="auto"/>
        </w:rPr>
        <w:t>rights of setoff, banker’s lien, netting agreements and other Liens arising by operation of law or by of the terms of documents of banks or other financial institutions in relation to the maintenance of administration of deposit accounts, securities accounts or cash management arrangements or in connection with the issuance of letters of credit, bank guarantees or other similar instruments;</w:t>
      </w:r>
    </w:p>
    <w:p>
      <w:pPr>
        <w:spacing w:after="0" w:line="75" w:lineRule="exact"/>
        <w:rPr>
          <w:rFonts w:ascii="Arial" w:cs="Arial" w:eastAsia="Arial" w:hAnsi="Arial"/>
          <w:sz w:val="18"/>
          <w:szCs w:val="18"/>
          <w:color w:val="auto"/>
        </w:rPr>
      </w:pPr>
    </w:p>
    <w:p>
      <w:pPr>
        <w:ind w:right="20" w:firstLine="436"/>
        <w:spacing w:after="0" w:line="277" w:lineRule="auto"/>
        <w:tabs>
          <w:tab w:leader="none" w:pos="6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Liens arising from precautionary Uniform Commercial Code financing statements or any similar filings made in respect of operating leases or consignment or bailee arrangements entered into by the Borrower or any of the Restricted Subsidiaries;</w:t>
      </w:r>
    </w:p>
    <w:p>
      <w:pPr>
        <w:spacing w:after="0" w:line="62" w:lineRule="exact"/>
        <w:rPr>
          <w:rFonts w:ascii="Arial" w:cs="Arial" w:eastAsia="Arial" w:hAnsi="Arial"/>
          <w:sz w:val="18"/>
          <w:szCs w:val="18"/>
          <w:color w:val="auto"/>
        </w:rPr>
      </w:pPr>
    </w:p>
    <w:p>
      <w:pPr>
        <w:jc w:val="both"/>
        <w:ind w:firstLine="436"/>
        <w:spacing w:after="0" w:line="263" w:lineRule="auto"/>
        <w:tabs>
          <w:tab w:leader="none" w:pos="6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Liens given to a public utility or any municipality or Governmental Authority when required by such utility or other authority in connection with the ordinary conduct of the business of Holdings, the Borrower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and could not reasonably be expected to have a Material Adverse Effect;</w:t>
      </w:r>
    </w:p>
    <w:p>
      <w:pPr>
        <w:spacing w:after="0" w:line="75" w:lineRule="exact"/>
        <w:rPr>
          <w:rFonts w:ascii="Arial" w:cs="Arial" w:eastAsia="Arial" w:hAnsi="Arial"/>
          <w:sz w:val="18"/>
          <w:szCs w:val="18"/>
          <w:color w:val="auto"/>
        </w:rPr>
      </w:pPr>
    </w:p>
    <w:p>
      <w:pPr>
        <w:ind w:right="20" w:firstLine="436"/>
        <w:spacing w:after="0" w:line="277" w:lineRule="auto"/>
        <w:tabs>
          <w:tab w:leader="none" w:pos="709"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reservations, limitations, provisos and conditions expressed in any original grant from any Governmental Authority or other grant of real or immovable property or interests therein; and</w:t>
      </w:r>
    </w:p>
    <w:p>
      <w:pPr>
        <w:spacing w:after="0" w:line="62" w:lineRule="exact"/>
        <w:rPr>
          <w:rFonts w:ascii="Arial" w:cs="Arial" w:eastAsia="Arial" w:hAnsi="Arial"/>
          <w:sz w:val="18"/>
          <w:szCs w:val="18"/>
          <w:color w:val="auto"/>
        </w:rPr>
      </w:pPr>
    </w:p>
    <w:p>
      <w:pPr>
        <w:ind w:right="20" w:firstLine="436"/>
        <w:spacing w:after="0" w:line="277" w:lineRule="auto"/>
        <w:tabs>
          <w:tab w:leader="none" w:pos="666" w:val="left"/>
        </w:tabs>
        <w:numPr>
          <w:ilvl w:val="0"/>
          <w:numId w:val="84"/>
        </w:numPr>
        <w:rPr>
          <w:rFonts w:ascii="Arial" w:cs="Arial" w:eastAsia="Arial" w:hAnsi="Arial"/>
          <w:sz w:val="18"/>
          <w:szCs w:val="18"/>
          <w:color w:val="auto"/>
        </w:rPr>
      </w:pPr>
      <w:r>
        <w:rPr>
          <w:rFonts w:ascii="Arial" w:cs="Arial" w:eastAsia="Arial" w:hAnsi="Arial"/>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Equal Priority Refinancing Debt</w:t>
      </w:r>
      <w:r>
        <w:rPr>
          <w:rFonts w:ascii="Arial" w:cs="Arial" w:eastAsia="Arial" w:hAnsi="Arial"/>
          <w:sz w:val="18"/>
          <w:szCs w:val="18"/>
          <w:color w:val="auto"/>
        </w:rPr>
        <w:t>” means any secured Indebtedness incurred by the Borrower or any other Loan Party in the form of one or more series of senior secured notes, bonds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104" w:name="page105"/>
    <w:bookmarkEnd w:id="104"/>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debentures or senior secured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secured by Liens on the Collateral that are (or are intended to) rank on an equal priority basis (but without regard to control of remedies) with the Liens securing the Secured Obligations, (ii) such Indebtedness constitutes Credit Agreement Refinancing Indebtedness and (iii) a Senior Representative acting on behalf of the holders of such Indebtedness shall have become party to the relevant Intercreditor Agreements. Permitted Equal Priority Refinancing Debt will include any Registered Equivalent Notes issued in exchange therefor.</w:t>
      </w:r>
    </w:p>
    <w:p>
      <w:pPr>
        <w:spacing w:after="0" w:line="188"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w:t>
      </w:r>
      <w:r>
        <w:rPr>
          <w:rFonts w:ascii="Arial" w:cs="Arial" w:eastAsia="Arial" w:hAnsi="Arial"/>
          <w:sz w:val="18"/>
          <w:szCs w:val="18"/>
          <w:color w:val="auto"/>
        </w:rPr>
        <w:t>” means each of (a) the Investors, (b) the Management Investors and (c) other than for purposes of determining the “Permitted Holders” for purposes of clause (b) of the definition of “Change in Control”, any group (within the meaning of Section 13(d)(3) of the Exchange Act (or any successor provision)) the members of which include any of the Permitted Holders specified in clauses (a) or (b) above (a “</w:t>
      </w:r>
      <w:r>
        <w:rPr>
          <w:rFonts w:ascii="Arial" w:cs="Arial" w:eastAsia="Arial" w:hAnsi="Arial"/>
          <w:sz w:val="18"/>
          <w:szCs w:val="18"/>
          <w:u w:val="single" w:color="auto"/>
          <w:color w:val="auto"/>
        </w:rPr>
        <w:t>Permitted 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Group</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Permitted Holder Group, the Permitted Holders specified in clauses (a) or (b) above are the beneficial owners, directly or indirectly, of Equity Interests having more than 50.0% of the total voting power of the Voting Stock of Holdings (or, for the avoidance of doubt, any New Holdings or Successor Holdings) or any Parent Entity held by such Permitted Holder Group. “</w:t>
      </w:r>
      <w:r>
        <w:rPr>
          <w:rFonts w:ascii="Arial" w:cs="Arial" w:eastAsia="Arial" w:hAnsi="Arial"/>
          <w:sz w:val="18"/>
          <w:szCs w:val="18"/>
          <w:u w:val="single" w:color="auto"/>
          <w:color w:val="auto"/>
        </w:rPr>
        <w:t>Permitted Holder Group</w:t>
      </w:r>
      <w:r>
        <w:rPr>
          <w:rFonts w:ascii="Arial" w:cs="Arial" w:eastAsia="Arial" w:hAnsi="Arial"/>
          <w:sz w:val="18"/>
          <w:szCs w:val="18"/>
          <w:color w:val="auto"/>
        </w:rPr>
        <w:t>” has the meaning assigned to such term in the definition of “Permitted Holder.”</w:t>
      </w:r>
    </w:p>
    <w:p>
      <w:pPr>
        <w:spacing w:after="0" w:line="195"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Initial Revolving Credit Borrowing Purposes</w:t>
      </w:r>
      <w:r>
        <w:rPr>
          <w:rFonts w:ascii="Arial" w:cs="Arial" w:eastAsia="Arial" w:hAnsi="Arial"/>
          <w:sz w:val="18"/>
          <w:szCs w:val="18"/>
          <w:color w:val="auto"/>
        </w:rPr>
        <w:t>” means one or more Borrowings of Revolving Loans equal to the sum of (a) an amount in order to fund any working capital requirements of Holdings, the Borrower and their respective Subsidiaries (including Merger Sub and its respective Subsidiaries) on the Effective Date, (b) an amount not to exceed $5,000,000 to pay the Merger Consideration, the Effective Date Refinancing and/or the Transaction Costs plus (c) an amount sufficient to cash collateralize letters of credit outstanding immediately prior to the Effective Date under the Existing Credit Facility.</w:t>
      </w:r>
    </w:p>
    <w:p>
      <w:pPr>
        <w:spacing w:after="0" w:line="188"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Junior Priority Refinancing Debt</w:t>
      </w:r>
      <w:r>
        <w:rPr>
          <w:rFonts w:ascii="Arial" w:cs="Arial" w:eastAsia="Arial" w:hAnsi="Arial"/>
          <w:sz w:val="18"/>
          <w:szCs w:val="18"/>
          <w:color w:val="auto"/>
        </w:rPr>
        <w:t xml:space="preserve">” means any secured Indebtedness incurred by the Borrower or any other Loan Party in the form of one or more series of junior lien secured notes, bonds or debentures or junior lien secured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secured by Liens on the Collateral that rank (or are intended to) rank junior to the Liens on the Collateral securing the Secured Obligations, (ii) such Indebtedness constitutes Credit Agreement Refinancing Indebtedness and (iii) a Senior Representative acting on behalf of the holders of such Indebtedness shall have become party to the relevant Intercreditor Agreements. Permitted Junior Priority Refinancing Debt will include any Registered Equivalent Notes issued in exchange therefor.</w:t>
      </w:r>
    </w:p>
    <w:p>
      <w:pPr>
        <w:spacing w:after="0" w:line="192"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Receivables Financing</w:t>
      </w:r>
      <w:r>
        <w:rPr>
          <w:rFonts w:ascii="Arial" w:cs="Arial" w:eastAsia="Arial" w:hAnsi="Arial"/>
          <w:sz w:val="17"/>
          <w:szCs w:val="17"/>
          <w:color w:val="auto"/>
        </w:rPr>
        <w:t>” means a securitization or other similar financing (including any factoring program) of Permitted Receivables Financing Assets that is non-recourse to Holdings, the Borrower and the Restricted Subsidiaries other than a Receivables Subsidiary (except for customary representations, warranties, covenants and indemnities and other customary forms of support, in each case made in connection with such facilities), all sales or contribution of Permitted Receivables Financing Assets and related assets by the Borrower or any Restricted Subsidiary to the Receivables Subsidiary or any other Person are made at fair market value (as determined in good faith by the Borrower), and the financing terms, covenants, termination events and other provisions of which are on market terms (as determined in good faith by the Borrower) but may include Standard Securitization Undertakings, providing for the sale, conveyance, or contribution to capital of Permitted Receivables Financing Assets by Participating Receivables Grantors in transactions purporting to be sales of Permitted Receivables Financing Assets to either (a) a Person that is not Holdings, the Borrower and the Restricted Subsidiaries or (b) a Receivables Subsidiary that in turn funds such purchase by the direct or indirect sale, transfer, conveyance, pledge, or grant of participation or other interest in such Receivables Facility Assets to a Person that is not Holdings, the Borrower and the Restricted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105" w:name="page106"/>
    <w:bookmarkEnd w:id="105"/>
    <w:p>
      <w:pPr>
        <w:jc w:val="both"/>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Permitted Receivables Financing Assets</w:t>
      </w:r>
      <w:r>
        <w:rPr>
          <w:rFonts w:ascii="Arial" w:cs="Arial" w:eastAsia="Arial" w:hAnsi="Arial"/>
          <w:sz w:val="18"/>
          <w:szCs w:val="18"/>
          <w:color w:val="auto"/>
        </w:rPr>
        <w:t>” means (a) any accounts receivable, loan receivables, mortgage receivables, receivables or loans relating to the financing of insurance or healthcare premiums or relating to policies sold on behalf of an insurance carrier, royalty, patent or other revenue streams and other rights to payment or related assets and the proceeds thereof and (b) all assets securing or related to any such receivable or asset, all contracts and contract rights, guarantees or other obligations in respect of any such receivable or asset, lockbox accounts and records with respect to any such receivable or assets and any other assets (including inventory and proceeds thereof) customarily transferred (or in respect of which security interests are customarily granted) together with receivables or assets in connection with a securitization, factoring or receivables financing or sale transaction.</w:t>
      </w:r>
    </w:p>
    <w:p>
      <w:pPr>
        <w:spacing w:after="0" w:line="195" w:lineRule="exact"/>
        <w:rPr>
          <w:sz w:val="20"/>
          <w:szCs w:val="20"/>
          <w:color w:val="auto"/>
        </w:rPr>
      </w:pPr>
    </w:p>
    <w:p>
      <w:pPr>
        <w:jc w:val="both"/>
        <w:ind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w:t>
      </w:r>
      <w:r>
        <w:rPr>
          <w:rFonts w:ascii="Arial" w:cs="Arial" w:eastAsia="Arial" w:hAnsi="Arial"/>
          <w:sz w:val="16"/>
          <w:szCs w:val="16"/>
          <w:color w:val="auto"/>
        </w:rPr>
        <w:t>” means, with respect to any Indebtedness (the “</w:t>
      </w:r>
      <w:r>
        <w:rPr>
          <w:rFonts w:ascii="Arial" w:cs="Arial" w:eastAsia="Arial" w:hAnsi="Arial"/>
          <w:sz w:val="16"/>
          <w:szCs w:val="16"/>
          <w:u w:val="single" w:color="auto"/>
          <w:color w:val="auto"/>
        </w:rPr>
        <w:t>Refinanced Indebtedness</w:t>
      </w:r>
      <w:r>
        <w:rPr>
          <w:rFonts w:ascii="Arial" w:cs="Arial" w:eastAsia="Arial" w:hAnsi="Arial"/>
          <w:sz w:val="16"/>
          <w:szCs w:val="16"/>
          <w:color w:val="auto"/>
        </w:rPr>
        <w:t>”), the incurrence of any Indebtedness in exchange for or as a replacement of (including by entering into alternative financing arrangements in respect of such exchange or replacement (in whole or in part), by adding or replacing lenders, creditors, agents, borrowers and/or guarantors, or, after the original instrument giving rise to such Indebtedness has been terminated, by entering into any credit agreement, loan agreement, note purchase agreement, indenture or other agreement), or the net proceeds of which are to be used for the purpose of any modification, refinancing, refunding, replacing, redeeming, repurchasing, defeasing, acquiring, amending, supplementing, restructuring, repaying, prepaying, retiring, extinguishing, renewal or extension of such Indebtedness (collectively, to “</w:t>
      </w:r>
      <w:r>
        <w:rPr>
          <w:rFonts w:ascii="Arial" w:cs="Arial" w:eastAsia="Arial" w:hAnsi="Arial"/>
          <w:sz w:val="16"/>
          <w:szCs w:val="16"/>
          <w:u w:val="single" w:color="auto"/>
          <w:color w:val="auto"/>
        </w:rPr>
        <w:t>Refinance</w:t>
      </w:r>
      <w:r>
        <w:rPr>
          <w:rFonts w:ascii="Arial" w:cs="Arial" w:eastAsia="Arial" w:hAnsi="Arial"/>
          <w:sz w:val="16"/>
          <w:szCs w:val="16"/>
          <w:color w:val="auto"/>
        </w:rPr>
        <w:t xml:space="preserve">” or a </w:t>
      </w:r>
      <w:r>
        <w:rPr>
          <w:rFonts w:ascii="Arial" w:cs="Arial" w:eastAsia="Arial" w:hAnsi="Arial"/>
          <w:sz w:val="16"/>
          <w:szCs w:val="16"/>
          <w:u w:val="single" w:color="auto"/>
          <w:color w:val="auto"/>
        </w:rPr>
        <w:t>“Refinancing</w:t>
      </w:r>
      <w:r>
        <w:rPr>
          <w:rFonts w:ascii="Arial" w:cs="Arial" w:eastAsia="Arial" w:hAnsi="Arial"/>
          <w:sz w:val="16"/>
          <w:szCs w:val="16"/>
          <w:color w:val="auto"/>
        </w:rPr>
        <w:t>” or “</w:t>
      </w:r>
      <w:r>
        <w:rPr>
          <w:rFonts w:ascii="Arial" w:cs="Arial" w:eastAsia="Arial" w:hAnsi="Arial"/>
          <w:sz w:val="16"/>
          <w:szCs w:val="16"/>
          <w:u w:val="single" w:color="auto"/>
          <w:color w:val="auto"/>
        </w:rPr>
        <w:t>Refinanced</w:t>
      </w:r>
      <w:r>
        <w:rPr>
          <w:rFonts w:ascii="Arial" w:cs="Arial" w:eastAsia="Arial" w:hAnsi="Arial"/>
          <w:sz w:val="16"/>
          <w:szCs w:val="16"/>
          <w:color w:val="auto"/>
        </w:rPr>
        <w:t>”)</w:t>
      </w:r>
      <w:r>
        <w:rPr>
          <w:rFonts w:ascii="Arial" w:cs="Arial" w:eastAsia="Arial" w:hAnsi="Arial"/>
          <w:sz w:val="16"/>
          <w:szCs w:val="16"/>
          <w:u w:val="single" w:color="auto"/>
          <w:color w:val="auto"/>
        </w:rPr>
        <w:t>; 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Refinanced Indebtedness except (i) by an amount equal to unpaid accrued interest, dividend and premium (including tender premiums) thereon plus defeasance costs, underwriting discounts, other amounts paid, and fees, commissions and expenses (including upfront fees or similar fees, original issue discount or initial yield payments) incurred, in connection with such Refinancing, (ii) by an amount equal to any existing revolving commitments unutilized thereunder to the extent that the portion of any existing and unutilized revolving commitment being refinanced was permitted to be drawn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immediately prior to such refinancing (other than by reference to a Permitted Refinancing) and such drawing shall be deemed to have been made and (iii) to the extent such excess amount is otherwise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(b) other than with respect to a Permitted Refinancing in respect of Indebtedness permitted pursuant to </w:t>
      </w:r>
      <w:r>
        <w:rPr>
          <w:rFonts w:ascii="Arial" w:cs="Arial" w:eastAsia="Arial" w:hAnsi="Arial"/>
          <w:sz w:val="16"/>
          <w:szCs w:val="16"/>
          <w:u w:val="single" w:color="auto"/>
          <w:color w:val="auto"/>
        </w:rPr>
        <w:t>Section 6.01(a)(v)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(a)(xiv)</w:t>
      </w:r>
      <w:r>
        <w:rPr>
          <w:rFonts w:ascii="Arial" w:cs="Arial" w:eastAsia="Arial" w:hAnsi="Arial"/>
          <w:sz w:val="16"/>
          <w:szCs w:val="16"/>
          <w:color w:val="auto"/>
        </w:rPr>
        <w:t xml:space="preserve"> (other than in respect of Indebtedness for borrowed money), Indebtedness resulting from such Refinancing that has a final maturity date equal to or later than the earlier of the final maturity date of the Refinanced Debt and the Latest Maturity Date, and shall have a Weighted Average Life to Maturity equal to or greater than the Weighted Average Life to Maturity of the Refinanced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requirements of this clause (b) shall not apply to the extent such Indebtedness constitutes a customary bridge facility, so long as the long-term Indebtedness into which any such customary bridge facility is to be converted or exchanged satisfies the requirements of this clause (b) and such conversion or exchange is subject only to conditions customary for similar conversions or exchanges or if such Indebtedness is subject to Customary Escrow Provisions, (c) if the Refinanced Indebtedness is subordinated in right of payment to the Loan Document Obligations, Indebtedness resulting from such Refinancing is subordinated in right of payment to the Loan Document Obligations on terms at least as favorable to the Lenders as those contained in the documentation governing the Refinanced Indebtedness, (d) no Loan Party that was not an obligor with respect to the Refinanced Indebtedness shall be an obligor under the Permitted Refinancing (except that any Loan Party may be added as an additional direct or contingent obligor in respect of such Refinanced Indebtedness) and if the Refinanced Indebtedness was (or was required to be) subject to an Intercreditor Agreement, the holders of such Permitted Refinancing (if such Indebtedness is secured) or their authorized representative on their behalf, shall become party to such or a similar Intercreditor Agreement providing for the same (or lesser) lien priority and (e) to the extent the Refinanced Indebtedness was secured by a Lien on the Collateral, no Lien on the Collateral securing the Indebtedness resulting from such Refinancing shall be more senior in priority relative to the Lien on the Collateral that secured the Refinanced Indebtedness and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106" w:name="page107"/>
    <w:bookmarkEnd w:id="106"/>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the Refinanced Indebtedness is unsecured, the Indebtedness resulting from such Refinancing shall be unsecured except to the extent otherwise permitted pursuant to </w:t>
      </w:r>
      <w:r>
        <w:rPr>
          <w:rFonts w:ascii="Arial" w:cs="Arial" w:eastAsia="Arial" w:hAnsi="Arial"/>
          <w:sz w:val="18"/>
          <w:szCs w:val="18"/>
          <w:u w:val="single" w:color="auto"/>
          <w:color w:val="auto"/>
        </w:rPr>
        <w:t>Section 6.02</w:t>
      </w:r>
      <w:r>
        <w:rPr>
          <w:rFonts w:ascii="Arial" w:cs="Arial" w:eastAsia="Arial" w:hAnsi="Arial"/>
          <w:sz w:val="18"/>
          <w:szCs w:val="18"/>
          <w:color w:val="auto"/>
        </w:rPr>
        <w:t>. For the avoidance of doubt, it is understood and agreed that a Permitted Refinancing includes successive Permitted Refinancings of the same Indebtedness.</w:t>
      </w:r>
    </w:p>
    <w:p>
      <w:pPr>
        <w:spacing w:after="0" w:line="184"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Unsecured Refinancing Debt</w:t>
      </w:r>
      <w:r>
        <w:rPr>
          <w:rFonts w:ascii="Arial" w:cs="Arial" w:eastAsia="Arial" w:hAnsi="Arial"/>
          <w:sz w:val="17"/>
          <w:szCs w:val="17"/>
          <w:color w:val="auto"/>
        </w:rPr>
        <w:t xml:space="preserve">” means unsecured Indebtedness incurred by the Borrower or any other Loan Party in the form of one or more series of senior unsecured notes, bonds or debentures or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constitutes Credit Agreement Refinancing Indebtedness and (ii) such Indebtedness is not secured by any Lien on any property or assets of Holdings, the Borrower or any Restricted Subsidiary. Permitted Unsecured Refinancing Debt will include any Registered Equivalent Notes issued in exchange therefor.</w:t>
      </w:r>
    </w:p>
    <w:p>
      <w:pPr>
        <w:spacing w:after="0" w:line="171"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pension benefit plan” as defined in Section 3(2) of ERISA (other than a Multiemployer Plan) which is subject to the provisions of Title IV of ERISA or Section 412 of the Code or Section 302 of ERISA, and in respect of which a Loan Party or any ERISA Affiliate is (or, if such plan were terminated, would under Section 4069 of ERISA be deemed to be) an “employer” as defined in Section 3(5) of ERISA.</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Planned Expenditures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of the definition of “Excess Cash Flow.”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5.01(g)</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Date</w:t>
      </w:r>
      <w:r>
        <w:rPr>
          <w:rFonts w:ascii="Arial" w:cs="Arial" w:eastAsia="Arial" w:hAnsi="Arial"/>
          <w:sz w:val="18"/>
          <w:szCs w:val="18"/>
          <w:color w:val="auto"/>
        </w:rPr>
        <w:t>” means the date that any prepayment occurs pursuant to the terms of this Agreement in a manner described in clause (y) to the proviso to Section 2.11(a).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means:</w:t>
      </w:r>
    </w:p>
    <w:p>
      <w:pPr>
        <w:spacing w:after="0" w:line="117" w:lineRule="exact"/>
        <w:rPr>
          <w:sz w:val="20"/>
          <w:szCs w:val="20"/>
          <w:color w:val="auto"/>
        </w:rPr>
      </w:pPr>
    </w:p>
    <w:p>
      <w:pPr>
        <w:jc w:val="both"/>
        <w:ind w:firstLine="436"/>
        <w:spacing w:after="0" w:line="273" w:lineRule="auto"/>
        <w:tabs>
          <w:tab w:leader="none" w:pos="711"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any sale, transfer or other Disposition of any property or asset of the Borrower or any Restricted Subsidiary pursuant to </w:t>
      </w:r>
      <w:r>
        <w:rPr>
          <w:rFonts w:ascii="Arial" w:cs="Arial" w:eastAsia="Arial" w:hAnsi="Arial"/>
          <w:sz w:val="17"/>
          <w:szCs w:val="17"/>
          <w:u w:val="single" w:color="auto"/>
          <w:color w:val="auto"/>
        </w:rPr>
        <w:t>Section 6.05(i)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6.05(j)</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6.05(m)</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6.05(n)</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6.05(p)</w:t>
      </w:r>
      <w:r>
        <w:rPr>
          <w:rFonts w:ascii="Arial" w:cs="Arial" w:eastAsia="Arial" w:hAnsi="Arial"/>
          <w:sz w:val="17"/>
          <w:szCs w:val="17"/>
          <w:color w:val="auto"/>
        </w:rPr>
        <w:t xml:space="preserve"> or the occurrence of any other Casualty Event (or series of related Dispositions or Casualty Events) resulting in Net Proceeds exceeding (x) $1,000,000, individually or (y) $2,500,000, in the aggregate in any fiscal year (each of the foregoing, a “</w:t>
      </w:r>
      <w:r>
        <w:rPr>
          <w:rFonts w:ascii="Arial" w:cs="Arial" w:eastAsia="Arial" w:hAnsi="Arial"/>
          <w:sz w:val="17"/>
          <w:szCs w:val="17"/>
          <w:u w:val="single" w:color="auto"/>
          <w:color w:val="auto"/>
        </w:rPr>
        <w:t>Disposition/Casualty Prepayment Event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only Net Proceeds in excess of such amounts shall be subject to the mandatory prepayment provisions set forth in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and no Prepayment Event shall be deemed to have occurred in any fiscal year until the Net Proceeds received during such fiscal year exceed $2,500,000; or</w:t>
      </w:r>
    </w:p>
    <w:p>
      <w:pPr>
        <w:spacing w:after="0" w:line="69" w:lineRule="exact"/>
        <w:rPr>
          <w:rFonts w:ascii="Arial" w:cs="Arial" w:eastAsia="Arial" w:hAnsi="Arial"/>
          <w:sz w:val="17"/>
          <w:szCs w:val="17"/>
          <w:color w:val="auto"/>
        </w:rPr>
      </w:pPr>
    </w:p>
    <w:p>
      <w:pPr>
        <w:jc w:val="both"/>
        <w:ind w:firstLine="436"/>
        <w:spacing w:after="0" w:line="273" w:lineRule="auto"/>
        <w:tabs>
          <w:tab w:leader="none" w:pos="734"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the incurrence by the Borrower or any Restricted Subsidiary of any Indebtedness consisting of (i) any Credit Agreement Refinancing Indebtedness, (ii) any Incremental Refinancing Facility, (iii) any Permitted Receivables Financing permitted pursuant to </w:t>
      </w:r>
      <w:r>
        <w:rPr>
          <w:rFonts w:ascii="Arial" w:cs="Arial" w:eastAsia="Arial" w:hAnsi="Arial"/>
          <w:sz w:val="17"/>
          <w:szCs w:val="17"/>
          <w:u w:val="single" w:color="auto"/>
          <w:color w:val="auto"/>
        </w:rPr>
        <w:t>Section 6.01(a)(viii)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6.05(g)(B)</w:t>
      </w:r>
      <w:r>
        <w:rPr>
          <w:rFonts w:ascii="Arial" w:cs="Arial" w:eastAsia="Arial" w:hAnsi="Arial"/>
          <w:sz w:val="17"/>
          <w:szCs w:val="17"/>
          <w:color w:val="auto"/>
        </w:rPr>
        <w:t xml:space="preserve">, (iv) any securitization, receivables facility or other similar financing (including any factoring program) or sale of receivables, insurance or healthcare premiums or relating to policies sold on behalf of an insurance carrier, royalty, patent or other revenue streams and other rights to payment or related assets that are not permitted by </w:t>
      </w:r>
      <w:r>
        <w:rPr>
          <w:rFonts w:ascii="Arial" w:cs="Arial" w:eastAsia="Arial" w:hAnsi="Arial"/>
          <w:sz w:val="17"/>
          <w:szCs w:val="17"/>
          <w:u w:val="single" w:color="auto"/>
          <w:color w:val="auto"/>
        </w:rPr>
        <w:t>Section 6.01(a)(viii)</w:t>
      </w:r>
      <w:r>
        <w:rPr>
          <w:rFonts w:ascii="Arial" w:cs="Arial" w:eastAsia="Arial" w:hAnsi="Arial"/>
          <w:sz w:val="17"/>
          <w:szCs w:val="17"/>
          <w:color w:val="auto"/>
        </w:rPr>
        <w:t xml:space="preserve"> and (v) unless permitted by the Required Lenders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any other Indebtedness not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(such incurrence, a “</w:t>
      </w:r>
      <w:r>
        <w:rPr>
          <w:rFonts w:ascii="Arial" w:cs="Arial" w:eastAsia="Arial" w:hAnsi="Arial"/>
          <w:sz w:val="17"/>
          <w:szCs w:val="17"/>
          <w:u w:val="single" w:color="auto"/>
          <w:color w:val="auto"/>
        </w:rPr>
        <w:t>Specified Debt Incurrence Prepayment Event</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4" w:right="439" w:bottom="1440" w:gutter="0" w:footer="0" w:header="0"/>
        </w:sectPr>
      </w:pPr>
    </w:p>
    <w:bookmarkStart w:id="107" w:name="page108"/>
    <w:bookmarkEnd w:id="107"/>
    <w:p>
      <w:pPr>
        <w:ind w:left="4" w:right="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Prime Rate</w:t>
      </w:r>
      <w:r>
        <w:rPr>
          <w:rFonts w:ascii="Arial" w:cs="Arial" w:eastAsia="Arial" w:hAnsi="Arial"/>
          <w:sz w:val="16"/>
          <w:szCs w:val="16"/>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w:t>
      </w:r>
    </w:p>
    <w:p>
      <w:pPr>
        <w:ind w:left="4" w:hanging="4"/>
        <w:spacing w:after="0" w:line="260" w:lineRule="auto"/>
        <w:tabs>
          <w:tab w:leader="none" w:pos="439"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Entity</w:t>
      </w:r>
      <w:r>
        <w:rPr>
          <w:rFonts w:ascii="Arial" w:cs="Arial" w:eastAsia="Arial" w:hAnsi="Arial"/>
          <w:sz w:val="18"/>
          <w:szCs w:val="18"/>
          <w:color w:val="auto"/>
        </w:rPr>
        <w:t>” means any Acquired Entity or Business or any Converted Restricted Subsidiary.</w:t>
      </w:r>
    </w:p>
    <w:p>
      <w:pPr>
        <w:spacing w:after="0" w:line="225" w:lineRule="exact"/>
        <w:rPr>
          <w:sz w:val="20"/>
          <w:szCs w:val="20"/>
          <w:color w:val="auto"/>
        </w:rPr>
      </w:pPr>
    </w:p>
    <w:p>
      <w:pPr>
        <w:jc w:val="both"/>
        <w:ind w:left="4"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Financial Statements</w:t>
      </w:r>
      <w:r>
        <w:rPr>
          <w:rFonts w:ascii="Arial" w:cs="Arial" w:eastAsia="Arial" w:hAnsi="Arial"/>
          <w:sz w:val="18"/>
          <w:szCs w:val="18"/>
          <w:color w:val="auto"/>
        </w:rPr>
        <w:t>” means the pro forma consolidated balance sheet and related pro forma consolidated statement of operations, of the Borrower, as of, and for the twelve-month period ending on, the last day of the most recently completed four-fiscal quarter period ended at least 60 days prior to the Effective Date (or 120 days prior to the Effective Date in the case such four fiscal quarter period is the end of the Target’s fiscal year), prepared after giving effect to the Transactions as if the Transactions had occurred as of such date (in the case of such balance sheet) or at the beginning of such period (in the case of such income statements), which need not be prepared in compliance with Regulation S-X of the Securities Act of 1933, as amended, or include adjustments for purchase accounting (including adjustments of the type contemplated by Financial Accounting Standards Board Accounting Standards Codification 805, Business Combinations (formerly SFAS 141R)), tax adjustments, deferred taxes or other similar pro forma adjustments.</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Company Costs</w:t>
      </w:r>
      <w:r>
        <w:rPr>
          <w:rFonts w:ascii="Arial" w:cs="Arial" w:eastAsia="Arial" w:hAnsi="Arial"/>
          <w:sz w:val="18"/>
          <w:szCs w:val="18"/>
          <w:color w:val="auto"/>
        </w:rPr>
        <w:t>” has the meaning assigned to such term in the definition of “Consolidated EBITDA”.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QofE Report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clause (a)(xix)</w:t>
      </w:r>
      <w:r>
        <w:rPr>
          <w:rFonts w:ascii="Arial" w:cs="Arial" w:eastAsia="Arial" w:hAnsi="Arial"/>
          <w:sz w:val="18"/>
          <w:szCs w:val="18"/>
          <w:color w:val="auto"/>
        </w:rPr>
        <w:t xml:space="preserve"> of the definition of “Consolidated EBITDA.”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Bridge Facility</w:t>
      </w:r>
      <w:r>
        <w:rPr>
          <w:rFonts w:ascii="Arial" w:cs="Arial" w:eastAsia="Arial" w:hAnsi="Arial"/>
          <w:sz w:val="18"/>
          <w:szCs w:val="18"/>
          <w:color w:val="auto"/>
        </w:rPr>
        <w:t>” has the meaning assigned to such term in the definition of “</w:t>
      </w:r>
      <w:r>
        <w:rPr>
          <w:rFonts w:ascii="Arial" w:cs="Arial" w:eastAsia="Arial" w:hAnsi="Arial"/>
          <w:sz w:val="18"/>
          <w:szCs w:val="18"/>
          <w:u w:val="single" w:color="auto"/>
          <w:color w:val="auto"/>
        </w:rPr>
        <w:t>Required Additional Debt Terms</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other than Disqualified Equity Interests.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Day</w:t>
      </w:r>
      <w:r>
        <w:rPr>
          <w:rFonts w:ascii="Arial" w:cs="Arial" w:eastAsia="Arial" w:hAnsi="Arial"/>
          <w:sz w:val="18"/>
          <w:szCs w:val="18"/>
          <w:color w:val="auto"/>
        </w:rPr>
        <w:t>” means for any Interest Period, the day two Business Days prior to the first day of such Interest Period.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Ratio Incurrence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1.11(d)</w:t>
      </w:r>
      <w:r>
        <w:rPr>
          <w:rFonts w:ascii="Arial" w:cs="Arial" w:eastAsia="Arial" w:hAnsi="Arial"/>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4"/>
          </w:cols>
          <w:pgMar w:left="436" w:top="274" w:right="439" w:bottom="1440" w:gutter="0" w:footer="0" w:header="0"/>
        </w:sectPr>
      </w:pPr>
    </w:p>
    <w:bookmarkStart w:id="108" w:name="page109"/>
    <w:bookmarkEnd w:id="10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Ratio Indebtedness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6.01(a)(xix)(A)</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means any Special Purpose Entity established in connection with a Permitted Receivables Financing and any other subsidiary (other than any Loan Party) involved in a Permitted Receivables Financing which is not permitted by the terms of such Permitted Receivables Financing to guarantee the Secured Obligations or provide Collateral.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xml:space="preserve">” or a </w:t>
      </w:r>
      <w:r>
        <w:rPr>
          <w:rFonts w:ascii="Arial" w:cs="Arial" w:eastAsia="Arial" w:hAnsi="Arial"/>
          <w:sz w:val="18"/>
          <w:szCs w:val="18"/>
          <w:u w:val="single" w:color="auto"/>
          <w:color w:val="auto"/>
        </w:rPr>
        <w:t>“Refinancing</w:t>
      </w:r>
      <w:r>
        <w:rPr>
          <w:rFonts w:ascii="Arial" w:cs="Arial" w:eastAsia="Arial" w:hAnsi="Arial"/>
          <w:sz w:val="18"/>
          <w:szCs w:val="18"/>
          <w:color w:val="auto"/>
        </w:rPr>
        <w:t>” or “</w:t>
      </w:r>
      <w:r>
        <w:rPr>
          <w:rFonts w:ascii="Arial" w:cs="Arial" w:eastAsia="Arial" w:hAnsi="Arial"/>
          <w:sz w:val="18"/>
          <w:szCs w:val="18"/>
          <w:u w:val="single" w:color="auto"/>
          <w:color w:val="auto"/>
        </w:rPr>
        <w:t>Refinanced</w:t>
      </w:r>
      <w:r>
        <w:rPr>
          <w:rFonts w:ascii="Arial" w:cs="Arial" w:eastAsia="Arial" w:hAnsi="Arial"/>
          <w:sz w:val="18"/>
          <w:szCs w:val="18"/>
          <w:color w:val="auto"/>
        </w:rPr>
        <w:t>” has the meaning assigned to such term in the definition of “</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Indebtedness</w:t>
      </w:r>
      <w:r>
        <w:rPr>
          <w:rFonts w:ascii="Arial" w:cs="Arial" w:eastAsia="Arial" w:hAnsi="Arial"/>
          <w:sz w:val="18"/>
          <w:szCs w:val="18"/>
          <w:color w:val="auto"/>
        </w:rPr>
        <w:t>” has the meaning assigned to such term in the definition of “</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Refinanced Credit Agreement Debt</w:t>
      </w:r>
      <w:r>
        <w:rPr>
          <w:rFonts w:ascii="Arial" w:cs="Arial" w:eastAsia="Arial" w:hAnsi="Arial"/>
          <w:sz w:val="16"/>
          <w:szCs w:val="16"/>
          <w:color w:val="auto"/>
        </w:rPr>
        <w:t>” has the meaning assigned to such term in the definition of “Credit Agreement Refinancing Indebtedness.”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Refunding Equity Interests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6.08(a)(iv)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9.04(b)(iv)</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Equivalent Notes</w:t>
      </w:r>
      <w:r>
        <w:rPr>
          <w:rFonts w:ascii="Arial" w:cs="Arial" w:eastAsia="Arial" w:hAnsi="Arial"/>
          <w:sz w:val="18"/>
          <w:szCs w:val="18"/>
          <w:color w:val="auto"/>
        </w:rPr>
        <w:t>” means, with respect to any notes originally issued in a Rule 144A or other private placement transaction under the Securities Act, substantially identical notes (having substantially the same Guarantees) issued in a Dollar-for-Dollar exchange therefor pursuant to an exchange offer registered with the SEC.</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Rejection Notice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2.11(e)(ii)</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officers, directors, employees, agents and advisors and other representatives of such Person and of each of such Person’s Affiliates and successors and permitted assigns.</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the environment (including ambient air, surface water, groundwater, land surface or subsurface strata and including the environment within any building or other structure).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Commitment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Loan</w:t>
      </w:r>
      <w:r>
        <w:rPr>
          <w:rFonts w:ascii="Arial" w:cs="Arial" w:eastAsia="Arial" w:hAnsi="Arial"/>
          <w:sz w:val="18"/>
          <w:szCs w:val="18"/>
          <w:color w:val="auto"/>
        </w:rPr>
        <w:t>” means any loan made to the Borrower under a Class of Replacement Revolving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Facility</w:t>
      </w:r>
      <w:r>
        <w:rPr>
          <w:rFonts w:ascii="Arial" w:cs="Arial" w:eastAsia="Arial" w:hAnsi="Arial"/>
          <w:sz w:val="18"/>
          <w:szCs w:val="18"/>
          <w:color w:val="auto"/>
        </w:rPr>
        <w:t xml:space="preserve">” means each Class of Replacement Revolving Commitments made pursuant to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jc w:val="right"/>
        <w:ind w:right="5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9.12</w:t>
      </w:r>
      <w:r>
        <w:rPr>
          <w:rFonts w:ascii="Arial" w:cs="Arial" w:eastAsia="Arial" w:hAnsi="Arial"/>
          <w:sz w:val="17"/>
          <w:szCs w:val="17"/>
          <w:color w:val="auto"/>
        </w:rPr>
        <w:t>.</w:t>
      </w:r>
    </w:p>
    <w:p>
      <w:pPr>
        <w:spacing w:after="0" w:line="169" w:lineRule="exact"/>
        <w:rPr>
          <w:sz w:val="20"/>
          <w:szCs w:val="20"/>
          <w:color w:val="auto"/>
        </w:rPr>
      </w:pPr>
    </w:p>
    <w:p>
      <w:pPr>
        <w:jc w:val="right"/>
        <w:ind w:right="54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109" w:name="page110"/>
    <w:bookmarkEnd w:id="109"/>
    <w:p>
      <w:pPr>
        <w:jc w:val="both"/>
        <w:ind w:left="4"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Repricing Transaction</w:t>
      </w:r>
      <w:r>
        <w:rPr>
          <w:rFonts w:ascii="Arial" w:cs="Arial" w:eastAsia="Arial" w:hAnsi="Arial"/>
          <w:sz w:val="16"/>
          <w:szCs w:val="16"/>
          <w:color w:val="auto"/>
        </w:rPr>
        <w:t>” means (a) the incurrence by any Loan Party of any Indebtedness in the form of term loans secured by Liens on the Collateral that rank on an equal priority basis (but without giving effect to control of remedies) with the liens on the Collateral securing the Initial Term Loans, 2020 Incremental Term Loans and/or the 2021-2 Incremental Term Loans (i) having an Effective Yield for the respective Type of such Indebtedness that is less than (and not by virtue of any fluctuation in any “base” rate) the Effective Yield for the Initial Term Loans, the 2020 Incremental Term Loans and/or the 2021-2 Incremental Term Loans, as applicable, and (ii) the proceeds of which are used to prepay (or, in the case of a conversion, deemed to prepay or replace), in whole or in part, outstanding principal of the Initial Term Loans, the 2020 Incremental Term Loans and/or the 2021-2 Incremental Term Loans or (b) any amendment (or any mandatory assignment in connection with any such amendment) resulting in the effective reduction in the Effective Yield for the Initial Term Loans, the 2020 Incremental Term Loans and/or the 2021-2 Incremental Term Loans, as applicable. Any determination by the Administrative Agent with respect to whether a Repricing Transaction shall have occurred shall be conclusive and binding on all Lenders holding the Initial Term Loans, the 2020 Incremental Term Loans and the 2021-2 Incremental Term Loans.</w:t>
      </w:r>
    </w:p>
    <w:p>
      <w:pPr>
        <w:spacing w:after="0" w:line="168" w:lineRule="exact"/>
        <w:rPr>
          <w:sz w:val="20"/>
          <w:szCs w:val="20"/>
          <w:color w:val="auto"/>
        </w:rPr>
      </w:pPr>
    </w:p>
    <w:p>
      <w:pPr>
        <w:jc w:val="both"/>
        <w:ind w:left="4"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Additional Debt Terms</w:t>
      </w:r>
      <w:r>
        <w:rPr>
          <w:rFonts w:ascii="Arial" w:cs="Arial" w:eastAsia="Arial" w:hAnsi="Arial"/>
          <w:sz w:val="16"/>
          <w:szCs w:val="16"/>
          <w:color w:val="auto"/>
        </w:rPr>
        <w:t>” means, with respect to any Ratio Indebtedness, Incremental Equivalent Debt and Acquisition Debt, (a) such Indebtedness does not mature earlier than the date that is 91 days after the Latest Maturity Date or have a Weighted Average Life to Maturity less than the greatest Weighted Average Life to Maturity of the then-existing Term Loans outstanding at the time of incurrence of such Indebtedness (other than</w:t>
      </w:r>
    </w:p>
    <w:p>
      <w:pPr>
        <w:spacing w:after="0" w:line="2" w:lineRule="exact"/>
        <w:rPr>
          <w:sz w:val="20"/>
          <w:szCs w:val="20"/>
          <w:color w:val="auto"/>
        </w:rPr>
      </w:pPr>
    </w:p>
    <w:p>
      <w:pPr>
        <w:jc w:val="both"/>
        <w:ind w:left="4" w:hanging="4"/>
        <w:spacing w:after="0" w:line="283" w:lineRule="auto"/>
        <w:tabs>
          <w:tab w:leader="none" w:pos="266"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the case of a customary bridge facility, so long as such customary bridge facility does not have a tenor longer than one year and is convertible or exchangeable into long-term indebtedness and the long-term Indebtedness into which such customary bridge facility is to be converted or exchanged satisfies the requirements of this clause (a) and such conversion or exchange is subject only to conditions customary for similar conversions or exchanges (a “</w:t>
      </w:r>
      <w:r>
        <w:rPr>
          <w:rFonts w:ascii="Arial" w:cs="Arial" w:eastAsia="Arial" w:hAnsi="Arial"/>
          <w:sz w:val="16"/>
          <w:szCs w:val="16"/>
          <w:u w:val="single" w:color="auto"/>
          <w:color w:val="auto"/>
        </w:rPr>
        <w:t>Qualifying Bridge Facility</w:t>
      </w:r>
      <w:r>
        <w:rPr>
          <w:rFonts w:ascii="Arial" w:cs="Arial" w:eastAsia="Arial" w:hAnsi="Arial"/>
          <w:sz w:val="16"/>
          <w:szCs w:val="16"/>
          <w:color w:val="auto"/>
        </w:rPr>
        <w:t>”) and (2) Indebtedness that is subject to Customary Escrow Provisions), (b) except with respect to any Qualifying Bridge Facility (prior to any conversion or exchange into long-term Indebtedness) and Indebtedness that is subject to the Customary Escrow Provisions, the terms of such Indebtedness in respect thereof do not provide for any mandatory prepayments, mandatory redemptions, mandatory commitment reductions, mandatory offers to purchase or mandatory sinking fund obligations prior to the Latest Maturity Date, other than customary prepayments, commitment reductions, repurchases, redemptions, defeasances, acquisitions or satisfactions and discharges, or offers to prepay, reduce, redeem, repurchase, defease, acquire or satisfy and discharge, in each case upon, a change of control, asset sale event or casualty, eminent domain or condemnation event, or on account of the accumulation of excess cash flow (in the case of loans or commitments), AHYDO Catch Up Payments and customary acceleration rights upon an event of default, (c) except for any of the following that are applicable only to periods following the Latest Maturity Date, the covenants, events of default and other terms for such Indebtedness or commitments (excluding, for the avoidance of doubt, interest rates (including through fixed interest rates), interest rate margins, rate floors, fees, maturity, funding discounts, original issue discounts, currency type and denomination, and redemption or prepayment terms and premiums), when taken as a whole, are determined by the Borrower to not be materially more restrictive on Holdings, the Borrower and the Restricted Subsidiaries than the terms of this Agreement, when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documentation governing such Indebtedness or commitments contains any covenant or provision that is not included in this Agreement at such time, the Administrative Agent shall have been given prompt written notice thereof and this Agreement shall have been amended to include such covenant or provision for the benefit of each Credit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(x) the documentation governing such Indebtedness that includes a financial maintenance covenant consists of a revolving credit facility (whether or not the documentation therefor includes any other facilities) and (y) such financial maintenance covenant is a “springing” financial maintenance covenant for the benefit of such revolving credit facility or a covenant only applicable to, or for the benefit of, a revolving credit facility, then such Indebtedness or commitments shall not be deemed “more restrictive” with respect to</w:t>
      </w:r>
    </w:p>
    <w:p>
      <w:pPr>
        <w:spacing w:after="0" w:line="3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4"/>
          </w:cols>
          <w:pgMar w:left="436" w:top="274" w:right="439" w:bottom="1440" w:gutter="0" w:footer="0" w:header="0"/>
        </w:sectPr>
      </w:pPr>
    </w:p>
    <w:bookmarkStart w:id="110" w:name="page111"/>
    <w:bookmarkEnd w:id="110"/>
    <w:p>
      <w:pPr>
        <w:jc w:val="both"/>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Term Facility solely as a result of such financial maintenance covenant benefiting only such revolving credit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Administrative Agent at least five Business Days prior to the Incurrence of such Indebtedness or the providing of such commitments, together with a reasonably detailed description of the material terms and conditions of such Indebtedness or commitments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Business Day period that it disagrees with such determination (including a reasonable description of the basis upon which it disagrees), (d) to the extent such Indebtedness is secured by any of the Collateral, such Indebtedness shall not be secured by any assets of a Loan Party other than the Collateral securing the Secured Obligations and shall be subject to the relevant Intercreditor Agreements and (e) to the extent such Indebtedness is incurred or guaranteed by any Loan Party, such Indebtedness shall not be guaranteed by any Restricted Subsidiary that is not a Loan Party (except to the extent such Indebtedness that is subject to the Required Additional Debt Terms is expressly permitted to be incurred by any Restricted Subsidiary that is not a Loan Party under </w:t>
      </w:r>
      <w:r>
        <w:rPr>
          <w:rFonts w:ascii="Arial" w:cs="Arial" w:eastAsia="Arial" w:hAnsi="Arial"/>
          <w:sz w:val="16"/>
          <w:szCs w:val="16"/>
          <w:u w:val="single" w:color="auto"/>
          <w:color w:val="auto"/>
        </w:rPr>
        <w:t>Section 6.01(xix)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6.01(xxvi)</w:t>
      </w:r>
      <w:r>
        <w:rPr>
          <w:rFonts w:ascii="Arial" w:cs="Arial" w:eastAsia="Arial" w:hAnsi="Arial"/>
          <w:sz w:val="16"/>
          <w:szCs w:val="16"/>
          <w:color w:val="auto"/>
        </w:rPr>
        <w:t>).</w:t>
      </w:r>
    </w:p>
    <w:p>
      <w:pPr>
        <w:spacing w:after="0" w:line="172" w:lineRule="exact"/>
        <w:rPr>
          <w:sz w:val="20"/>
          <w:szCs w:val="20"/>
          <w:color w:val="auto"/>
        </w:rPr>
      </w:pPr>
    </w:p>
    <w:p>
      <w:pPr>
        <w:jc w:val="both"/>
        <w:ind w:left="4"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or holding more than 50.0%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jc w:val="both"/>
        <w:ind w:left="4" w:right="20" w:hanging="4"/>
        <w:spacing w:after="0" w:line="281" w:lineRule="auto"/>
        <w:tabs>
          <w:tab w:leader="none" w:pos="258" w:val="left"/>
        </w:tabs>
        <w:numPr>
          <w:ilvl w:val="0"/>
          <w:numId w:val="88"/>
        </w:numPr>
        <w:rPr>
          <w:rFonts w:ascii="Arial" w:cs="Arial" w:eastAsia="Arial" w:hAnsi="Arial"/>
          <w:sz w:val="16"/>
          <w:szCs w:val="16"/>
          <w:color w:val="auto"/>
        </w:rPr>
      </w:pPr>
      <w:r>
        <w:rPr>
          <w:rFonts w:ascii="Arial" w:cs="Arial" w:eastAsia="Arial" w:hAnsi="Arial"/>
          <w:sz w:val="16"/>
          <w:szCs w:val="16"/>
          <w:color w:val="auto"/>
        </w:rPr>
        <w:t>whenever there are one or more Defaulting Lenders, the total outstanding Term Loans, Commitments, Revolving Exposures and unused Revolving Commitments of each Defaulting Lender shall be excluded for purposes of making a determination of Required Lenders and (b) when there are four</w:t>
      </w:r>
    </w:p>
    <w:p>
      <w:pPr>
        <w:spacing w:after="0" w:line="1" w:lineRule="exact"/>
        <w:rPr>
          <w:rFonts w:ascii="Arial" w:cs="Arial" w:eastAsia="Arial" w:hAnsi="Arial"/>
          <w:sz w:val="16"/>
          <w:szCs w:val="16"/>
          <w:color w:val="auto"/>
        </w:rPr>
      </w:pPr>
    </w:p>
    <w:p>
      <w:pPr>
        <w:jc w:val="both"/>
        <w:ind w:left="4" w:right="20"/>
        <w:spacing w:after="0" w:line="271" w:lineRule="auto"/>
        <w:rPr>
          <w:rFonts w:ascii="Arial" w:cs="Arial" w:eastAsia="Arial" w:hAnsi="Arial"/>
          <w:sz w:val="16"/>
          <w:szCs w:val="16"/>
          <w:color w:val="auto"/>
        </w:rPr>
      </w:pPr>
      <w:r>
        <w:rPr>
          <w:rFonts w:ascii="Arial" w:cs="Arial" w:eastAsia="Arial" w:hAnsi="Arial"/>
          <w:sz w:val="17"/>
          <w:szCs w:val="17"/>
          <w:color w:val="auto"/>
        </w:rPr>
        <w:t>(4) or fewer Lenders at any such time (it being understood that a single Lender for such purposes shall be deemed to include all Affiliates and Approved Funds of a Lender who are Lenders under this Agreement), the Required Lenders shall constitute no fewer than two Lenders (but only including any such Lender that holds at least 15.0%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at such time.</w:t>
      </w:r>
    </w:p>
    <w:p>
      <w:pPr>
        <w:spacing w:after="0" w:line="178" w:lineRule="exact"/>
        <w:rPr>
          <w:sz w:val="20"/>
          <w:szCs w:val="20"/>
          <w:color w:val="auto"/>
        </w:rPr>
      </w:pPr>
    </w:p>
    <w:p>
      <w:pPr>
        <w:jc w:val="both"/>
        <w:ind w:left="4"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Revolving Lenders</w:t>
      </w:r>
      <w:r>
        <w:rPr>
          <w:rFonts w:ascii="Arial" w:cs="Arial" w:eastAsia="Arial" w:hAnsi="Arial"/>
          <w:sz w:val="17"/>
          <w:szCs w:val="17"/>
          <w:color w:val="auto"/>
        </w:rPr>
        <w:t xml:space="preserve">” means, at any time, Revolving Lenders having Revolving Exposures and unused Revolving Commitments representing more than 50.0% of the aggregate Revolving Exposures and unused Revolving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whenever there are one or more Defaulting Lenders, the total outstanding Revolving Exposures and unused Revolving Commitments of each Defaulting Lender shall be excluded for purposes of making a determination of Required Revolving Lenders and (b) when there are four (4) or fewer Revolving Lenders at any such time (it being understood that a single Revolving Lender for such purposes shall be deemed to include all Affiliates and Approved Funds of a Revolving Lender who are Revolving Lenders under this Agreement), the Required Revolving Lenders shall constitute no fewer than two Revolving Lenders (but only including any such Revolving Lender that holds at least 15.0% of the aggregate Revolving Exposures (or, if the Revolving Commitment or Other Revolving Commitment of any Class has been terminated, the outstanding Revolving Loans or Other Revolving Loans of such Class outstanding at such time) at such time) at such time.</w:t>
      </w:r>
    </w:p>
    <w:p>
      <w:pPr>
        <w:spacing w:after="0" w:line="181"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with respect to any Person, any statutes, laws, treaties, rules, regulations,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4"/>
          </w:cols>
          <w:pgMar w:left="436" w:top="274" w:right="439" w:bottom="1440" w:gutter="0" w:footer="0" w:header="0"/>
        </w:sectPr>
      </w:pPr>
    </w:p>
    <w:bookmarkStart w:id="111" w:name="page112"/>
    <w:bookmarkEnd w:id="1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the Chairman of the Board, the President, the Chief Executive Officer, the Chief Financial Officer, the Chief Operating Officer, the Treasurer, any Vice President, the Assistant Treasurer, with respect to certain limited liability companies or partnerships that do not have officers, any manager, managing member, managing director or general partner thereof, any other senior officer of Holdings, the Borrower or any other Loan Party designated as such in writing to the Administrative Agent by Holdings, the Borrower or any other Loan Party, as applicable, and, with respect to any document (other than the solvency certificate) delivered on the Effective Date, the Secretary or the Assistant Secretary of any Loan Party. Any document delivered hereunder that is signed by a Responsible Officer shall be conclusively presumed to have been authorized by all necessary corporate, limited liability company, partnership and/or other action on the part of Holdings, the Borrower or any other Loan Party and such Responsible Officer shall be conclusively presumed to have acted on behalf of such Person.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Debt 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6.08(b).</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Debt Payment Amount</w:t>
      </w:r>
      <w:r>
        <w:rPr>
          <w:rFonts w:ascii="Arial" w:cs="Arial" w:eastAsia="Arial" w:hAnsi="Arial"/>
          <w:sz w:val="18"/>
          <w:szCs w:val="18"/>
          <w:color w:val="auto"/>
        </w:rPr>
        <w:t xml:space="preserve">” means, at any time the greater of (x) $5,000,000 and (y) 10.0% of Consolidated Cash EBITDA for the Test Period most recently ended on or prior to such date of determination (measured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sum of (a) the amount of Restricted Debt Payments made by the Borrower or any Restricted Subsidiary in reliance on </w:t>
      </w:r>
      <w:r>
        <w:rPr>
          <w:rFonts w:ascii="Arial" w:cs="Arial" w:eastAsia="Arial" w:hAnsi="Arial"/>
          <w:sz w:val="18"/>
          <w:szCs w:val="18"/>
          <w:u w:val="single" w:color="auto"/>
          <w:color w:val="auto"/>
        </w:rPr>
        <w:t>Section 6.08(b)(iv)(A)(i)</w:t>
      </w:r>
      <w:r>
        <w:rPr>
          <w:rFonts w:ascii="Arial" w:cs="Arial" w:eastAsia="Arial" w:hAnsi="Arial"/>
          <w:sz w:val="18"/>
          <w:szCs w:val="18"/>
          <w:color w:val="auto"/>
        </w:rPr>
        <w:t xml:space="preserve"> and (b) the amount of Investments made by the Borrower or any Restricted Subsidiary in reliance on </w:t>
      </w:r>
      <w:r>
        <w:rPr>
          <w:rFonts w:ascii="Arial" w:cs="Arial" w:eastAsia="Arial" w:hAnsi="Arial"/>
          <w:sz w:val="18"/>
          <w:szCs w:val="18"/>
          <w:u w:val="single" w:color="auto"/>
          <w:color w:val="auto"/>
        </w:rPr>
        <w:t>Section 6.04(n)(A)(iii)</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Junior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6.08(b).</w:t>
      </w:r>
    </w:p>
    <w:p>
      <w:pPr>
        <w:spacing w:after="0" w:line="225"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the Borrower (or any Parent Entity), or any payment (whether in cash, securities or other property), including any sinking fund or similar deposit, on account of the purchase, redemption, retirement, acquisition, cancellation or termination of any Equity Interests in the Borrower (or any Parent Entity), any option, warrant or other right to acquire any such Equity Interests, or any funds set aside or otherwise reserved, directly or indirectly, for any of the foregoing purposes.</w:t>
      </w:r>
    </w:p>
    <w:p>
      <w:pPr>
        <w:spacing w:after="0" w:line="188"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 Amount</w:t>
      </w:r>
      <w:r>
        <w:rPr>
          <w:rFonts w:ascii="Arial" w:cs="Arial" w:eastAsia="Arial" w:hAnsi="Arial"/>
          <w:sz w:val="18"/>
          <w:szCs w:val="18"/>
          <w:color w:val="auto"/>
        </w:rPr>
        <w:t xml:space="preserve">” means, at any time the greater of (x) $5,000,000 and (y) 10.0% of Consolidated Cash EBITDA for the Test Period most recently ended on or prior to such date of determination (measured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sum of (a) the amount of Restricted Payments made by the Borrower or any Restricted Subsidiary in reliance on </w:t>
      </w:r>
      <w:r>
        <w:rPr>
          <w:rFonts w:ascii="Arial" w:cs="Arial" w:eastAsia="Arial" w:hAnsi="Arial"/>
          <w:sz w:val="18"/>
          <w:szCs w:val="18"/>
          <w:u w:val="single" w:color="auto"/>
          <w:color w:val="auto"/>
        </w:rPr>
        <w:t>Section 6.08(a)(viii)(A)</w:t>
      </w:r>
      <w:r>
        <w:rPr>
          <w:rFonts w:ascii="Arial" w:cs="Arial" w:eastAsia="Arial" w:hAnsi="Arial"/>
          <w:sz w:val="18"/>
          <w:szCs w:val="18"/>
          <w:color w:val="auto"/>
        </w:rPr>
        <w:t xml:space="preserve">, (b) the amount of Restricted Debt Payments made by the Borrower or any Restricted Subsidiary in reliance on </w:t>
      </w:r>
      <w:r>
        <w:rPr>
          <w:rFonts w:ascii="Arial" w:cs="Arial" w:eastAsia="Arial" w:hAnsi="Arial"/>
          <w:sz w:val="18"/>
          <w:szCs w:val="18"/>
          <w:u w:val="single" w:color="auto"/>
          <w:color w:val="auto"/>
        </w:rPr>
        <w:t>Section 6.08 (b)(iv)(A)(ii)</w:t>
      </w:r>
      <w:r>
        <w:rPr>
          <w:rFonts w:ascii="Arial" w:cs="Arial" w:eastAsia="Arial" w:hAnsi="Arial"/>
          <w:sz w:val="18"/>
          <w:szCs w:val="18"/>
          <w:color w:val="auto"/>
        </w:rPr>
        <w:t xml:space="preserve"> and (c) the amount of Investments made by the Borrower or any Restricted Subsidiary in reliance on </w:t>
      </w:r>
      <w:r>
        <w:rPr>
          <w:rFonts w:ascii="Arial" w:cs="Arial" w:eastAsia="Arial" w:hAnsi="Arial"/>
          <w:sz w:val="18"/>
          <w:szCs w:val="18"/>
          <w:u w:val="single" w:color="auto"/>
          <w:color w:val="auto"/>
        </w:rPr>
        <w:t>Section 6.04(n)(A)(ii)</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other than an Unrestricted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Declined 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2.11(e)</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w:t>
      </w:r>
      <w:r>
        <w:rPr>
          <w:rFonts w:ascii="Arial" w:cs="Arial" w:eastAsia="Arial" w:hAnsi="Arial"/>
          <w:sz w:val="18"/>
          <w:szCs w:val="18"/>
          <w:color w:val="auto"/>
        </w:rPr>
        <w:t>” means, with respect to any Investment, any dividend, distribution, interest, fee, premium, return of capital, repayment of principal, income, profit (from a Disposition or otherwise) and any other amount received or realized in respect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74" w:right="439" w:bottom="1440" w:gutter="0" w:footer="0" w:header="0"/>
        </w:sectPr>
      </w:pPr>
    </w:p>
    <w:bookmarkStart w:id="112" w:name="page113"/>
    <w:bookmarkEnd w:id="112"/>
    <w:p>
      <w:pPr>
        <w:jc w:val="both"/>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Revolving Availability Period</w:t>
      </w:r>
      <w:r>
        <w:rPr>
          <w:rFonts w:ascii="Arial" w:cs="Arial" w:eastAsia="Arial" w:hAnsi="Arial"/>
          <w:sz w:val="18"/>
          <w:szCs w:val="18"/>
          <w:color w:val="auto"/>
        </w:rPr>
        <w:t>” means the period from and including the Effective Date to but excluding the earlier of the Revolving Maturity Date and the date of termination of the Revolving Commitments.</w:t>
      </w:r>
    </w:p>
    <w:p>
      <w:pPr>
        <w:spacing w:after="0" w:line="170"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w:t>
      </w:r>
      <w:r>
        <w:rPr>
          <w:rFonts w:ascii="Arial" w:cs="Arial" w:eastAsia="Arial" w:hAnsi="Arial"/>
          <w:sz w:val="17"/>
          <w:szCs w:val="17"/>
          <w:color w:val="auto"/>
        </w:rPr>
        <w:t>” means, (a) prior to the Amendment No. 5 Effective Date, the Original Revolving Commitments as in effect at any time prior to such date and (b) on and after the Amendment No. 5 Effective Date, the Class A Revolving Commitments and Class B Revolving Commitments. The aggregate amount of the Revolving Commitments in effect immediately prior to the Amendment No. 5 Effective Date was $200,000,000. The aggregate amount of the Revolving Commitments in effect on the Amendment No. 5 Effective Date is $200,000,000.</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Extension Request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the Revolving Commitments and the provisions herein related to the Revolving Loans, Swingline Loans and Letters of Credit.</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with respect to any Revolving Lender at any time, the sum of (a) such Lender’s outstanding Revolving Loans, (b) such Lender’s LC Exposure and (c) such Lender’s Swingline Exposure at such time.</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with a Revolving Commitment or, if the Revolving Commitments have terminated or expired, a Lender with Revolving Exposure.</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prior to the Amendment No. 5 Effective Date, the Original Revolving Loans and (b) on and after the Amendment No. 5 Effective Date, the Class A Revolving Loans and Class B Revolving Loans.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Maturity Date</w:t>
      </w:r>
      <w:r>
        <w:rPr>
          <w:rFonts w:ascii="Arial" w:cs="Arial" w:eastAsia="Arial" w:hAnsi="Arial"/>
          <w:sz w:val="18"/>
          <w:szCs w:val="18"/>
          <w:color w:val="auto"/>
        </w:rPr>
        <w:t>” means the fifth anniversary of the Effective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Investors</w:t>
      </w:r>
      <w:r>
        <w:rPr>
          <w:rFonts w:ascii="Arial" w:cs="Arial" w:eastAsia="Arial" w:hAnsi="Arial"/>
          <w:sz w:val="18"/>
          <w:szCs w:val="18"/>
          <w:color w:val="auto"/>
        </w:rPr>
        <w:t>” has the meaning specified in the recitals to this Agreement.</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 and any successor to its rating agency business.</w:t>
      </w:r>
    </w:p>
    <w:p>
      <w:pPr>
        <w:spacing w:after="0" w:line="170"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Leaseback</w:t>
      </w:r>
      <w:r>
        <w:rPr>
          <w:rFonts w:ascii="Arial" w:cs="Arial" w:eastAsia="Arial" w:hAnsi="Arial"/>
          <w:sz w:val="18"/>
          <w:szCs w:val="18"/>
          <w:color w:val="auto"/>
        </w:rPr>
        <w:t>” means any transaction or series of related transactions pursuant to which the Borrower or any Restricted Subsidiary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sanctions administered or enforced by OFAC or the U.S. Department of State.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Obligations</w:t>
      </w:r>
      <w:r>
        <w:rPr>
          <w:rFonts w:ascii="Arial" w:cs="Arial" w:eastAsia="Arial" w:hAnsi="Arial"/>
          <w:sz w:val="18"/>
          <w:szCs w:val="18"/>
          <w:color w:val="auto"/>
        </w:rPr>
        <w:t>” means, at the written election of Holdings to the Administrative Agent, the due and punctual payment and performance of all obligations of Holdings, the Borrower and the Restricted Subsidiaries (other than Receivables Subsidiaries) in respect of any overdraft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440" w:top="274" w:right="439" w:bottom="1440" w:gutter="0" w:footer="0" w:header="0"/>
        </w:sectPr>
      </w:pPr>
    </w:p>
    <w:bookmarkStart w:id="113" w:name="page114"/>
    <w:bookmarkEnd w:id="113"/>
    <w:p>
      <w:pPr>
        <w:jc w:val="both"/>
        <w:ind w:left="4"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related liabilities arising from treasury, depository, cash pooling arrangements and cash management services, corporate credit and purchasing cards and related programs or any automated clearing house transfers of funds (collectively, “</w:t>
      </w:r>
      <w:r>
        <w:rPr>
          <w:rFonts w:ascii="Arial" w:cs="Arial" w:eastAsia="Arial" w:hAnsi="Arial"/>
          <w:sz w:val="16"/>
          <w:szCs w:val="16"/>
          <w:u w:val="single" w:color="auto"/>
          <w:color w:val="auto"/>
        </w:rPr>
        <w:t>Cash Management Services</w:t>
      </w:r>
      <w:r>
        <w:rPr>
          <w:rFonts w:ascii="Arial" w:cs="Arial" w:eastAsia="Arial" w:hAnsi="Arial"/>
          <w:sz w:val="16"/>
          <w:szCs w:val="16"/>
          <w:color w:val="auto"/>
        </w:rPr>
        <w:t>”) provided to Holdings, the Borrower or any Subsidiary (whether absolute or contingent and howsoever and whenever created, arising, evidenced or acquired (including all renewals, extensions and modifications thereof and substitutions therefor)) that are (a) owed to the Administrative Agent or any of its Affiliates,</w:t>
      </w:r>
    </w:p>
    <w:p>
      <w:pPr>
        <w:spacing w:after="0" w:line="1" w:lineRule="exact"/>
        <w:rPr>
          <w:sz w:val="20"/>
          <w:szCs w:val="20"/>
          <w:color w:val="auto"/>
        </w:rPr>
      </w:pPr>
    </w:p>
    <w:p>
      <w:pPr>
        <w:jc w:val="both"/>
        <w:ind w:left="4" w:right="20" w:hanging="4"/>
        <w:spacing w:after="0" w:line="255" w:lineRule="auto"/>
        <w:tabs>
          <w:tab w:leader="none" w:pos="265"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owed on the Effective Date to a Person that is a Lender or an Affiliate of a Lender as of the Effective Date, (c) owed to a Person that is an Agent, a Lender or an Affiliate of an Agent or Lender at the time such obligations are incurred or (d) owed to a Person that shall have become a Lender or an Affiliate of a Lender after such obligations are incurred.</w:t>
      </w:r>
    </w:p>
    <w:p>
      <w:pPr>
        <w:spacing w:after="0" w:line="19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 the Loan Document Obligations, (b) the Secured Cash Management Obligations and (c) the Secured Swap Obligations (excluding with respect to any Guarantor, Excluded Swap Obligations of such Guarantor).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means (a) each Lender, each Issuing Bank and the Swingline Lender, (b) the Administrative Agent and the Collateral Agent,</w:t>
      </w:r>
    </w:p>
    <w:p>
      <w:pPr>
        <w:spacing w:after="0" w:line="46" w:lineRule="exact"/>
        <w:rPr>
          <w:sz w:val="20"/>
          <w:szCs w:val="20"/>
          <w:color w:val="auto"/>
        </w:rPr>
      </w:pPr>
    </w:p>
    <w:p>
      <w:pPr>
        <w:jc w:val="both"/>
        <w:ind w:left="4" w:right="20" w:hanging="4"/>
        <w:spacing w:after="0" w:line="255" w:lineRule="auto"/>
        <w:tabs>
          <w:tab w:leader="none" w:pos="265"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Person to whom any Secured Cash Management Obligations are owed, (d) each counterparty to any Swap Agreement the obligations under which constitute Secured Swap Obligations, (e) the beneficiaries of each indemnification obligation undertaken by any Loan Party under any Loan Document and (f) the successors and permitted assigns of each of the foregoing.</w:t>
      </w:r>
    </w:p>
    <w:p>
      <w:pPr>
        <w:spacing w:after="0" w:line="190" w:lineRule="exact"/>
        <w:rPr>
          <w:sz w:val="20"/>
          <w:szCs w:val="20"/>
          <w:color w:val="auto"/>
        </w:rPr>
      </w:pPr>
    </w:p>
    <w:p>
      <w:pPr>
        <w:jc w:val="both"/>
        <w:ind w:left="4"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Swap Obligations</w:t>
      </w:r>
      <w:r>
        <w:rPr>
          <w:rFonts w:ascii="Arial" w:cs="Arial" w:eastAsia="Arial" w:hAnsi="Arial"/>
          <w:sz w:val="16"/>
          <w:szCs w:val="16"/>
          <w:color w:val="auto"/>
        </w:rPr>
        <w:t xml:space="preserve">” means, at the written election of Holdings to the Administrative Agent, the due and punctual payment and performance of all obligations of Holdings, the Borrower and the Restricted Subsidiaries (other than Receivables Subsidiaries) under each Swap Agreement that (a) is with a counterparty that is the Administrative Agent or any of its Affiliates, (b) is in effect on the Effective Date with a counterparty that is a Lender, an Agent or an Affiliate of a Lender or an Agent as of the Effective Date, (c) is entered into after the Effective Date with any counterparty that is a Lender, an Agent or an Affiliate of a Lender or an Agent, or (d) is entered into after the Effective Date with any counterparty that becomes a Lender, an Agent or an Affiliate of a Lender or Agent; it being agreed that, for the avoidance of doubt, the assignment provisions of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the Defaulting Lender provisions contained herein shall not apply to a Person described in clauses (a) through (e) above in its capacity as a counterparty in respect of a Swap Agreement or affect its status or rights as a Secured Party in respect of any Secured Swap Obligation.</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Documents</w:t>
      </w:r>
      <w:r>
        <w:rPr>
          <w:rFonts w:ascii="Arial" w:cs="Arial" w:eastAsia="Arial" w:hAnsi="Arial"/>
          <w:sz w:val="17"/>
          <w:szCs w:val="17"/>
          <w:color w:val="auto"/>
        </w:rPr>
        <w:t xml:space="preserve">” means the Collateral Agreement, Mortgages and each other security agreement or pledge agreement, including any Account Control Agreement or any Intellectual Property security agreement executed and delivered pursuant to the Collateral and Guarantee Requirement, </w:t>
      </w:r>
      <w:r>
        <w:rPr>
          <w:rFonts w:ascii="Arial" w:cs="Arial" w:eastAsia="Arial" w:hAnsi="Arial"/>
          <w:sz w:val="17"/>
          <w:szCs w:val="17"/>
          <w:u w:val="single" w:color="auto"/>
          <w:color w:val="auto"/>
        </w:rPr>
        <w:t>Section 4.01(f)</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to secure any of the Secured Obligations.</w:t>
      </w:r>
    </w:p>
    <w:p>
      <w:pPr>
        <w:spacing w:after="0" w:line="165"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means, with respect to any series of Permitted Equal Priority Refinancing Debt, Permitted Junior Priority Refinancing Debt or other Indebtedness, the trustee, administrative agent, collateral agent, security agent or similar agent under the indenture or agreement pursuant to which such Indebtedness is incurred, and each of their successors in such capacities.</w:t>
      </w:r>
    </w:p>
    <w:p>
      <w:pPr>
        <w:spacing w:after="0" w:line="184"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w:t>
      </w:r>
      <w:r>
        <w:rPr>
          <w:rFonts w:ascii="Arial" w:cs="Arial" w:eastAsia="Arial" w:hAnsi="Arial"/>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4"/>
          </w:cols>
          <w:pgMar w:left="436" w:top="274" w:right="439" w:bottom="1440" w:gutter="0" w:footer="0" w:header="0"/>
        </w:sectPr>
      </w:pPr>
    </w:p>
    <w:bookmarkStart w:id="114" w:name="page115"/>
    <w:bookmarkEnd w:id="114"/>
    <w:p>
      <w:pPr>
        <w:jc w:val="both"/>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Settlement Asset</w:t>
      </w:r>
      <w:r>
        <w:rPr>
          <w:rFonts w:ascii="Arial" w:cs="Arial" w:eastAsia="Arial" w:hAnsi="Arial"/>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Indebtedness</w:t>
      </w:r>
      <w:r>
        <w:rPr>
          <w:rFonts w:ascii="Arial" w:cs="Arial" w:eastAsia="Arial" w:hAnsi="Arial"/>
          <w:sz w:val="18"/>
          <w:szCs w:val="18"/>
          <w:color w:val="auto"/>
        </w:rPr>
        <w:t>” means any payment or reimbursement obligation in respect of a Settlement Payment.</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Lien</w:t>
      </w:r>
      <w:r>
        <w:rPr>
          <w:rFonts w:ascii="Arial" w:cs="Arial" w:eastAsia="Arial" w:hAnsi="Arial"/>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8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Payment</w:t>
      </w:r>
      <w:r>
        <w:rPr>
          <w:rFonts w:ascii="Arial" w:cs="Arial" w:eastAsia="Arial" w:hAnsi="Arial"/>
          <w:sz w:val="18"/>
          <w:szCs w:val="18"/>
          <w:color w:val="auto"/>
        </w:rPr>
        <w:t>” means the transfer, or contractual undertaking (including by automated clearing house transaction) to effect a transfer, of cash or other property to effect a Settlement.</w:t>
      </w:r>
    </w:p>
    <w:p>
      <w:pPr>
        <w:spacing w:after="0" w:line="170" w:lineRule="exact"/>
        <w:rPr>
          <w:sz w:val="20"/>
          <w:szCs w:val="20"/>
          <w:color w:val="auto"/>
        </w:rPr>
      </w:pPr>
    </w:p>
    <w:p>
      <w:pPr>
        <w:jc w:val="both"/>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 Receivable</w:t>
      </w:r>
      <w:r>
        <w:rPr>
          <w:rFonts w:ascii="Arial" w:cs="Arial" w:eastAsia="Arial" w:hAnsi="Arial"/>
          <w:sz w:val="17"/>
          <w:szCs w:val="17"/>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46"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“significant subsidiary” as defined in Article 1, Rule 1-02 of Regulation S-X, promulgated pursuant to the Securities Act, as such regulation is in effect on the Effective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Date</w:t>
      </w:r>
      <w:r>
        <w:rPr>
          <w:rFonts w:ascii="Arial" w:cs="Arial" w:eastAsia="Arial" w:hAnsi="Arial"/>
          <w:sz w:val="18"/>
          <w:szCs w:val="18"/>
          <w:color w:val="auto"/>
        </w:rPr>
        <w:t>” means August 15, 2019.</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means (1) any business conducted by the Borrower or any Restricted Subsidiary on the Effective Date or (2) any business or other activities that are reasonably similar, ancillary, incidental, complementary or related to (including non-core incidental businesses acquired in connection with any Investment permitted hereunder), or a reasonable extension, development or expansion of, the businesses that the Borrower and its Restricted Subsidiaries conduct or propose to conduct on the Effective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Sold Entity or Business</w:t>
      </w:r>
      <w:r>
        <w:rPr>
          <w:rFonts w:ascii="Arial" w:cs="Arial" w:eastAsia="Arial" w:hAnsi="Arial"/>
          <w:sz w:val="18"/>
          <w:szCs w:val="18"/>
          <w:color w:val="auto"/>
        </w:rPr>
        <w:t>” has the meaning assigned to such term in the definition of “Consolidated EBITDA.”</w:t>
      </w:r>
    </w:p>
    <w:p>
      <w:pPr>
        <w:spacing w:after="0" w:line="225" w:lineRule="exact"/>
        <w:rPr>
          <w:sz w:val="20"/>
          <w:szCs w:val="20"/>
          <w:color w:val="auto"/>
        </w:rPr>
      </w:pPr>
    </w:p>
    <w:p>
      <w:pPr>
        <w:jc w:val="both"/>
        <w:ind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means with respect to any Person on any date of determination, that on such date (i) the Fair Value and the Present Fair Saleable Value of the assets of a Person exceeds such Person’s Stated Liabilities and Identified Contingent Liability; (ii) such person does not have Unreasonably Small Capital; and (iii) such Person can pay its Stated Liabilities and Identified Contingent Liability as they mature. For purposes of the foregoing, (a) “Fair Value” shall mean the amount at which the assets (both tangible and intangible), in their entirety, of a Person would change hands between a willing buyer and a willing seller, within a commercially reasonable period of time, each having reasonable knowledge of the relevant facts, with neither being under any compulsion to act, (b) “Present Fair Salable Value” means the amount that could be obtained by an independent willing seller from an independent willing buyer if the assets (both tangible and intangible) of the Borrower and its Subsidiaries taken as a whole are sold on a going concern basis with reasonable promptness in an arm’s-length transaction under present conditions for the sale of comparable business enterprises insofar as such conditions can be reasonably evaluated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Solvency on the Effective Date,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be calculated after giving effect to the consummation of the Transactions (including the execution and delivery of this Agreement, the making of the Loans and the use of proceeds of such Loans on the Effective Date)), (c) “Stated Liabilities” means the recorded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440" w:top="274" w:right="439" w:bottom="1440" w:gutter="0" w:footer="0" w:header="0"/>
        </w:sectPr>
      </w:pPr>
    </w:p>
    <w:bookmarkStart w:id="115" w:name="page116"/>
    <w:bookmarkEnd w:id="115"/>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liabilities (including contingent liabilities that would be recorded in accordance with GAAP, consistently applied) of such Person, (d) “Identified Contingent Liabilities” shall mean the maximum estimated amount of liabilities reasonably likely to result from pending litigation, asserted claims and assessments, guaranties, uninsured risks and other contingent liabilities of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determining Solvency on the Effective Date,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shall be calculated after giving effect to the consummation of the Transactions (including the execution and delivery of this Agreement, the making of the Loans and the use of proceeds of such Loans on the Effective Date (including all fees and expenses related thereto but exclusive of such contingent liabilities to the extent reflected in Stated Liabilities pursuant to the proviso in clause (c) above)) as identified and explained in terms of their nature and estimated magnitude and (e) “Can pay their Stated Liabilities and Identified Contingent Liabilities as they mature” means such Person will have sufficient assets and cash flow to pay their respective Stated Liabilities and Identified Contingent Liabilities as those liabilities mature or (in the case of contingent liabilities) otherwise become payable;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determining Solvency on the Effective Date,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shall be calculated after giving effect to the consummation of the Transactions (including the execution and delivery of this Agreement, the making of the Loans and the use of proceeds of such Loans on the Effective Date) and (f) “Do not have Unreasonably Small Capital” means such Person will have sufficient capital to ensure that it is a going concern.</w:t>
      </w:r>
    </w:p>
    <w:p>
      <w:pPr>
        <w:spacing w:after="0" w:line="179" w:lineRule="exact"/>
        <w:rPr>
          <w:sz w:val="20"/>
          <w:szCs w:val="20"/>
          <w:color w:val="auto"/>
        </w:rPr>
      </w:pPr>
    </w:p>
    <w:p>
      <w:pPr>
        <w:jc w:val="both"/>
        <w:ind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Purpose Entity</w:t>
      </w:r>
      <w:r>
        <w:rPr>
          <w:rFonts w:ascii="Arial" w:cs="Arial" w:eastAsia="Arial" w:hAnsi="Arial"/>
          <w:sz w:val="17"/>
          <w:szCs w:val="17"/>
          <w:color w:val="auto"/>
        </w:rPr>
        <w:t>” means a direct or indirect subsidiary of any Loan Party, whose organizational documents contain restrictions on its purpose and activities intended to preserve its separateness from such Loan Party and/or one or more Subsidiaries of such Loan Party.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Debt Incurrence Prepayment Event</w:t>
      </w:r>
      <w:r>
        <w:rPr>
          <w:rFonts w:ascii="Arial" w:cs="Arial" w:eastAsia="Arial" w:hAnsi="Arial"/>
          <w:sz w:val="18"/>
          <w:szCs w:val="18"/>
          <w:color w:val="auto"/>
        </w:rPr>
        <w:t>” has the meaning assigned to such term in the definition of “Prepayment Event”.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Issuance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Existing Revolving Commitment Class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2.24(b)</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Merger Agreement Representations</w:t>
      </w:r>
      <w:r>
        <w:rPr>
          <w:rFonts w:ascii="Arial" w:cs="Arial" w:eastAsia="Arial" w:hAnsi="Arial"/>
          <w:sz w:val="18"/>
          <w:szCs w:val="18"/>
          <w:color w:val="auto"/>
        </w:rPr>
        <w:t>” means the representations and warranties made by, or with respect to, the Target and its respective subsidiaries in the Merger Agreement as are material to the interests of the Lenders, but only to the extent that Parent or its affiliates have the right (taking into account any applicable cure provisions) to terminate its (or their) obligations under the Merger Agreement or to decline to consummate the acquisition of the Target (in each case, in accordance with the terms thereof) as a result of a breach of such representations and warranties in the Merger Agreement.</w:t>
      </w:r>
    </w:p>
    <w:p>
      <w:pPr>
        <w:spacing w:after="0" w:line="188" w:lineRule="exact"/>
        <w:rPr>
          <w:sz w:val="20"/>
          <w:szCs w:val="20"/>
          <w:color w:val="auto"/>
        </w:rPr>
      </w:pPr>
    </w:p>
    <w:p>
      <w:pPr>
        <w:jc w:val="both"/>
        <w:ind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Representations</w:t>
      </w:r>
      <w:r>
        <w:rPr>
          <w:rFonts w:ascii="Arial" w:cs="Arial" w:eastAsia="Arial" w:hAnsi="Arial"/>
          <w:sz w:val="17"/>
          <w:szCs w:val="17"/>
          <w:color w:val="auto"/>
        </w:rPr>
        <w:t xml:space="preserve">” means the representations and warranties set forth in </w:t>
      </w:r>
      <w:r>
        <w:rPr>
          <w:rFonts w:ascii="Arial" w:cs="Arial" w:eastAsia="Arial" w:hAnsi="Arial"/>
          <w:sz w:val="17"/>
          <w:szCs w:val="17"/>
          <w:u w:val="single" w:color="auto"/>
          <w:color w:val="auto"/>
        </w:rPr>
        <w:t>Section 3.01(a)</w:t>
      </w:r>
      <w:r>
        <w:rPr>
          <w:rFonts w:ascii="Arial" w:cs="Arial" w:eastAsia="Arial" w:hAnsi="Arial"/>
          <w:sz w:val="17"/>
          <w:szCs w:val="17"/>
          <w:color w:val="auto"/>
        </w:rPr>
        <w:t xml:space="preserve"> (as it relates to organizational existence of the Loan Parties), </w:t>
      </w:r>
      <w:r>
        <w:rPr>
          <w:rFonts w:ascii="Arial" w:cs="Arial" w:eastAsia="Arial" w:hAnsi="Arial"/>
          <w:sz w:val="17"/>
          <w:szCs w:val="17"/>
          <w:u w:val="single" w:color="auto"/>
          <w:color w:val="auto"/>
        </w:rPr>
        <w:t>Section 3.01(b)(ii)</w:t>
      </w:r>
      <w:r>
        <w:rPr>
          <w:rFonts w:ascii="Arial" w:cs="Arial" w:eastAsia="Arial" w:hAnsi="Arial"/>
          <w:sz w:val="17"/>
          <w:szCs w:val="17"/>
          <w:color w:val="auto"/>
        </w:rPr>
        <w:t xml:space="preserve"> (with respect to the incurrence of the Loans, the provision of the Guarantees under the Guarantee Agreement by the Loan Parties, the granting of the security interests in the Collateral by the Loan Parties and the performance of the obligations under the Loan Documents by the Loan Parties),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3.03(b)(i)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(as it relates to the creation, validity and perfection of the security interests in the Collateral on the Effective Date) and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w:t>
      </w:r>
      <w:r>
        <w:rPr>
          <w:rFonts w:ascii="Arial" w:cs="Arial" w:eastAsia="Arial" w:hAnsi="Arial"/>
          <w:sz w:val="17"/>
          <w:szCs w:val="17"/>
          <w:u w:val="single" w:color="auto"/>
          <w:color w:val="auto"/>
        </w:rPr>
        <w:t>(b)(i)(x</w:t>
      </w:r>
      <w:r>
        <w:rPr>
          <w:rFonts w:ascii="Arial" w:cs="Arial" w:eastAsia="Arial" w:hAnsi="Arial"/>
          <w:sz w:val="17"/>
          <w:szCs w:val="17"/>
          <w:color w:val="auto"/>
        </w:rPr>
        <w:t>) and (</w:t>
      </w:r>
      <w:r>
        <w:rPr>
          <w:rFonts w:ascii="Arial" w:cs="Arial" w:eastAsia="Arial" w:hAnsi="Arial"/>
          <w:sz w:val="17"/>
          <w:szCs w:val="17"/>
          <w:u w:val="single" w:color="auto"/>
          <w:color w:val="auto"/>
        </w:rPr>
        <w:t>b)(ii)</w:t>
      </w:r>
      <w:r>
        <w:rPr>
          <w:rFonts w:ascii="Arial" w:cs="Arial" w:eastAsia="Arial" w:hAnsi="Arial"/>
          <w:sz w:val="17"/>
          <w:szCs w:val="17"/>
          <w:color w:val="auto"/>
        </w:rPr>
        <w:t xml:space="preserve"> (in each case, as it relates to the use of proceeds of the Loans on the Effective Date), in each case, after giving effect to the Acquisition.</w:t>
      </w:r>
    </w:p>
    <w:p>
      <w:pPr>
        <w:spacing w:after="0" w:line="17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Restructuring</w:t>
      </w:r>
      <w:r>
        <w:rPr>
          <w:rFonts w:ascii="Arial" w:cs="Arial" w:eastAsia="Arial" w:hAnsi="Arial"/>
          <w:sz w:val="18"/>
          <w:szCs w:val="18"/>
          <w:color w:val="auto"/>
        </w:rPr>
        <w:t>” means any restructuring initiative, cost saving initiative or other similar strategic initiative of Holdings, the Borrower or any of their respective Restricted Subsidiaries after the Effective Date described in reasonable detail in a certificate of a Responsible Officer delivered by Holdings to the Administrative Agent.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40" w:top="274" w:right="439" w:bottom="1440" w:gutter="0" w:footer="0" w:header="0"/>
        </w:sectPr>
      </w:pPr>
    </w:p>
    <w:bookmarkStart w:id="116" w:name="page117"/>
    <w:bookmarkEnd w:id="1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Specified Time</w:t>
      </w:r>
      <w:r>
        <w:rPr>
          <w:rFonts w:ascii="Arial" w:cs="Arial" w:eastAsia="Arial" w:hAnsi="Arial"/>
          <w:sz w:val="18"/>
          <w:szCs w:val="18"/>
          <w:color w:val="auto"/>
        </w:rPr>
        <w:t>” means with respect to the LIBO Rate, 11:00 a.m., London time.</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with respect to any period, any Investment, Specified Restructuring, Disposition, incurrence or repayment of Indebtedness, Restricted Payment, subsidiary designation, operating improvements, restructurings, New Project or other event that by the terms of the Loan Documents requires “pro forma compliance” with a test or covenant hereunder or requires such test or covenant to be calculated on a “pro forma basis” or after giving “pro forma effect” to such event.</w:t>
      </w:r>
    </w:p>
    <w:p>
      <w:pPr>
        <w:spacing w:after="0" w:line="18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Centerbridge Partners, L.P. and Norwest Equity Partners IX, LP, and their respective Affiliates, funds, partnerships or other co-investment vehicles managed, advised or controlled by the foregoing (other than Holdings and its Subsidiaries or any operating portfolio company of any of the entities referred to above).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SPV</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9.04(f)</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all representations, warranties, covenants and indemnities (including repurchase obligations in the event of a breach of representation and warranty) by any Loan Party or Subsidiary thereof that the Borrower has determined in good faith to be customary in connection with a Permitted Receivables Financing, including, without limitation, those relating to the servicing of the assets of a Receivables Subsidiary.</w:t>
      </w:r>
    </w:p>
    <w:p>
      <w:pPr>
        <w:spacing w:after="0" w:line="187"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with respect to any currency, a fraction (expressed as a decimal), the numerator of which is the number one and the denominator of which is the number one minus the aggregate of the maximum reserve, liquid asset or similar percentages (including any marginal, special, emergency or supplemental reserves) expressed as a decimal established by any Governmental Authority of the United States or of the jurisdiction of such currency or any jurisdiction in which Loans in such currency are made to which banks in such jurisdiction are subject for any category of deposits or liabilities customarily used to fund loans in such currency or by reference to which interest rates applicable to Loans in such currency are determined. Such reserve, liquid asset or similar percentages shall include those imposed pursuant to Regulation D of the Board of Governors, and if any Lender is required to comply therewith, the requirements of The Bank of England and/or the Prudential Regulation Authority (or any authority that replaces any of the functions thereof) or the requirements of the European Central Bank. Eurocurrency Loans shall be deemed to be subject to such reserve, liquid asset or similar requirements without benefit of or credit for proration, exemptions or offsets that may be available from time to time to any Lender under Regulation D or any other applicable law, rule or regulation. The Statutory Reserve Rate shall be adjusted automatically on and as of the effective date of any change in any reserve percentage.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Interest Period</w:t>
      </w:r>
      <w:r>
        <w:rPr>
          <w:rFonts w:ascii="Arial" w:cs="Arial" w:eastAsia="Arial" w:hAnsi="Arial"/>
          <w:sz w:val="18"/>
          <w:szCs w:val="18"/>
          <w:color w:val="auto"/>
        </w:rPr>
        <w:t>” shall have the meaning provided in Section 2.13(c).</w:t>
      </w:r>
    </w:p>
    <w:p>
      <w:pPr>
        <w:spacing w:after="0" w:line="22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debt for borrowed money that is contractually subordinated in right of payment to the Loan Document Obligations.</w:t>
      </w:r>
    </w:p>
    <w:p>
      <w:pPr>
        <w:spacing w:after="0" w:line="170"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and includes (a) any corporation more than 50.0%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directly or indirectly through Subsidiaries and (b) any limited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117" w:name="page118"/>
    <w:bookmarkEnd w:id="117"/>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liability company, partnership, association, Joint Venture or other entity in which such Person directly or indirectly through Subsidiaries has more than a 50.0% equity interest at the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Holdings.</w:t>
      </w:r>
    </w:p>
    <w:p>
      <w:pPr>
        <w:spacing w:after="0" w:line="225"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Loan Party</w:t>
      </w:r>
      <w:r>
        <w:rPr>
          <w:rFonts w:ascii="Arial" w:cs="Arial" w:eastAsia="Arial" w:hAnsi="Arial"/>
          <w:sz w:val="18"/>
          <w:szCs w:val="18"/>
          <w:color w:val="auto"/>
        </w:rPr>
        <w:t xml:space="preserve">” means (a) each Restricted Subsidiary (other than the Borrower) that is a party to the Guarantee Agreement and (b) any other Restricted Subsidiary of the Borrower that may be designated by the Borrower (by way of delivering to the Collateral Agent a supplement to the Collateral Agreement and a supplement to the Guarantee Agreement, in each case, duly executed by such Subsidiary) in its sole discretion from time to time to be a guarantor in respect of the Secured Obligations, whereupon such Subsidiary shall be obligated to comply with the other requirements of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as if it were newly acquired.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Benchmark Rate</w:t>
      </w:r>
      <w:r>
        <w:rPr>
          <w:rFonts w:ascii="Arial" w:cs="Arial" w:eastAsia="Arial" w:hAnsi="Arial"/>
          <w:sz w:val="18"/>
          <w:szCs w:val="18"/>
          <w:color w:val="auto"/>
        </w:rPr>
        <w:t>” has the meaning assigned to such term in Section 2.14(b).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Borrower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6.03(d)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Holdings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6.06(o)</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9.22</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u w:val="single" w:color="auto"/>
          <w:color w:val="0000FF"/>
        </w:rPr>
        <w:t>“Suspension Period” means the period commencing on the Amendment No. 7 Effective Date through and including the date on which (a) the Borrower shall have delivered to the Administrative Agent for two consecutive Test Periods the quarterly and/or annual financial statements required by Section 5.01(a) and 5.01(b), respectively, together with the accompanying Compliance Certificates required by Section 5.01(d), for such Test Periods, which Compliance Certificates shall demonstrate that</w:t>
      </w:r>
      <w:r>
        <w:rPr>
          <w:rFonts w:ascii="Arial" w:cs="Arial" w:eastAsia="Arial" w:hAnsi="Arial"/>
          <w:sz w:val="18"/>
          <w:szCs w:val="18"/>
          <w:color w:val="0000FF"/>
        </w:rPr>
        <w:t xml:space="preserve"> </w:t>
      </w:r>
      <w:r>
        <w:rPr>
          <w:rFonts w:ascii="Arial" w:cs="Arial" w:eastAsia="Arial" w:hAnsi="Arial"/>
          <w:sz w:val="18"/>
          <w:szCs w:val="18"/>
          <w:color w:val="007F00"/>
        </w:rPr>
        <w:t>the Total Net Cash Leverage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Ratios for each such Test Period does not exceed 4.00:1.00 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 xml:space="preserve">(b) no Default or </w:t>
      </w:r>
      <w:r>
        <w:rPr>
          <w:rFonts w:ascii="Arial" w:cs="Arial" w:eastAsia="Arial" w:hAnsi="Arial"/>
          <w:sz w:val="18"/>
          <w:szCs w:val="18"/>
          <w:u w:val="single" w:color="auto"/>
          <w:color w:val="007F00"/>
        </w:rPr>
        <w:t>Event of Default has occurred and is continuing</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67036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431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0175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w:t>
      </w:r>
      <w:r>
        <w:rPr>
          <w:rFonts w:ascii="Arial" w:cs="Arial" w:eastAsia="Arial" w:hAnsi="Arial"/>
          <w:sz w:val="16"/>
          <w:szCs w:val="16"/>
          <w:color w:val="auto"/>
        </w:rPr>
        <w:t>” means any agreement, contract, or transaction that constitutes a “swap” within the meaning of section 1a(47) of the Commodity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Person, any obligation to pay or perform under any Swap.</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Termination Value</w:t>
      </w:r>
      <w:r>
        <w:rPr>
          <w:rFonts w:ascii="Arial" w:cs="Arial" w:eastAsia="Arial" w:hAnsi="Arial"/>
          <w:sz w:val="18"/>
          <w:szCs w:val="18"/>
          <w:color w:val="auto"/>
        </w:rPr>
        <w:t>” means, in respect of any one or more Swap Agreements, after taking into account the effect of any legally enforceable netting agreement relating to such Swap Agreements,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440" w:top="274" w:right="439" w:bottom="1440" w:gutter="0" w:footer="0" w:header="0"/>
        </w:sectPr>
      </w:pPr>
    </w:p>
    <w:bookmarkStart w:id="118" w:name="page119"/>
    <w:bookmarkEnd w:id="118"/>
    <w:p>
      <w:pPr>
        <w:jc w:val="both"/>
        <w:ind w:left="4" w:right="20" w:hanging="4"/>
        <w:spacing w:after="0" w:line="259" w:lineRule="auto"/>
        <w:tabs>
          <w:tab w:leader="none" w:pos="265"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a Lender or any Affiliate of a Lender).</w:t>
      </w:r>
    </w:p>
    <w:p>
      <w:pPr>
        <w:spacing w:after="0" w:line="187" w:lineRule="exact"/>
        <w:rPr>
          <w:sz w:val="20"/>
          <w:szCs w:val="20"/>
          <w:color w:val="auto"/>
        </w:rPr>
      </w:pPr>
    </w:p>
    <w:p>
      <w:pPr>
        <w:jc w:val="both"/>
        <w:ind w:left="4"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Exposure</w:t>
      </w:r>
      <w:r>
        <w:rPr>
          <w:rFonts w:ascii="Arial" w:cs="Arial" w:eastAsia="Arial" w:hAnsi="Arial"/>
          <w:sz w:val="17"/>
          <w:szCs w:val="17"/>
          <w:color w:val="auto"/>
        </w:rPr>
        <w:t>” means, at any time, the aggregate principal amount of all Swingline Loans outstanding at such time. The Swingline Exposure of any Revolving Lender at any time shall be its Applicable Percentage of the aggregate Swingline Exposure at such time.</w:t>
      </w:r>
    </w:p>
    <w:p>
      <w:pPr>
        <w:spacing w:after="0" w:line="146"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xml:space="preserve">” means (a) Owl Rock Capital Corporation, in its capacity as lender of Swingline Loans hereunder and (b) each Revolving Lender that shall have become a Swingline Lender hereunder as provided in </w:t>
      </w:r>
      <w:r>
        <w:rPr>
          <w:rFonts w:ascii="Arial" w:cs="Arial" w:eastAsia="Arial" w:hAnsi="Arial"/>
          <w:sz w:val="18"/>
          <w:szCs w:val="18"/>
          <w:u w:val="single" w:color="auto"/>
          <w:color w:val="auto"/>
        </w:rPr>
        <w:t>Section 2.04(d)</w:t>
      </w:r>
      <w:r>
        <w:rPr>
          <w:rFonts w:ascii="Arial" w:cs="Arial" w:eastAsia="Arial" w:hAnsi="Arial"/>
          <w:sz w:val="18"/>
          <w:szCs w:val="18"/>
          <w:color w:val="auto"/>
        </w:rPr>
        <w:t xml:space="preserve"> (other than any Person that shall have ceased to be a Swingline Lender as provided in </w:t>
      </w:r>
      <w:r>
        <w:rPr>
          <w:rFonts w:ascii="Arial" w:cs="Arial" w:eastAsia="Arial" w:hAnsi="Arial"/>
          <w:sz w:val="18"/>
          <w:szCs w:val="18"/>
          <w:u w:val="single" w:color="auto"/>
          <w:color w:val="auto"/>
        </w:rPr>
        <w:t>Section 2.04(e)</w:t>
      </w:r>
      <w:r>
        <w:rPr>
          <w:rFonts w:ascii="Arial" w:cs="Arial" w:eastAsia="Arial" w:hAnsi="Arial"/>
          <w:sz w:val="18"/>
          <w:szCs w:val="18"/>
          <w:color w:val="auto"/>
        </w:rPr>
        <w:t>), each in its capacity as a lender of Swingline Loans hereunder.</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Sublimit</w:t>
      </w:r>
      <w:r>
        <w:rPr>
          <w:rFonts w:ascii="Arial" w:cs="Arial" w:eastAsia="Arial" w:hAnsi="Arial"/>
          <w:sz w:val="18"/>
          <w:szCs w:val="18"/>
          <w:color w:val="auto"/>
        </w:rPr>
        <w:t>” means $5,000,000.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has the meaning specified in the recitals to this Agreement.</w:t>
      </w:r>
    </w:p>
    <w:p>
      <w:pPr>
        <w:spacing w:after="0" w:line="225" w:lineRule="exact"/>
        <w:rPr>
          <w:sz w:val="20"/>
          <w:szCs w:val="20"/>
          <w:color w:val="auto"/>
        </w:rPr>
      </w:pPr>
    </w:p>
    <w:p>
      <w:pPr>
        <w:jc w:val="both"/>
        <w:ind w:left="4"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Restructuring</w:t>
      </w:r>
      <w:r>
        <w:rPr>
          <w:rFonts w:ascii="Arial" w:cs="Arial" w:eastAsia="Arial" w:hAnsi="Arial"/>
          <w:sz w:val="18"/>
          <w:szCs w:val="18"/>
          <w:color w:val="auto"/>
        </w:rPr>
        <w:t>” means any reorganizations and other activities related to tax planning and tax reorganization (as determined by the Borrower in good faith) entered into after the Effective Date so long as such Tax Restructuring does not impair the Guarantee or the security interests of the Secured Parties in any material respect and is otherwise not adverse to the Lenders in any material respect and after giving effect to such Tax Restructuring, Holdings and its Restricted Subsidiaries otherwise comply with Section 5.12.</w:t>
      </w:r>
    </w:p>
    <w:p>
      <w:pPr>
        <w:spacing w:after="0" w:line="187" w:lineRule="exact"/>
        <w:rPr>
          <w:sz w:val="20"/>
          <w:szCs w:val="20"/>
          <w:color w:val="auto"/>
        </w:rPr>
      </w:pPr>
    </w:p>
    <w:p>
      <w:pPr>
        <w:jc w:val="both"/>
        <w:ind w:left="4"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any and all present or future taxes, levies, imposts, duties, deductions, charges, fees, assessments or withholdings (including backup withholdings) imposed by any Governmental Authority, including any interest, additions to tax or penalties applicable thereto.</w:t>
      </w:r>
    </w:p>
    <w:p>
      <w:pPr>
        <w:spacing w:after="0" w:line="146"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means the term loan facilities represented by the Term Loans (including, for the avoidance of doubt, the 2020 Incremental Term Loan Facility, the 2021 Incremental Term Loan Facility and the 2021-2 Incremental Term Loan Facility).</w:t>
      </w:r>
    </w:p>
    <w:p>
      <w:pPr>
        <w:spacing w:after="0" w:line="170"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Lenders</w:t>
      </w:r>
      <w:r>
        <w:rPr>
          <w:rFonts w:ascii="Arial" w:cs="Arial" w:eastAsia="Arial" w:hAnsi="Arial"/>
          <w:sz w:val="18"/>
          <w:szCs w:val="18"/>
          <w:color w:val="auto"/>
        </w:rPr>
        <w:t>” means each Person that is, or shall have become, a party hereto or to an Incremental Facility, in each case in respect of any Term Loans.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Extension Request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2.24(a)</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the Initial Term Loans, the 2020 Incremental Term Loans, the 2021 Incremental Term Loans, the 2021-2 Incremental Term Loans, any other Incremental Term Loans or any Other Term Loans, as applicable.</w:t>
      </w:r>
    </w:p>
    <w:p>
      <w:pPr>
        <w:spacing w:after="0" w:line="170" w:lineRule="exact"/>
        <w:rPr>
          <w:sz w:val="20"/>
          <w:szCs w:val="20"/>
          <w:color w:val="auto"/>
        </w:rPr>
      </w:pPr>
    </w:p>
    <w:p>
      <w:pPr>
        <w:jc w:val="both"/>
        <w:ind w:left="4"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Maturity Date</w:t>
      </w:r>
      <w:r>
        <w:rPr>
          <w:rFonts w:ascii="Arial" w:cs="Arial" w:eastAsia="Arial" w:hAnsi="Arial"/>
          <w:sz w:val="17"/>
          <w:szCs w:val="17"/>
          <w:color w:val="auto"/>
        </w:rPr>
        <w:t>” means (a) in the case of the Initial Term Loans, the Initial Term Maturity Date, (b) in the case of the 2020 Incremental Term Loans, the 2020 Incremental Term Loan Maturity Date and, (c) in the case of the 2021 Incremental Term Loans, the 2021 Incremental Term Loan Maturity Date, (d) in the case of the 2021-2 Incremental Term Loans, the 2021-2 Incremental Term Loan Maturity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4"/>
          </w:cols>
          <w:pgMar w:left="436" w:top="274" w:right="439" w:bottom="1440" w:gutter="0" w:footer="0" w:header="0"/>
        </w:sectPr>
      </w:pPr>
    </w:p>
    <w:bookmarkStart w:id="119" w:name="page120"/>
    <w:bookmarkEnd w:id="119"/>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and (e) in the case of any other Incremental Term Loan or any Other Term Loan, the date set forth in the applicable documentation in respect thereof.</w:t>
      </w:r>
    </w:p>
    <w:p>
      <w:pPr>
        <w:spacing w:after="0" w:line="170" w:lineRule="exact"/>
        <w:rPr>
          <w:sz w:val="20"/>
          <w:szCs w:val="20"/>
          <w:color w:val="auto"/>
        </w:rPr>
      </w:pPr>
    </w:p>
    <w:p>
      <w:pPr>
        <w:jc w:val="both"/>
        <w:ind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means the date on which (a) all Commitments shall have been terminated, (b) all Loan Document Obligations (other than in respect of contingent indemnification and expense reimbursement claims not then due) shall have been paid in full and (c) all Letters of Credit (other than those that have been Cash Collateralized or back-stopped by a letter of credit or otherwise in a manner reasonably satisfactory to the relevant Issuing Bank) shall have been cancelled, terminated or have expired and all amounts drawn or paid thereunder shall have been reimbursed in full.</w:t>
      </w:r>
    </w:p>
    <w:p>
      <w:pPr>
        <w:spacing w:after="0" w:line="157"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xml:space="preserve">” means, at any date of determination, the most recently completed four consecutive fiscal quarters of the Borrower ending on or prior to such date for which financial statements have been (or were required to have been) delivered to the Administrative Agent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in the case of the first, second and third fiscal quarters, Section </w:t>
      </w:r>
      <w:r>
        <w:rPr>
          <w:rFonts w:ascii="Arial" w:cs="Arial" w:eastAsia="Arial" w:hAnsi="Arial"/>
          <w:sz w:val="18"/>
          <w:szCs w:val="18"/>
          <w:u w:val="single" w:color="auto"/>
          <w:color w:val="auto"/>
        </w:rPr>
        <w:t>5.01(b)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the first date financial statements have been (or were required to have been)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5.01(b)</w:t>
      </w:r>
      <w:r>
        <w:rPr>
          <w:rFonts w:ascii="Arial" w:cs="Arial" w:eastAsia="Arial" w:hAnsi="Arial"/>
          <w:sz w:val="18"/>
          <w:szCs w:val="18"/>
          <w:color w:val="auto"/>
        </w:rPr>
        <w:t>, the Test Period in effect shall be the period of four consecutive fiscal quarters of the Borrower ended June 30, 2019.</w:t>
      </w:r>
    </w:p>
    <w:p>
      <w:pPr>
        <w:spacing w:after="0" w:line="188"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Class A Revolving Commitment</w:t>
      </w:r>
      <w:r>
        <w:rPr>
          <w:rFonts w:ascii="Arial" w:cs="Arial" w:eastAsia="Arial" w:hAnsi="Arial"/>
          <w:sz w:val="18"/>
          <w:szCs w:val="18"/>
          <w:color w:val="auto"/>
        </w:rPr>
        <w:t>” means, on any date, the sum of the Class A Revolving Commitments on such date of all the Class A Revolving Lenders.</w:t>
      </w:r>
    </w:p>
    <w:p>
      <w:pPr>
        <w:spacing w:after="0" w:line="170"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Class B Revolving Commitment</w:t>
      </w:r>
      <w:r>
        <w:rPr>
          <w:rFonts w:ascii="Arial" w:cs="Arial" w:eastAsia="Arial" w:hAnsi="Arial"/>
          <w:sz w:val="18"/>
          <w:szCs w:val="18"/>
          <w:color w:val="auto"/>
        </w:rPr>
        <w:t>” means, on any date, the sum of the Class B Revolving Commitments on such date of all the Class B Revolving Lenders.</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Commitment</w:t>
      </w:r>
      <w:r>
        <w:rPr>
          <w:rFonts w:ascii="Arial" w:cs="Arial" w:eastAsia="Arial" w:hAnsi="Arial"/>
          <w:sz w:val="18"/>
          <w:szCs w:val="18"/>
          <w:color w:val="auto"/>
        </w:rPr>
        <w:t>” shall mean, on any date, the sum of the Total Class A Revolving Commitment and Total Class B Revolving Commitment.</w:t>
      </w:r>
    </w:p>
    <w:p>
      <w:pPr>
        <w:spacing w:after="0" w:line="170" w:lineRule="exact"/>
        <w:rPr>
          <w:sz w:val="20"/>
          <w:szCs w:val="20"/>
          <w:color w:val="auto"/>
        </w:rPr>
      </w:pPr>
    </w:p>
    <w:p>
      <w:pPr>
        <w:jc w:val="both"/>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Net Cash Leverage Ratio</w:t>
      </w:r>
      <w:r>
        <w:rPr>
          <w:rFonts w:ascii="Arial" w:cs="Arial" w:eastAsia="Arial" w:hAnsi="Arial"/>
          <w:sz w:val="17"/>
          <w:szCs w:val="17"/>
          <w:color w:val="auto"/>
        </w:rPr>
        <w:t>” means, on any date of determination, the ratio of (a) Consolidated Total Net Debt as of the last day of the Test Period most recently ended on or prior to such date of determination to (b) Consolidated Cash EBITDA for the Test Period as of such date.</w:t>
      </w:r>
    </w:p>
    <w:p>
      <w:pPr>
        <w:spacing w:after="0" w:line="146"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means, on any date of determination, the ratio of (a) Consolidated Total Net Debt as of the last day of the Test Period most recently ended on or prior to such date of determination to (b) Consolidated EBITDA for such Test Period.</w:t>
      </w:r>
    </w:p>
    <w:p>
      <w:pPr>
        <w:spacing w:after="0" w:line="170" w:lineRule="exact"/>
        <w:rPr>
          <w:sz w:val="20"/>
          <w:szCs w:val="20"/>
          <w:color w:val="auto"/>
        </w:rPr>
      </w:pPr>
    </w:p>
    <w:p>
      <w:pPr>
        <w:jc w:val="both"/>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xml:space="preserve">” means, collectively, (a) the funding of the Initial Term Loans on the Effective Date, the funding of any Revolving Loans on the Effective Date, the proceeds of which are applied in accordance with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hereof, and the consummation of the other transactions contemplated by this Agreement, (b) the Effective Date Refinancing, (c) the Acquisition, the Merger and other related transactions contemplated by the Merger Agreement, (d) the Equity Contribution, (e) the consummation of any other transactions in connection with the foregoing and (f) the payment of the fees and expenses incurred in connection with any of the foregoing (including the Transaction Costs).</w:t>
      </w:r>
    </w:p>
    <w:p>
      <w:pPr>
        <w:spacing w:after="0" w:line="176"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any fees, expenses and other transaction costs incurred or paid by the Investors, any Parent Entity, Initial Holdings, the Borrower or any of their Subsidiaries or Affiliates in connection with the Transactions, this Agreement and the other Loan Documents and the transactions contemplated hereby and thereby.</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means, as of any date of notice of prepayment, the yield to maturity as of the date of such notice of U.S. Treasury securities with a constant maturity (as compiled and published in the most recent statistical release designated as “H.15” under the caption “Treasury constant maturities”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120" w:name="page121"/>
    <w:bookmarkEnd w:id="120"/>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successor publication which is published at least weekly by the Board of Governors of the Federal Reserve System (or companion online data resource published by the Board of Governors of the federal reserve system) and which establishes yields on actively traded United States Treasury securities adjusted to constant maturity that has become publicly available at least two Business Days prior to the date of such notice (or, if such Statistical Release is no longer published, any publicly available source of similar market data)) most nearly equal to the period from the applicable Prepayment Date to the date that is two years after the 2020 Incremental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period from the applicable Prepayment Date to the date that is two years after the 2020 Incremental Closing Date is less than one year, the weekly average yield on actively traded U.S. Treasury securities adjusted to a constant maturity of one year will be used.</w:t>
      </w:r>
    </w:p>
    <w:p>
      <w:pPr>
        <w:spacing w:after="0" w:line="177"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0" w:lineRule="exact"/>
        <w:rPr>
          <w:sz w:val="20"/>
          <w:szCs w:val="20"/>
          <w:color w:val="auto"/>
        </w:rPr>
      </w:pPr>
    </w:p>
    <w:p>
      <w:pPr>
        <w:jc w:val="both"/>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or “</w:t>
      </w:r>
      <w:r>
        <w:rPr>
          <w:rFonts w:ascii="Arial" w:cs="Arial" w:eastAsia="Arial" w:hAnsi="Arial"/>
          <w:sz w:val="17"/>
          <w:szCs w:val="17"/>
          <w:u w:val="single" w:color="auto"/>
          <w:color w:val="auto"/>
        </w:rPr>
        <w:t>Uniform Commercial Code</w:t>
      </w:r>
      <w:r>
        <w:rPr>
          <w:rFonts w:ascii="Arial" w:cs="Arial" w:eastAsia="Arial" w:hAnsi="Arial"/>
          <w:sz w:val="17"/>
          <w:szCs w:val="17"/>
          <w:color w:val="auto"/>
        </w:rPr>
        <w:t xml:space="preserve">” means the Uniform Commercial Code as in effect from time to time in the State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any time, if by reason of mandatory provisions of law, any or all of the perfection or priority of the Collateral Agent’s security interest in any item or portion of the Collateral is governed by the Uniform Commercial Code as in effect in a U.S.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spacing w:after="0" w:line="176"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Financials</w:t>
      </w:r>
      <w:r>
        <w:rPr>
          <w:rFonts w:ascii="Arial" w:cs="Arial" w:eastAsia="Arial" w:hAnsi="Arial"/>
          <w:sz w:val="18"/>
          <w:szCs w:val="18"/>
          <w:color w:val="auto"/>
        </w:rPr>
        <w:t>” means the unaudited consolidated balance sheet of the Target and its consolidated subsidiaries as at the end of, and the related unaudited consolidated statement of operations and unaudited consolidated statement of comprehensive income, unaudited consolidated statement of changes in Redeemable Class B Units and members’ equity and consolidated unaudited statement of cash flows, in each case, for, the six-month period (other than the fourth fiscal quarter period of any fiscal year) ended June 30, 2019 (without the requirement to include footnote disclosure).</w:t>
      </w:r>
    </w:p>
    <w:p>
      <w:pPr>
        <w:spacing w:after="0" w:line="188"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any Subsidiary (other than the Borrower) designated by the Borrower as an Unrestricted Subsidiary pursuant to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subsequent to the Effective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Unsecured Material Indebtedness</w:t>
      </w:r>
      <w:r>
        <w:rPr>
          <w:rFonts w:ascii="Arial" w:cs="Arial" w:eastAsia="Arial" w:hAnsi="Arial"/>
          <w:sz w:val="17"/>
          <w:szCs w:val="17"/>
          <w:color w:val="auto"/>
        </w:rPr>
        <w:t>” means any third party unsecured debt for borrowed money in an aggregate principal amount exceeding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(x) during the Suspension Period, $5,000,000, and (y) after the Suspension Period has ended,</w:t>
      </w:r>
      <w:r>
        <w:rPr>
          <w:rFonts w:ascii="Arial" w:cs="Arial" w:eastAsia="Arial" w:hAnsi="Arial"/>
          <w:sz w:val="18"/>
          <w:szCs w:val="18"/>
          <w:color w:val="0000FF"/>
        </w:rPr>
        <w:t xml:space="preserve"> </w:t>
      </w:r>
      <w:r>
        <w:rPr>
          <w:rFonts w:ascii="Arial" w:cs="Arial" w:eastAsia="Arial" w:hAnsi="Arial"/>
          <w:sz w:val="18"/>
          <w:szCs w:val="18"/>
          <w:color w:val="000000"/>
        </w:rPr>
        <w:t>$10,000,000.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42519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191"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2.17(e)</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Vehicles</w:t>
      </w:r>
      <w:r>
        <w:rPr>
          <w:rFonts w:ascii="Arial" w:cs="Arial" w:eastAsia="Arial" w:hAnsi="Arial"/>
          <w:sz w:val="18"/>
          <w:szCs w:val="18"/>
          <w:color w:val="auto"/>
        </w:rPr>
        <w:t>” means all railcars, cars, trucks, trailers, construction and earth moving equipment and other vehicles covered by a certificate of title law of any state and all tires and other appurtenances to any of the foregoing.</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shares of such Person’s Equity Interests that is at the time generally entitled, without regard to contingencies, to vote in the election of the Board of Directors of such Person. To the extent that a partnership agreement, limited liability company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121" w:name="page122"/>
    <w:bookmarkEnd w:id="121"/>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other agreement governing a partnership or limited liability company provides that the members of the Board of Directors of such partnership or limited liability company (or, in the case of a limited partnership whose business and affairs are managed or controlled by its general partner, the Board of Directors of the general partner of such limited partnership) is appointed or designated by one or more Persons rather than by a vote of Voting Stock, each of the Persons who are entitled to appoint or designate the members of such Board of Directors will be deemed to own a percentage of Voting Stock of such partnership or limited liability company equal to (a) the aggregate votes entitled to be cast on such Board of Directors by the members of such Board of Directors which such Person or Persons are entitled to appoint or designate divided by (b) the aggregate number of votes of all members of such Board of Directors.</w:t>
      </w:r>
    </w:p>
    <w:p>
      <w:pPr>
        <w:spacing w:after="0" w:line="195"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original Incurrence of such Indebtedness); by (b) the then outstanding principal amount of such Indebtedness.</w:t>
      </w:r>
    </w:p>
    <w:p>
      <w:pPr>
        <w:spacing w:after="0" w:line="192"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 subsidiary</w:t>
      </w:r>
      <w:r>
        <w:rPr>
          <w:rFonts w:ascii="Arial" w:cs="Arial" w:eastAsia="Arial" w:hAnsi="Arial"/>
          <w:sz w:val="17"/>
          <w:szCs w:val="17"/>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wholly-owned subsidiaries of such Person or by such Person and one or more wholly-owned subsidiaries of such Person.</w:t>
      </w:r>
    </w:p>
    <w:p>
      <w:pPr>
        <w:spacing w:after="0" w:line="171"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Loan Party, the Administrative Agent and, in the case of any U.S. federal withholding tax, any other withholding agent, if applicable.</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4"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and Borrowings may be classified and referred to by Class (e.g., a “Term Loan”) or by Type (e.g., a “Eurocurrency Loan”) or by Class and Type (e.g., a “Eurocurrency Term Loan”). Borrowings also may be classified and referred to by Class (e.g., a “Term Borrowing”) or by Type (e.g., a “Eurocurrency Borrowing”) or by Class and Type (e.g., a “Eurocurrency Term Borrowing”).</w:t>
      </w:r>
    </w:p>
    <w:p>
      <w:pPr>
        <w:spacing w:after="0" w:line="187"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20"/>
          </w:cols>
          <w:pgMar w:left="440" w:top="274" w:right="439" w:bottom="1440" w:gutter="0" w:footer="0" w:header="0"/>
        </w:sectPr>
      </w:pPr>
    </w:p>
    <w:bookmarkStart w:id="122" w:name="page123"/>
    <w:bookmarkEnd w:id="122"/>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59" w:lineRule="auto"/>
        <w:tabs>
          <w:tab w:leader="none" w:pos="707"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assuming that ASC 606 has been adopted for the entirety of the period and as otherwise specifically prescribed herein.</w:t>
      </w:r>
    </w:p>
    <w:p>
      <w:pPr>
        <w:spacing w:after="0" w:line="78" w:lineRule="exact"/>
        <w:rPr>
          <w:rFonts w:ascii="Arial" w:cs="Arial" w:eastAsia="Arial" w:hAnsi="Arial"/>
          <w:sz w:val="18"/>
          <w:szCs w:val="18"/>
          <w:color w:val="auto"/>
        </w:rPr>
      </w:pPr>
    </w:p>
    <w:p>
      <w:pPr>
        <w:ind w:firstLine="436"/>
        <w:spacing w:after="0" w:line="277" w:lineRule="auto"/>
        <w:tabs>
          <w:tab w:leader="none" w:pos="712"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Where reference is made to “the Borrower and the Restricted Subsidiaries on a consolidated basis” or similar language, such consolidation shall not include any Subsidiaries of Holdings other than the Borrower and the Restricted Subsidiaries.</w:t>
      </w:r>
    </w:p>
    <w:p>
      <w:pPr>
        <w:spacing w:after="0" w:line="62" w:lineRule="exact"/>
        <w:rPr>
          <w:rFonts w:ascii="Arial" w:cs="Arial" w:eastAsia="Arial" w:hAnsi="Arial"/>
          <w:sz w:val="18"/>
          <w:szCs w:val="18"/>
          <w:color w:val="auto"/>
        </w:rPr>
      </w:pPr>
    </w:p>
    <w:p>
      <w:pPr>
        <w:jc w:val="both"/>
        <w:ind w:firstLine="436"/>
        <w:spacing w:after="0" w:line="289" w:lineRule="auto"/>
        <w:tabs>
          <w:tab w:leader="none" w:pos="697"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the event that the Borrower elects to prepare its financial statements in accordance with IFRS and such election results in a change in the method of calculation of financial covenants, standards or terms (collectively, the “</w:t>
      </w:r>
      <w:r>
        <w:rPr>
          <w:rFonts w:ascii="Arial" w:cs="Arial" w:eastAsia="Arial" w:hAnsi="Arial"/>
          <w:sz w:val="16"/>
          <w:szCs w:val="16"/>
          <w:u w:val="single" w:color="auto"/>
          <w:color w:val="auto"/>
        </w:rPr>
        <w:t>Accounting Changes</w:t>
      </w:r>
      <w:r>
        <w:rPr>
          <w:rFonts w:ascii="Arial" w:cs="Arial" w:eastAsia="Arial" w:hAnsi="Arial"/>
          <w:sz w:val="16"/>
          <w:szCs w:val="16"/>
          <w:color w:val="auto"/>
        </w:rPr>
        <w:t>”) in this Agreement, the Borrower and the Administrative Agent agree to enter into good faith negotiations in order to amend such provisions of this Agreement (including the levels applicable herein to any computation of the Total Net Leverage Ratio, the Total Net Cash Leverage Ratio, the LTV Ratio and the Contract Asset Balance Coverage Ratio) so as to reflect equitably the Accounting Changes with the desired result that the criteria for evaluating the Borrower’s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GAAP (as determined in good faith by a Responsible Officer of the Borrower) (it being agreed that the reconciliation between GAAP and IFRS used in such determination shall be made available to Lenders) as if such change had not occurred.</w:t>
      </w:r>
    </w:p>
    <w:p>
      <w:pPr>
        <w:spacing w:after="0" w:line="58" w:lineRule="exact"/>
        <w:rPr>
          <w:rFonts w:ascii="Arial" w:cs="Arial" w:eastAsia="Arial" w:hAnsi="Arial"/>
          <w:sz w:val="16"/>
          <w:szCs w:val="16"/>
          <w:color w:val="auto"/>
        </w:rPr>
      </w:pPr>
    </w:p>
    <w:p>
      <w:pPr>
        <w:jc w:val="both"/>
        <w:ind w:firstLine="436"/>
        <w:spacing w:after="0" w:line="272" w:lineRule="auto"/>
        <w:tabs>
          <w:tab w:leader="none" w:pos="703"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(but only to the extent that, without undue burden and expense, the Borrower, its auditors and/or its financial systems are capable of interpreting such provisions as if such change had not occurred);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such an amendment 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440" w:top="274" w:right="439" w:bottom="1440" w:gutter="0" w:footer="0" w:header="0"/>
        </w:sectPr>
      </w:pPr>
    </w:p>
    <w:bookmarkStart w:id="123" w:name="page124"/>
    <w:bookmarkEnd w:id="123"/>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requested by the Borrower or the Required Lenders, then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Holdings or any Subsidiary at “fair value,” as defined therein and (b) the amount of any Indebtedness under GAAP with respect to Financing Lease Obligations shall be determined in accordance with the definition of Financing Lease Obligations.</w:t>
      </w:r>
    </w:p>
    <w:p>
      <w:pPr>
        <w:spacing w:after="0" w:line="84" w:lineRule="exact"/>
        <w:rPr>
          <w:sz w:val="20"/>
          <w:szCs w:val="20"/>
          <w:color w:val="auto"/>
        </w:rPr>
      </w:pPr>
    </w:p>
    <w:p>
      <w:pPr>
        <w:jc w:val="both"/>
        <w:ind w:right="20" w:firstLine="436"/>
        <w:spacing w:after="0" w:line="263" w:lineRule="auto"/>
        <w:tabs>
          <w:tab w:leader="none" w:pos="7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the avoidance of doubt, notwithstanding any classification under GAAP of any Person or business in respect of which a definitive agreement for the Disposition thereof has been entered into as discontinued operations, the Net Income of such Person or business shall not be excluded from the calculation of Net Income until such Disposition shall have been consummated.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Currency Translation; Rates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67" w:lineRule="auto"/>
        <w:tabs>
          <w:tab w:leader="none" w:pos="685"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For purposes of any determination under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the Exchange Rate (rounded to the nearest currency unit, with 0.5 or more of a currency unit being rounded upward);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(x) purposes of determining compliance with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with respect to the amount of any Indebtedness, Lien, Investment, Disposition, Restricted Payment or Restricted Debt Payment in a currency other than Dollars, no Default or Event of Default shall be deemed to have occurred solely as a result of changes in rates of exchange occurring after the time such Indebtedness, Lien or Investment is incurred or Disposition, Restricted Payment or Restricted Debt Payment made and (y) for purposes of determining compliance with any Dollar-denominated restriction on the incurrence of Indebtedness,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the Indebtedness that is incurred to Refinance such Indebtedness does not exceed the principal amount (or accreted amount) of such Indebtedness being Refinanced, except by an amount equal to the accrued interest, dividends and premium (including tender premiums), if any, thereon plus defeasance costs, underwriting discounts and other amounts paid and fees and expenses (including original issue discount, closing payments, upfront fees and similar fees) incurred in connection with such Refinancing plus an amount equal to any existing commitment unutilized and letters of credit undrawn thereunder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for the avoidance of doubt, the foregoing provisions of this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shall otherwise apply to such Sections, including with respect to determining whether any Indebtedness, Lien or Investment may be incurred or Disposition, Restricted Payment or Restricted Debt Payment made at any time under such Sections. For purposes of any determination of Consolidated Total Debt or Consolidated Total Net Debt, amounts in currencies other than Dollars shall be translated into Dollars at the currency exchange rates used in preparing the most recently delivered financial statements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5.01(b)</w:t>
      </w:r>
      <w:r>
        <w:rPr>
          <w:rFonts w:ascii="Arial" w:cs="Arial" w:eastAsia="Arial" w:hAnsi="Arial"/>
          <w:sz w:val="17"/>
          <w:szCs w:val="17"/>
          <w:color w:val="auto"/>
        </w:rPr>
        <w:t>. Each provision of this Agreement shall be subject to such reasonable changes of construction as the Administrative Agent may from time to time specify with the Borrower’s consent (such consent not to be unreasonably withheld) to appropriately reflect a change in currency of any country and any relevant market conventions or practices relating to such change in currency.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4" w:right="439" w:bottom="1440" w:gutter="0" w:footer="0" w:header="0"/>
        </w:sectPr>
      </w:pPr>
    </w:p>
    <w:bookmarkStart w:id="124" w:name="page125"/>
    <w:bookmarkEnd w:id="124"/>
    <w:p>
      <w:pPr>
        <w:jc w:val="both"/>
        <w:ind w:left="4" w:right="20" w:firstLine="436"/>
        <w:spacing w:after="0" w:line="263" w:lineRule="auto"/>
        <w:tabs>
          <w:tab w:leader="none" w:pos="703"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 except as expressly provided herein.</w:t>
      </w:r>
    </w:p>
    <w:p>
      <w:pPr>
        <w:spacing w:after="0" w:line="184"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Timing of Payment of Performance</w:t>
      </w:r>
      <w:r>
        <w:rPr>
          <w:rFonts w:ascii="Arial" w:cs="Arial" w:eastAsia="Arial" w:hAnsi="Arial"/>
          <w:sz w:val="18"/>
          <w:szCs w:val="18"/>
          <w:color w:val="auto"/>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187" w:lineRule="exact"/>
        <w:rPr>
          <w:sz w:val="20"/>
          <w:szCs w:val="20"/>
          <w:color w:val="auto"/>
        </w:rPr>
      </w:pPr>
    </w:p>
    <w:p>
      <w:pPr>
        <w:jc w:val="both"/>
        <w:ind w:left="4" w:firstLine="440"/>
        <w:spacing w:after="0" w:line="273"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Cashless Rollovers</w:t>
      </w:r>
      <w:r>
        <w:rPr>
          <w:rFonts w:ascii="Arial" w:cs="Arial" w:eastAsia="Arial" w:hAnsi="Arial"/>
          <w:sz w:val="17"/>
          <w:szCs w:val="17"/>
          <w:color w:val="auto"/>
        </w:rPr>
        <w:t>. Notwithstanding anything to the contrary contained in this Agreement or in any other Loan Document, to the extent that any Lender extends the maturity date of, or replaces, renews or refinances, any of its then-existing Loans with Incremental Term Loans, Loans in connection with any Replacement Revolving Commitments, Extended Revolving Commitments,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Certain Calculations and Tests</w:t>
      </w:r>
      <w:r>
        <w:rPr>
          <w:rFonts w:ascii="Arial" w:cs="Arial" w:eastAsia="Arial" w:hAnsi="Arial"/>
          <w:sz w:val="18"/>
          <w:szCs w:val="18"/>
          <w:color w:val="auto"/>
        </w:rPr>
        <w:t>.</w:t>
      </w:r>
    </w:p>
    <w:p>
      <w:pPr>
        <w:spacing w:after="0" w:line="117" w:lineRule="exact"/>
        <w:rPr>
          <w:sz w:val="20"/>
          <w:szCs w:val="20"/>
          <w:color w:val="auto"/>
        </w:rPr>
      </w:pPr>
    </w:p>
    <w:p>
      <w:pPr>
        <w:jc w:val="both"/>
        <w:ind w:left="4" w:firstLine="440"/>
        <w:spacing w:after="0" w:line="283" w:lineRule="auto"/>
        <w:rPr>
          <w:sz w:val="20"/>
          <w:szCs w:val="20"/>
          <w:color w:val="auto"/>
        </w:rPr>
      </w:pPr>
      <w:r>
        <w:rPr>
          <w:rFonts w:ascii="Arial" w:cs="Arial" w:eastAsia="Arial" w:hAnsi="Arial"/>
          <w:sz w:val="16"/>
          <w:szCs w:val="16"/>
          <w:color w:val="auto"/>
        </w:rPr>
        <w:t xml:space="preserve">Notwithstanding anything in this Agreement or any Loan Document to the contrary, for purposes of (i) determining compliance with any provision in this Agreement or any Loan Document that requires the calculation of any financial ratio or test (including, without limitation, any Total Net Leverage Ratio, any Total Net Cash Leverage Ratio, any Contract Asset Balance Coverage Ratio or any LTV Ratio test (including as required in the definition of “Permitted Acquisition”)), (ii) determining compliance with representations and warranties or the requirement regarding the absence of a Default or Event of Default (or any type of Default or Event of Default) (other than in connection with any borrowing of Revolving Loans or issuance of any Letter of Credit under the Revolving Credit Facility (or Other Revolving Commitments)) or (iii) testing any cap expressed as a percentage of Consolidated EBITDA, Consolidated Cash EBITDA, Liquidity or Consolidated Total Assets and any other availability of a “basket” or exception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in each case in connection with a Specified Transaction or other transaction permitted hereunder, undertaken in connection with the consummation of a Limited Condition Transaction, the date of determination of whether any such action is permitted hereunder (but not, for the avoidance of doubt, in connection with any calculation of the Financial Maintenance Covenant for the purposes of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only), at the election of the Borrower (such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will be deemed to be</w:t>
      </w:r>
    </w:p>
    <w:p>
      <w:pPr>
        <w:spacing w:after="0" w:line="4" w:lineRule="exact"/>
        <w:rPr>
          <w:sz w:val="20"/>
          <w:szCs w:val="20"/>
          <w:color w:val="auto"/>
        </w:rPr>
      </w:pPr>
    </w:p>
    <w:p>
      <w:pPr>
        <w:jc w:val="both"/>
        <w:ind w:left="4" w:hanging="4"/>
        <w:spacing w:after="0" w:line="251" w:lineRule="auto"/>
        <w:tabs>
          <w:tab w:leader="none" w:pos="26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date the definitive agreements for such Limited Condition Transaction are entered into or (y) in respect of sales in connection with an acquisition to which the United Kingdom City Code on Takeovers and Mergers applies (or similar law or practice in other jurisdictions), the date on which a “Rule 2.7 announcement” of a firm intends to make an offer or similar announcement or determination in another jurisdiction subject to laws similar to the United Kingdom City Code on Takeovers and Mergers in respect of a target of a Limited Condition Transaction (the “</w:t>
      </w:r>
      <w:r>
        <w:rPr>
          <w:rFonts w:ascii="Arial" w:cs="Arial" w:eastAsia="Arial" w:hAnsi="Arial"/>
          <w:sz w:val="18"/>
          <w:szCs w:val="18"/>
          <w:u w:val="single" w:color="auto"/>
          <w:color w:val="auto"/>
        </w:rPr>
        <w:t>LCT Test Date</w:t>
      </w:r>
      <w:r>
        <w:rPr>
          <w:rFonts w:ascii="Arial" w:cs="Arial" w:eastAsia="Arial" w:hAnsi="Arial"/>
          <w:sz w:val="18"/>
          <w:szCs w:val="18"/>
          <w:color w:val="auto"/>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recently completed Tests Period ending on or prior to the LCT Test Date, the Borrower could have taken such action on the relevant LCT Test Date in compliance with such ratios, representation, warranty, absence of Default or Event of Default or “basket”, such ratio, representation, warranty, absence of Default or Event of Default shall be deemed to have been complied</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24"/>
          </w:cols>
          <w:pgMar w:left="436" w:top="274" w:right="439" w:bottom="1440" w:gutter="0" w:footer="0" w:header="0"/>
        </w:sectPr>
      </w:pPr>
    </w:p>
    <w:bookmarkStart w:id="125" w:name="page126"/>
    <w:bookmarkEnd w:id="125"/>
    <w:p>
      <w:pPr>
        <w:jc w:val="both"/>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For the avoidance of doubt, if the Borrower has made an LCT Election and (x) any of the ratios or “baskets” for which compliance was determined or tested as of the LCT Test Date are exceeded as a result of fluctuations in any such ratio or “basket” (including due to fluctuations of the target of any Limited Condition Transaction) at or prior to the consummation of the relevant Limited Condition Transaction, such “baskets” or ratios and other provisions will not be deemed to have been exceeded as a result of such fluctuations solely for purposes of determining whether the Limited Condition Transaction is permitted hereunder and (y) in connection with any subsequent calculation of any ratio or “basket” availability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availability shall be calculated (x) on a pro forma basis assuming such Limited Condition Transaction and other transactions in connection therewith (including any incurrence of Indebtedness and the use of proceeds thereof (but without netting the cash proceeds thereof)) had been consummated or (y) solely in respect of any Restricted Payment or any Restricted Debt Payment, on a standalone basis without assuming such Limited Condition Transaction and other transactions in connection therewith (including any incurrence of Indebtedness and the use of proceeds thereof (but without netting the cash proceeds thereof)) had been consummated. For the further avoidance of doubt, in the absence of an LCT Election, unless specifically stated in this Agreement to be otherwise, all determinations of (x) compliance with any financial ratio or test (including, without limitation, any Total Net Leverage Ratio, any Total Net Cash Leverage Ratio, any Contract Asset Balance Coverage Ratio or any LTV Ratio test (but not, for the avoidance of doubt, in connection with any calculation of the Financial Maintenance Covenant for the purposes of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only)) and/or any cap expressed as a percentage of Consolidated EBITDA, Consolidated Cash EBITDA, Liquidity or Consolidated Total Assets, (y) any representation and warranties, or any requirement regarding the absence of a Default or Event of Default (or any type of Default or Event of Default) or (z) any availability test under any “baskets” shall be made as of the applicable date of the consummation of the Specified Transaction or other transaction hereunder.</w:t>
      </w:r>
    </w:p>
    <w:p>
      <w:pPr>
        <w:spacing w:after="0" w:line="171" w:lineRule="exact"/>
        <w:rPr>
          <w:sz w:val="20"/>
          <w:szCs w:val="20"/>
          <w:color w:val="auto"/>
        </w:rPr>
      </w:pPr>
    </w:p>
    <w:p>
      <w:pPr>
        <w:jc w:val="both"/>
        <w:ind w:left="4" w:right="20" w:firstLine="440"/>
        <w:spacing w:after="0" w:line="259"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for five).</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1.10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Pro Forma and Other Calculations</w:t>
      </w:r>
      <w:r>
        <w:rPr>
          <w:rFonts w:ascii="Arial" w:cs="Arial" w:eastAsia="Arial" w:hAnsi="Arial"/>
          <w:sz w:val="18"/>
          <w:szCs w:val="18"/>
          <w:color w:val="auto"/>
        </w:rPr>
        <w:t>.</w:t>
      </w:r>
    </w:p>
    <w:p>
      <w:pPr>
        <w:spacing w:after="0" w:line="117" w:lineRule="exact"/>
        <w:rPr>
          <w:sz w:val="20"/>
          <w:szCs w:val="20"/>
          <w:color w:val="auto"/>
        </w:rPr>
      </w:pPr>
    </w:p>
    <w:p>
      <w:pPr>
        <w:jc w:val="both"/>
        <w:ind w:left="4" w:right="20" w:firstLine="436"/>
        <w:spacing w:after="0" w:line="286" w:lineRule="auto"/>
        <w:tabs>
          <w:tab w:leader="none" w:pos="691"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financial ratios and tests (including measurements of Consolidated Total Assets, Consolidated Cash EBITDA, Liquidity or Consolidated EBITDA and the Total Net Leverage Ratio, the Total Net Cash Leverage Ratio, the Contract Asset Balance Coverage Ratio or the LTV Ratio), shall be calculated in the manner prescribed by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clauses (b), (c) or (d) of this </w:t>
      </w:r>
      <w:r>
        <w:rPr>
          <w:rFonts w:ascii="Arial" w:cs="Arial" w:eastAsia="Arial" w:hAnsi="Arial"/>
          <w:sz w:val="16"/>
          <w:szCs w:val="16"/>
          <w:u w:val="single" w:color="auto"/>
          <w:color w:val="auto"/>
        </w:rPr>
        <w:t>Section 1.11</w:t>
      </w:r>
      <w:r>
        <w:rPr>
          <w:rFonts w:ascii="Arial" w:cs="Arial" w:eastAsia="Arial" w:hAnsi="Arial"/>
          <w:sz w:val="16"/>
          <w:szCs w:val="16"/>
          <w:color w:val="auto"/>
        </w:rPr>
        <w:t>, (I) when calculating the Total Net Leverage Ratio for purposes of, as applicable, (i) [reserved],</w:t>
      </w:r>
    </w:p>
    <w:p>
      <w:pPr>
        <w:spacing w:after="0" w:line="1" w:lineRule="exact"/>
        <w:rPr>
          <w:rFonts w:ascii="Arial" w:cs="Arial" w:eastAsia="Arial" w:hAnsi="Arial"/>
          <w:sz w:val="16"/>
          <w:szCs w:val="16"/>
          <w:color w:val="auto"/>
        </w:rPr>
      </w:pPr>
    </w:p>
    <w:p>
      <w:pPr>
        <w:jc w:val="both"/>
        <w:ind w:left="4" w:hanging="4"/>
        <w:spacing w:after="0" w:line="271" w:lineRule="auto"/>
        <w:tabs>
          <w:tab w:leader="none" w:pos="269"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[reserved] and (iii)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and (II) when calculating the Total Net Cash Leverage Ratio for purposes of </w:t>
      </w:r>
      <w:r>
        <w:rPr>
          <w:rFonts w:ascii="Arial" w:cs="Arial" w:eastAsia="Arial" w:hAnsi="Arial"/>
          <w:sz w:val="17"/>
          <w:szCs w:val="17"/>
          <w:u w:val="single" w:color="auto"/>
          <w:color w:val="auto"/>
        </w:rPr>
        <w:t>Section 2.11(d)</w:t>
      </w:r>
      <w:r>
        <w:rPr>
          <w:rFonts w:ascii="Arial" w:cs="Arial" w:eastAsia="Arial" w:hAnsi="Arial"/>
          <w:sz w:val="17"/>
          <w:szCs w:val="17"/>
          <w:color w:val="auto"/>
        </w:rPr>
        <w:t xml:space="preserve">, in each case, the events described in this Section 1.11 that occurred subsequent to the end of the applicable Test Period shall not be given pro forma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calculating the ECF Percentage, Consolidated Total Net Debt shall be determined after giving pro forma effect to the Permitted ECF Recalculation Considerations assuming such prepayments had been made on the last day of such fiscal year. In addition, whenever a financial ratio or test is to be calculated on a pro forma basis or requires pro forma compliance, the reference to</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24"/>
          </w:cols>
          <w:pgMar w:left="436" w:top="274" w:right="439" w:bottom="1440" w:gutter="0" w:footer="0" w:header="0"/>
        </w:sectPr>
      </w:pPr>
    </w:p>
    <w:bookmarkStart w:id="126" w:name="page127"/>
    <w:bookmarkEnd w:id="126"/>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“Test Period” for purposes of calculating such financial ratio or test shall be deemed to be a reference to, and shall be based on, the Test Period most recently ended for which financial statements have been (or were required to have been)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38" w:lineRule="exact"/>
        <w:rPr>
          <w:sz w:val="20"/>
          <w:szCs w:val="20"/>
          <w:color w:val="auto"/>
        </w:rPr>
      </w:pPr>
    </w:p>
    <w:p>
      <w:pPr>
        <w:jc w:val="both"/>
        <w:ind w:right="20" w:firstLine="436"/>
        <w:spacing w:after="0" w:line="269" w:lineRule="auto"/>
        <w:tabs>
          <w:tab w:leader="none" w:pos="721" w:val="left"/>
        </w:tabs>
        <w:numPr>
          <w:ilvl w:val="0"/>
          <w:numId w:val="99"/>
        </w:numPr>
        <w:rPr>
          <w:rFonts w:ascii="Arial" w:cs="Arial" w:eastAsia="Arial" w:hAnsi="Arial"/>
          <w:sz w:val="17"/>
          <w:szCs w:val="17"/>
          <w:color w:val="auto"/>
        </w:rPr>
      </w:pPr>
      <w:r>
        <w:rPr>
          <w:rFonts w:ascii="Arial" w:cs="Arial" w:eastAsia="Arial" w:hAnsi="Arial"/>
          <w:sz w:val="17"/>
          <w:szCs w:val="17"/>
          <w:color w:val="auto"/>
        </w:rPr>
        <w:t>For purposes of calculating any financial ratio or test (including Consolidated Total Assets, Consolidated Cash EBITDA or Consolidated EBITDA), Specified Transactions (with any incurrence or Refinancing of any Indebtedness in connection therewith to be subject to clause (d) of this Section 1.11) that have been made (i) during the applicable Test Period or (ii) subsequent to such Test Period and prior to or simultaneously with the event for which the calculation of any such ratio is made shall be calculated on a pro forma basis assuming that all such Specified Transactions (and any increase or decrease in Consolidated EBITDA, Consolidated Cash EBITDA and the component financial definitions used therein attributable to any Specified Transaction) had occurred on the first day of the applicable Test Period (or, in the case of Consolidated Total Assets or “unrestricted” cash and Cash Equivalents, on the last day of the applicable Test Period). If, since the beginning of any applicable Test Period, any Person that subsequently became a Restricted Subsidiary or was merged, amalgamated or consolidated with or into Holdings, the Borrower or any Restricted Subsidiary since the beginning of such Test Period shall have made any Specified Transaction that would have required adjustment pursuant to this Section 1.11, then such financial ratio or test (including Consolidated Total Assets and Consolidated EBITDA) shall be calculated to give pro forma effect thereto in accordance with this Section 1.11.</w:t>
      </w:r>
    </w:p>
    <w:p>
      <w:pPr>
        <w:spacing w:after="0" w:line="73" w:lineRule="exact"/>
        <w:rPr>
          <w:rFonts w:ascii="Arial" w:cs="Arial" w:eastAsia="Arial" w:hAnsi="Arial"/>
          <w:sz w:val="17"/>
          <w:szCs w:val="17"/>
          <w:color w:val="auto"/>
        </w:rPr>
      </w:pPr>
    </w:p>
    <w:p>
      <w:pPr>
        <w:jc w:val="both"/>
        <w:ind w:firstLine="436"/>
        <w:spacing w:after="0" w:line="284" w:lineRule="auto"/>
        <w:tabs>
          <w:tab w:leader="none" w:pos="691"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Whenever pro forma effect or a determination of pro forma compliance is to be given to a Specified Transaction or a Specified Restructuring, the pro forma calculations shall be made in good faith by a Responsible Officer of Holdings and may include, for the avoidance of doubt, the amount of “run rate” cost savings, operating expense reductions and cost synergies and other synergies projected by Holdings in good faith to result from or relating to any Specified Transaction (including the Transactions) or Specified Restructuring that is being given pro forma effect or for which a determination of pro forma compliance is being made that have been realized or are expected to be realized and for which the actions necessary to realize such cost savings, operating expense reductions, cost synergies or other synergies have been taken or initiated, have been committed to be taken or initiated, with respect to which substantial steps have been taken or initiated or which are expected to be taken or initiated (in the good faith determination of the Borrower) (calculated on a pro forma basis as though such cost savings, operating expense reductions, cost synergies and other synergies had been realized on the first day of such period and as if such cost savings, operating expense reductions, cost synergies and other synergies were realized during the entirety of such period and “run rate” means the full recurring benefit for a period that is associated with any action taken, any action committed to be taken, any action with respect to which substantial steps have been taken or initiated or any action that is expected to be taken (including any savings expected to result from the elimination of Public Company Costs)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or Specified Restructuring, and any such adjustments included in the initial pro forma calculations shall continue to apply to subsequent calculations of such financial ratios or tests, including during any subsequent Test Periods in which the effects thereof are expected to be realizable;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amounts are reasonably identifiable and factually supportable in the good faith judgment of Holdings, (B) such actions are taken, such actions are committed to be taken, substantial steps with respect to such action have been taken or initiated or such actions are expected to be taken no later than six fiscal quarters after the date of consummation of such Specified Transaction or the date of initiation of such Specified Restructuring, (C) no amounts shall be added to the extent duplicative of any amounts that are otherwise added back in computing Consolidated EBITDA or Consolidated Cash EBITDA (or any other components thereof), whether through a pro forma adjustment or otherwise, with respect to such period and (D) the aggregate amount of any such pro forma increase added to Consolidated EBITDA pursuant to this clause (D), when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127" w:name="page128"/>
    <w:bookmarkEnd w:id="127"/>
    <w:p>
      <w:pPr>
        <w:jc w:val="both"/>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combined, without duplication, with amounts added to Consolidated EBITDA pursuant to </w:t>
      </w:r>
      <w:r>
        <w:rPr>
          <w:rFonts w:ascii="Arial" w:cs="Arial" w:eastAsia="Arial" w:hAnsi="Arial"/>
          <w:sz w:val="17"/>
          <w:szCs w:val="17"/>
          <w:u w:val="single" w:color="auto"/>
          <w:color w:val="auto"/>
        </w:rPr>
        <w:t>clauses (a)(xv)</w:t>
      </w:r>
      <w:r>
        <w:rPr>
          <w:rFonts w:ascii="Arial" w:cs="Arial" w:eastAsia="Arial" w:hAnsi="Arial"/>
          <w:sz w:val="17"/>
          <w:szCs w:val="17"/>
          <w:color w:val="auto"/>
        </w:rPr>
        <w:t xml:space="preserve">, </w:t>
      </w:r>
      <w:r>
        <w:rPr>
          <w:rFonts w:ascii="Arial" w:cs="Arial" w:eastAsia="Arial" w:hAnsi="Arial"/>
          <w:sz w:val="17"/>
          <w:szCs w:val="17"/>
          <w:u w:val="single" w:color="auto"/>
          <w:color w:val="auto"/>
        </w:rPr>
        <w:t>(a)(xvi)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(b)(1)</w:t>
      </w:r>
      <w:r>
        <w:rPr>
          <w:rFonts w:ascii="Arial" w:cs="Arial" w:eastAsia="Arial" w:hAnsi="Arial"/>
          <w:sz w:val="17"/>
          <w:szCs w:val="17"/>
          <w:color w:val="auto"/>
        </w:rPr>
        <w:t xml:space="preserve"> of the definition of “Consolidated EBITDA” and amounts excluded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of “Consolidated Net Income”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w:t>
      </w:r>
    </w:p>
    <w:p>
      <w:pPr>
        <w:spacing w:after="0" w:line="68" w:lineRule="exact"/>
        <w:rPr>
          <w:sz w:val="20"/>
          <w:szCs w:val="20"/>
          <w:color w:val="auto"/>
        </w:rPr>
      </w:pPr>
    </w:p>
    <w:p>
      <w:pPr>
        <w:jc w:val="both"/>
        <w:ind w:firstLine="436"/>
        <w:spacing w:after="0" w:line="269" w:lineRule="auto"/>
        <w:tabs>
          <w:tab w:leader="none" w:pos="70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In the event that Holdings, the Borrower or any Restricted Subsidiary incurs (including by assumption or guarantee) or Refinances (including by redemption, repurchase, repayment, retirement or extinguishment) any Indebtedness, in each case included in the calculations of any financial ratio or test, (i) during the applicable Test Period or (ii) subsequent to the end of the applicable Test Period and prior to or simultaneously with the event for which the calculation of any such ratio is made, then such financial ratio or test shall be calculated giving pro forma effect to such incurrence or Refinancing of Indebtedness (including pro forma effect to the application of the net proceeds therefrom), in each case to the extent required, as if the same had occurred on the last day of the applicable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Incurrence of Indebtedness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in reliance on the pro forma calculation of the Total Net Cash Leverage Ratio (a “</w:t>
      </w:r>
      <w:r>
        <w:rPr>
          <w:rFonts w:ascii="Arial" w:cs="Arial" w:eastAsia="Arial" w:hAnsi="Arial"/>
          <w:sz w:val="17"/>
          <w:szCs w:val="17"/>
          <w:u w:val="single" w:color="auto"/>
          <w:color w:val="auto"/>
        </w:rPr>
        <w:t>Ratio Incurrence</w:t>
      </w:r>
      <w:r>
        <w:rPr>
          <w:rFonts w:ascii="Arial" w:cs="Arial" w:eastAsia="Arial" w:hAnsi="Arial"/>
          <w:sz w:val="17"/>
          <w:szCs w:val="17"/>
          <w:color w:val="auto"/>
        </w:rPr>
        <w:t xml:space="preserve">”) such calculation shall not give pro forma effect to any Indebtedness being incurred (or expected to be incurred) substantially simultaneously or contemporaneously with such Ratio Incurrence in reliance on any “basket” set forth in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(including clause (a) of the definition of “Incremental Cap” and any “baskets” measured as a percentage of Consolidated Total Assets, Consolidated Cash EBITDA or Consolidated EBITDA and including any Borrowing of up to $15,000,000 under the Revolving Credit Facility or issuance of any Letter of Credit, except to the extent expressly required to be calculated otherwise in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6.01(a)(xxiii)</w:t>
      </w:r>
      <w:r>
        <w:rPr>
          <w:rFonts w:ascii="Arial" w:cs="Arial" w:eastAsia="Arial" w:hAnsi="Arial"/>
          <w:sz w:val="17"/>
          <w:szCs w:val="17"/>
          <w:color w:val="auto"/>
        </w:rPr>
        <w:t xml:space="preserve"> or any Replacement Revolving Facility).</w:t>
      </w:r>
    </w:p>
    <w:p>
      <w:pPr>
        <w:spacing w:after="0" w:line="70" w:lineRule="exact"/>
        <w:rPr>
          <w:rFonts w:ascii="Arial" w:cs="Arial" w:eastAsia="Arial" w:hAnsi="Arial"/>
          <w:sz w:val="17"/>
          <w:szCs w:val="17"/>
          <w:color w:val="auto"/>
        </w:rPr>
      </w:pPr>
    </w:p>
    <w:p>
      <w:pPr>
        <w:ind w:left="680" w:hanging="244"/>
        <w:spacing w:after="0"/>
        <w:tabs>
          <w:tab w:leader="none" w:pos="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such pro forma shall include, without limitation, all adjustments calculated in accordance with Regulation S-X under the Securities Act.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69" w:lineRule="auto"/>
        <w:tabs>
          <w:tab w:leader="none" w:pos="71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(i) Subject to the terms and conditions set forth herein, (i) each Term Lender (other than the 2020 Incremental Term Lenders and 2021 Incremental Term Lenders) severally agrees to make an Initial Term Loan to the Borrower denominated in Dollars on the Effective Date in an aggregate principal amount equal to its Initial Term Loan Commitment, (ii) each 2020 Incremental Term Lender severally agrees to make a 2020 Incremental Term Loan to the Borrower denominated in Dollars on the 2020 Incremental Closing Date (as defined in Amendment No. 1) in an aggregate principal amount equal to its 2020 Incremental Term Loan Commitment, (iii) each 2021 Incremental Term Lender severally agrees to make a 2021 Incremental Term Loan to the Borrower denominated in Dollars on the Amendment No. 5 Effective Date in an aggregate principal amount equal to its 2021 Incremental Term Loan Commitment, (iv) each 2021-2 Incremental Term Lender severally agrees to make a 2021-2 Incremental Term Loan to the Borrower denominated in Dollars on the 2021-2 Incremental Term Loan Closing Date in an aggregate principal amount equal to its 2021-2 Incremental Term Loan Commitment, and (v) each Revolving Lender agrees to make Revolving Loans to the Borrower denominated in Dollars during the Revolving Availability Period in an aggregate principal amount which will not result in such Lender’s Revolving Exposure exceeding such Lender’s Revolving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borrowing of Revolving Loans on the Effective Date shall not exceed the Initial Revolving Borrowing Amount. The Borrower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20"/>
          </w:cols>
          <w:pgMar w:left="440" w:top="274" w:right="439" w:bottom="1440" w:gutter="0" w:footer="0" w:header="0"/>
        </w:sectPr>
      </w:pPr>
    </w:p>
    <w:bookmarkStart w:id="128" w:name="page129"/>
    <w:bookmarkEnd w:id="128"/>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borrow, prepay and reborrow Revolving Loans. Amounts repaid or prepaid in respect of Initial Term Loans, 2020 Incremental Term Loans, 2021 Incremental Term Loans and 2021-2 Incremental Term Loans may not be reborrowed.</w:t>
      </w:r>
    </w:p>
    <w:p>
      <w:pPr>
        <w:spacing w:after="0" w:line="62" w:lineRule="exact"/>
        <w:rPr>
          <w:sz w:val="20"/>
          <w:szCs w:val="20"/>
          <w:color w:val="auto"/>
        </w:rPr>
      </w:pPr>
    </w:p>
    <w:p>
      <w:pPr>
        <w:jc w:val="both"/>
        <w:ind w:firstLine="436"/>
        <w:spacing w:after="0" w:line="259" w:lineRule="auto"/>
        <w:tabs>
          <w:tab w:leader="none" w:pos="6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Subject to the terms and conditions set forth in any Incremental Facility Amendment providing for, as applicable, the making or Refinancing of Term Loans or Revolving Loans, each Term Lender or Revolving Lender party thereto severally agrees to, as applicable, make or Refinance Term Loans or Revolving Loans, as applicable, on the date specified therein in an aggregate amount not to exceed the amount of such Term Lender’s or Revolving Lender’s Commitment as set forth therein.</w:t>
      </w:r>
    </w:p>
    <w:p>
      <w:pPr>
        <w:spacing w:after="0" w:line="78" w:lineRule="exact"/>
        <w:rPr>
          <w:rFonts w:ascii="Arial" w:cs="Arial" w:eastAsia="Arial" w:hAnsi="Arial"/>
          <w:sz w:val="18"/>
          <w:szCs w:val="18"/>
          <w:color w:val="auto"/>
        </w:rPr>
      </w:pPr>
    </w:p>
    <w:p>
      <w:pPr>
        <w:jc w:val="both"/>
        <w:ind w:firstLine="436"/>
        <w:spacing w:after="0" w:line="269" w:lineRule="auto"/>
        <w:tabs>
          <w:tab w:leader="none" w:pos="68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As of the Amendment No. 5 Effective Date, in accordance with, and upon the terms and conditions set forth in, the Amendment No. 5, (A) the Original Revolving Commitment of each Class B Revolving Lender outstanding on such date shall become Class B Revolving Commitments on such date in an amount as set forth on Schedule I-B to the Amendment No. 5 and (B) the Original Revolving Commitment of each Class A Revolving Lender described in clause (b) of the definition of “Class A Revolving Lender” that do not become Class B Revolving Commitments pursuant to the foregoing clause (A) shall be continued hereunder on such date as Revolving Commitments and reclassified as Class A Revolving Commitments in an amount as set forth on Schedule I-B to the Amendment No. 5. On and after the Amendment No. 5 Effective Date, all Borrowings of Revolving Loans under Section 2.1(a)(iv) shall be made pro rata between the Class A Revolving Facility and the Class B Revolving Facility in proportion to the Total Class A Revolving Commitments and Total Class B Revolving Commitments. Any Original Revolving Loans outstanding immediately prior to giving effect to the Amendment No. 5 Effective Date shall be continued as Revolving Loans hereunder on the Amendment No. 5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Original Revolving Loans of each Class A Revolving Lender will be continued as “Class A Revolving Loans” hereunder and (y) the Original Revolving Loans of each Class B Revolving Lender will become “Class B Revolving Loans” hereunder, in each case, on the terms set forth herein for such Class of Revolving Commitments.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117" w:lineRule="exact"/>
        <w:rPr>
          <w:sz w:val="20"/>
          <w:szCs w:val="20"/>
          <w:color w:val="auto"/>
        </w:rPr>
      </w:pPr>
    </w:p>
    <w:p>
      <w:pPr>
        <w:jc w:val="both"/>
        <w:ind w:right="20" w:firstLine="436"/>
        <w:spacing w:after="0" w:line="293" w:lineRule="auto"/>
        <w:tabs>
          <w:tab w:leader="none" w:pos="69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Each Loan (other than a Swingline Loan) shall be made as part of a Borrowing consisting of Loans of the same Class and Type made by the applicable Lenders ratably in accordance with their respective Commitments of the applicable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Borrowing of Revolving Loans shall be made pro rata between the Class A Revolving Commitments and the Class B Revolving Commitments in proportion to the respective Revolving Commitments under each such Revolving Credit Facility.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56" w:lineRule="exact"/>
        <w:rPr>
          <w:rFonts w:ascii="Arial" w:cs="Arial" w:eastAsia="Arial" w:hAnsi="Arial"/>
          <w:sz w:val="16"/>
          <w:szCs w:val="16"/>
          <w:color w:val="auto"/>
        </w:rPr>
      </w:pPr>
    </w:p>
    <w:p>
      <w:pPr>
        <w:jc w:val="both"/>
        <w:ind w:right="20" w:firstLine="436"/>
        <w:spacing w:after="0" w:line="271" w:lineRule="auto"/>
        <w:tabs>
          <w:tab w:leader="none" w:pos="70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each Revolving Loan Borrowing and Term Loan Borrowing denominated in Dollars shall be comprised entirely of ABR Loans or Eurocurrency Loans as the Borrower may request in accordance herewith. Each Swingline Loan shall be an ABR Loan. Each Lender at its option may make any Loan by causing any domestic or foreign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exercise of such option shall not affect the obligation of the Borrower to repay such Loan in accordance with the terms of this Agreement, (ii) such Loan shall be deemed to have been made and held by such Lender, and the obligation of the Borrower to repay such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20"/>
          </w:cols>
          <w:pgMar w:left="440" w:top="274" w:right="439" w:bottom="1440" w:gutter="0" w:footer="0" w:header="0"/>
        </w:sectPr>
      </w:pPr>
    </w:p>
    <w:bookmarkStart w:id="129" w:name="page130"/>
    <w:bookmarkEnd w:id="129"/>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 be compensated hereunder or that it otherwise determines would be disadvantageous to it and in the event of such request for costs for which compensation is provided under this Agreement, the provisions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apply);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no such domestic or foreign branch or Affiliate of such Lender shall be entitled to any greater indemnification under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with respect to such Loan than that to which the applicable Lender was entitled on the date on which such Loan was made (except in connection with any indemnification entitlement arising as a result of any Change in Law after the date on which such Loan was made).</w:t>
      </w:r>
    </w:p>
    <w:p>
      <w:pPr>
        <w:spacing w:after="0" w:line="80" w:lineRule="exact"/>
        <w:rPr>
          <w:sz w:val="20"/>
          <w:szCs w:val="20"/>
          <w:color w:val="auto"/>
        </w:rPr>
      </w:pPr>
    </w:p>
    <w:p>
      <w:pPr>
        <w:jc w:val="both"/>
        <w:ind w:firstLine="436"/>
        <w:spacing w:after="0" w:line="253" w:lineRule="auto"/>
        <w:tabs>
          <w:tab w:leader="none" w:pos="70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Eurocurrency Borrowing, such Borrowing shall be in an aggregate amount that is an integral multiple of the Borrowing Multiple and not less than the Borrowing Minimum;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Eurocurrency Borrowing that results from a continuation of an outstanding Eurocurrency Borrowing may be in an aggregate amount that is equal to such outstanding Borrowing. At the time that each ABR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15 Eurocurrency Borrowings outstanding (which number of Eurocurrency Borrowings may be increased or adjusted by agreement between Holdings, the Borrower and the Administrative Agent in connection with any Incremental Facility or Extended Loans/Commitments or Loan Modification Offer).</w:t>
      </w:r>
    </w:p>
    <w:p>
      <w:pPr>
        <w:spacing w:after="0" w:line="196"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xml:space="preserve">. To request a Revolving Loan Borrowing or Term Loan Borrowing, the Borrower shall notify the Administrative Agent of such request by delivery (by hand delivery, facsimile or other electronic transmission) of a written Borrowing Request signed by the Borrower to the Administrative Agent (a) not later than 2:00 p.m., New York City time, three Business Days before the date of the proposed Borrowing (or one Business Day in the case of any Eurocurrency Borrowing to be made on the Effective Date) (or such later time as the Administrative Agent may agree in its sole discretion) or (b) in the case of an ABR Borrowing, not later than 2:00 p.m., New York City time, one Business Day prior to the date of the proposed Borrowing. Each such Borrowing Request shall (x) in the case of any Revolving Loan Borrowing, be irrevocable upon delivery and (y) specify the following information (other than, in the case of </w:t>
      </w:r>
      <w:r>
        <w:rPr>
          <w:rFonts w:ascii="Arial" w:cs="Arial" w:eastAsia="Arial" w:hAnsi="Arial"/>
          <w:sz w:val="18"/>
          <w:szCs w:val="18"/>
          <w:u w:val="single" w:color="auto"/>
          <w:color w:val="auto"/>
        </w:rPr>
        <w:t>clause (vii)</w:t>
      </w:r>
      <w:r>
        <w:rPr>
          <w:rFonts w:ascii="Arial" w:cs="Arial" w:eastAsia="Arial" w:hAnsi="Arial"/>
          <w:sz w:val="18"/>
          <w:szCs w:val="18"/>
          <w:color w:val="auto"/>
        </w:rPr>
        <w:t xml:space="preserve"> below, the Borrowing Request pertaining to Borrowings on the Effective Date):</w:t>
      </w:r>
    </w:p>
    <w:p>
      <w:pPr>
        <w:spacing w:after="0" w:line="84" w:lineRule="exact"/>
        <w:rPr>
          <w:sz w:val="20"/>
          <w:szCs w:val="20"/>
          <w:color w:val="auto"/>
        </w:rPr>
      </w:pPr>
    </w:p>
    <w:p>
      <w:pPr>
        <w:ind w:left="440" w:right="20" w:firstLine="419"/>
        <w:spacing w:after="0" w:line="277" w:lineRule="auto"/>
        <w:tabs>
          <w:tab w:leader="none" w:pos="109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whether the requested Borrowing is to be a Revolving Loan Borrowing, an Initial Term Loan Borrowing or a Borrowing of any other Class (specifying the Class thereof);</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aggregate amount of such Borrowing (for the avoidance of doubt, any Borrowing of Revolving Loans shall be allocated pro rata between the Class A Revolving Commitments and Class B Revolving Commitments);</w:t>
      </w:r>
    </w:p>
    <w:p>
      <w:pPr>
        <w:spacing w:after="0" w:line="62" w:lineRule="exact"/>
        <w:rPr>
          <w:rFonts w:ascii="Arial" w:cs="Arial" w:eastAsia="Arial" w:hAnsi="Arial"/>
          <w:sz w:val="18"/>
          <w:szCs w:val="18"/>
          <w:color w:val="auto"/>
        </w:rPr>
      </w:pPr>
    </w:p>
    <w:p>
      <w:pPr>
        <w:ind w:left="1180" w:hanging="321"/>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Eurocurrency Borrowing;</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12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case of a Eurocurrency Borrowing, the initial Interest Period to be applicable thereto, which shall be a period contemplated by the definition of the term “Interest Period”; and</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8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the location and number of the Borrower’s account to which funds are to be disbursed, which shall comply with the requirements of </w:t>
      </w:r>
      <w:r>
        <w:rPr>
          <w:rFonts w:ascii="Arial" w:cs="Arial" w:eastAsia="Arial" w:hAnsi="Arial"/>
          <w:sz w:val="18"/>
          <w:szCs w:val="18"/>
          <w:u w:val="single" w:color="auto"/>
          <w:color w:val="auto"/>
        </w:rPr>
        <w:t>Section 2.06</w:t>
      </w:r>
      <w:r>
        <w:rPr>
          <w:rFonts w:ascii="Arial" w:cs="Arial" w:eastAsia="Arial" w:hAnsi="Arial"/>
          <w:sz w:val="18"/>
          <w:szCs w:val="18"/>
          <w:color w:val="auto"/>
        </w:rPr>
        <w:t>, or, in the case of any ABR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4" w:right="439" w:bottom="1440" w:gutter="0" w:footer="0" w:header="0"/>
        </w:sectPr>
      </w:pPr>
    </w:p>
    <w:bookmarkStart w:id="130" w:name="page131"/>
    <w:bookmarkEnd w:id="130"/>
    <w:p>
      <w:pPr>
        <w:ind w:left="44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Revolving Loan Borrowing or Swingline Loan requested to finance the reimbursement of an LC Disbursement as provided in </w:t>
      </w:r>
      <w:r>
        <w:rPr>
          <w:rFonts w:ascii="Arial" w:cs="Arial" w:eastAsia="Arial" w:hAnsi="Arial"/>
          <w:sz w:val="18"/>
          <w:szCs w:val="18"/>
          <w:u w:val="single" w:color="auto"/>
          <w:color w:val="auto"/>
        </w:rPr>
        <w:t>Section 2.05(f)</w:t>
      </w:r>
      <w:r>
        <w:rPr>
          <w:rFonts w:ascii="Arial" w:cs="Arial" w:eastAsia="Arial" w:hAnsi="Arial"/>
          <w:sz w:val="18"/>
          <w:szCs w:val="18"/>
          <w:color w:val="auto"/>
        </w:rPr>
        <w:t>, the identity of the Issuing Bank that made such LC Disbursement;</w:t>
      </w:r>
    </w:p>
    <w:p>
      <w:pPr>
        <w:spacing w:after="0" w:line="62" w:lineRule="exact"/>
        <w:rPr>
          <w:sz w:val="20"/>
          <w:szCs w:val="20"/>
          <w:color w:val="auto"/>
        </w:rPr>
      </w:pPr>
    </w:p>
    <w:p>
      <w:pPr>
        <w:ind w:left="440" w:right="20" w:firstLine="419"/>
        <w:spacing w:after="0" w:line="277" w:lineRule="auto"/>
        <w:tabs>
          <w:tab w:leader="none" w:pos="122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that, in the case of any Borrowing after the Effective Date, as of the date of such Borrowing, the conditions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are satisfied.</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no election as to the Type of Borrowing is specified as to any Borrowing, then the requested Borrowing shall be an ABR Borrowing. If no Interest Period is specified with respect to any requested Eurocurrency Borrowing, then the Borrower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90" w:lineRule="auto"/>
        <w:tabs>
          <w:tab w:leader="none" w:pos="69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(including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the Swingline Lender agrees to make Swingline Loans to the Borrower from time to time during the Revolving Availability Period denominated in Dollars in an aggregate principal amount at any time outstanding that will not result in (i) the aggregate Revolving Exposures exceeding the aggregate Revolving Commitments, (ii) the aggregate amount of Swingline Loans outstanding exceeding the Swingline Sublimit or (iii) the Revolving Exposure of any Lender exceeding such Lender’s Revolving Commitments; provided that (A) the Swingline Lender shall not be required to make a Swingline Loan to refinance an outstanding Swingline Loan and (B) the Swingline Lender shall not be under any obligation to make any Swingline Loan if, after giving effect to Section 2.22(a)(iv), any Defaulting Lender Fronting Exposure would remain outstanding. Within the foregoing limits and subject to the terms and conditions set forth herein, the Borrower may borrow, prepay and reborrow Swingline Loans.</w:t>
      </w:r>
    </w:p>
    <w:p>
      <w:pPr>
        <w:spacing w:after="0" w:line="57" w:lineRule="exact"/>
        <w:rPr>
          <w:rFonts w:ascii="Arial" w:cs="Arial" w:eastAsia="Arial" w:hAnsi="Arial"/>
          <w:sz w:val="16"/>
          <w:szCs w:val="16"/>
          <w:color w:val="auto"/>
        </w:rPr>
      </w:pPr>
    </w:p>
    <w:p>
      <w:pPr>
        <w:jc w:val="both"/>
        <w:ind w:firstLine="436"/>
        <w:spacing w:after="0" w:line="272" w:lineRule="auto"/>
        <w:tabs>
          <w:tab w:leader="none" w:pos="70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To request a Swingline Loan, the Borrower shall notify the Administrative Agent and the Swingline Lender of such request by written notice, not later than 10:00 a.m., New York City time, on the day of such proposed Swingline Loan. Each such notice shall be irrevocable and shall specify the requested date (which shall be a Business Day), the amount of the requested Swingline Loan and, in the case of any Swingline Loan requested to finance the reimbursement of an LC Disbursement as provided in </w:t>
      </w:r>
      <w:r>
        <w:rPr>
          <w:rFonts w:ascii="Arial" w:cs="Arial" w:eastAsia="Arial" w:hAnsi="Arial"/>
          <w:sz w:val="17"/>
          <w:szCs w:val="17"/>
          <w:u w:val="single" w:color="auto"/>
          <w:color w:val="auto"/>
        </w:rPr>
        <w:t>Section 2.05(a)(vi)</w:t>
      </w:r>
      <w:r>
        <w:rPr>
          <w:rFonts w:ascii="Arial" w:cs="Arial" w:eastAsia="Arial" w:hAnsi="Arial"/>
          <w:sz w:val="17"/>
          <w:szCs w:val="17"/>
          <w:color w:val="auto"/>
        </w:rPr>
        <w:t xml:space="preserve">, the identity of the Issuing Bank that made such LC Disbursement. The Swingline Lender shall make each Swingline Loan available to the Borrower by means of a credit to the deposit account of the Borrower specified in such written notice (or, in the case of a Swingline Loan made to finance the reimbursement of an LC Disbursement as provided in </w:t>
      </w:r>
      <w:r>
        <w:rPr>
          <w:rFonts w:ascii="Arial" w:cs="Arial" w:eastAsia="Arial" w:hAnsi="Arial"/>
          <w:sz w:val="17"/>
          <w:szCs w:val="17"/>
          <w:u w:val="single" w:color="auto"/>
          <w:color w:val="auto"/>
        </w:rPr>
        <w:t>Section 2.05(a)(vi)</w:t>
      </w:r>
      <w:r>
        <w:rPr>
          <w:rFonts w:ascii="Arial" w:cs="Arial" w:eastAsia="Arial" w:hAnsi="Arial"/>
          <w:sz w:val="17"/>
          <w:szCs w:val="17"/>
          <w:color w:val="auto"/>
        </w:rPr>
        <w:t>, by remittance to the applicable Revolving Issuing Bank) promptly on the requested date of such Swingline Loan.</w:t>
      </w:r>
    </w:p>
    <w:p>
      <w:pPr>
        <w:spacing w:after="0" w:line="69" w:lineRule="exact"/>
        <w:rPr>
          <w:rFonts w:ascii="Arial" w:cs="Arial" w:eastAsia="Arial" w:hAnsi="Arial"/>
          <w:sz w:val="17"/>
          <w:szCs w:val="17"/>
          <w:color w:val="auto"/>
        </w:rPr>
      </w:pPr>
    </w:p>
    <w:p>
      <w:pPr>
        <w:jc w:val="both"/>
        <w:ind w:firstLine="436"/>
        <w:spacing w:after="0" w:line="271" w:lineRule="auto"/>
        <w:tabs>
          <w:tab w:leader="none" w:pos="71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the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20"/>
          </w:cols>
          <w:pgMar w:left="440" w:top="274" w:right="439" w:bottom="1440" w:gutter="0" w:footer="0" w:header="0"/>
        </w:sectPr>
      </w:pPr>
    </w:p>
    <w:bookmarkStart w:id="131" w:name="page132"/>
    <w:bookmarkEnd w:id="131"/>
    <w:p>
      <w:pPr>
        <w:jc w:val="both"/>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with respect to Loans made by such Lender (and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shall apply, mutatis mutandis, to the payment obligations of the Revolving Lenders pursuant to this paragraph), and the Administrative Agent shall promptly remit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provided that any such payment so remitted shall be repaid to the Swingline Lender or the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 On and after the Amendment No. 5 Effective Date until the Swingline Maturity Date, participations in Swingline Loans shall be allocated in accordance with each Revolving Lender’s Applicable Percentage of the Total Revolving Commitment (including both the Class A Revolving Commitments and the Class B Revolving Commitments) and pro rata between the Class A Revolving Commitments and the Class B Revolving Commitments.</w:t>
      </w:r>
    </w:p>
    <w:p>
      <w:pPr>
        <w:spacing w:after="0" w:line="83" w:lineRule="exact"/>
        <w:rPr>
          <w:sz w:val="20"/>
          <w:szCs w:val="20"/>
          <w:color w:val="auto"/>
        </w:rPr>
      </w:pPr>
    </w:p>
    <w:p>
      <w:pPr>
        <w:jc w:val="both"/>
        <w:ind w:firstLine="436"/>
        <w:spacing w:after="0" w:line="272" w:lineRule="auto"/>
        <w:tabs>
          <w:tab w:leader="none" w:pos="70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the event there is no Swingline Lender, the Borrower may designate as replacement Swingline Lender one Revolving Lender that agrees to serve in such capacity as provided below; provided that such Swingline Lender is reasonably acceptable to the Administrative Agent. The acceptance by a Revolving Lender of an appointment as a Swingline Lender hereunder shall be evidenced by an agreement, which shall be in form and substance reasonably satisfactory to the Administrative Agent and the Borrower, executed by the Borrower, the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 At no time shall there be more than one Swingline Lender.</w:t>
      </w:r>
    </w:p>
    <w:p>
      <w:pPr>
        <w:spacing w:after="0" w:line="69" w:lineRule="exact"/>
        <w:rPr>
          <w:rFonts w:ascii="Arial" w:cs="Arial" w:eastAsia="Arial" w:hAnsi="Arial"/>
          <w:sz w:val="17"/>
          <w:szCs w:val="17"/>
          <w:color w:val="auto"/>
        </w:rPr>
      </w:pPr>
    </w:p>
    <w:p>
      <w:pPr>
        <w:jc w:val="both"/>
        <w:ind w:right="20" w:firstLine="436"/>
        <w:spacing w:after="0" w:line="254" w:lineRule="auto"/>
        <w:tabs>
          <w:tab w:leader="none" w:pos="70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Borrower may terminate the appointment of any Swingline Lender as a “Swingline Lender” hereunder by providing a written notice thereof to such Swingline Lender, with a copy to the Administrative Agent. Any such termination shall become effective upon the earlier of (i) such Swingline Lender’s acknowledging receipt of such notice and (ii) the fifth Business Day following the date of the delivery thereof, provided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342" w:lineRule="auto"/>
        <w:tabs>
          <w:tab w:leader="none" w:pos="685"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(including </w:t>
      </w:r>
      <w:r>
        <w:rPr>
          <w:rFonts w:ascii="Arial" w:cs="Arial" w:eastAsia="Arial" w:hAnsi="Arial"/>
          <w:sz w:val="16"/>
          <w:szCs w:val="16"/>
          <w:u w:val="single" w:color="auto"/>
          <w:color w:val="auto"/>
        </w:rPr>
        <w:t>Section 2.22</w:t>
      </w:r>
      <w:r>
        <w:rPr>
          <w:rFonts w:ascii="Arial" w:cs="Arial" w:eastAsia="Arial" w:hAnsi="Arial"/>
          <w:sz w:val="16"/>
          <w:szCs w:val="16"/>
          <w:color w:val="auto"/>
        </w:rPr>
        <w:t>), each Issuing Bank agrees, in reliance upon agreement of the Revolving Lenders set forth in this Section 2.05, to issue Letters of Credit denominated in Dollars for the account of the Borrower (or for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20"/>
          </w:cols>
          <w:pgMar w:left="440" w:top="274" w:right="439" w:bottom="1440" w:gutter="0" w:footer="0" w:header="0"/>
        </w:sectPr>
      </w:pPr>
    </w:p>
    <w:bookmarkStart w:id="132" w:name="page133"/>
    <w:bookmarkEnd w:id="132"/>
    <w:p>
      <w:pPr>
        <w:jc w:val="both"/>
        <w:ind w:left="4"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 of any Restricted Subsidiary so long as the Borrower and such Restricted Subsidiary are co-applicants in respect of such Letter of Credit), in a form reasonably acceptable to the applicable Issuing Bank, which shall reflect the standard policies and operating procedures of such Issuing Bank, at any time and from time to time during the Revolving Availability Period and prior to the fifth Business Day prior to the Latest Maturity Date applicable to Revolving Loans.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w:t>
      </w:r>
    </w:p>
    <w:p>
      <w:pPr>
        <w:spacing w:after="0" w:line="70" w:lineRule="exact"/>
        <w:rPr>
          <w:sz w:val="20"/>
          <w:szCs w:val="20"/>
          <w:color w:val="auto"/>
        </w:rPr>
      </w:pPr>
    </w:p>
    <w:p>
      <w:pPr>
        <w:jc w:val="both"/>
        <w:ind w:left="4" w:firstLine="436"/>
        <w:spacing w:after="0" w:line="282" w:lineRule="auto"/>
        <w:tabs>
          <w:tab w:leader="none" w:pos="699"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Issuance, Amendment, Renewal, Extension; Certain Conditions</w:t>
      </w:r>
      <w:r>
        <w:rPr>
          <w:rFonts w:ascii="Arial" w:cs="Arial" w:eastAsia="Arial" w:hAnsi="Arial"/>
          <w:sz w:val="16"/>
          <w:szCs w:val="16"/>
          <w:color w:val="auto"/>
        </w:rPr>
        <w:t xml:space="preserve">.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Administrative Agent (at least three Business Days before the requested date of issuance, amendment, renewal or extension or such shorter period as the applicable Issuing Bank and the Administrative Agent may agree)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paragraph (a)(iv)</w:t>
      </w:r>
      <w:r>
        <w:rPr>
          <w:rFonts w:ascii="Arial" w:cs="Arial" w:eastAsia="Arial" w:hAnsi="Arial"/>
          <w:sz w:val="16"/>
          <w:szCs w:val="16"/>
          <w:color w:val="auto"/>
        </w:rPr>
        <w:t xml:space="preserve"> of this Section), the amount and currency of such Letter of Credit,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(A) the aggregate LC Exposure attributable to Letters of Credit issued by such Issuing Bank shall not exceed the LC Commitment of such Issuing Bank, (B) the aggregate Revolving Exposures shall not exceed the aggregate Revolving Commitments (and the Revolving Exposures of Revolving Lenders having Class A Revolving Commitments shall not exceed the Class A Revolving Commitments, and the Revolving Exposures of Revolving Lenders having Class B Revolving Commitments shall not exceed the Class B Revolving Commitments), (C) the aggregate LC Exposure shall not exceed the Letter of Credit Sublimit, (D) the Revolving Exposure of any Lender shall not exceed such Lender’s Revolving Commitments and</w:t>
      </w:r>
    </w:p>
    <w:p>
      <w:pPr>
        <w:spacing w:after="0" w:line="11" w:lineRule="exact"/>
        <w:rPr>
          <w:rFonts w:ascii="Arial" w:cs="Arial" w:eastAsia="Arial" w:hAnsi="Arial"/>
          <w:sz w:val="16"/>
          <w:szCs w:val="16"/>
          <w:color w:val="auto"/>
        </w:rPr>
      </w:pPr>
    </w:p>
    <w:p>
      <w:pPr>
        <w:jc w:val="both"/>
        <w:ind w:left="4" w:hanging="4"/>
        <w:spacing w:after="0" w:line="267" w:lineRule="auto"/>
        <w:tabs>
          <w:tab w:leader="none" w:pos="28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the face amount of outstanding Letters of Credit issued by any Issuing Bank shall not exceed such Issuing Bank’s Applicable LC Fronting Sublimit. No Issuing Bank shall be under any obligation to issue any Letter of Credit if (A) any order, judgment or decree of any Governmental Authority or arbitrator shall enjoin or restrain such Issuing Bank from issuing the Letter of Credit, or any law applicable to such Issuing Bank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(B) any Lender is at that time a Defaulting Lender, if after giving effect to </w:t>
      </w:r>
      <w:r>
        <w:rPr>
          <w:rFonts w:ascii="Arial" w:cs="Arial" w:eastAsia="Arial" w:hAnsi="Arial"/>
          <w:sz w:val="17"/>
          <w:szCs w:val="17"/>
          <w:u w:val="single" w:color="auto"/>
          <w:color w:val="auto"/>
        </w:rPr>
        <w:t>Section 2.22(a)(iv)</w:t>
      </w:r>
      <w:r>
        <w:rPr>
          <w:rFonts w:ascii="Arial" w:cs="Arial" w:eastAsia="Arial" w:hAnsi="Arial"/>
          <w:sz w:val="17"/>
          <w:szCs w:val="17"/>
          <w:color w:val="auto"/>
        </w:rPr>
        <w:t>,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or (C) such issuance will violate any policy or procedure of</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24"/>
          </w:cols>
          <w:pgMar w:left="436" w:top="274" w:right="439" w:bottom="1440" w:gutter="0" w:footer="0" w:header="0"/>
        </w:sectPr>
      </w:pPr>
    </w:p>
    <w:bookmarkStart w:id="133" w:name="page134"/>
    <w:bookmarkEnd w:id="133"/>
    <w:p>
      <w:pPr>
        <w:ind w:left="4"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Issuing Bank without such Issuing Bank’s prior written consent. Upon the issuance of each Letter of Credit, the Issuing Bank shall send the Administrative Agent a copy of the same.</w:t>
      </w:r>
    </w:p>
    <w:p>
      <w:pPr>
        <w:spacing w:after="0" w:line="62" w:lineRule="exact"/>
        <w:rPr>
          <w:sz w:val="20"/>
          <w:szCs w:val="20"/>
          <w:color w:val="auto"/>
        </w:rPr>
      </w:pPr>
    </w:p>
    <w:p>
      <w:pPr>
        <w:ind w:left="4" w:right="20" w:firstLine="436"/>
        <w:spacing w:after="0" w:line="277" w:lineRule="auto"/>
        <w:tabs>
          <w:tab w:leader="none" w:pos="689"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Each Issuing Bank agrees that it shall not permit any issuance or amendment of a Letter of Credit to occur unless it shall have given to the Administrative Agent written notice thereof required under </w:t>
      </w:r>
      <w:r>
        <w:rPr>
          <w:rFonts w:ascii="Arial" w:cs="Arial" w:eastAsia="Arial" w:hAnsi="Arial"/>
          <w:sz w:val="18"/>
          <w:szCs w:val="18"/>
          <w:u w:val="single" w:color="auto"/>
          <w:color w:val="auto"/>
        </w:rPr>
        <w:t>paragraph (m)</w:t>
      </w:r>
      <w:r>
        <w:rPr>
          <w:rFonts w:ascii="Arial" w:cs="Arial" w:eastAsia="Arial" w:hAnsi="Arial"/>
          <w:sz w:val="18"/>
          <w:szCs w:val="18"/>
          <w:color w:val="auto"/>
        </w:rPr>
        <w:t xml:space="preserve"> of this Section.</w:t>
      </w:r>
    </w:p>
    <w:p>
      <w:pPr>
        <w:spacing w:after="0" w:line="62" w:lineRule="exact"/>
        <w:rPr>
          <w:rFonts w:ascii="Arial" w:cs="Arial" w:eastAsia="Arial" w:hAnsi="Arial"/>
          <w:sz w:val="18"/>
          <w:szCs w:val="18"/>
          <w:color w:val="auto"/>
        </w:rPr>
      </w:pPr>
    </w:p>
    <w:p>
      <w:pPr>
        <w:jc w:val="both"/>
        <w:ind w:left="4" w:right="20" w:firstLine="436"/>
        <w:spacing w:after="0" w:line="269" w:lineRule="auto"/>
        <w:tabs>
          <w:tab w:leader="none" w:pos="699"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Each Letter of Credit shall expire at or prior to the close of business on the earlier of (A) the date that is one year after the date of the issuance of such Letter of Credit (or, in the case of any extension thereof, one year after the then-current expiration date at the time of such extension) and (B) the date that is the third Business Day prior to the Latest Maturity Date applicable to Revolving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expiry date is not a Business Day, such Letter of Credit shall expire at or prior to close of business on the next succeeding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Letter of Credit may, upon the request of the Borrower and with the consent of the Issuing Bank, in its sole discretion, include a provision whereby such Letter of Credit shall be extended automatically for additional consecutive periods of one year or less (but not beyond the date that is three Business Days prior to the applicable Latest Maturity Date unless Cash Collateralized or backstopped pursuant to arrangements reasonably satisfactory to the Issuing Bank thereof) unless the applicable Issuing Bank notifies the beneficiary thereof within the time period specified in such Letter of Credit or, if no such time period is specified, at least 30 days prior to the then-applicable expiration date, that such Letter of Credit will not be extended;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extended terms are reasonably satisfactory to the relevant Issuing Bank.</w:t>
      </w:r>
    </w:p>
    <w:p>
      <w:pPr>
        <w:spacing w:after="0" w:line="77" w:lineRule="exact"/>
        <w:rPr>
          <w:rFonts w:ascii="Arial" w:cs="Arial" w:eastAsia="Arial" w:hAnsi="Arial"/>
          <w:sz w:val="17"/>
          <w:szCs w:val="17"/>
          <w:color w:val="auto"/>
        </w:rPr>
      </w:pPr>
    </w:p>
    <w:p>
      <w:pPr>
        <w:jc w:val="both"/>
        <w:ind w:left="4" w:firstLine="436"/>
        <w:spacing w:after="0" w:line="283" w:lineRule="auto"/>
        <w:tabs>
          <w:tab w:leader="none" w:pos="702"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By the issuance of a Letter of Credit (or an amendment to a Letter of Credit increasing the amount thereof) and without any further action on the part of the Issuing Bank that is the issuer thereof or the Lenders, such Issuing Bank hereby grants to each Revolving Lender, and each Revolving Lender hereby acquires from such Issuing Bank, a participation in such Letter of Credit equal to such Revolving Lender’s Applicable Percentage of the aggregate amount available to be drawn under such Letter of Credit. On and after the Amendment No. 5 Effective Date, participations in Letters of Credit shall be allocated in accordance with each Revolving Lender’s Applicable Percentage of the Total Revolving Commitment (including both Class A Revolving Commitments and Class B Revolving Commitments) and pro rata between Class A Revolving Commitments and Class B Revolving Commitments. In consideration and in furtherance of the foregoing, each Revolving Lender hereby absolutely and unconditionally agrees to pay to the Administrative Agent, for the account of such Issuing Bank, such Revolving Lender’s Applicable Percentage of the Total Revolving Commitments of each LC Disbursement made by such Issuing Bank and not reimbursed by the Borrower on the date due as provided in </w:t>
      </w:r>
      <w:r>
        <w:rPr>
          <w:rFonts w:ascii="Arial" w:cs="Arial" w:eastAsia="Arial" w:hAnsi="Arial"/>
          <w:sz w:val="16"/>
          <w:szCs w:val="16"/>
          <w:u w:val="single" w:color="auto"/>
          <w:color w:val="auto"/>
        </w:rPr>
        <w:t>paragraph (a)</w:t>
      </w:r>
    </w:p>
    <w:p>
      <w:pPr>
        <w:spacing w:after="0" w:line="5" w:lineRule="exact"/>
        <w:rPr>
          <w:rFonts w:ascii="Arial" w:cs="Arial" w:eastAsia="Arial" w:hAnsi="Arial"/>
          <w:sz w:val="16"/>
          <w:szCs w:val="16"/>
          <w:color w:val="auto"/>
        </w:rPr>
      </w:pPr>
    </w:p>
    <w:p>
      <w:pPr>
        <w:jc w:val="both"/>
        <w:ind w:left="4" w:hanging="4"/>
        <w:spacing w:after="0" w:line="267" w:lineRule="auto"/>
        <w:tabs>
          <w:tab w:leader="none" w:pos="312" w:val="left"/>
        </w:tabs>
        <w:numPr>
          <w:ilvl w:val="0"/>
          <w:numId w:val="113"/>
        </w:numPr>
        <w:rPr>
          <w:rFonts w:ascii="Arial" w:cs="Arial" w:eastAsia="Arial" w:hAnsi="Arial"/>
          <w:sz w:val="17"/>
          <w:szCs w:val="17"/>
          <w:u w:val="single" w:color="auto"/>
          <w:color w:val="auto"/>
        </w:rPr>
      </w:pPr>
      <w:r>
        <w:rPr>
          <w:rFonts w:ascii="Arial" w:cs="Arial" w:eastAsia="Arial" w:hAnsi="Arial"/>
          <w:sz w:val="17"/>
          <w:szCs w:val="17"/>
          <w:color w:val="auto"/>
        </w:rPr>
        <w:t>of this Section in the currency of such LC Disbursement, or of any reimbursement payment required to be refunded to the Borrower for any reason. Each Revolving Lender acknowledges and agrees that its obligation to acquire participations pursuant to this paragraph in respect of Letters of Credit is absolute and unconditional and shall be pro rata based on such Lender’s Applicable Percentage of the Total Revolving Commitments and shall not be affected by any circumstance whatsoever, including any amendment, renewal or extension of any Letter of Credit or the occurrence and continuance of a Default or any reduction or termination of the Revolving Commitments, and that each such payment shall be made without any offset, abatement, withholding or reduction whatsoever. On the Amendment No. 5 Effective Date, the Letter of Credit Participations in any issued and outstanding Letters of Credit shall be reallocated so that, after giving effect thereto, the Class A Revolving Lenders and the Class B Revolving Lenders shall share ratably in such Letter of Credit Participation in accordance with such Revolving Lender’s Applicable Percentage of the Total Revolving Commitment (including both the Class A Revolving Commitments and the Class B Revolving Commitments from time to time in effect). Thereafter Letter of Credit Participations in any newly-issued Letters of Credit shall be allocated in accordance with each Revolving Lender’s Applicable Percentage of the Total Revolving Commitments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24"/>
          </w:cols>
          <w:pgMar w:left="436" w:top="274" w:right="439" w:bottom="1440" w:gutter="0" w:footer="0" w:header="0"/>
        </w:sectPr>
      </w:pPr>
    </w:p>
    <w:bookmarkStart w:id="134" w:name="page135"/>
    <w:bookmarkEnd w:id="13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both the Class A Revolving Commitments and the Class B Revolving Commitments from time to time in effect).</w:t>
      </w:r>
    </w:p>
    <w:p>
      <w:pPr>
        <w:spacing w:after="0" w:line="117" w:lineRule="exact"/>
        <w:rPr>
          <w:sz w:val="20"/>
          <w:szCs w:val="20"/>
          <w:color w:val="auto"/>
        </w:rPr>
      </w:pPr>
    </w:p>
    <w:p>
      <w:pPr>
        <w:jc w:val="both"/>
        <w:ind w:left="4" w:firstLine="436"/>
        <w:spacing w:after="0" w:line="291" w:lineRule="auto"/>
        <w:tabs>
          <w:tab w:leader="none" w:pos="669"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If an Issuing Bank shall make any LC Disbursement in respect of a Letter of Credit, the Borrower shall reimburse such LC Disbursement by paying to the Administrative Agent an amount equal to such LC Disbursement in Dollars not later than 2:00 p.m., New York City time</w:t>
      </w:r>
    </w:p>
    <w:p>
      <w:pPr>
        <w:jc w:val="both"/>
        <w:ind w:left="4" w:hanging="4"/>
        <w:spacing w:after="0" w:line="283" w:lineRule="auto"/>
        <w:tabs>
          <w:tab w:leader="none" w:pos="30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on the next succeeding Business Day if the Borrower receives notice of such LC Disbursement on or before 12:00 p.m., New York City time on the day of such LC Disbursement or (B) on the second succeeding Business Day if the Borrower receive notice of such LC Disbursement after 12:00 p.m., New York City time on the day of such LC Disbursement;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LC Disbursement is denominated in Dollars and is not less than $100,000 (or such lesser amount as reasonably agreed to by the Administrative Agent), the Borrower may, subject to the conditions to borrowing set forth herein, request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that such payment be financed with an ABR Revolving Loan Borrowing or a Swingline Loan, in each case in an equivalent amount, and, to the extent so financed, the Borrower’s obligation to make such payment shall be discharged and replaced by the resulting ABR Revolving Loan Borrowing or Swingline Loan. If the Borrower fails to make such payment when due, the Administrative Agent shall notify each Revolving Lender of the applicable LC Disbursement, the payment then due from the Borrower in respect thereof and such Revolving Lender’s Applicable Percentage thereof. Promptly following receipt of such notice, each Revolving Lender shall pay to the Administrative Agent its Applicable Percentage of the Total Revolving Commitment of the payment then due from the Borrower, in Dollars and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mutatis mutandis, to the payment obligations of the Revolving Lenders pursuant to this paragraph), and the Administrative Agent shall promptly remit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or the Swingline Lender pursuant to this paragraph to reimburse any Issuing Bank for any LC Disbursement (other than the funding of an ABR Revolving Loan or a Swingline Loan as contemplated above) shall not constitute a Loan and shall not relieve the Borrower of its obligation to reimburse such LC Disbursement. For the avoidance of doubt, all distributions under this Section 2.05(h) shall be made to each Lender with a Revolving Commitment pro rata based on each such Lender’s Applicable Percentage of the Total Revolving Commitments without regard to the Class of the Revolving Commitments held by such Lender.</w:t>
      </w:r>
    </w:p>
    <w:p>
      <w:pPr>
        <w:spacing w:after="0" w:line="74" w:lineRule="exact"/>
        <w:rPr>
          <w:rFonts w:ascii="Arial" w:cs="Arial" w:eastAsia="Arial" w:hAnsi="Arial"/>
          <w:sz w:val="16"/>
          <w:szCs w:val="16"/>
          <w:color w:val="auto"/>
        </w:rPr>
      </w:pPr>
    </w:p>
    <w:p>
      <w:pPr>
        <w:jc w:val="both"/>
        <w:ind w:left="4" w:right="20" w:firstLine="436"/>
        <w:spacing w:after="0" w:line="287" w:lineRule="auto"/>
        <w:tabs>
          <w:tab w:leader="none" w:pos="699"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 to reimburse LC Disbursements as provided in </w:t>
      </w:r>
      <w:r>
        <w:rPr>
          <w:rFonts w:ascii="Arial" w:cs="Arial" w:eastAsia="Arial" w:hAnsi="Arial"/>
          <w:sz w:val="16"/>
          <w:szCs w:val="16"/>
          <w:u w:val="single" w:color="auto"/>
          <w:color w:val="auto"/>
        </w:rPr>
        <w:t>paragraph (a)(vi)</w:t>
      </w:r>
      <w:r>
        <w:rPr>
          <w:rFonts w:ascii="Arial" w:cs="Arial" w:eastAsia="Arial" w:hAnsi="Arial"/>
          <w:sz w:val="16"/>
          <w:szCs w:val="16"/>
          <w:color w:val="auto"/>
        </w:rPr>
        <w:t xml:space="preserve"> of this Section is absolute, unconditional and irrevocable, and shall be performed strictly in accordance with the terms of this Agreement under any and all circumstances whatsoever and irrespective of (A) any lack of validity or enforceability of any Letter of Credit or this Agreement, or any term or provision therein,</w:t>
      </w:r>
    </w:p>
    <w:p>
      <w:pPr>
        <w:spacing w:after="0" w:line="2" w:lineRule="exact"/>
        <w:rPr>
          <w:rFonts w:ascii="Arial" w:cs="Arial" w:eastAsia="Arial" w:hAnsi="Arial"/>
          <w:sz w:val="16"/>
          <w:szCs w:val="16"/>
          <w:color w:val="auto"/>
        </w:rPr>
      </w:pPr>
    </w:p>
    <w:p>
      <w:pPr>
        <w:jc w:val="both"/>
        <w:ind w:left="4" w:hanging="4"/>
        <w:spacing w:after="0" w:line="268" w:lineRule="auto"/>
        <w:tabs>
          <w:tab w:leader="none" w:pos="302"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draft or other document presented under a Letter of Credit proving to be forged, fraudulent or invalid in any respect or any statement therein being untrue or inaccurate in any respect, (C)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the Issuing Banks 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4"/>
          </w:cols>
          <w:pgMar w:left="436" w:top="274" w:right="439" w:bottom="1440" w:gutter="0" w:footer="0" w:header="0"/>
        </w:sectPr>
      </w:pPr>
    </w:p>
    <w:bookmarkStart w:id="135" w:name="page136"/>
    <w:bookmarkEnd w:id="135"/>
    <w:p>
      <w:pPr>
        <w:jc w:val="both"/>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relating to any Letter of Credit (including any document required to make a drawing thereunder), any error in translation, any error in interpretation of technical terms or any consequence arising from causes beyond the control of the Issuing Banks;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determined by a court of competent jurisdiction in a final, nonappealable judgment) or the Issuing Bank’s willful failure to pay under any Letter of Credit after the presentation to it by the beneficiary of documents strictly complying with the terms and conditions of a Letter of Credit (as determined by a court of competent jurisdiction in a final, non-appealable judgment), such Issuing Bank shall be deemed to have exercised care in each such determination. In furtherance of the foregoing and without limiting the generality thereof, the parties agree that, with respect to documents presented that appear on their face to be in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and any such acceptance or refusal shall be deemed not to constitute gross negligence or willful misconduct.</w:t>
      </w:r>
    </w:p>
    <w:p>
      <w:pPr>
        <w:spacing w:after="0" w:line="76" w:lineRule="exact"/>
        <w:rPr>
          <w:sz w:val="20"/>
          <w:szCs w:val="20"/>
          <w:color w:val="auto"/>
        </w:rPr>
      </w:pPr>
    </w:p>
    <w:p>
      <w:pPr>
        <w:jc w:val="both"/>
        <w:ind w:firstLine="436"/>
        <w:spacing w:after="0" w:line="257" w:lineRule="auto"/>
        <w:tabs>
          <w:tab w:leader="none" w:pos="709"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Each Issuing Bank shall, promptly following its receipt thereof, examine all documents purporting to represent a demand for payment under a Letter of Credit. Each Issuing Bank shall promptly notify the Administrative Agent and the Borrower in writing of such demand for payment and whether such Issuing Bank has made a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such Issuing Bank and the Revolving Lenders with respect to any such LC Disbursement in accordance with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of this Section.</w:t>
      </w:r>
    </w:p>
    <w:p>
      <w:pPr>
        <w:spacing w:after="0" w:line="79" w:lineRule="exact"/>
        <w:rPr>
          <w:rFonts w:ascii="Arial" w:cs="Arial" w:eastAsia="Arial" w:hAnsi="Arial"/>
          <w:sz w:val="18"/>
          <w:szCs w:val="18"/>
          <w:color w:val="auto"/>
        </w:rPr>
      </w:pPr>
    </w:p>
    <w:p>
      <w:pPr>
        <w:jc w:val="both"/>
        <w:ind w:firstLine="436"/>
        <w:spacing w:after="0" w:line="290" w:lineRule="auto"/>
        <w:tabs>
          <w:tab w:leader="none" w:pos="655"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 Issuing Bank shall make any LC Disbursement, then, unless the Borrower shall reimburse such LC Disbursement in full on the date such LC Disbursement is required to be reimbursed pursuant to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fails to reimburse such LC Disbursement when due pursuant to </w:t>
      </w:r>
      <w:r>
        <w:rPr>
          <w:rFonts w:ascii="Arial" w:cs="Arial" w:eastAsia="Arial" w:hAnsi="Arial"/>
          <w:sz w:val="16"/>
          <w:szCs w:val="16"/>
          <w:u w:val="single" w:color="auto"/>
          <w:color w:val="auto"/>
        </w:rPr>
        <w:t>paragraph (a)(vi)</w:t>
      </w:r>
      <w:r>
        <w:rPr>
          <w:rFonts w:ascii="Arial" w:cs="Arial" w:eastAsia="Arial" w:hAnsi="Arial"/>
          <w:sz w:val="16"/>
          <w:szCs w:val="16"/>
          <w:color w:val="auto"/>
        </w:rPr>
        <w:t xml:space="preserve"> of this Section, then </w:t>
      </w:r>
      <w:r>
        <w:rPr>
          <w:rFonts w:ascii="Arial" w:cs="Arial" w:eastAsia="Arial" w:hAnsi="Arial"/>
          <w:sz w:val="16"/>
          <w:szCs w:val="16"/>
          <w:u w:val="single" w:color="auto"/>
          <w:color w:val="auto"/>
        </w:rPr>
        <w:t>Section 2.13(d)</w:t>
      </w:r>
      <w:r>
        <w:rPr>
          <w:rFonts w:ascii="Arial" w:cs="Arial" w:eastAsia="Arial" w:hAnsi="Arial"/>
          <w:sz w:val="16"/>
          <w:szCs w:val="16"/>
          <w:color w:val="auto"/>
        </w:rPr>
        <w:t xml:space="preserve"> shall apply. Interest accrued pursuant to this paragraph shall be paid to the Administrative Agent, for the account of the applicable Issuing Bank, except that interest accrued on and after the date of payment by any Revolving Lender pursuant to </w:t>
      </w:r>
      <w:r>
        <w:rPr>
          <w:rFonts w:ascii="Arial" w:cs="Arial" w:eastAsia="Arial" w:hAnsi="Arial"/>
          <w:sz w:val="16"/>
          <w:szCs w:val="16"/>
          <w:u w:val="single" w:color="auto"/>
          <w:color w:val="auto"/>
        </w:rPr>
        <w:t>paragraph (a)(vi)</w:t>
      </w:r>
      <w:r>
        <w:rPr>
          <w:rFonts w:ascii="Arial" w:cs="Arial" w:eastAsia="Arial" w:hAnsi="Arial"/>
          <w:sz w:val="16"/>
          <w:szCs w:val="16"/>
          <w:color w:val="auto"/>
        </w:rPr>
        <w:t xml:space="preserve"> of this Section to reimburse such Issuing Bank shall be for the account of such Lender to the extent of such payment and shall be payable on demand or, if no demand has been made, on the date on which the Borrower reimburse the applicable LC Disbursement in full.</w:t>
      </w:r>
    </w:p>
    <w:p>
      <w:pPr>
        <w:spacing w:after="0" w:line="57" w:lineRule="exact"/>
        <w:rPr>
          <w:rFonts w:ascii="Arial" w:cs="Arial" w:eastAsia="Arial" w:hAnsi="Arial"/>
          <w:sz w:val="16"/>
          <w:szCs w:val="16"/>
          <w:color w:val="auto"/>
        </w:rPr>
      </w:pPr>
    </w:p>
    <w:p>
      <w:pPr>
        <w:jc w:val="both"/>
        <w:ind w:right="20" w:firstLine="436"/>
        <w:spacing w:after="0" w:line="254"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 xml:space="preserve">. If the maturity of the Loans has been accelerated, then on the Business Day on which the Borrower receives notice from the Administrative Agent or the Required Revolving Lenders demanding the deposit of Cash Collateral pursuant to this paragraph, the Borrower shall deposit in an account with the Administrative Agent, in the name of the Administrative Agent and for the benefit of the Revolving Lenders, an amount of cash in Dollars equal to the LC Exposure as of such date plus any accrued and unpaid interest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7.01</w:t>
      </w:r>
      <w:r>
        <w:rPr>
          <w:rFonts w:ascii="Arial" w:cs="Arial" w:eastAsia="Arial" w:hAnsi="Arial"/>
          <w:sz w:val="18"/>
          <w:szCs w:val="18"/>
          <w:color w:val="auto"/>
        </w:rPr>
        <w:t>. The Borrower also shall deposit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440" w:top="274" w:right="439" w:bottom="1440" w:gutter="0" w:footer="0" w:header="0"/>
        </w:sectPr>
      </w:pPr>
    </w:p>
    <w:bookmarkStart w:id="136" w:name="page137"/>
    <w:bookmarkEnd w:id="136"/>
    <w:p>
      <w:pPr>
        <w:jc w:val="both"/>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Cash Collateral pursuant to this paragraph as and to the extent required by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Each such deposit shall be held by the Administrative Agent as collateral for the payment and performance of the obligations of the Borrower under this Agreement. At any time that there shall exist a Defaulting Lender, if any Defaulting Lender Fronting Exposure remains outstanding (after giving effect to </w:t>
      </w:r>
      <w:r>
        <w:rPr>
          <w:rFonts w:ascii="Arial" w:cs="Arial" w:eastAsia="Arial" w:hAnsi="Arial"/>
          <w:sz w:val="16"/>
          <w:szCs w:val="16"/>
          <w:u w:val="single" w:color="auto"/>
          <w:color w:val="auto"/>
        </w:rPr>
        <w:t>Section 2.22(a)(iv)</w:t>
      </w:r>
      <w:r>
        <w:rPr>
          <w:rFonts w:ascii="Arial" w:cs="Arial" w:eastAsia="Arial" w:hAnsi="Arial"/>
          <w:sz w:val="16"/>
          <w:szCs w:val="16"/>
          <w:color w:val="auto"/>
        </w:rPr>
        <w:t xml:space="preserve">), then promptly upon the request of the Administrative Agent or any Issuing Bank, the Borrower shall deliver to the Administrative Agent Cash Collateral in an amount sufficient to cover such Defaulting Lender Fronting Exposure (after giving effect to any Cash Collateral provided by the Defaulting Lender).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in Cash Equivalents and at the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more than 50.0% of the aggregate LC Exposure of all the Revolving Lenders), be applied to satisfy other obligations of the Borrower under this Agreement in accordance with the terms of the Loan Documents. If the Borrower is required to provide an amount of Cash Collateral hereunder, such amount (to the extent not applied as aforesaid) shall be returned to the Borrower within three Business Days after the Events of Default giving rise to the acceleration of the maturity of the Loans has been cured or waived or after no Default Lender Fronting Exposure remains outstanding, as applicable. If the Borrower is required to provide an amount of Cash Collateral hereunder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such amount (to the extent not applied as aforesaid) shall be returned to the Borrower as and to the extent that, after giving effect to such return, the Borrower would remain in compliance with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and no Event of Default shall have occurred and be continuing.</w:t>
      </w:r>
    </w:p>
    <w:p>
      <w:pPr>
        <w:spacing w:after="0" w:line="63" w:lineRule="exact"/>
        <w:rPr>
          <w:sz w:val="20"/>
          <w:szCs w:val="20"/>
          <w:color w:val="auto"/>
        </w:rPr>
      </w:pPr>
    </w:p>
    <w:p>
      <w:pPr>
        <w:jc w:val="both"/>
        <w:ind w:left="4" w:firstLine="436"/>
        <w:spacing w:after="0" w:line="293" w:lineRule="auto"/>
        <w:tabs>
          <w:tab w:leader="none" w:pos="699"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Designation of Additional Issuing Banks</w:t>
      </w:r>
      <w:r>
        <w:rPr>
          <w:rFonts w:ascii="Arial" w:cs="Arial" w:eastAsia="Arial" w:hAnsi="Arial"/>
          <w:sz w:val="16"/>
          <w:szCs w:val="16"/>
          <w:color w:val="auto"/>
        </w:rPr>
        <w:t>. The Borrower may, at any time and from time to time,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(A) such Revolving Lender shall have all the rights and obligations of an Issuing Bank under this Agreement and (B) references herein to the term “Issuing Bank” shall be deemed to include such Revolving Lender in its capacity as an issuer of Letters of Credit hereunder.</w:t>
      </w:r>
    </w:p>
    <w:p>
      <w:pPr>
        <w:spacing w:after="0" w:line="56" w:lineRule="exact"/>
        <w:rPr>
          <w:rFonts w:ascii="Arial" w:cs="Arial" w:eastAsia="Arial" w:hAnsi="Arial"/>
          <w:sz w:val="16"/>
          <w:szCs w:val="16"/>
          <w:color w:val="auto"/>
        </w:rPr>
      </w:pPr>
    </w:p>
    <w:p>
      <w:pPr>
        <w:jc w:val="both"/>
        <w:ind w:left="4" w:firstLine="436"/>
        <w:spacing w:after="0" w:line="291" w:lineRule="auto"/>
        <w:tabs>
          <w:tab w:leader="none" w:pos="659"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Termination of an Issuing Bank</w:t>
      </w:r>
      <w:r>
        <w:rPr>
          <w:rFonts w:ascii="Arial" w:cs="Arial" w:eastAsia="Arial" w:hAnsi="Arial"/>
          <w:sz w:val="16"/>
          <w:szCs w:val="16"/>
          <w:color w:val="auto"/>
        </w:rPr>
        <w:t>. The Borrower may terminate the appointment of any Issuing Bank as a “Issuing Bank” hereunder by providing a written notice thereof to such Issuing Bank, with a copy to the Administrative Agent. Any such termination shall become effective upon the earlier of</w:t>
      </w:r>
    </w:p>
    <w:p>
      <w:pPr>
        <w:jc w:val="both"/>
        <w:ind w:left="4" w:hanging="4"/>
        <w:spacing w:after="0" w:line="270" w:lineRule="auto"/>
        <w:tabs>
          <w:tab w:leader="none" w:pos="3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such Issuing Bank’s acknowledging receipt of such notice and (B) the fifth Business Day following the date of the delivery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w:t>
      </w:r>
      <w:r>
        <w:rPr>
          <w:rFonts w:ascii="Arial" w:cs="Arial" w:eastAsia="Arial" w:hAnsi="Arial"/>
          <w:sz w:val="17"/>
          <w:szCs w:val="17"/>
          <w:u w:val="single" w:color="auto"/>
          <w:color w:val="auto"/>
        </w:rPr>
        <w:t>Section 2.12(b)</w:t>
      </w:r>
      <w:r>
        <w:rPr>
          <w:rFonts w:ascii="Arial" w:cs="Arial" w:eastAsia="Arial" w:hAnsi="Arial"/>
          <w:sz w:val="17"/>
          <w:szCs w:val="17"/>
          <w:color w:val="auto"/>
        </w:rPr>
        <w:t>.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24"/>
          </w:cols>
          <w:pgMar w:left="436" w:top="274" w:right="439" w:bottom="1440" w:gutter="0" w:footer="0" w:header="0"/>
        </w:sectPr>
      </w:pPr>
    </w:p>
    <w:bookmarkStart w:id="137" w:name="page138"/>
    <w:bookmarkEnd w:id="137"/>
    <w:p>
      <w:pPr>
        <w:jc w:val="both"/>
        <w:ind w:left="4" w:firstLine="436"/>
        <w:spacing w:after="0" w:line="269" w:lineRule="auto"/>
        <w:tabs>
          <w:tab w:leader="none" w:pos="749"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Issuing Bank Reports to the Administrative Agent</w:t>
      </w:r>
      <w:r>
        <w:rPr>
          <w:rFonts w:ascii="Arial" w:cs="Arial" w:eastAsia="Arial" w:hAnsi="Arial"/>
          <w:sz w:val="17"/>
          <w:szCs w:val="17"/>
          <w:color w:val="auto"/>
        </w:rPr>
        <w:t>. Unless otherwise agreed by the Administrative Agent, each Issuing Bank shall, in addition to its notification obligations set forth elsewhere in this Section, report in writing to the Administrative Agent (A) periodic activity (for each successive month) in respect of Letters of Credit issued by such Issuing Bank, including all issuances and amendments, all expirations and cancellations and all disbursements and reimbursements, (B) within five Business Days following the time that such Issuing Bank issues or amends any Letter of Credit, the date of such issuance or amendment and the currency and available balance of the Letters of Credit issued or amended by it and outstanding after giving effect to such issuance or amendment (and whether the amounts thereof shall have changed), (C) on each Business Day on which such Issuing Bank makes any LC Disbursement, the date, currency and amount of such LC Disbursement, (D) on any Business Day on which the Borrower fail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w:t>
      </w:r>
    </w:p>
    <w:p>
      <w:pPr>
        <w:spacing w:after="0" w:line="77" w:lineRule="exact"/>
        <w:rPr>
          <w:rFonts w:ascii="Arial" w:cs="Arial" w:eastAsia="Arial" w:hAnsi="Arial"/>
          <w:sz w:val="17"/>
          <w:szCs w:val="17"/>
          <w:color w:val="auto"/>
        </w:rPr>
      </w:pPr>
    </w:p>
    <w:p>
      <w:pPr>
        <w:ind w:left="704" w:hanging="264"/>
        <w:spacing w:after="0"/>
        <w:tabs>
          <w:tab w:leader="none" w:pos="704"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Applicability of ISP and UCP</w:t>
      </w:r>
      <w:r>
        <w:rPr>
          <w:rFonts w:ascii="Arial" w:cs="Arial" w:eastAsia="Arial" w:hAnsi="Arial"/>
          <w:sz w:val="17"/>
          <w:szCs w:val="17"/>
          <w:color w:val="auto"/>
        </w:rPr>
        <w:t>. Unless otherwise expressly agreed by the Issuing Bank and the Borrower when a Letter of Credit is issued,</w:t>
      </w:r>
    </w:p>
    <w:p>
      <w:pPr>
        <w:spacing w:after="0" w:line="34" w:lineRule="exact"/>
        <w:rPr>
          <w:rFonts w:ascii="Arial" w:cs="Arial" w:eastAsia="Arial" w:hAnsi="Arial"/>
          <w:sz w:val="17"/>
          <w:szCs w:val="17"/>
          <w:color w:val="auto"/>
        </w:rPr>
      </w:pPr>
    </w:p>
    <w:p>
      <w:pPr>
        <w:ind w:left="4" w:right="20" w:hanging="4"/>
        <w:spacing w:after="0" w:line="323" w:lineRule="auto"/>
        <w:tabs>
          <w:tab w:leader="none" w:pos="30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rules of the ISP shall apply to each standby Letter of Credit, and (B) the rules of the Uniform Customs and Practice for Documentary Credits, as most recently published by the International Chamber of Commerce at the time of issuance, shall apply to each commercial Letter of Credit.</w:t>
      </w:r>
    </w:p>
    <w:p>
      <w:pPr>
        <w:spacing w:after="0" w:line="30" w:lineRule="exact"/>
        <w:rPr>
          <w:rFonts w:ascii="Arial" w:cs="Arial" w:eastAsia="Arial" w:hAnsi="Arial"/>
          <w:sz w:val="16"/>
          <w:szCs w:val="16"/>
          <w:color w:val="auto"/>
        </w:rPr>
      </w:pPr>
    </w:p>
    <w:p>
      <w:pPr>
        <w:ind w:left="4" w:right="20" w:firstLine="436"/>
        <w:spacing w:after="0" w:line="277" w:lineRule="auto"/>
        <w:tabs>
          <w:tab w:leader="none" w:pos="699"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117" w:lineRule="exact"/>
        <w:rPr>
          <w:sz w:val="20"/>
          <w:szCs w:val="20"/>
          <w:color w:val="auto"/>
        </w:rPr>
      </w:pPr>
    </w:p>
    <w:p>
      <w:pPr>
        <w:jc w:val="both"/>
        <w:ind w:left="4" w:firstLine="436"/>
        <w:spacing w:after="0" w:line="287" w:lineRule="auto"/>
        <w:tabs>
          <w:tab w:leader="none" w:pos="69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Each Lender shall make each Loan to be made by it hereunder on the proposed date thereof by wire transfer of immediately available funds by 10:00 a.m., New York City time, to the Applicable Account of the Administrative Agent most-recently designated by it for such purpose by notice to the Lenders (or such earlier time on the Effective Date as may be agreed among the relevant Lenders, Holdings, the Borrower and the Administrative Agent for the purpose of consummating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The Administrative Agent will make such Loans available to the Borrower by promptly wiring the amounts so received, in like funds, to an account of the Borrower designated by the Borrower in the applicable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ABR Revolving Loans made to finance the reimbursement of a LC Disbursement as provided in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shall be remitted by the Administrative Agent to the applicable Issuing Bank or, to the extent that Revolving Lenders have made payments pursuant to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to reimburse such Issuing Bank, then to such Lenders and such Issuing Bank as their interests may appear;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for the avoidance of doubt, on and after the Amendment No. 5 Effective Date, all Borrowings of Revolving Loans hereunder shall be made by each Revolving Lender in accordance with such Revolving Lender’s Applicable Percentage of the Total Revolving Commitment, and Borrowings of Revolving Loans shall be allocated pro rata between the Class A Revolving Facility and the Class B Revolving Facility in proportion to the respective Revolving Commitments under each such Revolving Credit Facility.</w:t>
      </w:r>
    </w:p>
    <w:p>
      <w:pPr>
        <w:spacing w:after="0" w:line="59" w:lineRule="exact"/>
        <w:rPr>
          <w:rFonts w:ascii="Arial" w:cs="Arial" w:eastAsia="Arial" w:hAnsi="Arial"/>
          <w:sz w:val="16"/>
          <w:szCs w:val="16"/>
          <w:color w:val="auto"/>
        </w:rPr>
      </w:pPr>
    </w:p>
    <w:p>
      <w:pPr>
        <w:jc w:val="both"/>
        <w:ind w:left="4" w:right="20" w:firstLine="436"/>
        <w:spacing w:after="0" w:line="257" w:lineRule="auto"/>
        <w:tabs>
          <w:tab w:leader="none" w:pos="70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and in its sole discretion, make available to the Borrower a corresponding amount. In such event, if a Lender has not in fact made its share of the applicable Borrowing available to the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4"/>
          </w:cols>
          <w:pgMar w:left="436" w:top="274" w:right="439" w:bottom="1440" w:gutter="0" w:footer="0" w:header="0"/>
        </w:sectPr>
      </w:pPr>
    </w:p>
    <w:bookmarkStart w:id="138" w:name="page139"/>
    <w:bookmarkEnd w:id="138"/>
    <w:p>
      <w:pPr>
        <w:jc w:val="both"/>
        <w:ind w:left="4"/>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the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w:t>
      </w:r>
      <w:r>
        <w:rPr>
          <w:rFonts w:ascii="Arial" w:cs="Arial" w:eastAsia="Arial" w:hAnsi="Arial"/>
          <w:sz w:val="18"/>
          <w:szCs w:val="18"/>
          <w:u w:val="single" w:color="auto"/>
          <w:color w:val="auto"/>
        </w:rPr>
        <w:t>Section 2.13</w:t>
      </w:r>
      <w:r>
        <w:rPr>
          <w:rFonts w:ascii="Arial" w:cs="Arial" w:eastAsia="Arial" w:hAnsi="Arial"/>
          <w:sz w:val="18"/>
          <w:szCs w:val="18"/>
          <w:color w:val="auto"/>
        </w:rPr>
        <w:t>. If such Lender pays such amount to the Administrative Agent, then such amount shall constitute such Lender’s Loan included in such Borrowing.</w:t>
      </w:r>
    </w:p>
    <w:p>
      <w:pPr>
        <w:spacing w:after="0" w:line="88" w:lineRule="exact"/>
        <w:rPr>
          <w:sz w:val="20"/>
          <w:szCs w:val="20"/>
          <w:color w:val="auto"/>
        </w:rPr>
      </w:pPr>
    </w:p>
    <w:p>
      <w:pPr>
        <w:jc w:val="both"/>
        <w:ind w:left="4" w:right="20" w:firstLine="436"/>
        <w:spacing w:after="0" w:line="275" w:lineRule="auto"/>
        <w:tabs>
          <w:tab w:leader="none" w:pos="70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Obligations of the Lenders hereunder to make Term Loans and Revolving Loans, to fund participations in Letters of Credit and Swingline Loans and to make payments pursuant to </w:t>
      </w:r>
      <w:r>
        <w:rPr>
          <w:rFonts w:ascii="Arial" w:cs="Arial" w:eastAsia="Arial" w:hAnsi="Arial"/>
          <w:sz w:val="17"/>
          <w:szCs w:val="17"/>
          <w:u w:val="single" w:color="auto"/>
          <w:color w:val="auto"/>
        </w:rPr>
        <w:t>Section 9.03(c)</w:t>
      </w:r>
      <w:r>
        <w:rPr>
          <w:rFonts w:ascii="Arial" w:cs="Arial" w:eastAsia="Arial" w:hAnsi="Arial"/>
          <w:sz w:val="17"/>
          <w:szCs w:val="17"/>
          <w:color w:val="auto"/>
        </w:rPr>
        <w:t xml:space="preserve"> are several and not joint. The failure of any Lender to make any Loan, to fund any such participation or to make any payment under </w:t>
      </w:r>
      <w:r>
        <w:rPr>
          <w:rFonts w:ascii="Arial" w:cs="Arial" w:eastAsia="Arial" w:hAnsi="Arial"/>
          <w:sz w:val="17"/>
          <w:szCs w:val="17"/>
          <w:u w:val="single" w:color="auto"/>
          <w:color w:val="auto"/>
        </w:rPr>
        <w:t>Section 9.03(c)</w:t>
      </w:r>
      <w:r>
        <w:rPr>
          <w:rFonts w:ascii="Arial" w:cs="Arial" w:eastAsia="Arial" w:hAnsi="Arial"/>
          <w:sz w:val="17"/>
          <w:szCs w:val="17"/>
          <w:color w:val="auto"/>
        </w:rPr>
        <w:t xml:space="preserve"> on any date required hereunder shall not relieve any other Lender of its corresponding obligation to do so on such date, and, other than as expressly provided herein with respect to a Defaulting Lender, no Lender shall be responsible for the failure of any other Lender to so make its Loan, to purchase its participation or to make its payment under </w:t>
      </w:r>
      <w:r>
        <w:rPr>
          <w:rFonts w:ascii="Arial" w:cs="Arial" w:eastAsia="Arial" w:hAnsi="Arial"/>
          <w:sz w:val="17"/>
          <w:szCs w:val="17"/>
          <w:u w:val="single" w:color="auto"/>
          <w:color w:val="auto"/>
        </w:rPr>
        <w:t>Section 9.03(c)</w:t>
      </w:r>
      <w:r>
        <w:rPr>
          <w:rFonts w:ascii="Arial" w:cs="Arial" w:eastAsia="Arial" w:hAnsi="Arial"/>
          <w:sz w:val="17"/>
          <w:szCs w:val="17"/>
          <w:color w:val="auto"/>
        </w:rPr>
        <w: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117" w:lineRule="exact"/>
        <w:rPr>
          <w:sz w:val="20"/>
          <w:szCs w:val="20"/>
          <w:color w:val="auto"/>
        </w:rPr>
      </w:pPr>
    </w:p>
    <w:p>
      <w:pPr>
        <w:jc w:val="both"/>
        <w:ind w:left="4" w:firstLine="436"/>
        <w:spacing w:after="0" w:line="272" w:lineRule="auto"/>
        <w:tabs>
          <w:tab w:leader="none" w:pos="705" w:val="left"/>
        </w:tabs>
        <w:numPr>
          <w:ilvl w:val="1"/>
          <w:numId w:val="123"/>
        </w:numPr>
        <w:rPr>
          <w:rFonts w:ascii="Arial" w:cs="Arial" w:eastAsia="Arial" w:hAnsi="Arial"/>
          <w:sz w:val="17"/>
          <w:szCs w:val="17"/>
          <w:color w:val="auto"/>
        </w:rPr>
      </w:pPr>
      <w:r>
        <w:rPr>
          <w:rFonts w:ascii="Arial" w:cs="Arial" w:eastAsia="Arial" w:hAnsi="Arial"/>
          <w:sz w:val="17"/>
          <w:szCs w:val="17"/>
          <w:color w:val="auto"/>
        </w:rPr>
        <w:t xml:space="preserve">Each Revolving Loan Borrowing and Term Loan Borrowing initially shall be of the Type specified in the applicable Borrowing Request or designated by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in the case of a Eurocurrency Borrowing, shall have an initial Interest Period as specified in such Borrowing Request or designated by </w:t>
      </w:r>
      <w:r>
        <w:rPr>
          <w:rFonts w:ascii="Arial" w:cs="Arial" w:eastAsia="Arial" w:hAnsi="Arial"/>
          <w:sz w:val="17"/>
          <w:szCs w:val="17"/>
          <w:u w:val="single" w:color="auto"/>
          <w:color w:val="auto"/>
        </w:rPr>
        <w:t>Section 2.03</w:t>
      </w:r>
      <w:r>
        <w:rPr>
          <w:rFonts w:ascii="Arial" w:cs="Arial" w:eastAsia="Arial" w:hAnsi="Arial"/>
          <w:sz w:val="17"/>
          <w:szCs w:val="17"/>
          <w:color w:val="auto"/>
        </w:rPr>
        <w:t>. Thereafter, the Borrower may elect to convert such Borrowing to a different Type or to continue such Borrowing and, in the case of a Eurocurrency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Loans, which may not be converted or continued.</w:t>
      </w:r>
    </w:p>
    <w:p>
      <w:pPr>
        <w:spacing w:after="0" w:line="69" w:lineRule="exact"/>
        <w:rPr>
          <w:rFonts w:ascii="Arial" w:cs="Arial" w:eastAsia="Arial" w:hAnsi="Arial"/>
          <w:sz w:val="17"/>
          <w:szCs w:val="17"/>
          <w:color w:val="auto"/>
        </w:rPr>
      </w:pPr>
    </w:p>
    <w:p>
      <w:pPr>
        <w:jc w:val="both"/>
        <w:ind w:left="4" w:firstLine="436"/>
        <w:spacing w:after="0" w:line="253" w:lineRule="auto"/>
        <w:tabs>
          <w:tab w:leader="none" w:pos="72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make an election pursuant to this Section, the Borrower shall notify the Administrative Agent of such election by delivery (by hand delivery, facsimile or other electronic transmission) to the Administrative Agent of a written Interest Election Request signed by the Borrower (i) in the case of an election to convert or continue a Borrowing into a Eurocurrency Borrowing, not later than 2:00 p.m., New York City time, three Business Days before the effective date of the election made pursuant to such Interest Election Request and (ii) in the case of an election to convert or continue a Borrowing into an ABR Borrowing, not later than 2:00 p.m., New York City time, one Business Day prior to the effective date of the election made pursuant to such Interest Election Request.</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Each Interest Election Request shall specify the following information in compliance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jc w:val="both"/>
        <w:ind w:left="444" w:right="20" w:firstLine="419"/>
        <w:spacing w:after="0" w:line="263" w:lineRule="auto"/>
        <w:tabs>
          <w:tab w:leader="none" w:pos="1083" w:val="left"/>
        </w:tabs>
        <w:numPr>
          <w:ilvl w:val="2"/>
          <w:numId w:val="124"/>
        </w:numPr>
        <w:rPr>
          <w:rFonts w:ascii="Arial" w:cs="Arial" w:eastAsia="Arial" w:hAnsi="Arial"/>
          <w:sz w:val="18"/>
          <w:szCs w:val="18"/>
          <w:color w:val="auto"/>
        </w:rPr>
      </w:pPr>
      <w:r>
        <w:rPr>
          <w:rFonts w:ascii="Arial" w:cs="Arial" w:eastAsia="Arial" w:hAnsi="Arial"/>
          <w:sz w:val="18"/>
          <w:szCs w:val="18"/>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below shall be specified for each resulting Borrowing) (for the avoidance of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24"/>
          </w:cols>
          <w:pgMar w:left="436" w:top="274" w:right="439" w:bottom="1440" w:gutter="0" w:footer="0" w:header="0"/>
        </w:sectPr>
      </w:pPr>
    </w:p>
    <w:bookmarkStart w:id="139" w:name="page140"/>
    <w:bookmarkEnd w:id="139"/>
    <w:p>
      <w:pPr>
        <w:ind w:left="444"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doubt, in the case of any Borrowing of Revolving Loans, such election shall be made pro rata between the Class A Revolving Loans and Class B Revolving Loans);</w:t>
      </w:r>
    </w:p>
    <w:p>
      <w:pPr>
        <w:spacing w:after="0" w:line="62" w:lineRule="exact"/>
        <w:rPr>
          <w:sz w:val="20"/>
          <w:szCs w:val="20"/>
          <w:color w:val="auto"/>
        </w:rPr>
      </w:pPr>
    </w:p>
    <w:p>
      <w:pPr>
        <w:ind w:left="1124" w:hanging="261"/>
        <w:spacing w:after="0"/>
        <w:tabs>
          <w:tab w:leader="none" w:pos="11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1184" w:hanging="321"/>
        <w:spacing w:after="0"/>
        <w:tabs>
          <w:tab w:leader="none" w:pos="118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Eurocurrency Borrowing; and</w:t>
      </w:r>
    </w:p>
    <w:p>
      <w:pPr>
        <w:spacing w:after="0" w:line="117" w:lineRule="exact"/>
        <w:rPr>
          <w:rFonts w:ascii="Arial" w:cs="Arial" w:eastAsia="Arial" w:hAnsi="Arial"/>
          <w:sz w:val="18"/>
          <w:szCs w:val="18"/>
          <w:color w:val="auto"/>
        </w:rPr>
      </w:pPr>
    </w:p>
    <w:p>
      <w:pPr>
        <w:ind w:left="444" w:right="20" w:firstLine="419"/>
        <w:spacing w:after="0" w:line="277" w:lineRule="auto"/>
        <w:tabs>
          <w:tab w:leader="none" w:pos="119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resulting Borrowing is to be a Eurocurrency Borrowing, the Interest Period to be applicable thereto after giving effect to such election, which shall be a period contemplated by the definition of the term “Interest Period.”</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If any such Interest Election Request requests a Eurocurrency Borrowing but does not specify an Interest Period, then the Borrower shall be deemed to have selected an Interest Period of one month’s duration.</w:t>
      </w:r>
    </w:p>
    <w:p>
      <w:pPr>
        <w:spacing w:after="0" w:line="62" w:lineRule="exact"/>
        <w:rPr>
          <w:sz w:val="20"/>
          <w:szCs w:val="20"/>
          <w:color w:val="auto"/>
        </w:rPr>
      </w:pPr>
    </w:p>
    <w:p>
      <w:pPr>
        <w:ind w:left="4" w:right="20" w:firstLine="436"/>
        <w:spacing w:after="0" w:line="277" w:lineRule="auto"/>
        <w:tabs>
          <w:tab w:leader="none" w:pos="70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62" w:lineRule="exact"/>
        <w:rPr>
          <w:rFonts w:ascii="Arial" w:cs="Arial" w:eastAsia="Arial" w:hAnsi="Arial"/>
          <w:sz w:val="18"/>
          <w:szCs w:val="18"/>
          <w:color w:val="auto"/>
        </w:rPr>
      </w:pPr>
    </w:p>
    <w:p>
      <w:pPr>
        <w:jc w:val="both"/>
        <w:ind w:left="4" w:firstLine="436"/>
        <w:spacing w:after="0" w:line="273" w:lineRule="auto"/>
        <w:tabs>
          <w:tab w:leader="none" w:pos="70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the Borrower fails to deliver a timely Interest Election Request with respect to a Eurocurrency Borrowing prior to the end of the Interest Period applicable thereto, then, unless such Borrowing is repaid as provided herein, at the end of such Interest Period such Borrowing shall be continued as a Eurocurrency Borrowing with an Interest Period of one month.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Eurocurrency Borrowing and (ii) unless repaid, each Eurocurrency Borrowing shall be converted to an ABR Borrowing at the end of the Interest Period applicable thereto.</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w:t>
      </w:r>
    </w:p>
    <w:p>
      <w:pPr>
        <w:spacing w:after="0" w:line="117" w:lineRule="exact"/>
        <w:rPr>
          <w:sz w:val="20"/>
          <w:szCs w:val="20"/>
          <w:color w:val="auto"/>
        </w:rPr>
      </w:pPr>
    </w:p>
    <w:p>
      <w:pPr>
        <w:jc w:val="both"/>
        <w:ind w:left="4" w:firstLine="436"/>
        <w:spacing w:after="0" w:line="273" w:lineRule="auto"/>
        <w:tabs>
          <w:tab w:leader="none" w:pos="719" w:val="left"/>
        </w:tabs>
        <w:numPr>
          <w:ilvl w:val="1"/>
          <w:numId w:val="127"/>
        </w:numPr>
        <w:rPr>
          <w:rFonts w:ascii="Arial" w:cs="Arial" w:eastAsia="Arial" w:hAnsi="Arial"/>
          <w:sz w:val="17"/>
          <w:szCs w:val="17"/>
          <w:color w:val="auto"/>
        </w:rPr>
      </w:pPr>
      <w:r>
        <w:rPr>
          <w:rFonts w:ascii="Arial" w:cs="Arial" w:eastAsia="Arial" w:hAnsi="Arial"/>
          <w:sz w:val="17"/>
          <w:szCs w:val="17"/>
          <w:color w:val="auto"/>
        </w:rPr>
        <w:t>Unless previously terminated, (i) the Initial Term Loan Commitments shall terminate upon the making of the Initial Term Loans on the Effective Date, (ii) the 2020 Incremental Term Commitments shall terminate upon the earlier to occur of (x) the making of the 2020 Incremental Term Loans and (y) 5:00 p.m. New York City time on March 25, 2020, (iii) the 2021 Incremental Term Commitments shall terminate upon the earlier to occur of (x) the making of the 2021 Incremental Term Loans and (y) 5:00 p.m. New York City time on June 11, 2021, (iv) the 2021-2 Incremental Term Commitments shall terminate upon the earlier to occur of (x) the making of the 2021-2 Incremental Term Loans and (y) 5:00 p.m. New York City time on November 10, 2021, and (v) the Revolving Commitments shall terminate on the Revolving Maturity Date.</w:t>
      </w:r>
    </w:p>
    <w:p>
      <w:pPr>
        <w:spacing w:after="0" w:line="69" w:lineRule="exact"/>
        <w:rPr>
          <w:rFonts w:ascii="Arial" w:cs="Arial" w:eastAsia="Arial" w:hAnsi="Arial"/>
          <w:sz w:val="17"/>
          <w:szCs w:val="17"/>
          <w:color w:val="auto"/>
        </w:rPr>
      </w:pPr>
    </w:p>
    <w:p>
      <w:pPr>
        <w:jc w:val="both"/>
        <w:ind w:left="4" w:right="20" w:firstLine="436"/>
        <w:spacing w:after="0" w:line="291" w:lineRule="auto"/>
        <w:tabs>
          <w:tab w:leader="none" w:pos="7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The Borrower may at any time terminate, or from time to time reduce, the Commitments of any Class at the Borrower’s sole discretion (for the avoidance of doubt, such reduction or termination need not be reduced or terminated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among Classes of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left="224" w:hanging="224"/>
        <w:spacing w:after="0"/>
        <w:tabs>
          <w:tab w:leader="none" w:pos="22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each reduction of the Commitments of any Class shall be in an amount that is an integral multiple of $500,000 and not less than $1,000,000 and</w:t>
      </w:r>
    </w:p>
    <w:p>
      <w:pPr>
        <w:spacing w:after="0" w:line="32" w:lineRule="exact"/>
        <w:rPr>
          <w:rFonts w:ascii="Arial" w:cs="Arial" w:eastAsia="Arial" w:hAnsi="Arial"/>
          <w:sz w:val="16"/>
          <w:szCs w:val="16"/>
          <w:color w:val="auto"/>
        </w:rPr>
      </w:pPr>
    </w:p>
    <w:p>
      <w:pPr>
        <w:jc w:val="both"/>
        <w:ind w:left="4" w:hanging="4"/>
        <w:spacing w:after="0" w:line="255" w:lineRule="auto"/>
        <w:tabs>
          <w:tab w:leader="none" w:pos="28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Borrower shall not terminate or reduce the Revolving Commitments of any Class if, after giving effect to any concurrent prepayment of the Revolving Loans of such Class or Swingline Loans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the aggregate Revolving Exposures of such Class would exceed the aggregate Revolving Commitments of such Class.</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24"/>
          </w:cols>
          <w:pgMar w:left="436" w:top="274" w:right="439" w:bottom="1440" w:gutter="0" w:footer="0" w:header="0"/>
        </w:sectPr>
      </w:pPr>
    </w:p>
    <w:bookmarkStart w:id="140" w:name="page141"/>
    <w:bookmarkEnd w:id="140"/>
    <w:p>
      <w:pPr>
        <w:jc w:val="both"/>
        <w:ind w:right="20" w:firstLine="436"/>
        <w:spacing w:after="0" w:line="259" w:lineRule="auto"/>
        <w:tabs>
          <w:tab w:leader="none" w:pos="71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notify the Administrative Agent of any election to terminate or reduce the Commitments under paragraph (b) of this Section by 2:00 p.m. New York City time at least three Business Days prior to the effective date of such termination or reduction, specifying such election and the effective date thereof. Promptly following receipt of any such notice, the Administrative Agent shall advise the Lenders of the contents thereof.</w:t>
      </w:r>
    </w:p>
    <w:p>
      <w:pPr>
        <w:spacing w:after="0" w:line="78" w:lineRule="exact"/>
        <w:rPr>
          <w:rFonts w:ascii="Arial" w:cs="Arial" w:eastAsia="Arial" w:hAnsi="Arial"/>
          <w:sz w:val="18"/>
          <w:szCs w:val="18"/>
          <w:color w:val="auto"/>
        </w:rPr>
      </w:pPr>
    </w:p>
    <w:p>
      <w:pPr>
        <w:jc w:val="both"/>
        <w:ind w:firstLine="436"/>
        <w:spacing w:after="0" w:line="284" w:lineRule="auto"/>
        <w:tabs>
          <w:tab w:leader="none" w:pos="69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Any termination or reduction pursuant to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shall apply proportionately and permanently to reduce the Commitments of each of the Lenders within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(1) the Borrower may allocate any termination or reduction of Commitments among Classes of Commitments at its direction (including, for the avoidance of doubt, to the Commitments with respect to any Class of Extended Revolving Commitments without any termination or reduction of the Commitments with respect to any Existing Revolving Commitments of the same Specified Existing Revolving Commitment Class) and (2) in connection with the establishment on any date of any Extended Revolving Commitments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the Existing Revolving Commitments of any one or more Lenders providing any such Extended Revolving Commitments on such date shall be reduced in an amount equal to the amount of Specified Existing Revolving Commitments so extended on such date (or, if agreed by the Borrower and the Lenders providing such Extended Revolving Commitments, by any greater amount so long as (a) a proportionate reduction of the Specified Existing Revolving Commitments has been offered to each Lender to whom the applicable Revolving Credit Extension Request has been made (which may be conditioned upon such Lender becoming an Extending Lender), and (b) the Borrower prepay the Existing Revolving Loans of such Class owed to such Lenders providing such Extended Revolving Commitments to the extent necessary to ensure that, after giving pro forma effect to such repayment or reduction, the Existing Revolving Loans of such Class are held by the Lenders of such Class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in accordance with their Existing Revolving Commitments of such Class after giving pro forma effect to such reduction)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after giving pro forma effect to any such reduction and to the repayment of any Loans made on such date, the aggregate amount of the revolving credit exposure of any such Lender does not exceed the Existing Revolving Commitment thereof (such revolving credit exposure and Revolving Credit Commitment being determined in each case, for the avoidance of doubt, exclusive of such Lender’s Extended Revolving Commitment and any exposure in respect thereof) and (y) for the avoidance of doubt, any such repayment of Loans contemplated by the preceding clause shall be made in compliance with the requirements of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with respect to the ratable allocation of payments hereunder, with such allocation being determined after giving pro forma effect to any conversion or exchange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of Existing Revolving Commitments and Existing Revolving Loans into Extended Revolving Commitments and Extended Revolving Loans respectively, and prior to any reduction being made to the Commitment of any other Lender).</w:t>
      </w:r>
    </w:p>
    <w:p>
      <w:pPr>
        <w:spacing w:after="0" w:line="73" w:lineRule="exact"/>
        <w:rPr>
          <w:rFonts w:ascii="Arial" w:cs="Arial" w:eastAsia="Arial" w:hAnsi="Arial"/>
          <w:sz w:val="16"/>
          <w:szCs w:val="16"/>
          <w:color w:val="auto"/>
        </w:rPr>
      </w:pPr>
    </w:p>
    <w:p>
      <w:pPr>
        <w:jc w:val="both"/>
        <w:ind w:firstLine="436"/>
        <w:spacing w:after="0" w:line="269" w:lineRule="auto"/>
        <w:tabs>
          <w:tab w:leader="none" w:pos="69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With respect to each mandatory reduction and termination of Revolving Commitments or Replacement Revolving Credit Commitments (and any previously extended Revolving Commitments) required in connection with the incurrence of any Incremental Refinancing Facility or the incurrence of any Credit Agreement Refinancing Indebtedness incurred to Refinance any Revolving Commitments, Replacement Revolving Commitments and/or Other Revolving Commitments, the Borrower may designate (A) the Classes of Commitments to be reduced and terminated and (B) the corresponding Classes of Loans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any such reduction and termination shall apply proportionately and permanently to reduce the Commitments of each of the Lenders within any such Class and (y) after giving pro forma effect to such termination or reduction and to any prepayments of Loans or cancellation or cash collateralization of Letters of Credit made on the date of each such reduction and termination in accordance with this Agreement, the aggregate amount of such Lenders’ credit exposures shall not exceed the remaining Commitments of such Lenders’ in respect of the Class reduced and terminated. In connection with any such termination or reduction, to the extent necessary, the participations hereunder in outstanding Letters of Credit and Swingline Loans may be required to be reallocated and related loans outstanding prepaid and then reborrowed.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20"/>
          </w:cols>
          <w:pgMar w:left="440" w:top="274" w:right="439" w:bottom="1440" w:gutter="0" w:footer="0" w:header="0"/>
        </w:sectPr>
      </w:pPr>
    </w:p>
    <w:bookmarkStart w:id="141" w:name="page142"/>
    <w:bookmarkEnd w:id="14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117" w:lineRule="exact"/>
        <w:rPr>
          <w:sz w:val="20"/>
          <w:szCs w:val="20"/>
          <w:color w:val="auto"/>
        </w:rPr>
      </w:pPr>
    </w:p>
    <w:p>
      <w:pPr>
        <w:jc w:val="both"/>
        <w:ind w:left="4" w:right="20" w:firstLine="436"/>
        <w:spacing w:after="0" w:line="273" w:lineRule="auto"/>
        <w:tabs>
          <w:tab w:leader="none" w:pos="692"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The Borrower hereby unconditionally promises to pay (i) to the Administrative Agent for the account of each Lender the then unpaid principal amount of each Revolving Loan of such Lender on the Revolving Maturity Date, (ii) to the Administrative Agent for the account of each Term Lender the then unpaid principal amount of each Term Loan of such Term Lender as provided in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and (iii) to the Swingline Lender the then unpaid principal amount of each Swingline Loan made by the Swingline Lender on the earlier to occur of (A) the date that is 10 Business Days after such Loan is made and (B) the Revolving Maturity Date; provided that on each date that a Revolving Loan Borrowing in Dollars is made, the Borrower shall repay all Swingline Loans that were outstanding on the date such Borrowing was requested.</w:t>
      </w:r>
    </w:p>
    <w:p>
      <w:pPr>
        <w:spacing w:after="0" w:line="69" w:lineRule="exact"/>
        <w:rPr>
          <w:rFonts w:ascii="Arial" w:cs="Arial" w:eastAsia="Arial" w:hAnsi="Arial"/>
          <w:sz w:val="17"/>
          <w:szCs w:val="17"/>
          <w:color w:val="auto"/>
        </w:rPr>
      </w:pPr>
    </w:p>
    <w:p>
      <w:pPr>
        <w:jc w:val="both"/>
        <w:ind w:left="4" w:right="20" w:firstLine="436"/>
        <w:spacing w:after="0" w:line="263" w:lineRule="auto"/>
        <w:tabs>
          <w:tab w:leader="none" w:pos="70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75" w:lineRule="exact"/>
        <w:rPr>
          <w:rFonts w:ascii="Arial" w:cs="Arial" w:eastAsia="Arial" w:hAnsi="Arial"/>
          <w:sz w:val="18"/>
          <w:szCs w:val="18"/>
          <w:color w:val="auto"/>
        </w:rPr>
      </w:pPr>
    </w:p>
    <w:p>
      <w:pPr>
        <w:jc w:val="both"/>
        <w:ind w:left="4" w:firstLine="436"/>
        <w:spacing w:after="0" w:line="279" w:lineRule="auto"/>
        <w:tabs>
          <w:tab w:leader="none" w:pos="703"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(iii) the amount of any sum received by the Administrative Agent hereunder for the account of the Lenders and each Lender’s share thereof and (iv) any cancellation or retirement of Term Loans contemplated by </w:t>
      </w:r>
      <w:r>
        <w:rPr>
          <w:rFonts w:ascii="Arial" w:cs="Arial" w:eastAsia="Arial" w:hAnsi="Arial"/>
          <w:sz w:val="17"/>
          <w:szCs w:val="17"/>
          <w:u w:val="single" w:color="auto"/>
          <w:color w:val="auto"/>
        </w:rPr>
        <w:t>Section 9.04(g)</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jc w:val="both"/>
        <w:ind w:left="4" w:firstLine="436"/>
        <w:spacing w:after="0" w:line="285" w:lineRule="auto"/>
        <w:tabs>
          <w:tab w:leader="none" w:pos="702"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Section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and the entries made in the Register pursuant to </w:t>
      </w:r>
      <w:r>
        <w:rPr>
          <w:rFonts w:ascii="Arial" w:cs="Arial" w:eastAsia="Arial" w:hAnsi="Arial"/>
          <w:sz w:val="16"/>
          <w:szCs w:val="16"/>
          <w:u w:val="single" w:color="auto"/>
          <w:color w:val="auto"/>
        </w:rPr>
        <w:t>Section 9.04(b)(iv)</w:t>
      </w:r>
      <w:r>
        <w:rPr>
          <w:rFonts w:ascii="Arial" w:cs="Arial" w:eastAsia="Arial" w:hAnsi="Arial"/>
          <w:sz w:val="16"/>
          <w:szCs w:val="16"/>
          <w:color w:val="auto"/>
        </w:rPr>
        <w:t xml:space="preserve">, the accounts maintained by the Administrative Agent and the entries made in the Register pursuant to </w:t>
      </w:r>
      <w:r>
        <w:rPr>
          <w:rFonts w:ascii="Arial" w:cs="Arial" w:eastAsia="Arial" w:hAnsi="Arial"/>
          <w:sz w:val="16"/>
          <w:szCs w:val="16"/>
          <w:u w:val="single" w:color="auto"/>
          <w:color w:val="auto"/>
        </w:rPr>
        <w:t>Section 9.04(b)</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131"/>
        </w:numPr>
        <w:rPr>
          <w:rFonts w:ascii="Arial" w:cs="Arial" w:eastAsia="Arial" w:hAnsi="Arial"/>
          <w:sz w:val="18"/>
          <w:szCs w:val="18"/>
          <w:u w:val="single" w:color="auto"/>
          <w:color w:val="auto"/>
        </w:rPr>
      </w:pPr>
      <w:r>
        <w:rPr>
          <w:rFonts w:ascii="Arial" w:cs="Arial" w:eastAsia="Arial" w:hAnsi="Arial"/>
          <w:sz w:val="18"/>
          <w:szCs w:val="18"/>
          <w:color w:val="auto"/>
        </w:rPr>
        <w:t>shall control.</w:t>
      </w:r>
    </w:p>
    <w:p>
      <w:pPr>
        <w:spacing w:after="0" w:line="102" w:lineRule="exact"/>
        <w:rPr>
          <w:rFonts w:ascii="Arial" w:cs="Arial" w:eastAsia="Arial" w:hAnsi="Arial"/>
          <w:sz w:val="18"/>
          <w:szCs w:val="18"/>
          <w:u w:val="single" w:color="auto"/>
          <w:color w:val="auto"/>
        </w:rPr>
      </w:pPr>
    </w:p>
    <w:p>
      <w:pPr>
        <w:jc w:val="both"/>
        <w:ind w:left="4" w:right="20" w:firstLine="436"/>
        <w:spacing w:after="0" w:line="263" w:lineRule="auto"/>
        <w:tabs>
          <w:tab w:leader="none" w:pos="70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Lender may request through the Administrative Agent that Loans of any Class made by it be evidenced by a promissory note. In such event, the Borrower shall execute and deliver to such Lender a promissory note payable to such Lender or its registered assigns substantially in the form of Exhibit L.</w:t>
      </w:r>
    </w:p>
    <w:p>
      <w:pPr>
        <w:spacing w:after="0" w:line="75" w:lineRule="exact"/>
        <w:rPr>
          <w:rFonts w:ascii="Arial" w:cs="Arial" w:eastAsia="Arial" w:hAnsi="Arial"/>
          <w:sz w:val="18"/>
          <w:szCs w:val="18"/>
          <w:color w:val="auto"/>
        </w:rPr>
      </w:pPr>
    </w:p>
    <w:p>
      <w:pPr>
        <w:jc w:val="both"/>
        <w:ind w:left="4" w:right="20" w:firstLine="436"/>
        <w:spacing w:after="0" w:line="270" w:lineRule="auto"/>
        <w:tabs>
          <w:tab w:leader="none" w:pos="676" w:val="left"/>
        </w:tabs>
        <w:numPr>
          <w:ilvl w:val="1"/>
          <w:numId w:val="131"/>
        </w:numPr>
        <w:rPr>
          <w:rFonts w:ascii="Arial" w:cs="Arial" w:eastAsia="Arial" w:hAnsi="Arial"/>
          <w:sz w:val="17"/>
          <w:szCs w:val="17"/>
          <w:color w:val="auto"/>
        </w:rPr>
      </w:pPr>
      <w:r>
        <w:rPr>
          <w:rFonts w:ascii="Arial" w:cs="Arial" w:eastAsia="Arial" w:hAnsi="Arial"/>
          <w:sz w:val="17"/>
          <w:szCs w:val="17"/>
          <w:color w:val="auto"/>
        </w:rPr>
        <w:t xml:space="preserve">For the avoidance of doubt, (x) with effect from the Amendment No. 1 Effective Date, the 2020 Incremental Term Loans made in accordance with Amendment No. 1 shall constitute for all purposes of this Agreement, a “Term Loan” made pursuant to this Agreement and all provisions of this Agreement applicable to Term Loans shall be applicable to the 2020 Incremental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that, the 2020 Incremental Term Loans shall constitute a separate Class of Loans from the “Initial Term Loans” for all purposes of this Agreement and (y) with effect from the Amendment No. 1 Effective Date, the 2020 Incremental Term Loans Commitment shall constitute an “Incremental Commitment” for all purposes of this Agreement, and all provisions of this Agreement applicable to Incremental Commitments in respect of Incremental Term Loans shall be applicable to the 2020 Incremental Term Loan Commitments. Further, with effect from the Amendment No. 1 Effective Date, the 2020 Incremental Term Loans (i) shall mature and shall become due and payable on the Term Maturity Date applicable to Initial Term Loans and (ii) shall be repaid in quarterly installments in accordance with Section 2.10(a)(ii).</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24"/>
          </w:cols>
          <w:pgMar w:left="436" w:top="274" w:right="439" w:bottom="1440" w:gutter="0" w:footer="0" w:header="0"/>
        </w:sectPr>
      </w:pPr>
    </w:p>
    <w:bookmarkStart w:id="142" w:name="page143"/>
    <w:bookmarkEnd w:id="142"/>
    <w:p>
      <w:pPr>
        <w:jc w:val="both"/>
        <w:ind w:right="20" w:firstLine="436"/>
        <w:spacing w:after="0" w:line="254" w:lineRule="auto"/>
        <w:tabs>
          <w:tab w:leader="none" w:pos="697"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the avoidance of doubt, (x) with effect from Amendment No. 5 Effective Date, the 2021 Incremental Term Loans made in accordance with Amendment No. 5 shall constitute for all purposes of this Agreement, a “Term Loan” made pursuant to this Agreement and all provisions of this Agreement applicable to Term Loans shall be applicable to the 2021 Incremental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with effect from Amendment No. 5 Effective Date, the 2021 Incremental Term Loans Commitment shall constitute an “Incremental Commitment” for all purposes of this Agreement, and all provisions of this Agreement applicable to Incremental Commitments in respect of Incremental Term Loans shall be applicable to the 2021 Incremental Term Loan Commitments. Further, with effect from Amendment No. 5 Effective Date, the 2021 Incremental Term Loans (i) shall mature and shall become due and payable on the Term Maturity Date applicable to Initial Term Loans and (ii) shall be repaid in quarterly installments in accordance with Section 2.10(a)(ii).</w:t>
      </w:r>
    </w:p>
    <w:p>
      <w:pPr>
        <w:spacing w:after="0" w:line="83" w:lineRule="exact"/>
        <w:rPr>
          <w:rFonts w:ascii="Arial" w:cs="Arial" w:eastAsia="Arial" w:hAnsi="Arial"/>
          <w:sz w:val="18"/>
          <w:szCs w:val="18"/>
          <w:color w:val="auto"/>
        </w:rPr>
      </w:pPr>
    </w:p>
    <w:p>
      <w:pPr>
        <w:jc w:val="both"/>
        <w:ind w:right="20" w:firstLine="436"/>
        <w:spacing w:after="0" w:line="254" w:lineRule="auto"/>
        <w:tabs>
          <w:tab w:leader="none" w:pos="69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For the avoidance of doubt, (x) with effect from the 2021-2 Incremental Term Loan Closing Date, the 2021-2 Incremental Term Loans made in accordance with Amendment No. 6 shall constitute for all purposes of this Agreement, a “Term Loan” made pursuant to this Agreement and all provisions of this Agreement applicable to Term Loans shall be applicable to the 2021-2 Incremental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with effect from the Amendment No. 6 Effective Date, the 2021-2 Incremental Term Loans Commitment shall constitute an “Incremental Commitment” for all purposes of this Agreement, and all provisions of this Agreement applicable to Incremental Term Commitments shall be applicable to the 2021-2 Incremental Term Loan Commitments. Further, with effect from the 2021-2 Incremental Term Loan Closing Date, the 2021-2 Incremental Term Loans (i) shall mature and shall become due and payable on the 2021-2 Incremental Term Loan Maturity Date and (ii) shall be repaid in quarterly installments in accordance with Section 2.10(a)(ii).</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Amortization of Term Loans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68" w:lineRule="auto"/>
        <w:tabs>
          <w:tab w:leader="none" w:pos="73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The Borrower shall repay Initial Term Loan Borrowings on the last Business Day of each March, June, September and December (commencing on December 31, 2019) in the principal amount of Initial Term Loans equal to one quarter of one percent (0.25%) of the original principal amount of such Initial Term Loans made on the Effective Date, as adjusted from time to time pursuant to </w:t>
      </w:r>
      <w:r>
        <w:rPr>
          <w:rFonts w:ascii="Arial" w:cs="Arial" w:eastAsia="Arial" w:hAnsi="Arial"/>
          <w:sz w:val="17"/>
          <w:szCs w:val="17"/>
          <w:u w:val="single" w:color="auto"/>
          <w:color w:val="auto"/>
        </w:rPr>
        <w:t>Section 2.11(f)</w:t>
      </w:r>
      <w:r>
        <w:rPr>
          <w:rFonts w:ascii="Arial" w:cs="Arial" w:eastAsia="Arial" w:hAnsi="Arial"/>
          <w:sz w:val="17"/>
          <w:szCs w:val="17"/>
          <w:color w:val="auto"/>
        </w:rPr>
        <w:t xml:space="preserve">. The Borrower shall repay 2020 Incremental Term Loan Borrowings on the last Business Day of each March, June, September and December (commencing on June 30, 2020) in the principal amount of 2020 Incremental Term Loans equal to one quarter of one percent (0.25%) of the original principal amount of such 2020 Incremental Term Loans made pursuant to Amendment No. 1, as adjusted from time to time pursuant to </w:t>
      </w:r>
      <w:r>
        <w:rPr>
          <w:rFonts w:ascii="Arial" w:cs="Arial" w:eastAsia="Arial" w:hAnsi="Arial"/>
          <w:sz w:val="17"/>
          <w:szCs w:val="17"/>
          <w:u w:val="single" w:color="auto"/>
          <w:color w:val="auto"/>
        </w:rPr>
        <w:t>Section 2.11(f)</w:t>
      </w:r>
      <w:r>
        <w:rPr>
          <w:rFonts w:ascii="Arial" w:cs="Arial" w:eastAsia="Arial" w:hAnsi="Arial"/>
          <w:sz w:val="17"/>
          <w:szCs w:val="17"/>
          <w:color w:val="auto"/>
        </w:rPr>
        <w:t xml:space="preserve">. The Borrower shall repay 2021 Incremental Term Loan Borrowings on the last Business Day of each March, June, September and December (commencing on September 30, 2021) in the principal amount of 2021 Incremental Term Loans equal to one quarter of one percent (0.25%) of the original principal amount of such 2021 Incremental Term Loans made pursuant to Amendment No. 5, as adjusted from time to time pursuant to </w:t>
      </w:r>
      <w:r>
        <w:rPr>
          <w:rFonts w:ascii="Arial" w:cs="Arial" w:eastAsia="Arial" w:hAnsi="Arial"/>
          <w:sz w:val="17"/>
          <w:szCs w:val="17"/>
          <w:u w:val="single" w:color="auto"/>
          <w:color w:val="auto"/>
        </w:rPr>
        <w:t>Section 2.11(f)</w:t>
      </w:r>
      <w:r>
        <w:rPr>
          <w:rFonts w:ascii="Arial" w:cs="Arial" w:eastAsia="Arial" w:hAnsi="Arial"/>
          <w:sz w:val="17"/>
          <w:szCs w:val="17"/>
          <w:color w:val="auto"/>
        </w:rPr>
        <w:t xml:space="preserve">. The Borrower shall repay 2021-2 Incremental Term Loan Borrowings on the last Business Day of each March, June, September and December (commencing on March 31, 2022) in the principal amount of 2021-2 Incremental Term Loans equal to one quarter of one percent (0.25%) of the original principal amount of such 2021-2 Incremental Term Loans made pursuant to Amendment No. 6, as adjusted from time to time pursuant to </w:t>
      </w:r>
      <w:r>
        <w:rPr>
          <w:rFonts w:ascii="Arial" w:cs="Arial" w:eastAsia="Arial" w:hAnsi="Arial"/>
          <w:sz w:val="17"/>
          <w:szCs w:val="17"/>
          <w:u w:val="single" w:color="auto"/>
          <w:color w:val="auto"/>
        </w:rPr>
        <w:t>Section 2.11(f)</w:t>
      </w:r>
      <w:r>
        <w:rPr>
          <w:rFonts w:ascii="Arial" w:cs="Arial" w:eastAsia="Arial" w:hAnsi="Arial"/>
          <w:sz w:val="17"/>
          <w:szCs w:val="17"/>
          <w:color w:val="auto"/>
        </w:rPr>
        <w:t>. To the extent not previously paid, all Initial Term Loans, all 2020 Incremental Term Loans and all 2021 Incremental Term Loans shall be due and payable by the Borrower on the Initial Term Loan Maturity Date.</w:t>
      </w:r>
    </w:p>
    <w:p>
      <w:pPr>
        <w:spacing w:after="0" w:line="76" w:lineRule="exact"/>
        <w:rPr>
          <w:rFonts w:ascii="Arial" w:cs="Arial" w:eastAsia="Arial" w:hAnsi="Arial"/>
          <w:sz w:val="17"/>
          <w:szCs w:val="17"/>
          <w:color w:val="auto"/>
        </w:rPr>
      </w:pPr>
    </w:p>
    <w:p>
      <w:pPr>
        <w:ind w:right="20" w:firstLine="436"/>
        <w:spacing w:after="0" w:line="277" w:lineRule="auto"/>
        <w:tabs>
          <w:tab w:leader="none" w:pos="6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All repayment obligations under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be reduced by the amount of any prepayments made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in the manner specified therein.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440" w:top="274" w:right="439" w:bottom="1440" w:gutter="0" w:footer="0" w:header="0"/>
        </w:sectPr>
      </w:pPr>
    </w:p>
    <w:bookmarkStart w:id="143" w:name="page144"/>
    <w:bookmarkEnd w:id="143"/>
    <w:p>
      <w:pPr>
        <w:jc w:val="both"/>
        <w:ind w:left="4" w:firstLine="436"/>
        <w:spacing w:after="0" w:line="286" w:lineRule="auto"/>
        <w:tabs>
          <w:tab w:leader="none" w:pos="691" w:val="left"/>
        </w:tabs>
        <w:numPr>
          <w:ilvl w:val="1"/>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shall have the right at any time and from time to time to prepay any Borrowing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in the event of (i) any voluntary prepayment of Initial Term Loans, (ii)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(iii) any repayment of the obligations owing to, or replacement of, a Non-Consenting Lender pursuant to </w:t>
      </w:r>
      <w:r>
        <w:rPr>
          <w:rFonts w:ascii="Arial" w:cs="Arial" w:eastAsia="Arial" w:hAnsi="Arial"/>
          <w:sz w:val="16"/>
          <w:szCs w:val="16"/>
          <w:u w:val="single" w:color="auto"/>
          <w:color w:val="auto"/>
        </w:rPr>
        <w:t>Section 9.02(c</w:t>
      </w:r>
      <w:r>
        <w:rPr>
          <w:rFonts w:ascii="Arial" w:cs="Arial" w:eastAsia="Arial" w:hAnsi="Arial"/>
          <w:sz w:val="16"/>
          <w:szCs w:val="16"/>
          <w:color w:val="auto"/>
        </w:rPr>
        <w:t>), (iv) any prepayment in connection with any Repricing Transaction, the primary purpose of which is to decrease the Effective Yield on such Initial Term Loans,</w:t>
      </w:r>
    </w:p>
    <w:p>
      <w:pPr>
        <w:spacing w:after="0" w:line="1" w:lineRule="exact"/>
        <w:rPr>
          <w:rFonts w:ascii="Arial" w:cs="Arial" w:eastAsia="Arial" w:hAnsi="Arial"/>
          <w:sz w:val="16"/>
          <w:szCs w:val="16"/>
          <w:color w:val="auto"/>
        </w:rPr>
      </w:pPr>
    </w:p>
    <w:p>
      <w:pPr>
        <w:jc w:val="both"/>
        <w:ind w:left="4" w:hanging="4"/>
        <w:spacing w:after="0" w:line="281" w:lineRule="auto"/>
        <w:tabs>
          <w:tab w:leader="none" w:pos="27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any of the mandatory prepayments described in </w:t>
      </w:r>
      <w:r>
        <w:rPr>
          <w:rFonts w:ascii="Arial" w:cs="Arial" w:eastAsia="Arial" w:hAnsi="Arial"/>
          <w:sz w:val="16"/>
          <w:szCs w:val="16"/>
          <w:u w:val="single" w:color="auto"/>
          <w:color w:val="auto"/>
        </w:rPr>
        <w:t>Section 2.11(h)</w:t>
      </w:r>
      <w:r>
        <w:rPr>
          <w:rFonts w:ascii="Arial" w:cs="Arial" w:eastAsia="Arial" w:hAnsi="Arial"/>
          <w:sz w:val="16"/>
          <w:szCs w:val="16"/>
          <w:color w:val="auto"/>
        </w:rPr>
        <w:t xml:space="preserve"> from the proceeds of a Specified Debt Incurrence Prepayment Event or (vi) any amendment of this Agreement resulting in a Repricing Transaction the primary purpose of which is to decrease the Effective Yield on the Initial Term Loans (including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in connection therewith), the Borrower shall pay to the Administrative Agent, for the account of each of the Lenders holding such Initial Term Loans, (I) during the period from the Effective Date to and including the day immediately preceding the first anniversary of the 2020 Incremental Closing Date, a prepayment premium of 5.00% of the principal amount of the Initial Term Loans being prepaid or the principal amount of Initial Term Loans subject to the amendment effectuating such Repricing Transaction and outstanding immediately prior to the effectiveness thereof, (II) during the period commencing on the first anniversary of the 2020 Incremental Closing Date to and including the day immediately preceding the second anniversary of the 2020 Incremental Closing Date, a prepayment premium of 2.00% of the principal amount of the Initial Term Loans being prepaid or the principal amount of the Initial Term Loans subject to the amendment effectuating such Repricing Transaction and outstanding immediately prior to the effectiveness thereof, (III) during the period commencing on the second anniversary of the 2020 Incremental Closing Date to and including the day immediately preceding the third anniversary of the 2020 Incremental Closing Date, a prepayment premium of 1.00% of the principal amount of the Initial Term Loans being prepaid or the principal amount of the Initial Term Loans subject to the amendment effectuating such Repricing Transaction and outstanding immediately prior to the effectiveness thereof and (IV) thereafter, no prepayment premium shall be due; (y) in the event of (i) any voluntary prepayment of 2020 Incremental Term Loans, (ii)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(iii) any repayment of the obligations owing to, or replacement of, a Non-Consenting Lender pursuant to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(iv) any prepayment in connection with any Repricing Transaction, the primary purpose of which is to decrease the Effective Yield on such 2020 Incremental Term Loans, (v) any of the mandatory prepayments described in </w:t>
      </w:r>
      <w:r>
        <w:rPr>
          <w:rFonts w:ascii="Arial" w:cs="Arial" w:eastAsia="Arial" w:hAnsi="Arial"/>
          <w:sz w:val="16"/>
          <w:szCs w:val="16"/>
          <w:u w:val="single" w:color="auto"/>
          <w:color w:val="auto"/>
        </w:rPr>
        <w:t>Section 2.11(h)</w:t>
      </w:r>
      <w:r>
        <w:rPr>
          <w:rFonts w:ascii="Arial" w:cs="Arial" w:eastAsia="Arial" w:hAnsi="Arial"/>
          <w:sz w:val="16"/>
          <w:szCs w:val="16"/>
          <w:color w:val="auto"/>
        </w:rPr>
        <w:t xml:space="preserve"> from the proceeds of a Specified Debt Incurrence Prepayment Event or (vi) any amendment of this Agreement resulting in a Repricing Transaction the primary purpose of which is to decrease the Effective Yield on the 2020 Incremental Term Loans including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in connection therewith, the Borrower shall pay to the Administrative Agent, for the account of each of the Lenders holding such 2020 Incremental Term Loans, (I) during the period from the 2020 Incremental Closing Date to and including the day immediately preceding the second anniversary of the 2020 Incremental Closing Date, a prepayment premium equal to the Applicable Premium multiplied by the principal amount of the 2020 Incremental Term Loans being prepaid or the principal amount of 2020 Incremental Term Loans subject to the amendment effectuating such Repricing Transaction and outstanding immediately prior to the effectiveness thereof, (II) during the period commencing on the second anniversary of the 2020 Incremental Closing Date to and including the day immediately preceding the third anniversary of the 2020 Incremental Closing Date, a prepayment premium of 2.00% of the principal amount of the 2020 Incremental Term Loans being prepaid or the principal amount of the 2020 Incremental Term Loans subject to the amendment effectuating such Repricing Transaction and outstanding immediately prior to the effectiveness thereof, (III) during the period commencing on the third anniversary of the 2020 Incremental Closing Date to and including the day immediately preceding the fourth anniversary of the 2020 Incremental Closing Date, a prepayment premium of 1.00% of the principal amount of the 2020 Incremental Term Loans being prepaid or the principal amount of the 2020 Incremental Term Loans subject to the amendment effectuating such Repricing Transaction and outstanding immediately prior to the effectiveness thereof and (IV) thereafter, no prepayment premium shall be due; and</w:t>
      </w:r>
    </w:p>
    <w:p>
      <w:pPr>
        <w:spacing w:after="0" w:line="18" w:lineRule="exact"/>
        <w:rPr>
          <w:rFonts w:ascii="Arial" w:cs="Arial" w:eastAsia="Arial" w:hAnsi="Arial"/>
          <w:sz w:val="16"/>
          <w:szCs w:val="16"/>
          <w:color w:val="auto"/>
        </w:rPr>
      </w:pPr>
    </w:p>
    <w:p>
      <w:pPr>
        <w:ind w:left="244" w:hanging="244"/>
        <w:spacing w:after="0"/>
        <w:tabs>
          <w:tab w:leader="none" w:pos="24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event of</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24"/>
          </w:cols>
          <w:pgMar w:left="436" w:top="274" w:right="439" w:bottom="1440" w:gutter="0" w:footer="0" w:header="0"/>
        </w:sectPr>
      </w:pPr>
    </w:p>
    <w:bookmarkStart w:id="144" w:name="page145"/>
    <w:bookmarkEnd w:id="144"/>
    <w:p>
      <w:pPr>
        <w:jc w:val="both"/>
        <w:ind w:left="4" w:hanging="4"/>
        <w:spacing w:after="0" w:line="282" w:lineRule="auto"/>
        <w:tabs>
          <w:tab w:leader="none" w:pos="234" w:val="left"/>
        </w:tabs>
        <w:numPr>
          <w:ilvl w:val="0"/>
          <w:numId w:val="1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voluntary prepayment of 2021-2 Incremental Term Loans, (ii)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(iii) any repayment of the obligations owing to, or replacement of, a Non-Consenting Lender pursuant to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(iv) any prepayment in connection with any Repricing Transaction, the primary purpose of which is to decrease the Effective Yield on such 2021-2 Incremental Term Loans, (v) any of the mandatory prepayments described in </w:t>
      </w:r>
      <w:r>
        <w:rPr>
          <w:rFonts w:ascii="Arial" w:cs="Arial" w:eastAsia="Arial" w:hAnsi="Arial"/>
          <w:sz w:val="16"/>
          <w:szCs w:val="16"/>
          <w:u w:val="single" w:color="auto"/>
          <w:color w:val="auto"/>
        </w:rPr>
        <w:t>Section 2.11(h)</w:t>
      </w:r>
      <w:r>
        <w:rPr>
          <w:rFonts w:ascii="Arial" w:cs="Arial" w:eastAsia="Arial" w:hAnsi="Arial"/>
          <w:sz w:val="16"/>
          <w:szCs w:val="16"/>
          <w:color w:val="auto"/>
        </w:rPr>
        <w:t xml:space="preserve"> from the proceeds of a Specified Debt Incurrence Prepayment Event or (vi) any amendment of this Agreement resulting in a Repricing Transaction the primary purpose of which is to decrease the Effective Yield on the 2021-2 Incremental Term Loans including any replacement of a Non-Accepting Lender pursuant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in connection therewith, the Borrower shall pay to the Administrative Agent, for the account of each of the Lenders holding such 2021-2 Incremental Term Loans, (I) during the period from the 2021-2 Incremental Term Loan Closing Date to and including the day immediately preceding the seven (7) month anniversary of the 2021-2 Incremental Term Loan Closing Date, a prepayment premium of 4.00% of the principal amount of the 2021-2 Incremental Term Loans being prepaid or the principal amount of 2021-2 Incremental Term Loans subject to the amendment effectuating such Repricing Transaction and outstanding immediately prior to the effectiveness thereof, (II) during the period commencing on the date that is the seven (7) month anniversary of the 2021-2 Incremental Term Loan Closing Date to and including the day immediately preceding the one (1) year anniversary of the 2021-2 Incremental Term Loan Closing Date, a prepayment premium of 5.00% of the principal amount of the 2021-2 Incremental Term Loans being prepaid or the principal amount of the 2021-2 Incremental Term Loans subject to the amendment effectuating such Repricing Transaction and outstanding immediately prior to the effectiveness thereof, (III) during the period commencing on the day that is the one (1) year anniversary of the 2021-2 Incremental Term Loan Closing Date to and including the day immediately preceding the eighteen (18) month anniversary of the 2021-2 Incremental Term Loan Closing Date, a prepayment premium of 4.00% of the principal amount of the 2021-2 Incremental Term Loans being prepaid or the principal amount of the 2021-2 Incremental Term Loans subject to the amendment effectuating such Repricing Transaction and outstanding immediately prior to the effectiveness thereof, (IV) during the period commencing on the day that is the eighteen (18) month anniversary of the 2021-2 Incremental Term Loan Closing Date to and including the day immediately preceding the two</w:t>
      </w:r>
    </w:p>
    <w:p>
      <w:pPr>
        <w:spacing w:after="0" w:line="10" w:lineRule="exact"/>
        <w:rPr>
          <w:rFonts w:ascii="Arial" w:cs="Arial" w:eastAsia="Arial" w:hAnsi="Arial"/>
          <w:sz w:val="16"/>
          <w:szCs w:val="16"/>
          <w:color w:val="auto"/>
        </w:rPr>
      </w:pPr>
    </w:p>
    <w:p>
      <w:pPr>
        <w:jc w:val="both"/>
        <w:ind w:left="4"/>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(2) year anniversary of the 2021-2 Incremental Term Loan Closing Date, a prepayment premium of 3.00% of the principal amount of the 2021-2 Incremental Term Loans being prepaid or the principal amount of the 2021-2 Incremental Term Loans subject to the amendment effectuating such Repricing Transaction and outstanding immediately prior to the effectiveness thereof and (V) thereafter, no prepayment premium shall be due. Prepayments made pursuant to this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shall be applied in accordance with the applicable provisions of </w:t>
      </w:r>
      <w:r>
        <w:rPr>
          <w:rFonts w:ascii="Arial" w:cs="Arial" w:eastAsia="Arial" w:hAnsi="Arial"/>
          <w:sz w:val="16"/>
          <w:szCs w:val="16"/>
          <w:u w:val="single" w:color="auto"/>
          <w:color w:val="auto"/>
        </w:rPr>
        <w:t>Section 2.11(e)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2.11(f)</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jc w:val="both"/>
        <w:ind w:left="4" w:firstLine="436"/>
        <w:spacing w:after="0" w:line="279" w:lineRule="auto"/>
        <w:tabs>
          <w:tab w:leader="none" w:pos="744" w:val="left"/>
        </w:tabs>
        <w:numPr>
          <w:ilvl w:val="1"/>
          <w:numId w:val="137"/>
        </w:numPr>
        <w:rPr>
          <w:rFonts w:ascii="Arial" w:cs="Arial" w:eastAsia="Arial" w:hAnsi="Arial"/>
          <w:sz w:val="17"/>
          <w:szCs w:val="17"/>
          <w:color w:val="auto"/>
        </w:rPr>
      </w:pPr>
      <w:r>
        <w:rPr>
          <w:rFonts w:ascii="Arial" w:cs="Arial" w:eastAsia="Arial" w:hAnsi="Arial"/>
          <w:sz w:val="17"/>
          <w:szCs w:val="17"/>
          <w:color w:val="auto"/>
        </w:rPr>
        <w:t xml:space="preserve">In the event and on each occasion that the aggregate Revolving Exposures (or the Revolving Exposures of any Class of Revolving Commitments) exceeds the aggregate Revolving Commitments (or the Revolving Commitments of such Class), the Borrower shall prepay Revolving Loans (or the Revolving Loans of such Class, as applicable) or Swingline Loans (or, if no such Loans are outstanding, deposit Cash Collateral in an account with the Administrative Agent pursuant to </w:t>
      </w:r>
      <w:r>
        <w:rPr>
          <w:rFonts w:ascii="Arial" w:cs="Arial" w:eastAsia="Arial" w:hAnsi="Arial"/>
          <w:sz w:val="17"/>
          <w:szCs w:val="17"/>
          <w:u w:val="single" w:color="auto"/>
          <w:color w:val="auto"/>
        </w:rPr>
        <w:t>Section 2.05(j</w:t>
      </w:r>
      <w:r>
        <w:rPr>
          <w:rFonts w:ascii="Arial" w:cs="Arial" w:eastAsia="Arial" w:hAnsi="Arial"/>
          <w:sz w:val="17"/>
          <w:szCs w:val="17"/>
          <w:color w:val="auto"/>
        </w:rPr>
        <w:t>)) in an aggregate amount necessary to eliminate such excess.</w:t>
      </w:r>
    </w:p>
    <w:p>
      <w:pPr>
        <w:spacing w:after="0" w:line="63" w:lineRule="exact"/>
        <w:rPr>
          <w:rFonts w:ascii="Arial" w:cs="Arial" w:eastAsia="Arial" w:hAnsi="Arial"/>
          <w:sz w:val="17"/>
          <w:szCs w:val="17"/>
          <w:color w:val="auto"/>
        </w:rPr>
      </w:pPr>
    </w:p>
    <w:p>
      <w:pPr>
        <w:jc w:val="both"/>
        <w:ind w:left="4" w:firstLine="436"/>
        <w:spacing w:after="0" w:line="254" w:lineRule="auto"/>
        <w:tabs>
          <w:tab w:leader="none" w:pos="68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In the event and on each occasion that any Net Proceeds are received by or on behalf of Holdings, the Borrower or any Restricted Subsidiary in respect of any Prepayment Event, the Borrower shall, within five Business Days after such Net Proceeds are received, offer to prepay (or, in the case of a Prepayment Event described in clause (b) of the definition of the term “Prepayment Event,” within three Business Days after such Net Proceeds are received, offer to prepay) by delivering written notice to the Administrative Agent in accordance with </w:t>
      </w:r>
      <w:r>
        <w:rPr>
          <w:rFonts w:ascii="Arial" w:cs="Arial" w:eastAsia="Arial" w:hAnsi="Arial"/>
          <w:sz w:val="18"/>
          <w:szCs w:val="18"/>
          <w:u w:val="single" w:color="auto"/>
          <w:color w:val="auto"/>
        </w:rPr>
        <w:t>Section 2.11(e)(ii)</w:t>
      </w:r>
      <w:r>
        <w:rPr>
          <w:rFonts w:ascii="Arial" w:cs="Arial" w:eastAsia="Arial" w:hAnsi="Arial"/>
          <w:sz w:val="18"/>
          <w:szCs w:val="18"/>
          <w:color w:val="auto"/>
        </w:rPr>
        <w:t xml:space="preserve">, Term Loans in an aggregate amount equal to 100% of such Net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Disposition/Casualty Prepayment Event, if the Borrower or the Restricted Subsidiaries invest (or commit to invest) the Net Proceeds from such event (or a portion thereof) within 12 months after receipt of such Net Proceeds in the Borrower and the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24"/>
          </w:cols>
          <w:pgMar w:left="436" w:top="274" w:right="439" w:bottom="1440" w:gutter="0" w:footer="0" w:header="0"/>
        </w:sectPr>
      </w:pPr>
    </w:p>
    <w:bookmarkStart w:id="145" w:name="page146"/>
    <w:bookmarkEnd w:id="145"/>
    <w:p>
      <w:pPr>
        <w:jc w:val="both"/>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Restricted Subsidiaries (including any Investments permitted under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6.04(a)</w:t>
      </w:r>
      <w:r>
        <w:rPr>
          <w:rFonts w:ascii="Arial" w:cs="Arial" w:eastAsia="Arial" w:hAnsi="Arial"/>
          <w:sz w:val="16"/>
          <w:szCs w:val="16"/>
          <w:color w:val="auto"/>
        </w:rPr>
        <w:t xml:space="preserve">)),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12-month period (or if committed to be so invested within such 12-month period, have not been so invested within 180 days after the 12-month period that follows receipt thereof), at which time a prepayment shall be required in an amount equal to such Net Proceeds that have not been so invested (or committed to be invested);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case of a Disposition/Casualty Prepayment Event, the Borrower may use a portion of such Net Proceeds to prepay or repurchase any other Indebtedness that is secured by Liens on the Collateral ranking on an equal priority basis (but without regard to control of remedies) with the Liens on the Collateral securing the Secured Obligations to the extent such other Indebtedness and the Liens securing such Indebtedness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Prepayments made, or required to be offered to be made, pursuant to this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shall be offered and, if applicable, applied, in accordance with the applicable provisions of </w:t>
      </w:r>
      <w:r>
        <w:rPr>
          <w:rFonts w:ascii="Arial" w:cs="Arial" w:eastAsia="Arial" w:hAnsi="Arial"/>
          <w:sz w:val="16"/>
          <w:szCs w:val="16"/>
          <w:u w:val="single" w:color="auto"/>
          <w:color w:val="auto"/>
        </w:rPr>
        <w:t>Section 2.11(e)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2.11(f)</w:t>
      </w:r>
      <w:r>
        <w:rPr>
          <w:rFonts w:ascii="Arial" w:cs="Arial" w:eastAsia="Arial" w:hAnsi="Arial"/>
          <w:sz w:val="16"/>
          <w:szCs w:val="16"/>
          <w:color w:val="auto"/>
        </w:rPr>
        <w:t>.</w:t>
      </w:r>
    </w:p>
    <w:p>
      <w:pPr>
        <w:spacing w:after="0" w:line="66" w:lineRule="exact"/>
        <w:rPr>
          <w:sz w:val="20"/>
          <w:szCs w:val="20"/>
          <w:color w:val="auto"/>
        </w:rPr>
      </w:pPr>
    </w:p>
    <w:p>
      <w:pPr>
        <w:jc w:val="both"/>
        <w:ind w:left="4" w:firstLine="436"/>
        <w:spacing w:after="0" w:line="283" w:lineRule="auto"/>
        <w:tabs>
          <w:tab w:leader="none" w:pos="699" w:val="left"/>
        </w:tabs>
        <w:numPr>
          <w:ilvl w:val="1"/>
          <w:numId w:val="138"/>
        </w:numPr>
        <w:rPr>
          <w:rFonts w:ascii="Arial" w:cs="Arial" w:eastAsia="Arial" w:hAnsi="Arial"/>
          <w:sz w:val="16"/>
          <w:szCs w:val="16"/>
          <w:color w:val="auto"/>
        </w:rPr>
      </w:pPr>
      <w:r>
        <w:rPr>
          <w:rFonts w:ascii="Arial" w:cs="Arial" w:eastAsia="Arial" w:hAnsi="Arial"/>
          <w:sz w:val="16"/>
          <w:szCs w:val="16"/>
          <w:color w:val="auto"/>
        </w:rPr>
        <w:t>Following the end of each fiscal year of the Borrower, commencing with the fiscal year ending December 31, 2020 (each such applicable fiscal year, an “</w:t>
      </w:r>
      <w:r>
        <w:rPr>
          <w:rFonts w:ascii="Arial" w:cs="Arial" w:eastAsia="Arial" w:hAnsi="Arial"/>
          <w:sz w:val="16"/>
          <w:szCs w:val="16"/>
          <w:u w:val="single" w:color="auto"/>
          <w:color w:val="auto"/>
        </w:rPr>
        <w:t>Excess Cash Flow Period</w:t>
      </w:r>
      <w:r>
        <w:rPr>
          <w:rFonts w:ascii="Arial" w:cs="Arial" w:eastAsia="Arial" w:hAnsi="Arial"/>
          <w:sz w:val="16"/>
          <w:szCs w:val="16"/>
          <w:color w:val="auto"/>
        </w:rPr>
        <w:t xml:space="preserve">”), the Borrower shall offer to prepay Term Loans in an aggregate amount equal to the ECF Percentage (after giving effect to any adjustment pursuant to the Permitted ECF Recalculation Considerations (as defined below)) of Excess Cash Flow for such Excess Cash Flow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amount shall be reduced, at the option of the Borrower, by the aggregate amount (other than any amount applied to reduce the prepayment required under this paragraph in respect of any prior year) of (i) prepayments of Term Loans (and, to the extent the Revolving Commitments are permanently reduced in a corresponding amount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Revolving Loans) made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during such fiscal year or after such fiscal year and prior to the time such prepayment is due as provided below, (ii) voluntary prepayments of Indebtedness under Incremental Facilities, Incremental Equivalent Debt and/or Credit Agreement Refinancing Indebtedness, in each case, that are secured by Liens on the Collateral that rank on an equal priority basis (but without regard to control of remedies) with the Liens on the Collateral securing the Secured Obligations during such fiscal year or after such fiscal year and prior to the time such prepayment is due, (in each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(ii), excluding all such prepayments funded with the proceeds of other long-term Indebtedness (other than revolving Indebtedness), (any payments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proviso made after the end of the applicable Excess Cash Flow Period but prior to the making of the applicable prepayment in respect of such Excess Cash Flow Period, an “</w:t>
      </w:r>
      <w:r>
        <w:rPr>
          <w:rFonts w:ascii="Arial" w:cs="Arial" w:eastAsia="Arial" w:hAnsi="Arial"/>
          <w:sz w:val="16"/>
          <w:szCs w:val="16"/>
          <w:u w:val="single" w:color="auto"/>
          <w:color w:val="auto"/>
        </w:rPr>
        <w:t>After Year End Payment</w:t>
      </w:r>
      <w:r>
        <w:rPr>
          <w:rFonts w:ascii="Arial" w:cs="Arial" w:eastAsia="Arial" w:hAnsi="Arial"/>
          <w:sz w:val="16"/>
          <w:szCs w:val="16"/>
          <w:color w:val="auto"/>
        </w:rPr>
        <w:t>”); and (B) following the making of any After Year End Payment,</w:t>
      </w:r>
    </w:p>
    <w:p>
      <w:pPr>
        <w:spacing w:after="0" w:line="1" w:lineRule="exact"/>
        <w:rPr>
          <w:rFonts w:ascii="Arial" w:cs="Arial" w:eastAsia="Arial" w:hAnsi="Arial"/>
          <w:sz w:val="16"/>
          <w:szCs w:val="16"/>
          <w:color w:val="auto"/>
        </w:rPr>
      </w:pPr>
    </w:p>
    <w:p>
      <w:pPr>
        <w:jc w:val="both"/>
        <w:ind w:left="4" w:hanging="4"/>
        <w:spacing w:after="0" w:line="287" w:lineRule="auto"/>
        <w:tabs>
          <w:tab w:leader="none" w:pos="23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Total Net Cash Leverage Ratio shall be recalculated giving pro forma effect to such After Year End Payment as if such payment were made during the applicable Excess Cash Flow Period and the ECF Percentage for purposes of making such Excess Cash Flow prepayment shall be determined by reference to such recalculated Total Net Cash Leverage Ratio and (ii) such After Year End Payment shall not reduce the required amount of any subsequent Excess Cash Flow payment in another Excess Cash Flow Period (the foregoing clauses (A) and (B)), the “</w:t>
      </w:r>
      <w:r>
        <w:rPr>
          <w:rFonts w:ascii="Arial" w:cs="Arial" w:eastAsia="Arial" w:hAnsi="Arial"/>
          <w:sz w:val="16"/>
          <w:szCs w:val="16"/>
          <w:u w:val="single" w:color="auto"/>
          <w:color w:val="auto"/>
        </w:rPr>
        <w:t>Permitted ECF Recalculation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Considerations</w:t>
      </w:r>
      <w:r>
        <w:rPr>
          <w:rFonts w:ascii="Arial" w:cs="Arial" w:eastAsia="Arial" w:hAnsi="Arial"/>
          <w:sz w:val="16"/>
          <w:szCs w:val="16"/>
          <w:color w:val="auto"/>
        </w:rPr>
        <w:t>”). Notwithstanding anything to the contrary in the foregoing, the Borrower may use a portion of such amount of Excess Cash Flow (as so reduced) in respect of any such fiscal year that would otherwise be required to be applied to prepay Term Loans to prepay or repurchase any other Indebtedness that is secured by Liens on the Collateral that rank on an equal priority basis (but without regard to control of remedies) with the Liens on the Collateral securing the Secured Obligations to the extent such other Indebtedness and the Liens securing such other</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24"/>
          </w:cols>
          <w:pgMar w:left="436" w:top="274" w:right="439" w:bottom="1440" w:gutter="0" w:footer="0" w:header="0"/>
        </w:sectPr>
      </w:pPr>
    </w:p>
    <w:bookmarkStart w:id="146" w:name="page147"/>
    <w:bookmarkEnd w:id="146"/>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are permitted hereunder and the documentation governing such other Indebtedness requires such a prepayment or repurchase thereof with Excess Cash Flow, in each case in an amount not to exceed the product of (A) the amount of Excess Cash Flow (as so reduced) in respect of such fiscal year otherwise required to be applied to prepay Term Loans (without giving effect to this sentence) and (B) a fraction, the numerator of which is the outstanding principal amount of such other Indebtedness and the denominator of which is the aggregate outstanding principal amount of Term Loans and such other Indebtedness. Each prepayment pursuant to this paragraph shall be offered to be made by giving written notice to the Administrative Agent in accordance with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on or before the date that is five Business Days after the date on which financial statements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with respect to the Excess Cash Flow Period for which Excess Cash Flow is being calculated. Any Excess Cash Flow payment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shall only be required with respect to amounts in excess of $2,500,000 for any Excess Cash Flow Period (and only such excess amount shall be applied to the payment thereof). Prepayments made, or required to be offered to be made, pursuant to this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shall be offered and, if applicable, applied, in accordance with the applicable provisions of Section 2.11(e) and Section 2.11(f).</w:t>
      </w:r>
    </w:p>
    <w:p>
      <w:pPr>
        <w:spacing w:after="0" w:line="60" w:lineRule="exact"/>
        <w:rPr>
          <w:sz w:val="20"/>
          <w:szCs w:val="20"/>
          <w:color w:val="auto"/>
        </w:rPr>
      </w:pPr>
    </w:p>
    <w:p>
      <w:pPr>
        <w:ind w:right="20" w:firstLine="436"/>
        <w:spacing w:after="0" w:line="277" w:lineRule="auto"/>
        <w:tabs>
          <w:tab w:leader="none" w:pos="68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Prior to any optional or mandatory prepayment of Borrowings hereunder, the Borrower shall select the Borrowing or Borrowings to be prepaid and shall specify such selection in the applicable Notice of Prepayment.</w:t>
      </w:r>
    </w:p>
    <w:p>
      <w:pPr>
        <w:spacing w:after="0" w:line="62" w:lineRule="exact"/>
        <w:rPr>
          <w:rFonts w:ascii="Arial" w:cs="Arial" w:eastAsia="Arial" w:hAnsi="Arial"/>
          <w:sz w:val="18"/>
          <w:szCs w:val="18"/>
          <w:color w:val="auto"/>
        </w:rPr>
      </w:pPr>
    </w:p>
    <w:p>
      <w:pPr>
        <w:jc w:val="both"/>
        <w:ind w:left="440" w:right="20" w:firstLine="419"/>
        <w:spacing w:after="0" w:line="284" w:lineRule="auto"/>
        <w:tabs>
          <w:tab w:leader="none" w:pos="109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(A) subject to the provisions of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below, each prepayment of Term Loans required to be made under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(other than with respect to a Specified Debt Incurrence Prepayment Event, which is subject to clause (B) below) and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shall be allocated to the Classes of Term Loans outstanding, pro rata based on the aggregate principal amount of outstanding Borrowings due in respect of each such Class of Term Loans (subject to any Class of Term Loans (including any Class of Extended Term Loans) having agreed to receive a less than pro rata share of any such mandatory prepayment and taking into account any reduction in the amount of any required Excess Cash Flow payment to any Class of Term Loans), shall be applied pro rata to Lenders within each Class, based upon the outstanding principal amounts owing to each such Lender under each such Class of Term Loans and shall be applied to reduce such scheduled repayment amounts within each such Class in accordance with </w:t>
      </w:r>
      <w:r>
        <w:rPr>
          <w:rFonts w:ascii="Arial" w:cs="Arial" w:eastAsia="Arial" w:hAnsi="Arial"/>
          <w:sz w:val="16"/>
          <w:szCs w:val="16"/>
          <w:u w:val="single" w:color="auto"/>
          <w:color w:val="auto"/>
        </w:rPr>
        <w:t>Section 2.11(f)(ii)</w:t>
      </w:r>
      <w:r>
        <w:rPr>
          <w:rFonts w:ascii="Arial" w:cs="Arial" w:eastAsia="Arial" w:hAnsi="Arial"/>
          <w:sz w:val="16"/>
          <w:szCs w:val="16"/>
          <w:color w:val="auto"/>
        </w:rPr>
        <w:t xml:space="preserve"> and (B) each prepayment of Term Loans elected by the Borrower to be made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required to be made by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in connection with a Specified Debt Incurrence Prepayment Event shall be allocated to the Classes of Term Loans outstanding, pro rata based on the aggregate principal amount of outstanding Borrowings due in respect of each such Class of Term Loans (subject to any Class of Term Loans (including any Class of Extended Term Loans) having agreed to receive a less than pro rata share of any such mandatory prepayment and taking into account any reduction in the amount of any required Excess Cash Flow payment to any Class of Term Loans), shall be applied pro rata to Lenders within each such Class, based upon the outstanding principal amounts owing to each such Lender under each such Class of Term Loans and shall be applied to reduce such scheduled repayment amounts within each such Class in accordance with </w:t>
      </w:r>
      <w:r>
        <w:rPr>
          <w:rFonts w:ascii="Arial" w:cs="Arial" w:eastAsia="Arial" w:hAnsi="Arial"/>
          <w:sz w:val="16"/>
          <w:szCs w:val="16"/>
          <w:u w:val="single" w:color="auto"/>
          <w:color w:val="auto"/>
        </w:rPr>
        <w:t>Section 2.11(f)(i)</w:t>
      </w:r>
      <w:r>
        <w:rPr>
          <w:rFonts w:ascii="Arial" w:cs="Arial" w:eastAsia="Arial" w:hAnsi="Arial"/>
          <w:sz w:val="16"/>
          <w:szCs w:val="16"/>
          <w:color w:val="auto"/>
        </w:rPr>
        <w:t xml:space="preserve"> (for the avoidance of doubt, solely as between any Existing Term Loan Class and the related Class of Extended Term Loans (and without affecting the pro rata application among all Classes of outstanding Term Loans other than such Existing Term Loan Class and such related Class of Extended Term Loans) the Borrower may (i) prepay Term Loans of an Existing Term Loan Class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any Specified Debt Incurrence Prepayment Event without any requirement to prepay Extended Term Loans that were converted or exchanged from such Existing Term Loan Class and (ii) prepay Extended Term Loans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pursuant to any Specified Debt Incurrence Prepayment Event without any requirement to prepay Term Loans of an Existing Term Loan Class that were converted or exchanged for such Extended Term Loans and in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20"/>
          </w:cols>
          <w:pgMar w:left="440" w:top="274" w:right="439" w:bottom="1440" w:gutter="0" w:footer="0" w:header="0"/>
        </w:sectPr>
      </w:pPr>
    </w:p>
    <w:bookmarkStart w:id="147" w:name="page148"/>
    <w:bookmarkEnd w:id="147"/>
    <w:p>
      <w:pPr>
        <w:ind w:left="4"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event that the Borrower does not specify the Classes of Term Loans to be prepaid, the Borrower shall be deemed to have elected that such proceeds be applied to reduce the repayment amounts among such Term Loan Classes on a pro rata basis).</w:t>
      </w:r>
    </w:p>
    <w:p>
      <w:pPr>
        <w:spacing w:after="0" w:line="62" w:lineRule="exact"/>
        <w:rPr>
          <w:sz w:val="20"/>
          <w:szCs w:val="20"/>
          <w:color w:val="auto"/>
        </w:rPr>
      </w:pPr>
    </w:p>
    <w:p>
      <w:pPr>
        <w:jc w:val="both"/>
        <w:ind w:left="4" w:firstLine="419"/>
        <w:spacing w:after="0" w:line="283" w:lineRule="auto"/>
        <w:tabs>
          <w:tab w:leader="none" w:pos="69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With respect to each offer of prepayment required by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(A) the Borrower will give the Administrative Agent written notice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hereto of any such offer to make a mandatory prepayment of Term Loans within the time periods specified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2.11(d)</w:t>
      </w:r>
      <w:r>
        <w:rPr>
          <w:rFonts w:ascii="Arial" w:cs="Arial" w:eastAsia="Arial" w:hAnsi="Arial"/>
          <w:sz w:val="16"/>
          <w:szCs w:val="16"/>
          <w:color w:val="auto"/>
        </w:rPr>
        <w:t>, prior to such offer of prepayment and request that the Administrative Agent provide notice of such offer to make a mandatory prepayment to each Lender and the Administrative Agent will promptly notify each Lender, (B) each Lender of Term Loans will have the right to refuse any such offer of prepayment by giving written notice (each, a “</w:t>
      </w:r>
      <w:r>
        <w:rPr>
          <w:rFonts w:ascii="Arial" w:cs="Arial" w:eastAsia="Arial" w:hAnsi="Arial"/>
          <w:sz w:val="16"/>
          <w:szCs w:val="16"/>
          <w:u w:val="single" w:color="auto"/>
          <w:color w:val="auto"/>
        </w:rPr>
        <w:t>Rejection Notice</w:t>
      </w:r>
      <w:r>
        <w:rPr>
          <w:rFonts w:ascii="Arial" w:cs="Arial" w:eastAsia="Arial" w:hAnsi="Arial"/>
          <w:sz w:val="16"/>
          <w:szCs w:val="16"/>
          <w:color w:val="auto"/>
        </w:rPr>
        <w:t>”) of such refusal to the Administrative Agent and the Borrower no later than 3:00 p.m. (New York City time) one Business Day after the date the Administrative Agent delivers notice of such offer of prepayment to such Lender, and to the extent any such offer of prepayment is so refused, the aggregate amount of the offered prepayment that would have been applied to prepay Term Loans of any such Class but was so declined shall be retained by the Borrower and the Restricted Subsidiaries (such amounts, “</w:t>
      </w:r>
      <w:r>
        <w:rPr>
          <w:rFonts w:ascii="Arial" w:cs="Arial" w:eastAsia="Arial" w:hAnsi="Arial"/>
          <w:sz w:val="16"/>
          <w:szCs w:val="16"/>
          <w:u w:val="single" w:color="auto"/>
          <w:color w:val="auto"/>
        </w:rPr>
        <w:t>Retained Declined Proceeds</w:t>
      </w:r>
      <w:r>
        <w:rPr>
          <w:rFonts w:ascii="Arial" w:cs="Arial" w:eastAsia="Arial" w:hAnsi="Arial"/>
          <w:sz w:val="16"/>
          <w:szCs w:val="16"/>
          <w:color w:val="auto"/>
        </w:rPr>
        <w:t xml:space="preserve">”) and (C) the Borrower will make all such prepayments not so refused upon the tenth Business Day after the Administrative Agent delivers notice of such offer of prepayment to the Lenders. If a Lender fails to deliver a Rejection Notice to the Administrative Agent within the time frame specified above, any such failure will be deemed an acceptance of the total offered amount of such mandatory prepayment of Term Loans. For the avoidance of doubt, this </w:t>
      </w:r>
      <w:r>
        <w:rPr>
          <w:rFonts w:ascii="Arial" w:cs="Arial" w:eastAsia="Arial" w:hAnsi="Arial"/>
          <w:sz w:val="16"/>
          <w:szCs w:val="16"/>
          <w:u w:val="single" w:color="auto"/>
          <w:color w:val="auto"/>
        </w:rPr>
        <w:t>Section 2.11(e)</w:t>
      </w:r>
    </w:p>
    <w:p>
      <w:pPr>
        <w:spacing w:after="0" w:line="2" w:lineRule="exact"/>
        <w:rPr>
          <w:rFonts w:ascii="Arial" w:cs="Arial" w:eastAsia="Arial" w:hAnsi="Arial"/>
          <w:sz w:val="16"/>
          <w:szCs w:val="16"/>
          <w:color w:val="auto"/>
        </w:rPr>
      </w:pPr>
    </w:p>
    <w:p>
      <w:pPr>
        <w:ind w:left="4" w:right="20" w:hanging="4"/>
        <w:spacing w:after="0" w:line="260" w:lineRule="auto"/>
        <w:tabs>
          <w:tab w:leader="none" w:pos="273" w:val="left"/>
        </w:tabs>
        <w:numPr>
          <w:ilvl w:val="0"/>
          <w:numId w:val="142"/>
        </w:numPr>
        <w:rPr>
          <w:rFonts w:ascii="Arial" w:cs="Arial" w:eastAsia="Arial" w:hAnsi="Arial"/>
          <w:sz w:val="18"/>
          <w:szCs w:val="18"/>
          <w:u w:val="single" w:color="auto"/>
          <w:color w:val="auto"/>
        </w:rPr>
      </w:pPr>
      <w:r>
        <w:rPr>
          <w:rFonts w:ascii="Arial" w:cs="Arial" w:eastAsia="Arial" w:hAnsi="Arial"/>
          <w:sz w:val="18"/>
          <w:szCs w:val="18"/>
          <w:color w:val="auto"/>
        </w:rPr>
        <w:t xml:space="preserve">does not apply to any prepayment pursuant to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in respect of a Specified Debt Incurrence Prepayment Event, which prepayment shall be mandatory and may not be declined, waived or refused.</w:t>
      </w:r>
    </w:p>
    <w:p>
      <w:pPr>
        <w:spacing w:after="0" w:line="77" w:lineRule="exact"/>
        <w:rPr>
          <w:sz w:val="20"/>
          <w:szCs w:val="20"/>
          <w:color w:val="auto"/>
        </w:rPr>
      </w:pPr>
    </w:p>
    <w:p>
      <w:pPr>
        <w:ind w:left="224" w:hanging="224"/>
        <w:spacing w:after="0"/>
        <w:tabs>
          <w:tab w:leader="none" w:pos="224"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Application to Term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firstLine="419"/>
        <w:spacing w:after="0" w:line="271" w:lineRule="auto"/>
        <w:tabs>
          <w:tab w:leader="none" w:pos="65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 xml:space="preserve">With respect to each prepayment of Term Loans elected to be made by the Borrower pursuant to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or required to be made pursuant to a Specified Debt Incurrence Prepayment Event, such prepayments shall be applied on a pro rata basis to the Lenders within any Class entitled to receive such prepayment to reduce scheduled repayment amounts in such order as the Borrower may specify (or, if not specified, in direct order of maturity) and the Borrower may designate the Types of Loans that are to be prepaid and the specific Borrowing(s) pursuant to which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pays any amounts, if any, required to be paid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with respect to prepayments of Eurocurrency Loans made on any date other than the last day of the applicable Interest Period.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jc w:val="both"/>
        <w:ind w:left="4" w:right="20" w:firstLine="419"/>
        <w:spacing w:after="0" w:line="293" w:lineRule="auto"/>
        <w:tabs>
          <w:tab w:leader="none" w:pos="698"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After giving effect to the provisions of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with respect to each prepayment of Term Loans by the Borrower required to be made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(other than in respect of a Specified Debt Incurrence Prepayment Event) or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such prepayments shall be applied on a pro rata basis to the Lenders within any Class entitled to receive such prepayment to reduce scheduled repayment amounts in direct order of maturity and irrespective of whether such outstanding Term Loans are ABR Loans or Eurocurrency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Lender exercises the right to refuse an offered mandatory prepayment of the Term Loans pursuant to </w:t>
      </w:r>
      <w:r>
        <w:rPr>
          <w:rFonts w:ascii="Arial" w:cs="Arial" w:eastAsia="Arial" w:hAnsi="Arial"/>
          <w:sz w:val="16"/>
          <w:szCs w:val="16"/>
          <w:u w:val="single" w:color="auto"/>
          <w:color w:val="auto"/>
        </w:rPr>
        <w:t>Section 2.11(e)(ii)</w:t>
      </w:r>
      <w:r>
        <w:rPr>
          <w:rFonts w:ascii="Arial" w:cs="Arial" w:eastAsia="Arial" w:hAnsi="Arial"/>
          <w:sz w:val="16"/>
          <w:szCs w:val="16"/>
          <w:color w:val="auto"/>
        </w:rPr>
        <w:t>, then, with respect to such mandatory prepayment, the amount of such mandatory prepayment shall be applied first to Term Loans that are ABR Loans</w:t>
      </w:r>
    </w:p>
    <w:p>
      <w:pPr>
        <w:spacing w:after="0" w:line="97"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584"/>
          </w:cols>
          <w:pgMar w:left="876" w:top="274" w:right="439" w:bottom="1440" w:gutter="0" w:footer="0" w:header="0"/>
        </w:sectPr>
      </w:pPr>
    </w:p>
    <w:bookmarkStart w:id="148" w:name="page149"/>
    <w:bookmarkEnd w:id="148"/>
    <w:p>
      <w:pPr>
        <w:ind w:left="444"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full extent thereof before application to Term Loans that are Eurocurrency Loans in a manner that minimizes breakage costs owing under </w:t>
      </w:r>
      <w:r>
        <w:rPr>
          <w:rFonts w:ascii="Arial" w:cs="Arial" w:eastAsia="Arial" w:hAnsi="Arial"/>
          <w:sz w:val="18"/>
          <w:szCs w:val="18"/>
          <w:u w:val="single" w:color="auto"/>
          <w:color w:val="auto"/>
        </w:rPr>
        <w:t>Section 2.16.</w:t>
      </w:r>
    </w:p>
    <w:p>
      <w:pPr>
        <w:spacing w:after="0" w:line="62" w:lineRule="exact"/>
        <w:rPr>
          <w:sz w:val="20"/>
          <w:szCs w:val="20"/>
          <w:color w:val="auto"/>
        </w:rPr>
      </w:pPr>
    </w:p>
    <w:p>
      <w:pPr>
        <w:jc w:val="both"/>
        <w:ind w:left="4" w:right="20" w:firstLine="436"/>
        <w:spacing w:after="0" w:line="283" w:lineRule="auto"/>
        <w:tabs>
          <w:tab w:leader="none" w:pos="699"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Application to Revolving Loans</w:t>
      </w:r>
      <w:r>
        <w:rPr>
          <w:rFonts w:ascii="Arial" w:cs="Arial" w:eastAsia="Arial" w:hAnsi="Arial"/>
          <w:sz w:val="16"/>
          <w:szCs w:val="16"/>
          <w:color w:val="auto"/>
        </w:rPr>
        <w:t xml:space="preserve">. With respect to each prepayment of Revolving Loans, Other Revolving Loans and Replacement Revolving Loans elected by the Borrower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required by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the Borrower may designate (i) the Class and Types of Loans that are to be prepaid and the specific Borrowing(s) pursuant to which such Loans were made and (ii) the Class of Revolving Loans, Other Revolving Loans or Replacement Revolving Loans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prepayment of Revolving Loans while any Class A Revolving Commitments are outstanding shall be made pro rata between the Class A Revolving Loans and the Class B Revolving Loans in proportion to the respective Revolving Commitments under the Class A Revolving Facility and the Class B Revolving Facility (except that any prepayment made in connection with a reduction of the Class A Revolving Commitments pursuant to Section 2.08 may be applied solely to the Class A Revolving Loans and allocated to the Class A Revolving Loans based on the amount of the reduction in the Class A Revolving Commitments of each applicable Lender thereunder); provided further that (x) Eurocurrency Loans may be designated for prepayment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only on the last day of an Interest Period applicable thereto unless all Eurocurrency Loans with Interest Periods ending on such date of required prepayment and all ABR Loans have been paid in full;</w:t>
      </w:r>
    </w:p>
    <w:p>
      <w:pPr>
        <w:spacing w:after="0" w:line="4" w:lineRule="exact"/>
        <w:rPr>
          <w:rFonts w:ascii="Arial" w:cs="Arial" w:eastAsia="Arial" w:hAnsi="Arial"/>
          <w:sz w:val="16"/>
          <w:szCs w:val="16"/>
          <w:color w:val="auto"/>
        </w:rPr>
      </w:pPr>
    </w:p>
    <w:p>
      <w:pPr>
        <w:jc w:val="both"/>
        <w:ind w:left="4" w:hanging="4"/>
        <w:spacing w:after="0" w:line="269" w:lineRule="auto"/>
        <w:tabs>
          <w:tab w:leader="none" w:pos="26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each prepayment of any Loans made pursuant to a Borrowing shall be applied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among such Loans of such Class (except that any prepayment made in connection with a reduction of the Commitments of such Class pursuant to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shall be applied pro rata based on the amount of the reduction in the Commitments of such Class of each applicable Lender); and (z) notwithstanding the provisions of the preceding clause (y), at the option of the Borrower, no prepayment made pursuant to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of Revolving Loans, Other Revolving Loans or Replacement Revolving Loans of any Class shall be applied to the Loans of any Defaulting Lender.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jc w:val="both"/>
        <w:ind w:left="4" w:firstLine="436"/>
        <w:spacing w:after="0" w:line="269" w:lineRule="auto"/>
        <w:tabs>
          <w:tab w:leader="none" w:pos="727"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(and in the case of prepayment of a Swingline Loan, the Swingline Lender) of any optional prepayment pursuant to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by delivering a notice of such prepayment substantially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Notice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Prepayment</w:t>
      </w:r>
      <w:r>
        <w:rPr>
          <w:rFonts w:ascii="Arial" w:cs="Arial" w:eastAsia="Arial" w:hAnsi="Arial"/>
          <w:sz w:val="17"/>
          <w:szCs w:val="17"/>
          <w:color w:val="auto"/>
        </w:rPr>
        <w:t xml:space="preserve">”) to the Administrative Agent (i) in the case of prepayment of a Eurocurrency Borrowing, not later than 2:00 p.m., New York City time, three Business Days prior to the date of prepayment or (ii) in the case of prepayment of an ABR Borrowing, not later than 2:00 p.m., New York City time, on the Business Day before the date of such prepayment. Each such notice shall specify the prepayment date and the principal amount of each Borrowing or portion thereof to be prepaid. In the case of any Notice of Prepayment with respect to any optional or mandatory prepayment,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except as necessary to apply fully the required amount of a mandatory prepayment. Prepayments shall be accompanied by accrued interest to the extent required by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At the Borrower’s election in connection with any prepayment pursuant to this </w:t>
      </w:r>
      <w:r>
        <w:rPr>
          <w:rFonts w:ascii="Arial" w:cs="Arial" w:eastAsia="Arial" w:hAnsi="Arial"/>
          <w:sz w:val="17"/>
          <w:szCs w:val="17"/>
          <w:u w:val="single" w:color="auto"/>
          <w:color w:val="auto"/>
        </w:rPr>
        <w:t>Section 2.11</w:t>
      </w:r>
      <w:r>
        <w:rPr>
          <w:rFonts w:ascii="Arial" w:cs="Arial" w:eastAsia="Arial" w:hAnsi="Arial"/>
          <w:sz w:val="17"/>
          <w:szCs w:val="17"/>
          <w:color w:val="auto"/>
        </w:rPr>
        <w:t>, such prepayment shall not be applied to any Term Loan or Revolving Loan of a Defaulting Lender and shall be allocated ratably among the relevant non-Defaulting Lenders.</w:t>
      </w:r>
    </w:p>
    <w:p>
      <w:pPr>
        <w:spacing w:after="0" w:line="70" w:lineRule="exact"/>
        <w:rPr>
          <w:rFonts w:ascii="Arial" w:cs="Arial" w:eastAsia="Arial" w:hAnsi="Arial"/>
          <w:sz w:val="17"/>
          <w:szCs w:val="17"/>
          <w:color w:val="auto"/>
        </w:rPr>
      </w:pPr>
    </w:p>
    <w:p>
      <w:pPr>
        <w:jc w:val="both"/>
        <w:ind w:left="4" w:firstLine="436"/>
        <w:spacing w:after="0" w:line="263" w:lineRule="auto"/>
        <w:tabs>
          <w:tab w:leader="none" w:pos="68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provisions of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(A) to the extent that any of or all the Net Proceeds of any Prepayment Event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thereof by a Foreign Subsidiary or an FSHCO giving rise to a prepayment pursuant to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(a “</w:t>
      </w:r>
      <w:r>
        <w:rPr>
          <w:rFonts w:ascii="Arial" w:cs="Arial" w:eastAsia="Arial" w:hAnsi="Arial"/>
          <w:sz w:val="18"/>
          <w:szCs w:val="18"/>
          <w:u w:val="single" w:color="auto"/>
          <w:color w:val="auto"/>
        </w:rPr>
        <w:t>Foreign Subsidiary/FSHCO Prepayment Event</w:t>
      </w:r>
      <w:r>
        <w:rPr>
          <w:rFonts w:ascii="Arial" w:cs="Arial" w:eastAsia="Arial" w:hAnsi="Arial"/>
          <w:sz w:val="18"/>
          <w:szCs w:val="18"/>
          <w:color w:val="auto"/>
        </w:rPr>
        <w:t>”) or Excess Cash Flow of a Foreign Subsidiary or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24"/>
          </w:cols>
          <w:pgMar w:left="436" w:top="274" w:right="439" w:bottom="1440" w:gutter="0" w:footer="0" w:header="0"/>
        </w:sectPr>
      </w:pPr>
    </w:p>
    <w:bookmarkStart w:id="149" w:name="page150"/>
    <w:bookmarkEnd w:id="149"/>
    <w:p>
      <w:pPr>
        <w:jc w:val="both"/>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FSHCO giving rise to a payment pursuant to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are prohibited by or would violate or conflict with any Requirement of Law from being repatriated or distributed to the Borrower or would conflict with the fiduciary duties of such Foreign Subsidiary or FSHCO’s directors, or result in, or could reasonably be expected to result in, a material risk of personal or criminal liability for any officer, director, employee, manager, member or management or consultant of such Foreign Subsidiary or FSHCO, the portion of such Net Proceeds or Excess Cash Flow so affected will not be required to be offered to prepay Term Loans at the times provided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as the case may be, and such amounts may be retained by the applicable Foreign Subsidiary or FSHCO so long, but only so long, as the applicable Requirement of Law will not permit repatriation or distribution to the Borrower (the Borrower hereby agreeing to cause the applicable Foreign Subsidiary or FSHCO to use commercially reasonable efforts to promptly take all actions required by the applicable Requirement of Law to permit such repatriation or distribution), and once such repatriation or distribution of any of such affected Net Proceeds or Excess Cash Flow is permitted under the applicable Requirement of Law, such repatriation or distribution will be promptly effected and such repatriated or distributed Net Proceeds or Excess Cash Flow will be promptly (and in any event not later than three Business Days after such repatriation or distribution) offered to the prepayment of (net of additional taxes payable or reserved against as a result thereof) the Term Loans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as applicable, (B) to the extent that and for so long as the Borrower has determined reasonably and in good faith that repatriation or distribution of any of or all the Net Proceeds of any Foreign Subsidiary/</w:t>
      </w:r>
      <w:r>
        <w:rPr>
          <w:rFonts w:ascii="Arial" w:cs="Arial" w:eastAsia="Arial" w:hAnsi="Arial"/>
          <w:sz w:val="16"/>
          <w:szCs w:val="16"/>
          <w:u w:val="single" w:color="auto"/>
          <w:color w:val="auto"/>
        </w:rPr>
        <w:t>FSHCO</w:t>
      </w:r>
      <w:r>
        <w:rPr>
          <w:rFonts w:ascii="Arial" w:cs="Arial" w:eastAsia="Arial" w:hAnsi="Arial"/>
          <w:sz w:val="16"/>
          <w:szCs w:val="16"/>
          <w:color w:val="auto"/>
        </w:rPr>
        <w:t xml:space="preserve"> Prepayment Event or Excess Cash Flow would have a material adverse tax consequence for the Borrower, any of its Subsidiaries, any Parent Entity or direct or indirect equityholder of the Borrower or such Parent Entity (taking into account any foreign tax credit or benefit actually realized in connection with such repatriation or distribution), including any withholding tax, with respect to such Net Proceeds or Excess Cash Flow if such amount were repatriated or distributed as a dividend, the Net Proceeds or Excess Cash Flow so affected will not be required to be offered to the prepayment of Term Loans (or other Loans required to be prepaid) at the times provided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as the case may be, and such amounts may be retained by the applicable Foreign Subsidiary or FSHCO;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when the Borrower determines reasonably and in good faith that repatriation or distribution of any of or all the Net Proceeds of any Foreign Subsidiary/</w:t>
      </w:r>
      <w:r>
        <w:rPr>
          <w:rFonts w:ascii="Arial" w:cs="Arial" w:eastAsia="Arial" w:hAnsi="Arial"/>
          <w:sz w:val="16"/>
          <w:szCs w:val="16"/>
          <w:u w:val="single" w:color="auto"/>
          <w:color w:val="auto"/>
        </w:rPr>
        <w:t>FSHCO</w:t>
      </w:r>
      <w:r>
        <w:rPr>
          <w:rFonts w:ascii="Arial" w:cs="Arial" w:eastAsia="Arial" w:hAnsi="Arial"/>
          <w:sz w:val="16"/>
          <w:szCs w:val="16"/>
          <w:color w:val="auto"/>
        </w:rPr>
        <w:t xml:space="preserve"> Prepayment Event or Excess Cash Flow would no longer have a material adverse tax consequence (taking into account any foreign tax credit or benefit actually realized in connection with such repatriation or distribution) with respect to such Net Proceeds or Excess Cash Flow if such amount were repatriated or distributed as a dividend, such Net Proceeds or Excess Cash Flow shall be promptly (and in any event not later than three Business Days after such repatriation or distribution) applied (net of additional taxes payable or reserved against as a result thereof) or offered to the prepayment of the Term Loans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as applicable and (C) in connection with any prepayment attributable to any Joint Venture, to the extent that repatriation or distribution of any or all of the Net Proceeds of any Foreign Subsidiary/</w:t>
      </w:r>
      <w:r>
        <w:rPr>
          <w:rFonts w:ascii="Arial" w:cs="Arial" w:eastAsia="Arial" w:hAnsi="Arial"/>
          <w:sz w:val="16"/>
          <w:szCs w:val="16"/>
          <w:u w:val="single" w:color="auto"/>
          <w:color w:val="auto"/>
        </w:rPr>
        <w:t>FSHCO</w:t>
      </w:r>
      <w:r>
        <w:rPr>
          <w:rFonts w:ascii="Arial" w:cs="Arial" w:eastAsia="Arial" w:hAnsi="Arial"/>
          <w:sz w:val="16"/>
          <w:szCs w:val="16"/>
          <w:color w:val="auto"/>
        </w:rPr>
        <w:t xml:space="preserve"> Prepayment Event or Excess Cash Flow of a Foreign Subsidiary or FHSCO giving rise to a prepayment pursuant to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would violate any Organizational Document of any such Joint Venture (or any relevant shareholders’ or similar agreement) existing on the Effective Date or the date of Investment in such Joint Venture (so long as such restrictions in such Organizational Documents were not entered into for purposes of circumventing such Joint Venture’s obligations to make any payment in respect of such Excess Cash Flow or a Foreign Subsidiary/</w:t>
      </w:r>
      <w:r>
        <w:rPr>
          <w:rFonts w:ascii="Arial" w:cs="Arial" w:eastAsia="Arial" w:hAnsi="Arial"/>
          <w:sz w:val="16"/>
          <w:szCs w:val="16"/>
          <w:u w:val="single" w:color="auto"/>
          <w:color w:val="auto"/>
        </w:rPr>
        <w:t>FSHCO</w:t>
      </w:r>
      <w:r>
        <w:rPr>
          <w:rFonts w:ascii="Arial" w:cs="Arial" w:eastAsia="Arial" w:hAnsi="Arial"/>
          <w:sz w:val="16"/>
          <w:szCs w:val="16"/>
          <w:color w:val="auto"/>
        </w:rPr>
        <w:t xml:space="preserve"> Prepayment Event), in each case if the amount subject to the relevant prepayment were upstreamed or transferred as a distribution or dividend the portion of such Net Proceeds or Excess Cash Flow so affected will not be required to be offered to the prepayment of the Term Loans at the times provided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2.11(d)</w:t>
      </w:r>
      <w:r>
        <w:rPr>
          <w:rFonts w:ascii="Arial" w:cs="Arial" w:eastAsia="Arial" w:hAnsi="Arial"/>
          <w:sz w:val="16"/>
          <w:szCs w:val="16"/>
          <w:color w:val="auto"/>
        </w:rPr>
        <w:t>, as the case may be, and such amounts may be retained by the applicable Foreign Subsidiary or FSHCO so long, but only so long, as the applicable Organizational Documents will not permit repatriation or distribution to the Borrower, and once such repatriation or distribution of any of such affected Net Proceeds or Excess Cash Flow is permitted under the applicable Organizational Documents, such repatriation or distribution will be promptly effected and such repatriated or distributed Net Proceeds or Excess Cash Flow will be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20"/>
          </w:cols>
          <w:pgMar w:left="440" w:top="274" w:right="439" w:bottom="1440" w:gutter="0" w:footer="0" w:header="0"/>
        </w:sectPr>
      </w:pPr>
    </w:p>
    <w:bookmarkStart w:id="150" w:name="page151"/>
    <w:bookmarkEnd w:id="150"/>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promptly (and in any event not later than three Business Days after such repatriation or distribution) applied (net of additional taxes payable or reserved against as a result thereof) offered to the prepayment of the Term Loans pursuant to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2.11(d)</w:t>
      </w:r>
      <w:r>
        <w:rPr>
          <w:rFonts w:ascii="Arial" w:cs="Arial" w:eastAsia="Arial" w:hAnsi="Arial"/>
          <w:sz w:val="17"/>
          <w:szCs w:val="17"/>
          <w:color w:val="auto"/>
        </w:rPr>
        <w:t>, as applicable.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71" w:lineRule="auto"/>
        <w:tabs>
          <w:tab w:leader="none" w:pos="69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in Dollars for the account of each Revolving Lender a commitment fee, which shall accrue at the rate of 0.50% per annum on the average daily unused amount of the Revolving Commitment of such Lender during the period from and including the Effective Date to but excluding the date on which the Revolving Commitments terminate. Accrued commitment fees shall be payable in arrears on the last Business Day of March, June, September and December of each year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w:t>
      </w:r>
    </w:p>
    <w:p>
      <w:pPr>
        <w:spacing w:after="0" w:line="70" w:lineRule="exact"/>
        <w:rPr>
          <w:rFonts w:ascii="Arial" w:cs="Arial" w:eastAsia="Arial" w:hAnsi="Arial"/>
          <w:sz w:val="17"/>
          <w:szCs w:val="17"/>
          <w:color w:val="auto"/>
        </w:rPr>
      </w:pPr>
    </w:p>
    <w:p>
      <w:pPr>
        <w:jc w:val="both"/>
        <w:ind w:firstLine="436"/>
        <w:spacing w:after="0" w:line="269" w:lineRule="auto"/>
        <w:tabs>
          <w:tab w:leader="none" w:pos="69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Borrower agree to pay (i) to the Administrative Agent in Dollars for the account of each Revolving Lender a participation fee with respect to its participations in Letters of Credit, which shall accrue at the Applicable Rate used to determine the interest rate applicable to Eurocurrency Revolving Loans on the daily balance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(ii) to each Issuing Bank in Dollars a fronting fee, which shall accrue at 0.125% per annum or such other rate as may be separately agreed to by the relevant Issuing Bank and the Borrower on the average daily balance of the LC Exposure attributable to Letters of Credit issued by such Issuing Bank (excluding any portion thereof attributable to unreimbursed LC Disbursements) during the period from and including the Effective Date to but excluding the later of the date of termination of the Revolving Commitments and the date on which there ceases to be any LC Exposure, and (iii) such Issuing Bank’s standard fees with respect to the issuance, amendment, renewal or extension of any Letter of Credit or processing of drawings thereunder.</w:t>
      </w:r>
    </w:p>
    <w:p>
      <w:pPr>
        <w:spacing w:after="0" w:line="77" w:lineRule="exact"/>
        <w:rPr>
          <w:rFonts w:ascii="Arial" w:cs="Arial" w:eastAsia="Arial" w:hAnsi="Arial"/>
          <w:sz w:val="17"/>
          <w:szCs w:val="17"/>
          <w:color w:val="auto"/>
        </w:rPr>
      </w:pPr>
    </w:p>
    <w:p>
      <w:pPr>
        <w:jc w:val="both"/>
        <w:ind w:firstLine="436"/>
        <w:spacing w:after="0" w:line="293" w:lineRule="auto"/>
        <w:tabs>
          <w:tab w:leader="none" w:pos="70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Participation fees and fronting fees accrued through and including the last Business Day of March, June, September and December of each year shall be payable on the last Business Day of each such month,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in accordance with such Issuing Bank’s applicable procedures relating thereto. All participation fees and fronting fees shall be computed on the basis of a year of 360 days and shall be payable for the actual number of days elapsed (including the first day but excluding the last day).</w:t>
      </w:r>
    </w:p>
    <w:p>
      <w:pPr>
        <w:spacing w:after="0" w:line="56" w:lineRule="exact"/>
        <w:rPr>
          <w:rFonts w:ascii="Arial" w:cs="Arial" w:eastAsia="Arial" w:hAnsi="Arial"/>
          <w:sz w:val="16"/>
          <w:szCs w:val="16"/>
          <w:color w:val="auto"/>
        </w:rPr>
      </w:pPr>
    </w:p>
    <w:p>
      <w:pPr>
        <w:ind w:right="20" w:firstLine="436"/>
        <w:spacing w:after="0" w:line="277" w:lineRule="auto"/>
        <w:tabs>
          <w:tab w:leader="none" w:pos="70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w:t>
      </w:r>
    </w:p>
    <w:p>
      <w:pPr>
        <w:spacing w:after="0" w:line="62" w:lineRule="exact"/>
        <w:rPr>
          <w:rFonts w:ascii="Arial" w:cs="Arial" w:eastAsia="Arial" w:hAnsi="Arial"/>
          <w:sz w:val="18"/>
          <w:szCs w:val="18"/>
          <w:color w:val="auto"/>
        </w:rPr>
      </w:pPr>
    </w:p>
    <w:p>
      <w:pPr>
        <w:ind w:right="20" w:firstLine="436"/>
        <w:spacing w:after="0" w:line="277" w:lineRule="auto"/>
        <w:tabs>
          <w:tab w:leader="none" w:pos="69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Administrative Agent (or to an Issuing Bank, in the case of fees payable to it) for distribution,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0"/>
          </w:cols>
          <w:pgMar w:left="440" w:top="274" w:right="439" w:bottom="1440" w:gutter="0" w:footer="0" w:header="0"/>
        </w:sectPr>
      </w:pPr>
    </w:p>
    <w:bookmarkStart w:id="151" w:name="page152"/>
    <w:bookmarkEnd w:id="15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case of commitment fees and participation fees, to the Revolving Lenders entitled thereto. Except as may otherwise be separately agreed, fees paid hereunder shall not be refundable under any circumstances.</w:t>
      </w:r>
    </w:p>
    <w:p>
      <w:pPr>
        <w:spacing w:after="0" w:line="62" w:lineRule="exact"/>
        <w:rPr>
          <w:sz w:val="20"/>
          <w:szCs w:val="20"/>
          <w:color w:val="auto"/>
        </w:rPr>
      </w:pPr>
    </w:p>
    <w:p>
      <w:pPr>
        <w:jc w:val="both"/>
        <w:ind w:right="20" w:firstLine="436"/>
        <w:spacing w:after="0" w:line="259" w:lineRule="auto"/>
        <w:tabs>
          <w:tab w:leader="none" w:pos="67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Notwithstanding the foregoing, and subject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the Borrower shall not be obligated to pay any amounts to any Defaulting Lender pursuant to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any fees that would otherwise be payable to a Defaulting Lender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shall, to the extent the LC Exposure of such Defaulting Lender shall have been reallocated pursuant to </w:t>
      </w:r>
      <w:r>
        <w:rPr>
          <w:rFonts w:ascii="Arial" w:cs="Arial" w:eastAsia="Arial" w:hAnsi="Arial"/>
          <w:sz w:val="18"/>
          <w:szCs w:val="18"/>
          <w:u w:val="single" w:color="auto"/>
          <w:color w:val="auto"/>
        </w:rPr>
        <w:t>Section 2.22(a)(iv)</w:t>
      </w:r>
      <w:r>
        <w:rPr>
          <w:rFonts w:ascii="Arial" w:cs="Arial" w:eastAsia="Arial" w:hAnsi="Arial"/>
          <w:sz w:val="18"/>
          <w:szCs w:val="18"/>
          <w:color w:val="auto"/>
        </w:rPr>
        <w:t>, be paid to the non-Defaulting Lenders in respect of the amounts of such LC Exposure for which they shall be liable from time to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The Loans comprising each ABR Borrowing (including each Swingline Loan) shall bear interest at the Alternate Base Rate plus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03" w:lineRule="exact"/>
        <w:rPr>
          <w:sz w:val="20"/>
          <w:szCs w:val="20"/>
          <w:color w:val="auto"/>
        </w:rPr>
      </w:pPr>
    </w:p>
    <w:p>
      <w:pPr>
        <w:ind w:right="20" w:firstLine="436"/>
        <w:spacing w:after="0" w:line="277" w:lineRule="auto"/>
        <w:tabs>
          <w:tab w:leader="none" w:pos="70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Loans comprising each Eurocurrency Borrowing shall bear interest at the Adjusted LIBO Rate for the Interest Period in effect for such Borrowing plus the Applicable Rate.</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firstLine="436"/>
        <w:spacing w:after="0" w:line="289" w:lineRule="auto"/>
        <w:tabs>
          <w:tab w:leader="none" w:pos="70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Notwithstanding the foregoing, after the occurrence and continuance of an Event of Default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if any principal of or interest on any Loan or any premium, fee or other amount by the Borrower hereunder is not paid when due, whether at stated maturity, upon acceleration or otherwise, the relevant overdue amount shall bear interest, after as well as before judgment, at a rate per annum equal to (i) in the case of any overdue principal of any Loan, 2.00% per annum plus the rate otherwise applicable to such Loan as provided in the preceding paragraphs of this Section or (ii) in the case of any other amount (including overdue interest), 2.00% per annum plus the rate applicable to Revolving Loans that are ABR Loans as provided in paragraph (a)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amount shall be payable pursuant to this </w:t>
      </w:r>
      <w:r>
        <w:rPr>
          <w:rFonts w:ascii="Arial" w:cs="Arial" w:eastAsia="Arial" w:hAnsi="Arial"/>
          <w:sz w:val="16"/>
          <w:szCs w:val="16"/>
          <w:u w:val="single" w:color="auto"/>
          <w:color w:val="auto"/>
        </w:rPr>
        <w:t>Section 2.13(d)</w:t>
      </w:r>
      <w:r>
        <w:rPr>
          <w:rFonts w:ascii="Arial" w:cs="Arial" w:eastAsia="Arial" w:hAnsi="Arial"/>
          <w:sz w:val="16"/>
          <w:szCs w:val="16"/>
          <w:color w:val="auto"/>
        </w:rPr>
        <w:t xml:space="preserve"> to a Defaulting Lender so long as such Lender shall be a Defaulting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amounts shall accrue pursuant to this </w:t>
      </w:r>
      <w:r>
        <w:rPr>
          <w:rFonts w:ascii="Arial" w:cs="Arial" w:eastAsia="Arial" w:hAnsi="Arial"/>
          <w:sz w:val="16"/>
          <w:szCs w:val="16"/>
          <w:u w:val="single" w:color="auto"/>
          <w:color w:val="auto"/>
        </w:rPr>
        <w:t>Section 2.13(d)</w:t>
      </w:r>
      <w:r>
        <w:rPr>
          <w:rFonts w:ascii="Arial" w:cs="Arial" w:eastAsia="Arial" w:hAnsi="Arial"/>
          <w:sz w:val="16"/>
          <w:szCs w:val="16"/>
          <w:color w:val="auto"/>
        </w:rPr>
        <w:t xml:space="preserve"> on any reimbursement obligation in respect of any LC Disbursement or other amount payable to a Defaulting Lender so long as such Lender shall be a Defaulting Lender (it being understood that interest on such amounts shall accrue at the non-default rates otherwise applicable thereto).</w:t>
      </w:r>
    </w:p>
    <w:p>
      <w:pPr>
        <w:spacing w:after="0" w:line="58" w:lineRule="exact"/>
        <w:rPr>
          <w:rFonts w:ascii="Arial" w:cs="Arial" w:eastAsia="Arial" w:hAnsi="Arial"/>
          <w:sz w:val="16"/>
          <w:szCs w:val="16"/>
          <w:color w:val="auto"/>
        </w:rPr>
      </w:pPr>
    </w:p>
    <w:p>
      <w:pPr>
        <w:jc w:val="both"/>
        <w:ind w:firstLine="436"/>
        <w:spacing w:after="0" w:line="255" w:lineRule="auto"/>
        <w:tabs>
          <w:tab w:leader="none" w:pos="69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84" w:lineRule="exact"/>
        <w:rPr>
          <w:rFonts w:ascii="Arial" w:cs="Arial" w:eastAsia="Arial" w:hAnsi="Arial"/>
          <w:sz w:val="18"/>
          <w:szCs w:val="18"/>
          <w:color w:val="auto"/>
        </w:rPr>
      </w:pPr>
    </w:p>
    <w:p>
      <w:pPr>
        <w:jc w:val="both"/>
        <w:ind w:firstLine="436"/>
        <w:spacing w:after="0" w:line="255" w:lineRule="auto"/>
        <w:tabs>
          <w:tab w:leader="none" w:pos="67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All computations of interest for ABR Loans (when the Alternate Base Rate is based on the Prime Rate) shall be made on the basis of a year of 365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2.18</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20"/>
          </w:cols>
          <w:pgMar w:left="440" w:top="274" w:right="439" w:bottom="1440" w:gutter="0" w:footer="0" w:header="0"/>
        </w:sectPr>
      </w:pPr>
    </w:p>
    <w:bookmarkStart w:id="152" w:name="page153"/>
    <w:bookmarkEnd w:id="1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at least two Business Days prior to the commencement of any Interest Period for a Eurocurrency Borrowing:</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07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for such Interest Period; or</w:t>
      </w:r>
    </w:p>
    <w:p>
      <w:pPr>
        <w:spacing w:after="0" w:line="62" w:lineRule="exact"/>
        <w:rPr>
          <w:rFonts w:ascii="Arial" w:cs="Arial" w:eastAsia="Arial" w:hAnsi="Arial"/>
          <w:sz w:val="18"/>
          <w:szCs w:val="18"/>
          <w:color w:val="auto"/>
        </w:rPr>
      </w:pPr>
    </w:p>
    <w:p>
      <w:pPr>
        <w:jc w:val="both"/>
        <w:ind w:left="440" w:right="20" w:firstLine="419"/>
        <w:spacing w:after="0" w:line="263" w:lineRule="auto"/>
        <w:tabs>
          <w:tab w:leader="none" w:pos="113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the Administrative Agent is advised by the Required Lenders that the Adjusted LIBO Rate for such Interest Period will not adequately and fairly reflect the cost to such Lenders of making or maintaining their Loans included in such Borrowing for such Interest Period (in each case with respect to the Loans impacted by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Impacted Loans</w:t>
      </w:r>
      <w:r>
        <w:rPr>
          <w:rFonts w:ascii="Arial" w:cs="Arial" w:eastAsia="Arial" w:hAnsi="Arial"/>
          <w:sz w:val="18"/>
          <w:szCs w:val="18"/>
          <w:color w:val="auto"/>
        </w:rPr>
        <w: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then the Administrative Agent shall give written notice thereof to the Borrower and the Lenders by hand delivery, facsimile or other electronic transmission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Eurocurrency Borrowing shall be ineffective and (ii) such Borrowing shall be made as an ABR Borrowing and the utilization of the LIBO Rate component in determining the Alternate Base Rate shall be suspended;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the Borrower may revoke any Borrowing Request that is pending when such notice is received.</w:t>
      </w:r>
    </w:p>
    <w:p>
      <w:pPr>
        <w:spacing w:after="0" w:line="84" w:lineRule="exact"/>
        <w:rPr>
          <w:sz w:val="20"/>
          <w:szCs w:val="20"/>
          <w:color w:val="auto"/>
        </w:rPr>
      </w:pPr>
    </w:p>
    <w:p>
      <w:pPr>
        <w:jc w:val="both"/>
        <w:ind w:firstLine="436"/>
        <w:spacing w:after="0" w:line="285" w:lineRule="auto"/>
        <w:tabs>
          <w:tab w:leader="none" w:pos="69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Notwithstanding any of the provisions in this Agreement to the contrary, if the Borrower and the Administrative Agent reasonably determine in good faith, or the Borrower and Required Lenders notify the Administrative Agent, that (1) an interest rate is not ascertainable pursuant to the provisions of the definition of “LIBO Rate” and the inability to ascertain such rate is unlikely to be temporary, (2) the London Interbank Offered Rate as described in clause (i) of the definition of “LIBO Rate” shall no longer be made available or used for determining the interest rate of loans or (3) syndicated leveraged loans of this type in the United States are currently being executed or amended (as applicable) to incorporate or adopt new benchmark interest rates to replace the London Interbank Offered Rate, the “LIBO Rate” shall be an alternate rate that is reasonably commercially practicable for the Administrative Agent to administer (as determined by the Administrative Agent in its reasonable discretion) that shall include appropriate mathematical or other adjustments to minimize any changes to pricing in effect at the time of selection of such alternate rate of interest (and, for the avoidance of doubt, such alternate rate of interest as so modified shall not reduce the Applicable Rate in effect at the time of selection of such alternate rate of interest) and will be an alternate rate of interest established by the Administrative Agent and the Borrower, so long as the Lenders shall have received at least five Business Days’ prior written notice thereof (the “</w:t>
      </w:r>
      <w:r>
        <w:rPr>
          <w:rFonts w:ascii="Arial" w:cs="Arial" w:eastAsia="Arial" w:hAnsi="Arial"/>
          <w:sz w:val="16"/>
          <w:szCs w:val="16"/>
          <w:u w:val="single" w:color="auto"/>
          <w:color w:val="auto"/>
        </w:rPr>
        <w:t>Notice Period</w:t>
      </w:r>
      <w:r>
        <w:rPr>
          <w:rFonts w:ascii="Arial" w:cs="Arial" w:eastAsia="Arial" w:hAnsi="Arial"/>
          <w:sz w:val="16"/>
          <w:szCs w:val="16"/>
          <w:color w:val="auto"/>
        </w:rPr>
        <w:t xml:space="preserve">”), in which case, the Administrative Agent and the Borrower shall enter into an amendment to this Agreement to reflect such alternate rate of interest and make such other related changes to this Agreement as may be applicable, including any Successor Rate Conforming Changes;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alternate rate of interest shall not apply (and any such amendment shall not be effective) to the extent the Administrative Agent has received a written objection within the Notice Period from the Required Lenders (any such alternate rate of interest so established in accordance with the foregoing provisions of this clause (d), the “</w:t>
      </w:r>
      <w:r>
        <w:rPr>
          <w:rFonts w:ascii="Arial" w:cs="Arial" w:eastAsia="Arial" w:hAnsi="Arial"/>
          <w:sz w:val="16"/>
          <w:szCs w:val="16"/>
          <w:u w:val="single" w:color="auto"/>
          <w:color w:val="auto"/>
        </w:rPr>
        <w:t>Successor Benchmark Rate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amendment shall become effective without any further action or consent of any other party to this Agreement, notwithstanding anything to the contrary in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until such Successor Benchmark Rate has been determined pursuant to this paragraph, (A) any request for Borrowing, the conversion of any Borrowing to, or continuation of any Borrowing as, a Eurocurrency Borrowing shall be ineffective; (B) in the case of any affected Eurocurrency Borrowing, such Borrowing</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20"/>
          </w:cols>
          <w:pgMar w:left="440" w:top="274" w:right="439" w:bottom="1440" w:gutter="0" w:footer="0" w:header="0"/>
        </w:sectPr>
      </w:pPr>
    </w:p>
    <w:bookmarkStart w:id="153" w:name="page154"/>
    <w:bookmarkEnd w:id="153"/>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converted to an ABR Borrowing and (C) the LIBO Rate component shall no longer be utilized in determining the Alternate Base Rate. Notwithstanding anything else herein, any Successor Benchmark Rate shall provide that in no event shall such Successor Benchmark Rate be less than zero for purposes of this Agreement. For the purpose hereof, “</w:t>
      </w:r>
      <w:r>
        <w:rPr>
          <w:rFonts w:ascii="Arial" w:cs="Arial" w:eastAsia="Arial" w:hAnsi="Arial"/>
          <w:sz w:val="18"/>
          <w:szCs w:val="18"/>
          <w:u w:val="single" w:color="auto"/>
          <w:color w:val="auto"/>
        </w:rPr>
        <w:t>Successor Rate Conforming Changes</w:t>
      </w:r>
      <w:r>
        <w:rPr>
          <w:rFonts w:ascii="Arial" w:cs="Arial" w:eastAsia="Arial" w:hAnsi="Arial"/>
          <w:sz w:val="18"/>
          <w:szCs w:val="18"/>
          <w:color w:val="auto"/>
        </w:rPr>
        <w:t>” shall mean such changes as may be necessary to reflect the available interest periods for the alternate rate, including conforming the definition of Alternate Base Rate, Interest Period, the timing and frequency of determining rates and making payments of interest and other administrative matters as may be reasonably agreed by the Borrower and the Administrative Agent.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17" w:lineRule="exact"/>
        <w:rPr>
          <w:rFonts w:ascii="Arial" w:cs="Arial" w:eastAsia="Arial" w:hAnsi="Arial"/>
          <w:sz w:val="18"/>
          <w:szCs w:val="18"/>
          <w:color w:val="auto"/>
        </w:rPr>
      </w:pPr>
    </w:p>
    <w:p>
      <w:pPr>
        <w:jc w:val="both"/>
        <w:ind w:left="440" w:firstLine="419"/>
        <w:spacing w:after="0" w:line="263" w:lineRule="auto"/>
        <w:tabs>
          <w:tab w:leader="none" w:pos="108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 or</w:t>
      </w:r>
    </w:p>
    <w:p>
      <w:pPr>
        <w:spacing w:after="0" w:line="75" w:lineRule="exact"/>
        <w:rPr>
          <w:rFonts w:ascii="Arial" w:cs="Arial" w:eastAsia="Arial" w:hAnsi="Arial"/>
          <w:sz w:val="18"/>
          <w:szCs w:val="18"/>
          <w:color w:val="auto"/>
        </w:rPr>
      </w:pPr>
    </w:p>
    <w:p>
      <w:pPr>
        <w:ind w:left="440" w:firstLine="419"/>
        <w:spacing w:after="0" w:line="308" w:lineRule="auto"/>
        <w:tabs>
          <w:tab w:leader="none" w:pos="1131" w:val="left"/>
        </w:tabs>
        <w:numPr>
          <w:ilvl w:val="1"/>
          <w:numId w:val="151"/>
        </w:numPr>
        <w:rPr>
          <w:rFonts w:ascii="Arial" w:cs="Arial" w:eastAsia="Arial" w:hAnsi="Arial"/>
          <w:sz w:val="17"/>
          <w:szCs w:val="17"/>
          <w:color w:val="auto"/>
        </w:rPr>
      </w:pPr>
      <w:r>
        <w:rPr>
          <w:rFonts w:ascii="Arial" w:cs="Arial" w:eastAsia="Arial" w:hAnsi="Arial"/>
          <w:sz w:val="17"/>
          <w:szCs w:val="17"/>
          <w:color w:val="auto"/>
        </w:rPr>
        <w:t>impose on any Lender or any Issuing Bank or the London interbank market any other condition, cost or expense (other than with respect to Taxes) affecting this Agreement or Eurocurrency Loans made by such Lender or any Letter of Credit or participation therein; or</w:t>
      </w:r>
    </w:p>
    <w:p>
      <w:pPr>
        <w:spacing w:after="0" w:line="38" w:lineRule="exact"/>
        <w:rPr>
          <w:rFonts w:ascii="Arial" w:cs="Arial" w:eastAsia="Arial" w:hAnsi="Arial"/>
          <w:sz w:val="17"/>
          <w:szCs w:val="17"/>
          <w:color w:val="auto"/>
        </w:rPr>
      </w:pPr>
    </w:p>
    <w:p>
      <w:pPr>
        <w:ind w:left="440" w:right="20" w:firstLine="419"/>
        <w:spacing w:after="0" w:line="277" w:lineRule="auto"/>
        <w:tabs>
          <w:tab w:leader="none" w:pos="118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subject any Lender or any Issuing Bank to any Taxes on its Loans, letters of credit, Commitments, or other obligations, or its deposits, reserves, other liabilities or capital attributable thereto;</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 xml:space="preserve">and the result of any of the foregoing shall be to increase the cost to such Lender or Issuing Bank of making or maintaining any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liable for such compensation if, in the case of requests for reimbursement under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resulting from a market disruption, (A) the relevant circumstances are not generally affecting the banking market or (B) the applicable request has not been made by Lenders constituting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to the extent any such costs or reductions are incurred by any Lender as a result of any requests, rules, guidelines or directives enacted or promulgated under the Dodd-Frank Wall Street Reform and Consumer Protection Act of 2010 or under Basel III, then such Lender shall be compensated pursuant to this </w:t>
      </w:r>
      <w:r>
        <w:rPr>
          <w:rFonts w:ascii="Arial" w:cs="Arial" w:eastAsia="Arial" w:hAnsi="Arial"/>
          <w:sz w:val="17"/>
          <w:szCs w:val="17"/>
          <w:u w:val="single" w:color="auto"/>
          <w:color w:val="auto"/>
        </w:rPr>
        <w:t>Section 2.15(a)</w:t>
      </w:r>
      <w:r>
        <w:rPr>
          <w:rFonts w:ascii="Arial" w:cs="Arial" w:eastAsia="Arial" w:hAnsi="Arial"/>
          <w:sz w:val="17"/>
          <w:szCs w:val="17"/>
          <w:color w:val="auto"/>
        </w:rPr>
        <w:t xml:space="preserve"> only to the extent such Lender is imposing such charges on similarly situated borrowers where the terms of other syndicated credit facilities permit it to impose such charges. Notwithstanding the foregoing, this paragraph will not apply to (A) Indemnified Taxes, (B) Other Taxes or (C) Excluded Taxes.</w:t>
      </w:r>
    </w:p>
    <w:p>
      <w:pPr>
        <w:spacing w:after="0" w:line="78" w:lineRule="exact"/>
        <w:rPr>
          <w:sz w:val="20"/>
          <w:szCs w:val="20"/>
          <w:color w:val="auto"/>
        </w:rPr>
      </w:pPr>
    </w:p>
    <w:p>
      <w:pPr>
        <w:jc w:val="both"/>
        <w:ind w:right="20" w:firstLine="436"/>
        <w:spacing w:after="0" w:line="257" w:lineRule="auto"/>
        <w:tabs>
          <w:tab w:leader="none" w:pos="69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any Lender or Issuing Bank determines that any Change in Law regarding capital or liquidity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20"/>
          </w:cols>
          <w:pgMar w:left="440" w:top="274" w:right="439" w:bottom="1440" w:gutter="0" w:footer="0" w:header="0"/>
        </w:sectPr>
      </w:pPr>
    </w:p>
    <w:bookmarkStart w:id="154" w:name="page155"/>
    <w:bookmarkEnd w:id="154"/>
    <w:p>
      <w:pPr>
        <w:ind w:left="4"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Change in Law (taking into consideration such Lender’s or Issuing Bank’s policies and the policies of such Lender’s or Issuing Bank’s holding company with respect to capital adequacy and liquidity), then, from time to time upon request of such Lender or Issuing Bank contemplated by </w:t>
      </w:r>
      <w:r>
        <w:rPr>
          <w:rFonts w:ascii="Arial" w:cs="Arial" w:eastAsia="Arial" w:hAnsi="Arial"/>
          <w:sz w:val="16"/>
          <w:szCs w:val="16"/>
          <w:u w:val="single" w:color="auto"/>
          <w:color w:val="auto"/>
        </w:rPr>
        <w:t>clause</w:t>
      </w:r>
    </w:p>
    <w:p>
      <w:pPr>
        <w:ind w:left="4" w:right="20" w:hanging="4"/>
        <w:spacing w:after="0" w:line="260" w:lineRule="auto"/>
        <w:tabs>
          <w:tab w:leader="none" w:pos="270" w:val="left"/>
        </w:tabs>
        <w:numPr>
          <w:ilvl w:val="0"/>
          <w:numId w:val="153"/>
        </w:numPr>
        <w:rPr>
          <w:rFonts w:ascii="Arial" w:cs="Arial" w:eastAsia="Arial" w:hAnsi="Arial"/>
          <w:sz w:val="18"/>
          <w:szCs w:val="18"/>
          <w:u w:val="single" w:color="auto"/>
          <w:color w:val="auto"/>
        </w:rPr>
      </w:pPr>
      <w:r>
        <w:rPr>
          <w:rFonts w:ascii="Arial" w:cs="Arial" w:eastAsia="Arial" w:hAnsi="Arial"/>
          <w:sz w:val="18"/>
          <w:szCs w:val="18"/>
          <w:color w:val="auto"/>
        </w:rPr>
        <w:t>below,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77" w:lineRule="exact"/>
        <w:rPr>
          <w:rFonts w:ascii="Arial" w:cs="Arial" w:eastAsia="Arial" w:hAnsi="Arial"/>
          <w:sz w:val="18"/>
          <w:szCs w:val="18"/>
          <w:u w:val="single" w:color="auto"/>
          <w:color w:val="auto"/>
        </w:rPr>
      </w:pPr>
    </w:p>
    <w:p>
      <w:pPr>
        <w:ind w:left="704" w:hanging="264"/>
        <w:spacing w:after="0"/>
        <w:tabs>
          <w:tab w:leader="none" w:pos="70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 xml:space="preserve">Any Lender or an Issuing Bank requesting compensation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be required to deliver a certificate to the Borrower,</w:t>
      </w:r>
    </w:p>
    <w:p>
      <w:pPr>
        <w:spacing w:after="0" w:line="34" w:lineRule="exact"/>
        <w:rPr>
          <w:rFonts w:ascii="Arial" w:cs="Arial" w:eastAsia="Arial" w:hAnsi="Arial"/>
          <w:sz w:val="17"/>
          <w:szCs w:val="17"/>
          <w:color w:val="auto"/>
        </w:rPr>
      </w:pPr>
    </w:p>
    <w:p>
      <w:pPr>
        <w:jc w:val="both"/>
        <w:ind w:left="4" w:right="20" w:hanging="4"/>
        <w:spacing w:after="0" w:line="253" w:lineRule="auto"/>
        <w:tabs>
          <w:tab w:leader="none" w:pos="23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setting forth the amount or amounts necessary to compensate such Lender or Issuing Bank or its holding company in reasonable detail, as the case may be, as specified in paragraph (a) or (b) of this Section, (ii) setting forth, in reasonable detail, the manner in which such amount or amounts were determined and (iii) certifying that such Lender or Issuing Bank is generally charging such amounts to similarly situated borrowers, which certificate shall be conclusive absent manifest error. Unless subject to dispute, the Borrower shall pay such Lender or Issuing Bank, as the case may be, the amount shown as due on any such certificate within 15 days after receipt thereof.</w:t>
      </w:r>
    </w:p>
    <w:p>
      <w:pPr>
        <w:spacing w:after="0" w:line="82" w:lineRule="exact"/>
        <w:rPr>
          <w:rFonts w:ascii="Arial" w:cs="Arial" w:eastAsia="Arial" w:hAnsi="Arial"/>
          <w:sz w:val="18"/>
          <w:szCs w:val="18"/>
          <w:color w:val="auto"/>
        </w:rPr>
      </w:pPr>
    </w:p>
    <w:p>
      <w:pPr>
        <w:jc w:val="both"/>
        <w:ind w:left="4" w:right="20" w:firstLine="436"/>
        <w:spacing w:after="0" w:line="273" w:lineRule="auto"/>
        <w:tabs>
          <w:tab w:leader="none" w:pos="711"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Issuing Bank pursuant to this Section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78" w:lineRule="exact"/>
        <w:rPr>
          <w:sz w:val="20"/>
          <w:szCs w:val="20"/>
          <w:color w:val="auto"/>
        </w:rPr>
      </w:pPr>
    </w:p>
    <w:p>
      <w:pPr>
        <w:jc w:val="both"/>
        <w:ind w:left="4" w:right="20" w:firstLine="440"/>
        <w:spacing w:after="0" w:line="291"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Eurocurrency Loan other than on the last day of an Interest Period applicable thereto, (b) the conversion of any Eurocurrency Loan other than on the last day of the Interest Period applicable thereto,</w:t>
      </w:r>
    </w:p>
    <w:p>
      <w:pPr>
        <w:jc w:val="both"/>
        <w:ind w:left="4" w:hanging="4"/>
        <w:spacing w:after="0" w:line="286" w:lineRule="auto"/>
        <w:tabs>
          <w:tab w:leader="none" w:pos="26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the failure to borrow, convert, continue or prepay any Revolving Loan or Term Loan on the date specified in any notice delivered pursuant hereto (regardless of whether such notice is revoked) or (d) the assignment of any Eurocurrency Loan other than on the last day of the Interest Period applicable thereto as a result of a request by the Borrower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2.24(h)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then, in any such event, the Borrower shall, after receipt of a written request by any Lender affected by any such event (which request shall set forth in reasonable detail the basis for requesting such amount), compensate each Lender for the actual loss, cost and expense incurred by such Lender attributable to such event (other than loss of profit). Any Lender requesting compensation under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shall be required to deliver a certificate to the Borrower setting forth any amount or amounts that such Lender is entitled to receive pursuant to this Section, the basis therefor and, in reasonable detail and the manner in which such amount or amounts were determined, which certificate shall be conclusive absent manifest error. Unless subject to dispute, the Borrower shall pay such Lender the amount shown as due on any such certificate within 30 days after receipt of such demand. Notwithstanding the foregoing,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will not apply to losses, costs or expenses resulting from Taxes, as to which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shall govern.</w:t>
      </w:r>
    </w:p>
    <w:p>
      <w:pPr>
        <w:spacing w:after="0" w:line="16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jc w:val="both"/>
        <w:ind w:left="4" w:right="20" w:firstLine="436"/>
        <w:spacing w:after="0" w:line="286" w:lineRule="auto"/>
        <w:tabs>
          <w:tab w:leader="none" w:pos="70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Any and all payments by or on account of any obligation of any Loan Party under any Loan Document shall be made free and clear of and without deduction for any Taxes, provided that if the applicable Withholding Agent shall be required by applicable Requirements of Law (as determined in the good faith discretion of the applicable Withholding Agent) to deduct any Taxes from such payments, then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24"/>
          </w:cols>
          <w:pgMar w:left="436" w:top="274" w:right="439" w:bottom="1440" w:gutter="0" w:footer="0" w:header="0"/>
        </w:sectPr>
      </w:pPr>
    </w:p>
    <w:bookmarkStart w:id="155" w:name="page156"/>
    <w:bookmarkEnd w:id="155"/>
    <w:p>
      <w:pPr>
        <w:jc w:val="both"/>
        <w:ind w:left="4" w:hanging="4"/>
        <w:spacing w:after="0" w:line="296" w:lineRule="auto"/>
        <w:tabs>
          <w:tab w:leader="none" w:pos="222" w:val="left"/>
        </w:tabs>
        <w:numPr>
          <w:ilvl w:val="0"/>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applicable Withholding Agent shall make such deductions, (ii) the applicable Withholding Agent shall timely pay the full amount deducted to the relevant Governmental Authority in accordance with applicable Requirements of Law and (iii) if the Tax in question is an Indemnified Tax or Other Tax, the amount payable by the applicable Loan Party shall be increased as necessary so that after all required deductions have been made (including deductions applicable to additional amounts payable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the Lender (or, in the case of a payment received by the Administrative Agent for its own account, the Administrative Agent) receives an amount equal to the sum it would have received had no such deductions been made.</w:t>
      </w:r>
    </w:p>
    <w:p>
      <w:pPr>
        <w:spacing w:after="0" w:line="53" w:lineRule="exact"/>
        <w:rPr>
          <w:rFonts w:ascii="Arial" w:cs="Arial" w:eastAsia="Arial" w:hAnsi="Arial"/>
          <w:sz w:val="16"/>
          <w:szCs w:val="16"/>
          <w:color w:val="auto"/>
        </w:rPr>
      </w:pPr>
    </w:p>
    <w:p>
      <w:pPr>
        <w:ind w:left="4" w:firstLine="436"/>
        <w:spacing w:after="0" w:line="308" w:lineRule="auto"/>
        <w:tabs>
          <w:tab w:leader="none" w:pos="699" w:val="left"/>
        </w:tabs>
        <w:numPr>
          <w:ilvl w:val="1"/>
          <w:numId w:val="157"/>
        </w:numPr>
        <w:rPr>
          <w:rFonts w:ascii="Arial" w:cs="Arial" w:eastAsia="Arial" w:hAnsi="Arial"/>
          <w:sz w:val="17"/>
          <w:szCs w:val="17"/>
          <w:color w:val="auto"/>
        </w:rPr>
      </w:pPr>
      <w:r>
        <w:rPr>
          <w:rFonts w:ascii="Arial" w:cs="Arial" w:eastAsia="Arial" w:hAnsi="Arial"/>
          <w:sz w:val="17"/>
          <w:szCs w:val="17"/>
          <w:color w:val="auto"/>
        </w:rPr>
        <w:t>Without limiting the provisions of paragraph (a) above, the Loan Parties shall timely pay to the relevant Governmental Authority in accordance with Requirements of Law, or at the option of the Administrative Agent timely reimburse it for the payment of, any Other Taxes.</w:t>
      </w:r>
    </w:p>
    <w:p>
      <w:pPr>
        <w:spacing w:after="0" w:line="38" w:lineRule="exact"/>
        <w:rPr>
          <w:rFonts w:ascii="Arial" w:cs="Arial" w:eastAsia="Arial" w:hAnsi="Arial"/>
          <w:sz w:val="17"/>
          <w:szCs w:val="17"/>
          <w:color w:val="auto"/>
        </w:rPr>
      </w:pPr>
    </w:p>
    <w:p>
      <w:pPr>
        <w:jc w:val="both"/>
        <w:ind w:left="4" w:firstLine="436"/>
        <w:spacing w:after="0" w:line="254" w:lineRule="auto"/>
        <w:tabs>
          <w:tab w:leader="none" w:pos="695"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The Loan Parties shall indemnify the Administrative Agent and each Lender, within 10 days after demand therefor, for the full amount of any Indemnified Taxes and any Other Taxes payable or paid by, or required to be withheld or deducted from a payment to, the Administrative Agent or such Lender, as the case may be (including Indemnified Taxes or Other Taxes imposed or asserted on or attributable to amounts payable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and any reasonable expenses arising therefrom or with respect thereto, whether or not such Indemnified Taxes or Other Taxes were correctly or legally imposed or asserted by the relevant Governmental Authority. A certificate setting forth as to the amount of such payment or liability delivered to the Borrower by a Lender (with a copy to the Administrative Agent) or by the Administrative Agent on its own behalf or on behalf of a Lender, shall be conclusive absent manifest error.</w:t>
      </w:r>
    </w:p>
    <w:p>
      <w:pPr>
        <w:spacing w:after="0" w:line="86" w:lineRule="exact"/>
        <w:rPr>
          <w:rFonts w:ascii="Arial" w:cs="Arial" w:eastAsia="Arial" w:hAnsi="Arial"/>
          <w:sz w:val="18"/>
          <w:szCs w:val="18"/>
          <w:color w:val="auto"/>
        </w:rPr>
      </w:pPr>
    </w:p>
    <w:p>
      <w:pPr>
        <w:jc w:val="both"/>
        <w:ind w:left="4" w:firstLine="436"/>
        <w:spacing w:after="0" w:line="286" w:lineRule="auto"/>
        <w:tabs>
          <w:tab w:leader="none" w:pos="705" w:val="left"/>
        </w:tabs>
        <w:numPr>
          <w:ilvl w:val="1"/>
          <w:numId w:val="157"/>
        </w:numPr>
        <w:rPr>
          <w:rFonts w:ascii="Arial" w:cs="Arial" w:eastAsia="Arial" w:hAnsi="Arial"/>
          <w:sz w:val="17"/>
          <w:szCs w:val="17"/>
          <w:color w:val="auto"/>
        </w:rPr>
      </w:pPr>
      <w:r>
        <w:rPr>
          <w:rFonts w:ascii="Arial" w:cs="Arial" w:eastAsia="Arial" w:hAnsi="Arial"/>
          <w:sz w:val="17"/>
          <w:szCs w:val="17"/>
          <w:color w:val="auto"/>
        </w:rPr>
        <w:t xml:space="preserve">As soon as practicable after any payment of any Taxes by a Loan Party to a Governmental Authority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57" w:lineRule="exact"/>
        <w:rPr>
          <w:rFonts w:ascii="Arial" w:cs="Arial" w:eastAsia="Arial" w:hAnsi="Arial"/>
          <w:sz w:val="17"/>
          <w:szCs w:val="17"/>
          <w:color w:val="auto"/>
        </w:rPr>
      </w:pPr>
    </w:p>
    <w:p>
      <w:pPr>
        <w:jc w:val="both"/>
        <w:ind w:left="4" w:firstLine="436"/>
        <w:spacing w:after="0" w:line="268" w:lineRule="auto"/>
        <w:tabs>
          <w:tab w:leader="none" w:pos="706" w:val="left"/>
        </w:tabs>
        <w:numPr>
          <w:ilvl w:val="1"/>
          <w:numId w:val="157"/>
        </w:numPr>
        <w:rPr>
          <w:rFonts w:ascii="Arial" w:cs="Arial" w:eastAsia="Arial" w:hAnsi="Arial"/>
          <w:sz w:val="17"/>
          <w:szCs w:val="17"/>
          <w:color w:val="auto"/>
        </w:rPr>
      </w:pPr>
      <w:r>
        <w:rPr>
          <w:rFonts w:ascii="Arial" w:cs="Arial" w:eastAsia="Arial" w:hAnsi="Arial"/>
          <w:sz w:val="17"/>
          <w:szCs w:val="17"/>
          <w:color w:val="auto"/>
        </w:rPr>
        <w:t xml:space="preserve">Each Lender shall deliver to the Borrower and the Administrative Agent, at the time or times reasonably requested by the Borrower or the Administrative Agent, such properly completed and executed documentation prescribed by applicable Requirements of Law and such other documentation reasonably requested by the Borrower or the Administrative Agent (i) as will permit such payments to be made without, or at a reduced rate of, withholding or (ii) as will enable the Borrower or the Administrative Agent to determine whether or not such Lender is subject to backup withholding or information reporting requirements. Notwithstanding anything to the contrary in the preceding sentence, the completion, execution and submission of such documentation (other than such documentation set forth in </w:t>
      </w:r>
      <w:r>
        <w:rPr>
          <w:rFonts w:ascii="Arial" w:cs="Arial" w:eastAsia="Arial" w:hAnsi="Arial"/>
          <w:sz w:val="17"/>
          <w:szCs w:val="17"/>
          <w:u w:val="single" w:color="auto"/>
          <w:color w:val="auto"/>
        </w:rPr>
        <w:t>Section 2.17(e)(1)</w:t>
      </w:r>
      <w:r>
        <w:rPr>
          <w:rFonts w:ascii="Arial" w:cs="Arial" w:eastAsia="Arial" w:hAnsi="Arial"/>
          <w:sz w:val="17"/>
          <w:szCs w:val="17"/>
          <w:color w:val="auto"/>
        </w:rPr>
        <w:t xml:space="preserve">, </w:t>
      </w:r>
      <w:r>
        <w:rPr>
          <w:rFonts w:ascii="Arial" w:cs="Arial" w:eastAsia="Arial" w:hAnsi="Arial"/>
          <w:sz w:val="17"/>
          <w:szCs w:val="17"/>
          <w:u w:val="single" w:color="auto"/>
          <w:color w:val="auto"/>
        </w:rPr>
        <w:t>(2)(A)-(D)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Each Lender shall, whenever a lapse in time or change in circumstances renders such documentation obsolete, expired or inaccurate in any material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 Each Lender hereby authorizes the Administrative Agent to deliver to the Loan Parties and to any successor Administrative Agent any documentation provided by such Lender to the Administrative Agent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Without limiting the foregoing:</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24"/>
          </w:cols>
          <w:pgMar w:left="436" w:top="274" w:right="439" w:bottom="1440" w:gutter="0" w:footer="0" w:header="0"/>
        </w:sectPr>
      </w:pPr>
    </w:p>
    <w:bookmarkStart w:id="156" w:name="page157"/>
    <w:bookmarkEnd w:id="156"/>
    <w:p>
      <w:pPr>
        <w:jc w:val="both"/>
        <w:ind w:left="-20" w:firstLine="408"/>
        <w:spacing w:after="0" w:line="259" w:lineRule="auto"/>
        <w:tabs>
          <w:tab w:leader="none" w:pos="637"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that is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two executed copies of IRS Form W-9 certifying that such Lender is exempt from U.S. federal backup withholding.</w:t>
      </w:r>
    </w:p>
    <w:p>
      <w:pPr>
        <w:spacing w:after="0" w:line="78" w:lineRule="exact"/>
        <w:rPr>
          <w:rFonts w:ascii="Arial" w:cs="Arial" w:eastAsia="Arial" w:hAnsi="Arial"/>
          <w:sz w:val="18"/>
          <w:szCs w:val="18"/>
          <w:color w:val="auto"/>
        </w:rPr>
      </w:pPr>
    </w:p>
    <w:p>
      <w:pPr>
        <w:jc w:val="both"/>
        <w:ind w:left="-20" w:firstLine="408"/>
        <w:spacing w:after="0" w:line="286" w:lineRule="auto"/>
        <w:tabs>
          <w:tab w:leader="none" w:pos="65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Each Lender that is not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whichever of the following is applicable:</w:t>
      </w:r>
    </w:p>
    <w:p>
      <w:pPr>
        <w:spacing w:after="0" w:line="57" w:lineRule="exact"/>
        <w:rPr>
          <w:rFonts w:ascii="Arial" w:cs="Arial" w:eastAsia="Arial" w:hAnsi="Arial"/>
          <w:sz w:val="17"/>
          <w:szCs w:val="17"/>
          <w:color w:val="auto"/>
        </w:rPr>
      </w:pPr>
    </w:p>
    <w:p>
      <w:pPr>
        <w:jc w:val="both"/>
        <w:ind w:left="420" w:firstLine="391"/>
        <w:spacing w:after="0" w:line="257" w:lineRule="auto"/>
        <w:tabs>
          <w:tab w:leader="none" w:pos="111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two executed copies of IRS Form W-8BEN or IRS Form W-8BEN-E (or any successor forms), as applicable, claiming eligibility for the benefits of an income tax treaty to which the United States is a party, establishing an exemption from, or reduction of, U.S. federal withholding Tax (i) pursuant to the “interest” article of such tax treaty with respect to payments of interest under any Loan Document and (ii) pursuant to the “business profits” or “other income” article of such tax treaty with respect to any other applicable payments under any Loan Document,</w:t>
      </w:r>
    </w:p>
    <w:p>
      <w:pPr>
        <w:spacing w:after="0" w:line="79" w:lineRule="exact"/>
        <w:rPr>
          <w:rFonts w:ascii="Arial" w:cs="Arial" w:eastAsia="Arial" w:hAnsi="Arial"/>
          <w:sz w:val="18"/>
          <w:szCs w:val="18"/>
          <w:color w:val="auto"/>
        </w:rPr>
      </w:pPr>
    </w:p>
    <w:p>
      <w:pPr>
        <w:ind w:left="1100" w:hanging="289"/>
        <w:spacing w:after="0"/>
        <w:tabs>
          <w:tab w:leader="none" w:pos="11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two executed copies of IRS Form W-8ECI (or any successor forms),</w:t>
      </w:r>
    </w:p>
    <w:p>
      <w:pPr>
        <w:spacing w:after="0" w:line="117" w:lineRule="exact"/>
        <w:rPr>
          <w:rFonts w:ascii="Arial" w:cs="Arial" w:eastAsia="Arial" w:hAnsi="Arial"/>
          <w:sz w:val="18"/>
          <w:szCs w:val="18"/>
          <w:color w:val="auto"/>
        </w:rPr>
      </w:pPr>
    </w:p>
    <w:p>
      <w:pPr>
        <w:jc w:val="both"/>
        <w:ind w:left="420" w:firstLine="391"/>
        <w:spacing w:after="0" w:line="259" w:lineRule="auto"/>
        <w:tabs>
          <w:tab w:leader="none" w:pos="109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in the case of a Lender claiming the benefits of the exemption for portfolio interest under Section 871(h) or Section 881(c) of the Code, (x) two properly completed and duly signed certificates substantially in the form of </w:t>
      </w:r>
      <w:r>
        <w:rPr>
          <w:rFonts w:ascii="Arial" w:cs="Arial" w:eastAsia="Arial" w:hAnsi="Arial"/>
          <w:sz w:val="18"/>
          <w:szCs w:val="18"/>
          <w:u w:val="single" w:color="auto"/>
          <w:color w:val="auto"/>
        </w:rPr>
        <w:t>Exhibit I-1</w:t>
      </w:r>
      <w:r>
        <w:rPr>
          <w:rFonts w:ascii="Arial" w:cs="Arial" w:eastAsia="Arial" w:hAnsi="Arial"/>
          <w:sz w:val="18"/>
          <w:szCs w:val="18"/>
          <w:color w:val="auto"/>
        </w:rPr>
        <w:t xml:space="preserve">, </w:t>
      </w:r>
      <w:r>
        <w:rPr>
          <w:rFonts w:ascii="Arial" w:cs="Arial" w:eastAsia="Arial" w:hAnsi="Arial"/>
          <w:sz w:val="18"/>
          <w:szCs w:val="18"/>
          <w:u w:val="single" w:color="auto"/>
          <w:color w:val="auto"/>
        </w:rPr>
        <w:t>I-2</w:t>
      </w:r>
      <w:r>
        <w:rPr>
          <w:rFonts w:ascii="Arial" w:cs="Arial" w:eastAsia="Arial" w:hAnsi="Arial"/>
          <w:sz w:val="18"/>
          <w:szCs w:val="18"/>
          <w:color w:val="auto"/>
        </w:rPr>
        <w:t xml:space="preserve">, </w:t>
      </w:r>
      <w:r>
        <w:rPr>
          <w:rFonts w:ascii="Arial" w:cs="Arial" w:eastAsia="Arial" w:hAnsi="Arial"/>
          <w:sz w:val="18"/>
          <w:szCs w:val="18"/>
          <w:u w:val="single" w:color="auto"/>
          <w:color w:val="auto"/>
        </w:rPr>
        <w:t>I-3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I-4</w:t>
      </w:r>
      <w:r>
        <w:rPr>
          <w:rFonts w:ascii="Arial" w:cs="Arial" w:eastAsia="Arial" w:hAnsi="Arial"/>
          <w:sz w:val="18"/>
          <w:szCs w:val="18"/>
          <w:color w:val="auto"/>
        </w:rPr>
        <w:t>, as applicable, (any such certificate,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two executed copies of IRS Form W-8BEN or IRS Form W-8BEN-E (or any successor forms), as applicable,</w:t>
      </w:r>
    </w:p>
    <w:p>
      <w:pPr>
        <w:spacing w:after="0" w:line="78" w:lineRule="exact"/>
        <w:rPr>
          <w:rFonts w:ascii="Arial" w:cs="Arial" w:eastAsia="Arial" w:hAnsi="Arial"/>
          <w:sz w:val="18"/>
          <w:szCs w:val="18"/>
          <w:color w:val="auto"/>
        </w:rPr>
      </w:pPr>
    </w:p>
    <w:p>
      <w:pPr>
        <w:jc w:val="both"/>
        <w:ind w:left="420" w:firstLine="391"/>
        <w:spacing w:after="0" w:line="272" w:lineRule="auto"/>
        <w:tabs>
          <w:tab w:leader="none" w:pos="1128"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to the extent a Lender is not the beneficial owner (for example, where the Lender is a partnership or a participating Lender), two executed copies of IRS Form W-8IMY (or any successor forms) of the Lender, accompanied by an IRS Form W-8ECI, IRS Form W-8BEN, IRS Form W-8BEN-E, U.S. Tax Compliance Certificate, IRS Form W-9, or any other required information (or any successor forms) from each beneficial owner that would be required under this </w:t>
      </w:r>
      <w:r>
        <w:rPr>
          <w:rFonts w:ascii="Arial" w:cs="Arial" w:eastAsia="Arial" w:hAnsi="Arial"/>
          <w:sz w:val="17"/>
          <w:szCs w:val="17"/>
          <w:u w:val="single" w:color="auto"/>
          <w:color w:val="auto"/>
        </w:rPr>
        <w:t>Section 2.17(e)</w:t>
      </w:r>
      <w:r>
        <w:rPr>
          <w:rFonts w:ascii="Arial" w:cs="Arial" w:eastAsia="Arial" w:hAnsi="Arial"/>
          <w:sz w:val="17"/>
          <w:szCs w:val="17"/>
          <w:color w:val="auto"/>
        </w:rPr>
        <w:t xml:space="preserve"> if such beneficial owner were a Lender,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Lender is a partnership for U.S. federal income tax purposes (and not a participating Lender) and one or more direct or indirect partners are claiming the portfolio interest exemption, the U.S. Tax Compliance Certificate may be provided by such Lender on behalf of such direct or indirect partner(s)), or</w:t>
      </w:r>
    </w:p>
    <w:p>
      <w:pPr>
        <w:spacing w:after="0" w:line="69" w:lineRule="exact"/>
        <w:rPr>
          <w:rFonts w:ascii="Arial" w:cs="Arial" w:eastAsia="Arial" w:hAnsi="Arial"/>
          <w:sz w:val="17"/>
          <w:szCs w:val="17"/>
          <w:color w:val="auto"/>
        </w:rPr>
      </w:pPr>
    </w:p>
    <w:p>
      <w:pPr>
        <w:jc w:val="both"/>
        <w:ind w:left="420" w:right="20" w:firstLine="391"/>
        <w:spacing w:after="0" w:line="311" w:lineRule="auto"/>
        <w:tabs>
          <w:tab w:leader="none" w:pos="1099"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two executed copies of any other form prescribed by applicable U.S. federal income tax laws as a basis for claiming a complete exemption from, or a reduction in, U.S. federal withholding tax on any payments to such Lender under the Loan Documents, together with such supplementary documentation as may be prescribed by applicable law to permit the Borrower or the</w:t>
      </w:r>
    </w:p>
    <w:p>
      <w:pPr>
        <w:spacing w:after="0" w:line="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020"/>
          </w:cols>
          <w:pgMar w:left="1440" w:top="274" w:right="439" w:bottom="1440" w:gutter="0" w:footer="0" w:header="0"/>
        </w:sectPr>
      </w:pPr>
    </w:p>
    <w:bookmarkStart w:id="157" w:name="page158"/>
    <w:bookmarkEnd w:id="157"/>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to determine the withholding or deduction required to be made.</w:t>
      </w:r>
    </w:p>
    <w:p>
      <w:pPr>
        <w:spacing w:after="0" w:line="117" w:lineRule="exact"/>
        <w:rPr>
          <w:sz w:val="20"/>
          <w:szCs w:val="20"/>
          <w:color w:val="auto"/>
        </w:rPr>
      </w:pPr>
    </w:p>
    <w:p>
      <w:pPr>
        <w:jc w:val="both"/>
        <w:ind w:left="980" w:right="20" w:firstLine="408"/>
        <w:spacing w:after="0" w:line="270" w:lineRule="auto"/>
        <w:tabs>
          <w:tab w:leader="none" w:pos="1641"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and to determine the amount, if any, to deduct and withhold from such payment. Solely for purposes of this </w:t>
      </w:r>
      <w:r>
        <w:rPr>
          <w:rFonts w:ascii="Arial" w:cs="Arial" w:eastAsia="Arial" w:hAnsi="Arial"/>
          <w:sz w:val="17"/>
          <w:szCs w:val="17"/>
          <w:u w:val="single" w:color="auto"/>
          <w:color w:val="auto"/>
        </w:rPr>
        <w:t>clause (3)</w:t>
      </w:r>
      <w:r>
        <w:rPr>
          <w:rFonts w:ascii="Arial" w:cs="Arial" w:eastAsia="Arial" w:hAnsi="Arial"/>
          <w:sz w:val="17"/>
          <w:szCs w:val="17"/>
          <w:color w:val="auto"/>
        </w:rPr>
        <w:t>, “FATCA” shall include any amendments made to FATCA after the Effective Date.</w:t>
      </w:r>
    </w:p>
    <w:p>
      <w:pPr>
        <w:spacing w:after="0" w:line="72" w:lineRule="exact"/>
        <w:rPr>
          <w:rFonts w:ascii="Arial" w:cs="Arial" w:eastAsia="Arial" w:hAnsi="Arial"/>
          <w:sz w:val="17"/>
          <w:szCs w:val="17"/>
          <w:color w:val="auto"/>
        </w:rPr>
      </w:pPr>
    </w:p>
    <w:p>
      <w:pPr>
        <w:jc w:val="both"/>
        <w:ind w:left="980" w:right="20" w:firstLine="408"/>
        <w:spacing w:after="0" w:line="259" w:lineRule="auto"/>
        <w:tabs>
          <w:tab w:leader="none" w:pos="167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Administrative Agent shall deliver to the Borrower, on or prior to the Closing Date (or, in the case of a successor Administrative Agent, on or before the date on which it becomes the Administrative Agent), a properly completed and executed Internal Revenue Service Form W-8IMY (indicating “Qualified Intermediary” or U.S. branch status) or Internal Revenue Service Form W-9, as applicable.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Notwithstanding any other provisions of this paragraph (e), a Lender shall not be required to deliver any form or other documentation that such Lender is not legally eligible to deliver.</w:t>
      </w:r>
    </w:p>
    <w:p>
      <w:pPr>
        <w:spacing w:after="0" w:line="62" w:lineRule="exact"/>
        <w:rPr>
          <w:sz w:val="20"/>
          <w:szCs w:val="20"/>
          <w:color w:val="auto"/>
        </w:rPr>
      </w:pPr>
    </w:p>
    <w:p>
      <w:pPr>
        <w:jc w:val="both"/>
        <w:ind w:firstLine="436"/>
        <w:spacing w:after="0" w:line="285" w:lineRule="auto"/>
        <w:tabs>
          <w:tab w:leader="none" w:pos="66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If the Administrative Agent or a Lender determines in its sole discretion exercised in good faith that it has received a refund of any Indemnified Taxes or Other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it shall pay over such refund to the Borrower (but only to the extent of indemnity payments made, or additional amounts paid, by the Borrower under this Section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provided that the Borrower, upon the request of the Administrative Agent or such Lender, agrees promptly to repay the amount paid over to the Borrower pursuant to this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(provided that the Administrative Agent or such Lender may delete any information therein that the Administrative Agent or such Lender deems confidential). Notwithstanding anything to the contrary, (i) in no event with the Administrative Agent or any Lender be required to pay any amount pursuant to this paragraph (f) the payment of which would place the administrative Agent or Lender, as applicable, in a less favorable net after-Tax position than the Administrative Agent or Lender would have been in if the Tax subject to indemnification and giving rise to such refund had not been deducted, withheld or otherwise imposed and the indemnification payments or additional amounts with respect to such Tax had never been paid and (ii) this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shall not be construed to require the Administrative Agent or any Lender to make available its Tax returns (or any other information relating to Taxes which it deems confidential to any Loan Party or any other Person).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20"/>
          </w:cols>
          <w:pgMar w:left="440" w:top="274" w:right="439" w:bottom="1440" w:gutter="0" w:footer="0" w:header="0"/>
        </w:sectPr>
      </w:pPr>
    </w:p>
    <w:bookmarkStart w:id="158" w:name="page159"/>
    <w:bookmarkEnd w:id="158"/>
    <w:p>
      <w:pPr>
        <w:jc w:val="both"/>
        <w:ind w:right="20" w:firstLine="436"/>
        <w:spacing w:after="0" w:line="259" w:lineRule="auto"/>
        <w:tabs>
          <w:tab w:leader="none" w:pos="697"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party’s obligations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survive the resignation or replacement of the Administrative Agent or any assignment of rights by, or the replacement of, a Lender, or the consummation of the transactions contemplated hereby, the repayment, satisfaction or discharge of all obligations under any Loan Document, the expiration or termination of the Letters of Credit and the Commitments or the termination of this Agreement or any provision hereof.</w:t>
      </w:r>
    </w:p>
    <w:p>
      <w:pPr>
        <w:spacing w:after="0" w:line="78" w:lineRule="exact"/>
        <w:rPr>
          <w:rFonts w:ascii="Arial" w:cs="Arial" w:eastAsia="Arial" w:hAnsi="Arial"/>
          <w:sz w:val="18"/>
          <w:szCs w:val="18"/>
          <w:color w:val="auto"/>
        </w:rPr>
      </w:pPr>
    </w:p>
    <w:p>
      <w:pPr>
        <w:ind w:right="20" w:firstLine="436"/>
        <w:spacing w:after="0" w:line="277" w:lineRule="auto"/>
        <w:tabs>
          <w:tab w:leader="none" w:pos="69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the indemnity set forth in Article 8, the term “Lender” shall include any Issuing Bank and the Swingline Lender and “applicable Requirements of Law” shall include FATCA.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68" w:lineRule="auto"/>
        <w:tabs>
          <w:tab w:leader="none" w:pos="723"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The Borrower shall make each payment required to be made by it under any Loan Document (whether of principal, interest, fees, or reimbursement of LC Disbursement of amounts payable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or otherwise) prior to the time expressly required hereunder or under such other Loan Document for such payment (or, if no such time is expressly required,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the Swingline Lender shall be made as expressly provided herein and except that payments pursuant to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(other than payments on the Eurocurrency Loans) under any Loan Document shall be due on a day that is not a Business Day, the date for payment shall be extended to the next succeeding Business Day.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or prepayments of any Loan or LC Disbursement (or of interest thereon) and all other payments under each Loan Document, in each case, shall be made in Dollars.</w:t>
      </w:r>
    </w:p>
    <w:p>
      <w:pPr>
        <w:spacing w:after="0" w:line="71" w:lineRule="exact"/>
        <w:rPr>
          <w:rFonts w:ascii="Arial" w:cs="Arial" w:eastAsia="Arial" w:hAnsi="Arial"/>
          <w:sz w:val="17"/>
          <w:szCs w:val="17"/>
          <w:color w:val="auto"/>
        </w:rPr>
      </w:pPr>
    </w:p>
    <w:p>
      <w:pPr>
        <w:jc w:val="both"/>
        <w:ind w:firstLine="436"/>
        <w:spacing w:after="0" w:line="275" w:lineRule="auto"/>
        <w:tabs>
          <w:tab w:leader="none" w:pos="70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If at any time insufficient funds are received by and available to the Administrative Agent to pay fully all amounts of principal, unreimbursed LC Disbursements, interest, premiums and fees then due hereunder, such funds shall be applied (i) first, towards payment of interest, premiums and fees then due hereunder, ratably among the parties entitled thereto in accordance with the amounts of interest, premiums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68" w:lineRule="exact"/>
        <w:rPr>
          <w:rFonts w:ascii="Arial" w:cs="Arial" w:eastAsia="Arial" w:hAnsi="Arial"/>
          <w:sz w:val="17"/>
          <w:szCs w:val="17"/>
          <w:color w:val="auto"/>
        </w:rPr>
      </w:pPr>
    </w:p>
    <w:p>
      <w:pPr>
        <w:jc w:val="both"/>
        <w:ind w:firstLine="436"/>
        <w:spacing w:after="0" w:line="275" w:lineRule="auto"/>
        <w:tabs>
          <w:tab w:leader="none" w:pos="71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Except as otherwise set forth in this Agreement or any other Loan Document, if any Lender shall, by exercising any right of setoff or counterclaim or otherwise, obtain payment in respect of any principal of or interest on any of its Loans of a given Class or participations in LC Disbursements or Swingline Loans resulting in such Lender receiving payment of a greater proportion of the aggregate amount of its Loans or participations in LC Disbursements or Swingline Loans and accrued interest thereon than the proportion received by any other Lender and such other Lender would have been entitled to be treated on a pro rata basis with such receiving Lender, then the Lender receiving such greater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20"/>
          </w:cols>
          <w:pgMar w:left="440" w:top="274" w:right="439" w:bottom="1440" w:gutter="0" w:footer="0" w:header="0"/>
        </w:sectPr>
      </w:pPr>
    </w:p>
    <w:bookmarkStart w:id="159" w:name="page160"/>
    <w:bookmarkEnd w:id="159"/>
    <w:p>
      <w:pPr>
        <w:jc w:val="both"/>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proportion shall purchase (for cash at face value) participations in the Loans or participations in LC Disbursements or Swingline Loans of such other Lender at such time outstanding to the extent necessary so that the benefit of all such payments shall be shared by the Lenders entitled to such payment ratably in accordance with the aggregate amount of principal of and accrued interest on their respective Loans or participations in LC Disbursements or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existence of a Defaulting Lender), (B) any payment obtained by a Lender as consideration for any permitted assignment of or sale of a participation in any of its Loans, Commitments or participations in LC Disbursements or Swingline Loans to any assignee or participant, including any payment made or deemed made in connection with an Incremental Refinancing Facility or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w:t>
      </w:r>
      <w:r>
        <w:rPr>
          <w:rFonts w:ascii="Arial" w:cs="Arial" w:eastAsia="Arial" w:hAnsi="Arial"/>
          <w:sz w:val="16"/>
          <w:szCs w:val="16"/>
          <w:color w:val="auto"/>
        </w:rPr>
        <w:t xml:space="preserve"> or</w:t>
      </w:r>
    </w:p>
    <w:p>
      <w:pPr>
        <w:spacing w:after="0" w:line="6" w:lineRule="exact"/>
        <w:rPr>
          <w:sz w:val="20"/>
          <w:szCs w:val="20"/>
          <w:color w:val="auto"/>
        </w:rPr>
      </w:pPr>
    </w:p>
    <w:p>
      <w:pPr>
        <w:jc w:val="both"/>
        <w:ind w:left="4" w:right="20" w:hanging="4"/>
        <w:spacing w:after="0" w:line="252" w:lineRule="auto"/>
        <w:tabs>
          <w:tab w:leader="none" w:pos="3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any disproportionate payment obtained by a Lender of any Class as a result of the extension by Lenders of the maturity date or expiration date of some but not all Loans or Commitments of that Class or any increase in the Applicable Rate in respect of Loans of Lenders that have consented to any such extension, including under </w:t>
      </w:r>
      <w:r>
        <w:rPr>
          <w:rFonts w:ascii="Arial" w:cs="Arial" w:eastAsia="Arial" w:hAnsi="Arial"/>
          <w:sz w:val="18"/>
          <w:szCs w:val="18"/>
          <w:u w:val="single" w:color="auto"/>
          <w:color w:val="auto"/>
        </w:rPr>
        <w:t>Section 2.24</w:t>
      </w:r>
      <w:r>
        <w:rPr>
          <w:rFonts w:ascii="Arial" w:cs="Arial" w:eastAsia="Arial" w:hAnsi="Arial"/>
          <w:sz w:val="18"/>
          <w:szCs w:val="18"/>
          <w:color w:val="auto"/>
        </w:rPr>
        <w:t>. The Borrower consents to the foregoing and agrees, to the extent it may effectively do so under applicable Requirements of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85" w:lineRule="exact"/>
        <w:rPr>
          <w:rFonts w:ascii="Arial" w:cs="Arial" w:eastAsia="Arial" w:hAnsi="Arial"/>
          <w:sz w:val="18"/>
          <w:szCs w:val="18"/>
          <w:color w:val="auto"/>
        </w:rPr>
      </w:pPr>
    </w:p>
    <w:p>
      <w:pPr>
        <w:jc w:val="both"/>
        <w:ind w:left="4" w:firstLine="436"/>
        <w:spacing w:after="0" w:line="255" w:lineRule="auto"/>
        <w:tabs>
          <w:tab w:leader="none" w:pos="72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If any Lender shall fail to make any payment required to be made by it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2.05(f)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9.03(c)</w:t>
      </w:r>
      <w:r>
        <w:rPr>
          <w:rFonts w:ascii="Arial" w:cs="Arial" w:eastAsia="Arial" w:hAnsi="Arial"/>
          <w:sz w:val="18"/>
          <w:szCs w:val="18"/>
          <w:color w:val="auto"/>
        </w:rPr>
        <w:t>,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17" w:lineRule="exact"/>
        <w:rPr>
          <w:sz w:val="20"/>
          <w:szCs w:val="20"/>
          <w:color w:val="auto"/>
        </w:rPr>
      </w:pPr>
    </w:p>
    <w:p>
      <w:pPr>
        <w:jc w:val="both"/>
        <w:ind w:left="4" w:firstLine="436"/>
        <w:spacing w:after="0" w:line="271" w:lineRule="auto"/>
        <w:tabs>
          <w:tab w:leader="none" w:pos="69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If any Lender requests compensation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if any Loan Party is required to pay any additional amount to any Lender or any Governmental Authority for the account of any Lender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any event that gives rise to the operation of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reasonable judgment of such Lender, such designation or assignment and delegation (i) would eliminate or reduce amounts payable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mitigate the applicability of </w:t>
      </w:r>
      <w:r>
        <w:rPr>
          <w:rFonts w:ascii="Arial" w:cs="Arial" w:eastAsia="Arial" w:hAnsi="Arial"/>
          <w:sz w:val="17"/>
          <w:szCs w:val="17"/>
          <w:u w:val="single" w:color="auto"/>
          <w:color w:val="auto"/>
        </w:rPr>
        <w:t>Section 2.23</w:t>
      </w:r>
      <w:r>
        <w:rPr>
          <w:rFonts w:ascii="Arial" w:cs="Arial" w:eastAsia="Arial" w:hAnsi="Arial"/>
          <w:sz w:val="17"/>
          <w:szCs w:val="17"/>
          <w:color w:val="auto"/>
        </w:rPr>
        <w:t>,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70" w:lineRule="exact"/>
        <w:rPr>
          <w:rFonts w:ascii="Arial" w:cs="Arial" w:eastAsia="Arial" w:hAnsi="Arial"/>
          <w:sz w:val="17"/>
          <w:szCs w:val="17"/>
          <w:color w:val="auto"/>
        </w:rPr>
      </w:pPr>
    </w:p>
    <w:p>
      <w:pPr>
        <w:jc w:val="both"/>
        <w:ind w:left="4" w:right="20" w:firstLine="436"/>
        <w:spacing w:after="0" w:line="301" w:lineRule="auto"/>
        <w:tabs>
          <w:tab w:leader="none" w:pos="72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gives notice under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(ii) the Borrower is required to pay any additional amount to any Lender or to any Governmental Authority for the account of any Lender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(iii) any Lender becomes a Defaulting Lender, then the Borrower may, at its sole expense and effort, upon notice to such Lender and the Administrative Agent, require such Lender to assign and delegate (and such Lender shall be obligated to assign and delegate), without recourse (in accordance with and subject to the restrictions</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24"/>
          </w:cols>
          <w:pgMar w:left="436" w:top="274" w:right="439" w:bottom="1440" w:gutter="0" w:footer="0" w:header="0"/>
        </w:sectPr>
      </w:pPr>
    </w:p>
    <w:bookmarkStart w:id="160" w:name="page161"/>
    <w:bookmarkEnd w:id="160"/>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and the other Loan Documents (other than its existing rights to payments pursuant to Section 2.15 or Section 2.17) to an Eligible Assignee that shall assume such obligations (which assignee may be another Lender, if a Lender accepts such assignment and delegation);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have received the prior written consent of the Administrative Agent to the extent such consent would be required under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for an assignment of Loans or Commitments, as applicable (and if a Revolving Commitment is being assigned and delegated, each Issuing Bank and the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if any, and all other amounts, if any, payable to it hereunder from the assignee or the Borrower, (C) the Borrower or such assignee shall have paid (unless waived) to the Administrative Agent the processing and recordation fee specified in </w:t>
      </w:r>
      <w:r>
        <w:rPr>
          <w:rFonts w:ascii="Arial" w:cs="Arial" w:eastAsia="Arial" w:hAnsi="Arial"/>
          <w:sz w:val="16"/>
          <w:szCs w:val="16"/>
          <w:u w:val="single" w:color="auto"/>
          <w:color w:val="auto"/>
        </w:rPr>
        <w:t>Section 9.04(b)(ii)</w:t>
      </w:r>
      <w:r>
        <w:rPr>
          <w:rFonts w:ascii="Arial" w:cs="Arial" w:eastAsia="Arial" w:hAnsi="Arial"/>
          <w:sz w:val="16"/>
          <w:szCs w:val="16"/>
          <w:color w:val="auto"/>
        </w:rPr>
        <w:t xml:space="preserve"> and (D) in the case of any such assignment resulting from a claim for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payments required to be made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a notice given under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such assignment will result in a reduction in such compensation or payments. A Lender shall not be required to make any such assignment and delegation if, prior thereto, as a result of a waiver by such Lender or otherwise (including as a result of any action taken by such Lender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Incremental Loans and Commitments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85" w:lineRule="auto"/>
        <w:tabs>
          <w:tab w:leader="none" w:pos="69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Borrower may at any time or from time to time (on one or more occasions) after the Amendment No. 1 Effective Date, with notice to the Administrative Agent, pursuant to an Incremental Facility Amendment (i) add one or more additional Classes of term loans or additional term loans of the same Class of any existing Class of term loans or increases of any existing Class of term loans (the “</w:t>
      </w:r>
      <w:r>
        <w:rPr>
          <w:rFonts w:ascii="Arial" w:cs="Arial" w:eastAsia="Arial" w:hAnsi="Arial"/>
          <w:sz w:val="16"/>
          <w:szCs w:val="16"/>
          <w:u w:val="single" w:color="auto"/>
          <w:color w:val="auto"/>
        </w:rPr>
        <w:t>Incremental Term Loans</w:t>
      </w:r>
      <w:r>
        <w:rPr>
          <w:rFonts w:ascii="Arial" w:cs="Arial" w:eastAsia="Arial" w:hAnsi="Arial"/>
          <w:sz w:val="16"/>
          <w:szCs w:val="16"/>
          <w:color w:val="auto"/>
        </w:rPr>
        <w:t>”), (ii) increase the amount of the Revolving Commitments of any Class (each such increase, an “</w:t>
      </w:r>
      <w:r>
        <w:rPr>
          <w:rFonts w:ascii="Arial" w:cs="Arial" w:eastAsia="Arial" w:hAnsi="Arial"/>
          <w:sz w:val="16"/>
          <w:szCs w:val="16"/>
          <w:u w:val="single" w:color="auto"/>
          <w:color w:val="auto"/>
        </w:rPr>
        <w:t>Incremental Revolving Commitment Increase</w:t>
      </w:r>
      <w:r>
        <w:rPr>
          <w:rFonts w:ascii="Arial" w:cs="Arial" w:eastAsia="Arial" w:hAnsi="Arial"/>
          <w:sz w:val="16"/>
          <w:szCs w:val="16"/>
          <w:color w:val="auto"/>
        </w:rPr>
        <w:t>”) or (iii) only as described in clause (ii) of the proviso to the succeeding sentence and constituting an Incremental Refinancing Facility, add one or more additional Classes of revolving credit commitments (the “</w:t>
      </w:r>
      <w:r>
        <w:rPr>
          <w:rFonts w:ascii="Arial" w:cs="Arial" w:eastAsia="Arial" w:hAnsi="Arial"/>
          <w:sz w:val="16"/>
          <w:szCs w:val="16"/>
          <w:u w:val="single" w:color="auto"/>
          <w:color w:val="auto"/>
        </w:rPr>
        <w:t>Replacement Revolving Commitments</w:t>
      </w:r>
      <w:r>
        <w:rPr>
          <w:rFonts w:ascii="Arial" w:cs="Arial" w:eastAsia="Arial" w:hAnsi="Arial"/>
          <w:sz w:val="16"/>
          <w:szCs w:val="16"/>
          <w:color w:val="auto"/>
        </w:rPr>
        <w:t>” and, together with any Incremental Term Loans and Incremental Revolving Commitment Increases, the “</w:t>
      </w:r>
      <w:r>
        <w:rPr>
          <w:rFonts w:ascii="Arial" w:cs="Arial" w:eastAsia="Arial" w:hAnsi="Arial"/>
          <w:sz w:val="16"/>
          <w:szCs w:val="16"/>
          <w:u w:val="single" w:color="auto"/>
          <w:color w:val="auto"/>
        </w:rPr>
        <w:t>Incremental Facilities</w:t>
      </w:r>
      <w:r>
        <w:rPr>
          <w:rFonts w:ascii="Arial" w:cs="Arial" w:eastAsia="Arial" w:hAnsi="Arial"/>
          <w:sz w:val="16"/>
          <w:szCs w:val="16"/>
          <w:color w:val="auto"/>
        </w:rPr>
        <w:t>” and the commitments in respect thereof, the “</w:t>
      </w:r>
      <w:r>
        <w:rPr>
          <w:rFonts w:ascii="Arial" w:cs="Arial" w:eastAsia="Arial" w:hAnsi="Arial"/>
          <w:sz w:val="16"/>
          <w:szCs w:val="16"/>
          <w:u w:val="single" w:color="auto"/>
          <w:color w:val="auto"/>
        </w:rPr>
        <w:t>Incremental Commitments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at the time of the incurrence of any such Incremental Facility, (1) no Event of Default shall have occurred and be continuing or would result therefrom and (2) (x) the representations and warranties of each Loan Party set forth in the Loan Documents shall be true and correct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representation and warranty that is qualified as to “materiality,” “Material Adverse Effect” or similar language shall be true and correct in all respects or (y) in the case of any Permitted Acquisition or similar Investment, the Specified Representations shall be true and correct in all material respects (unless such representations relate to an earlier date, in which case, such representations shall have been true and correct in all materials respect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Specified Representation is qualified by or subject to a “material adverse effect”, “material adverse change” or similar term or qualification shall be true and correct in all respects. Notwithstanding anything to contrary herein, the aggregate principal amount of the Incremental Facilities that can be incurred at any time shall not exceed the Incremental Cap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Incremental Term Loans may be incurred without regard to the Incremental Cap, without regard to whether an Event of Default has occurred and is continuing and, without regard to the minimums set forth in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20"/>
          </w:cols>
          <w:pgMar w:left="440" w:top="274" w:right="439" w:bottom="1440" w:gutter="0" w:footer="0" w:header="0"/>
        </w:sectPr>
      </w:pPr>
    </w:p>
    <w:bookmarkStart w:id="161" w:name="page162"/>
    <w:bookmarkEnd w:id="161"/>
    <w:p>
      <w:pPr>
        <w:jc w:val="both"/>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immediately succeeding sentence, to the extent that the Net Proceeds from such Incremental Term Loans on the date of incurrence of such Incremental Term Loans (or substantially concurrently therewith) are used to either (x) prepay Term Loans and related amounts in accordance with the procedures set forth in </w:t>
      </w:r>
      <w:r>
        <w:rPr>
          <w:rFonts w:ascii="Arial" w:cs="Arial" w:eastAsia="Arial" w:hAnsi="Arial"/>
          <w:sz w:val="17"/>
          <w:szCs w:val="17"/>
          <w:u w:val="single" w:color="auto"/>
          <w:color w:val="auto"/>
        </w:rPr>
        <w:t>Section 2.11(e)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2.11(f)</w:t>
      </w:r>
      <w:r>
        <w:rPr>
          <w:rFonts w:ascii="Arial" w:cs="Arial" w:eastAsia="Arial" w:hAnsi="Arial"/>
          <w:sz w:val="17"/>
          <w:szCs w:val="17"/>
          <w:color w:val="auto"/>
        </w:rPr>
        <w:t xml:space="preserve"> as applicable, or (y) permanently reduce the Revolving Commitments, Other Revolving Commitments or Replacement Revolving Commitments and (ii) Replacement Revolving Commitments may be provided without regard to the Incremental Limit, without regard to whether a Default or an Event of Default has occurred and is continuing and without regard to the minimums set forth in the immediately succeeding sentence, to the extent that the existing Revolving Commitments, Other Revolving Commitments or other Replacement Revolving Commitments shall be permanently reduced by an amount equal to the aggregate amount of Replacement Revolving Commitments so provided (and any such Replacement Revolving Commitments shall be deemed to have been incurred pursuant to this proviso) (any Incremental Facility incurred for the purposes set forth in this proviso, an “</w:t>
      </w:r>
      <w:r>
        <w:rPr>
          <w:rFonts w:ascii="Arial" w:cs="Arial" w:eastAsia="Arial" w:hAnsi="Arial"/>
          <w:sz w:val="17"/>
          <w:szCs w:val="17"/>
          <w:u w:val="single" w:color="auto"/>
          <w:color w:val="auto"/>
        </w:rPr>
        <w:t>Incremental Refinancing Facility</w:t>
      </w:r>
      <w:r>
        <w:rPr>
          <w:rFonts w:ascii="Arial" w:cs="Arial" w:eastAsia="Arial" w:hAnsi="Arial"/>
          <w:sz w:val="17"/>
          <w:szCs w:val="17"/>
          <w:color w:val="auto"/>
        </w:rPr>
        <w:t>”; the term loans under such Incremental Refinancing Facility, “</w:t>
      </w:r>
      <w:r>
        <w:rPr>
          <w:rFonts w:ascii="Arial" w:cs="Arial" w:eastAsia="Arial" w:hAnsi="Arial"/>
          <w:sz w:val="17"/>
          <w:szCs w:val="17"/>
          <w:u w:val="single" w:color="auto"/>
          <w:color w:val="auto"/>
        </w:rPr>
        <w:t>Incremental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Refinancing Term Loans</w:t>
      </w:r>
      <w:r>
        <w:rPr>
          <w:rFonts w:ascii="Arial" w:cs="Arial" w:eastAsia="Arial" w:hAnsi="Arial"/>
          <w:sz w:val="17"/>
          <w:szCs w:val="17"/>
          <w:color w:val="auto"/>
        </w:rPr>
        <w:t xml:space="preserve">”). Each Incremental Facility (other than as set forth in the preceding proviso) shall be in a minimum principal amount of $10,000,000 and integral multiples of $1,000,000 in excess thereof (unless the Borrower and the Administrative Agent otherwise agree);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 may be less than $10,000,000 if such amount represents all the remaining availability under the aggregate principal amount of Incremental Facilities set forth above.</w:t>
      </w:r>
    </w:p>
    <w:p>
      <w:pPr>
        <w:spacing w:after="0" w:line="78" w:lineRule="exact"/>
        <w:rPr>
          <w:sz w:val="20"/>
          <w:szCs w:val="20"/>
          <w:color w:val="auto"/>
        </w:rPr>
      </w:pPr>
    </w:p>
    <w:p>
      <w:pPr>
        <w:jc w:val="both"/>
        <w:ind w:firstLine="436"/>
        <w:spacing w:after="0" w:line="284" w:lineRule="auto"/>
        <w:tabs>
          <w:tab w:leader="none" w:pos="70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(i) Any Incremental Facility shall rank equal in right of payment and security with the Initial Term Loans, the 2020 Incremental Term Loans, the 2021 Incremental Term Loans, the 2021-2 Incremental Term Loans or Revolving Loans, as applicable, shall be secured only by all or a portion of the Collateral securing the Secured Obligations and shall not be incurred or guaranteed by any other Person which is not a Loan Party, (ii) except with respect to any Incremental Facility constituting a customary bridge facility, so long as the Indebtedness into which any such customary bridge facility is to be converted or exchanged satisfies the requirements of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and such conversion or exchange is subject only to conditions customary for similar conversions or exchanges and Incremental Facilities subject to Customary Escrow Provisions, the Incremental Term Loans shall not mature earlier than the applicable Latest Maturity Date, (iii) except with respect to any Incremental Facility constituting a customary bridge facility, so long as the Indebtedness into which any such customary bridge facility is to be converted or exchanged satisfies the requirements of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and such conversion or exchange is subject only to conditions customary for similar conversions or exchanges and Incremental Facilities subject to Customary Escrow Provisions, the Incremental Term Loans shall not have a shorter Weighted Average Life to Maturity than the Initial Term Loans, the 2020 Incremental Term Loans, the 2021 Incremental Term Loans or the 2021-2 Incremental Term Loans, as applicable, (iv) the Incremental Facilities shall have a maturity date (subject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an amortization schedule (subject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interest rates (including through fixed interest rates), interest margins, rate floors, upfront fees, AHYDO Catch-Up Payments, funding discounts, original issue discounts, currency types and denominations and prepayment terms and premiums as determined by the Borrower and the lenders of such applicable Incremental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Incremental Term Loans that are not Incremental Refinancing Term Loans incurred after the Amendment No. 1 Effective Date, in the event that the Effective Yield for such Incremental Term Loans is greater than the Effective Yield for the Initial Term Loans, 2020 Incremental Term Loans, 2021 Incremental Term Loans and/or 2021-2 Incremental Term Loans, as applicable, by more than 0.50% per annum, then the Applicable Rate for such Initial Term Loans, 2020 Incremental Term Loans, 2021 Incremental Term Loans and/or 2021-2 Incremental Term Loans, as applicable, shall be increased to the extent necessary so that the Effective Yield for such Initial Term Loans, 2020 Incremental Term Loans, 2021 Incremental Term Loans and/or 2021-2 Incremental Term Loans, as applicable, shall be equal to the Effective Yield with respect to such Incremental Term Loans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0.50% per annum (this proviso, the “</w:t>
      </w:r>
      <w:r>
        <w:rPr>
          <w:rFonts w:ascii="Arial" w:cs="Arial" w:eastAsia="Arial" w:hAnsi="Arial"/>
          <w:sz w:val="16"/>
          <w:szCs w:val="16"/>
          <w:u w:val="single" w:color="auto"/>
          <w:color w:val="auto"/>
        </w:rPr>
        <w:t>MFN Adjustment</w:t>
      </w:r>
      <w:r>
        <w:rPr>
          <w:rFonts w:ascii="Arial" w:cs="Arial" w:eastAsia="Arial" w:hAnsi="Arial"/>
          <w:sz w:val="16"/>
          <w:szCs w:val="16"/>
          <w:color w:val="auto"/>
        </w:rPr>
        <w:t>”); (v) any mandatory prepayment (other than any scheduled amortization payment) of Incremental Term Loans shall be offered to be made on a pro rata basis with the Initial Term Loans, 2020 Incremental Term Loans,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20"/>
          </w:cols>
          <w:pgMar w:left="440" w:top="274" w:right="439" w:bottom="1440" w:gutter="0" w:footer="0" w:header="0"/>
        </w:sectPr>
      </w:pPr>
    </w:p>
    <w:bookmarkStart w:id="162" w:name="page163"/>
    <w:bookmarkEnd w:id="162"/>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2021 Incremental Term Loans and/or 2021-2 Incremental Term Loans, as applicable, except that the Borrower and the lenders providing the relevant Incremental Term Loans shall be permitted, in their sole discretion, to elect to prepay or receive, as applicable, any such prepayment on a less than pro rata basis (but not on a greater than pro rata basis) and (vi) the Incremental Term Loans may otherwise have terms and conditions different from those of the Initial Term Loans, 2020 Incremental Term Loans, 2021 Incremental Term Loans and/or 2021-2 Incremental Term Loans, as applicable (including currency denomination; provided such currency is reasonably acceptable to the Administrative Agent);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such terms and conditions are not substantially consistent with the terms of the then-existing Initial Term Loans, 2020 Incremental Term Loans, 2021 Incremental Term Loans and/or 2021-2 Incremental Term Loans, as applicable, except with respect to matters contemplated by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 </w:t>
      </w:r>
      <w:r>
        <w:rPr>
          <w:rFonts w:ascii="Arial" w:cs="Arial" w:eastAsia="Arial" w:hAnsi="Arial"/>
          <w:sz w:val="17"/>
          <w:szCs w:val="17"/>
          <w:u w:val="single" w:color="auto"/>
          <w:color w:val="auto"/>
        </w:rPr>
        <w:t>(v)</w:t>
      </w:r>
      <w:r>
        <w:rPr>
          <w:rFonts w:ascii="Arial" w:cs="Arial" w:eastAsia="Arial" w:hAnsi="Arial"/>
          <w:sz w:val="17"/>
          <w:szCs w:val="17"/>
          <w:color w:val="auto"/>
        </w:rPr>
        <w:t xml:space="preserve"> above, such terms shall be (A) not materially more restrictive on Holdings, the Borrower and its Restricted Subsidiaries than those applicable to such then-existing Term Loans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 the benefit of all Credit Facilities hereunder not constituting Incremental Term Loans or (ii) only applicable to periods after the Latest Maturity Date at the time of such incurrence) or (B) reasonably satisfactory to the Administrative Agent.</w:t>
      </w:r>
    </w:p>
    <w:p>
      <w:pPr>
        <w:spacing w:after="0" w:line="71" w:lineRule="exact"/>
        <w:rPr>
          <w:sz w:val="20"/>
          <w:szCs w:val="20"/>
          <w:color w:val="auto"/>
        </w:rPr>
      </w:pPr>
    </w:p>
    <w:p>
      <w:pPr>
        <w:jc w:val="both"/>
        <w:ind w:right="20" w:firstLine="436"/>
        <w:spacing w:after="0" w:line="255" w:lineRule="auto"/>
        <w:tabs>
          <w:tab w:leader="none" w:pos="72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Incremental Revolving Commitment Increase shall be treated the same as the Class of Revolving Commitments being increased (including with respect to maturity date thereof) and shall be considered to be part of the Class of Revolving Credit Facility being increased (it being understood that, if required to consummate an Incremental Revolving Commitment Increase, the pricing, interest rate margins, rate floors and undrawn commitment fees on the Class of Revolving Commitments being increased may be increased for all applicable existing Revolving Lenders and additional upfront or similar fees may be payable to the lenders providing the Incremental Revolving Commitment Increase (without any requirement to pay such fees to any existing Revolving Lenders)).</w:t>
      </w:r>
    </w:p>
    <w:p>
      <w:pPr>
        <w:spacing w:after="0" w:line="84" w:lineRule="exact"/>
        <w:rPr>
          <w:rFonts w:ascii="Arial" w:cs="Arial" w:eastAsia="Arial" w:hAnsi="Arial"/>
          <w:sz w:val="18"/>
          <w:szCs w:val="18"/>
          <w:color w:val="auto"/>
        </w:rPr>
      </w:pPr>
    </w:p>
    <w:p>
      <w:pPr>
        <w:jc w:val="both"/>
        <w:ind w:firstLine="436"/>
        <w:spacing w:after="0" w:line="267" w:lineRule="auto"/>
        <w:tabs>
          <w:tab w:leader="none" w:pos="70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The Replacement Revolving Commitments may only be incurred as an Incremental Refinancing Facility and (i) shall not mature earlier than the then-existing Latest Maturity Date and shall require no amortization or mandatory commitment reduction prior to the then-existing Latest Maturity Date, (ii) shall have interest rates (including through fixed interest rates), interest margins, rate floors, upfront fees, undrawn commitment fees, funding discounts, original issue discounts, currency types and denominations, prepayment terms and premiums and commitment reduction and termination terms as determined by the Borrower and the lenders of such commitments, (iii) shall contain borrowing, repayment and termination of Commitment procedures as determined by the Borrower and the lenders of such commitments, (iv)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Administrative Agent and (v) may otherwise have terms and conditions different from those of the Revolving Credit Facility (including currency denomination);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with respect to matters contemplated by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and </w:t>
      </w:r>
      <w:r>
        <w:rPr>
          <w:rFonts w:ascii="Arial" w:cs="Arial" w:eastAsia="Arial" w:hAnsi="Arial"/>
          <w:sz w:val="17"/>
          <w:szCs w:val="17"/>
          <w:u w:val="single" w:color="auto"/>
          <w:color w:val="auto"/>
        </w:rPr>
        <w:t>clauses (i)</w:t>
      </w:r>
      <w:r>
        <w:rPr>
          <w:rFonts w:ascii="Arial" w:cs="Arial" w:eastAsia="Arial" w:hAnsi="Arial"/>
          <w:sz w:val="17"/>
          <w:szCs w:val="17"/>
          <w:color w:val="auto"/>
        </w:rPr>
        <w:t>-</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clause (d)</w:t>
      </w:r>
      <w:r>
        <w:rPr>
          <w:rFonts w:ascii="Arial" w:cs="Arial" w:eastAsia="Arial" w:hAnsi="Arial"/>
          <w:sz w:val="17"/>
          <w:szCs w:val="17"/>
          <w:color w:val="auto"/>
        </w:rPr>
        <w:t>, if any differences are not substantially consistent with the terms of the Revolving Credit Facility, such terms shall be not materially more restrictive on Holdings, the Borrower and its Restricted Subsidiaries than those applicable to the then-existing Revolving Credit Facility, as applicable,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20"/>
          </w:cols>
          <w:pgMar w:left="440" w:top="274" w:right="439" w:bottom="1440" w:gutter="0" w:footer="0" w:header="0"/>
        </w:sectPr>
      </w:pPr>
    </w:p>
    <w:bookmarkStart w:id="163" w:name="page164"/>
    <w:bookmarkEnd w:id="163"/>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benefit of all Credit Facilities hereunder not constituting Replacement Revolving Commitments, or (ii) only applicable to periods after the Latest Maturity Date at the time of such incurrence) or reasonably satisfactory to the Administrative Agent.</w:t>
      </w:r>
    </w:p>
    <w:p>
      <w:pPr>
        <w:spacing w:after="0" w:line="62" w:lineRule="exact"/>
        <w:rPr>
          <w:sz w:val="20"/>
          <w:szCs w:val="20"/>
          <w:color w:val="auto"/>
        </w:rPr>
      </w:pPr>
    </w:p>
    <w:p>
      <w:pPr>
        <w:ind w:left="680" w:hanging="244"/>
        <w:spacing w:after="0"/>
        <w:tabs>
          <w:tab w:leader="none" w:pos="6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firstLine="436"/>
        <w:spacing w:after="0" w:line="266" w:lineRule="auto"/>
        <w:tabs>
          <w:tab w:leader="none" w:pos="73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Commitments in respect of Incremental Term Loans, Incremental Revolving Commitment Increases and Replacement Revolving Commitments shall become Commitments (or in the case of an Incremental Revolving Commitment Increase to be provided by an existing Lender with a Revolving Commitment, an increase in such Lender’s applicable Revolving Commitment) under this Agreement pursuant to an amendment (an “</w:t>
      </w:r>
      <w:r>
        <w:rPr>
          <w:rFonts w:ascii="Arial" w:cs="Arial" w:eastAsia="Arial" w:hAnsi="Arial"/>
          <w:sz w:val="17"/>
          <w:szCs w:val="17"/>
          <w:u w:val="single" w:color="auto"/>
          <w:color w:val="auto"/>
        </w:rPr>
        <w:t>Incremental Facility Amendment</w:t>
      </w:r>
      <w:r>
        <w:rPr>
          <w:rFonts w:ascii="Arial" w:cs="Arial" w:eastAsia="Arial" w:hAnsi="Arial"/>
          <w:sz w:val="17"/>
          <w:szCs w:val="17"/>
          <w:color w:val="auto"/>
        </w:rPr>
        <w:t xml:space="preserve">”) to this Agreement and, as appropriate, the other Loan Documents, executed by the Borrower, each Lender or Additional Lender, if any, agreeing to provide such Commitment (it being agreed that any Person other than a Lender agreeing to provide such Commitment shall meet the requirements set forth in the definition of “Additional Lender”), and the Administrative Agent. Incremental Term Loans and loans under Incremental Revolving Commitment Increases and Replacement Revolving Commitments shall be a “Loan” for all purposes of this Agreement and the other Loan Documents. The Incremental Facility Amendment may, without the consent of any other Lenders, effect such amendments to this Agreement and the other Loan Documents as may be necessary, in the reasonable opinion of the Administrative Agent and the Borrower, to effect the provisions of this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(including, without limitation, to (i) in connection with an Incremental Revolving Credit Commitment Increase, to reallocate Revolving Exposure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among the relevant Revolving Credit Lenders, (ii) in connection with Classes of Incremental Term Loans, to extend the “prepayment premium” period for the benefit of any existing Class of Term Loans to the extent that such Class of Incremental Term Loans shall have the benefit of such longer or higher “prepayment premium” period, (iii) increase the Effective Yield of the applicable Class of Term Loans or amend the amortization applicable thereto or otherwise make changes to the extent necessary in order to ensure that any applicable Class of Incremental Term Loans are “fungible” with such existing Class of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amendment to the amortization applicable to any existing Class of Term Loans shall not result in the decrease of any amortization payment any Lender of such Class of Term Loans would have received prior to giving effect to such amendment, (iv) add or extend “soft call” or add or extend any other “call protection”, in either case, for the benefit of any existing Class of Term Loans) and (v) in connection with any incurrence of any Incremental Facility denominated in a currency other than Dollars, to add interest rate definitions and other currency provisions that are customarily included in agreements contemplating Borrowings or the execution of credit documents in any such currency.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(subject to the foregoing provisions of this </w:t>
      </w:r>
      <w:r>
        <w:rPr>
          <w:rFonts w:ascii="Arial" w:cs="Arial" w:eastAsia="Arial" w:hAnsi="Arial"/>
          <w:sz w:val="17"/>
          <w:szCs w:val="17"/>
          <w:u w:val="single" w:color="auto"/>
          <w:color w:val="auto"/>
        </w:rPr>
        <w:t>Section 2.20</w:t>
      </w:r>
      <w:r>
        <w:rPr>
          <w:rFonts w:ascii="Arial" w:cs="Arial" w:eastAsia="Arial" w:hAnsi="Arial"/>
          <w:sz w:val="17"/>
          <w:szCs w:val="17"/>
          <w:color w:val="auto"/>
        </w:rPr>
        <w:t>). The Loan Parties will use the proceeds of the Incremental Term Loans, Incremental Revolving Commitment Increases and Replacement Revolving Commitments for working capital and other general corporate purposes, including the financing of acquisitions permitted hereunder and other Investments, permitted Restricted Payments and any other purpose not prohibited by this Agreement.</w:t>
      </w:r>
    </w:p>
    <w:p>
      <w:pPr>
        <w:spacing w:after="0" w:line="91" w:lineRule="exact"/>
        <w:rPr>
          <w:rFonts w:ascii="Arial" w:cs="Arial" w:eastAsia="Arial" w:hAnsi="Arial"/>
          <w:sz w:val="17"/>
          <w:szCs w:val="17"/>
          <w:color w:val="auto"/>
        </w:rPr>
      </w:pPr>
    </w:p>
    <w:p>
      <w:pPr>
        <w:jc w:val="both"/>
        <w:ind w:firstLine="436"/>
        <w:spacing w:after="0" w:line="275" w:lineRule="auto"/>
        <w:tabs>
          <w:tab w:leader="none" w:pos="702" w:val="left"/>
        </w:tabs>
        <w:numPr>
          <w:ilvl w:val="0"/>
          <w:numId w:val="168"/>
        </w:numPr>
        <w:rPr>
          <w:rFonts w:ascii="Arial" w:cs="Arial" w:eastAsia="Arial" w:hAnsi="Arial"/>
          <w:sz w:val="17"/>
          <w:szCs w:val="17"/>
          <w:color w:val="auto"/>
        </w:rPr>
      </w:pPr>
      <w:r>
        <w:rPr>
          <w:rFonts w:ascii="Arial" w:cs="Arial" w:eastAsia="Arial" w:hAnsi="Arial"/>
          <w:sz w:val="17"/>
          <w:szCs w:val="17"/>
          <w:color w:val="0000FF"/>
        </w:rPr>
        <w:t xml:space="preserve">The opportunity to commit to provide all or a portion of an Incremental Facility shall be offered by the Borrower first to the existing Lenders </w:t>
      </w:r>
      <w:r>
        <w:rPr>
          <w:rFonts w:ascii="Arial" w:cs="Arial" w:eastAsia="Arial" w:hAnsi="Arial"/>
          <w:sz w:val="17"/>
          <w:szCs w:val="17"/>
          <w:u w:val="single" w:color="auto"/>
          <w:color w:val="0000FF"/>
        </w:rPr>
        <w:t>on a pro rata basis and, to the extent that such existing Lenders have not agreed to provide such Incremental Facilities within five Business Days after receiving such offer from the Borrower (or the Administrative Agent or any arranger of such Incremental Facilities on behalf of the Borrower), on the terms specified by the Borrower, the Borrower may then offer such opportunity to other Persons (which may include existing Lenders). Subject to the immediately preceding sentence,</w:t>
      </w:r>
      <w:r>
        <w:rPr>
          <w:rFonts w:ascii="Arial" w:cs="Arial" w:eastAsia="Arial" w:hAnsi="Arial"/>
          <w:sz w:val="17"/>
          <w:szCs w:val="17"/>
          <w:color w:val="0000FF"/>
        </w:rPr>
        <w:t xml:space="preserve"> </w:t>
      </w:r>
      <w:r>
        <w:rPr>
          <w:rFonts w:ascii="Arial" w:cs="Arial" w:eastAsia="Arial" w:hAnsi="Arial"/>
          <w:sz w:val="17"/>
          <w:szCs w:val="17"/>
          <w:color w:val="000000"/>
        </w:rPr>
        <w:t>Incremental Facilities may be provided by (x) any existing Lender (in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-555625</wp:posOffset>
            </wp:positionV>
            <wp:extent cx="65747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-589915</wp:posOffset>
            </wp:positionV>
            <wp:extent cx="657669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5766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-418465</wp:posOffset>
            </wp:positionV>
            <wp:extent cx="6995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-281305</wp:posOffset>
            </wp:positionV>
            <wp:extent cx="69862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-144145</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14998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20"/>
          </w:cols>
          <w:pgMar w:left="440" w:top="274" w:right="439" w:bottom="1440" w:gutter="0" w:footer="0" w:header="0"/>
        </w:sectPr>
      </w:pPr>
    </w:p>
    <w:bookmarkStart w:id="164" w:name="page165"/>
    <w:bookmarkEnd w:id="164"/>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discretion), or (y) any Additional Lender, subject to the consent of (i) the Administrative Agent (not to be unreasonably withheld or delayed) if such consent would be required under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for assignments or participations of Term Loans, Revolving Loans or Commitments, as applicable, to the relevant Person and (ii) in the case of any Replacement Revolving Commitments or Incremental Revolving Commitment Increases, each Issuing Bank and the Swingline Lender.</w:t>
      </w:r>
    </w:p>
    <w:p>
      <w:pPr>
        <w:spacing w:after="0" w:line="79" w:lineRule="exact"/>
        <w:rPr>
          <w:sz w:val="20"/>
          <w:szCs w:val="20"/>
          <w:color w:val="auto"/>
        </w:rPr>
      </w:pPr>
    </w:p>
    <w:p>
      <w:pPr>
        <w:jc w:val="both"/>
        <w:ind w:firstLine="436"/>
        <w:spacing w:after="0" w:line="259" w:lineRule="auto"/>
        <w:tabs>
          <w:tab w:leader="none" w:pos="70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Each Lender or Additional Lender providing a portion of any Incremental Facility shall execute and deliver to the Administrative Agent and the Borrower all such documentation (including the relevant Incremental Facility Amendment) as may be reasonably required by the Administrative Agent to evidence and effectuate such Incremental Facility. On the effective date of such Incremental Facility, each Additional Lender shall become a Lender for all purposes in connection with this Agreement.</w:t>
      </w:r>
    </w:p>
    <w:p>
      <w:pPr>
        <w:spacing w:after="0" w:line="78" w:lineRule="exact"/>
        <w:rPr>
          <w:rFonts w:ascii="Arial" w:cs="Arial" w:eastAsia="Arial" w:hAnsi="Arial"/>
          <w:sz w:val="18"/>
          <w:szCs w:val="18"/>
          <w:color w:val="auto"/>
        </w:rPr>
      </w:pPr>
    </w:p>
    <w:p>
      <w:pPr>
        <w:jc w:val="both"/>
        <w:ind w:firstLine="436"/>
        <w:spacing w:after="0" w:line="257" w:lineRule="auto"/>
        <w:tabs>
          <w:tab w:leader="none" w:pos="66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The Lenders hereby irrevocably authorize the Administrative Agent to enter into any Incremental Facility Amendment and/or any amendment to any other Loan Document as may be necessary in order to establish new Classes or sub-Classes in respect of Loans or Commitments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and such technical amendments (including, without limitation, as set forth in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above) as may be necessary or appropriate in the reasonable opinion of the Administrative Agent and the Borrower in connection with the establishment of such new Classes or sub-Classes, in each case on terms consistent with this </w:t>
      </w:r>
      <w:r>
        <w:rPr>
          <w:rFonts w:ascii="Arial" w:cs="Arial" w:eastAsia="Arial" w:hAnsi="Arial"/>
          <w:sz w:val="18"/>
          <w:szCs w:val="18"/>
          <w:u w:val="single" w:color="auto"/>
          <w:color w:val="auto"/>
        </w:rPr>
        <w:t>Section 2.20</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660" w:hanging="224"/>
        <w:spacing w:after="0"/>
        <w:tabs>
          <w:tab w:leader="none" w:pos="6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this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shall supersede any provisions in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to the contrary.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77" w:lineRule="auto"/>
        <w:tabs>
          <w:tab w:leader="none" w:pos="685"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078"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440" w:firstLine="419"/>
        <w:spacing w:after="0" w:line="269" w:lineRule="auto"/>
        <w:tabs>
          <w:tab w:leader="none" w:pos="1128" w:val="left"/>
        </w:tabs>
        <w:numPr>
          <w:ilvl w:val="1"/>
          <w:numId w:val="170"/>
        </w:numPr>
        <w:rPr>
          <w:rFonts w:ascii="Arial" w:cs="Arial" w:eastAsia="Arial" w:hAnsi="Arial"/>
          <w:sz w:val="17"/>
          <w:szCs w:val="17"/>
          <w:color w:val="auto"/>
        </w:rPr>
      </w:pPr>
      <w:r>
        <w:rPr>
          <w:rFonts w:ascii="Arial" w:cs="Arial" w:eastAsia="Arial" w:hAnsi="Arial"/>
          <w:sz w:val="17"/>
          <w:szCs w:val="17"/>
          <w:u w:val="single" w:color="auto"/>
          <w:color w:val="auto"/>
        </w:rPr>
        <w:t>Reallocation of Payments</w:t>
      </w:r>
      <w:r>
        <w:rPr>
          <w:rFonts w:ascii="Arial" w:cs="Arial" w:eastAsia="Arial" w:hAnsi="Arial"/>
          <w:sz w:val="17"/>
          <w:szCs w:val="17"/>
          <w:color w:val="auto"/>
        </w:rPr>
        <w:t xml:space="preserve">. Subject to the last sentence of </w:t>
      </w:r>
      <w:r>
        <w:rPr>
          <w:rFonts w:ascii="Arial" w:cs="Arial" w:eastAsia="Arial" w:hAnsi="Arial"/>
          <w:sz w:val="17"/>
          <w:szCs w:val="17"/>
          <w:u w:val="single" w:color="auto"/>
          <w:color w:val="auto"/>
        </w:rPr>
        <w:t>Section 2.11(f)(i)</w:t>
      </w:r>
      <w:r>
        <w:rPr>
          <w:rFonts w:ascii="Arial" w:cs="Arial" w:eastAsia="Arial" w:hAnsi="Arial"/>
          <w:sz w:val="17"/>
          <w:szCs w:val="17"/>
          <w:color w:val="auto"/>
        </w:rPr>
        <w:t xml:space="preserve">, the last sentence of </w:t>
      </w:r>
      <w:r>
        <w:rPr>
          <w:rFonts w:ascii="Arial" w:cs="Arial" w:eastAsia="Arial" w:hAnsi="Arial"/>
          <w:sz w:val="17"/>
          <w:szCs w:val="17"/>
          <w:u w:val="single" w:color="auto"/>
          <w:color w:val="auto"/>
        </w:rPr>
        <w:t>Section 2.11(f)(ii)</w:t>
      </w:r>
      <w:r>
        <w:rPr>
          <w:rFonts w:ascii="Arial" w:cs="Arial" w:eastAsia="Arial" w:hAnsi="Arial"/>
          <w:sz w:val="17"/>
          <w:szCs w:val="17"/>
          <w:color w:val="auto"/>
        </w:rPr>
        <w:t xml:space="preserve"> and the last sentence of </w:t>
      </w:r>
      <w:r>
        <w:rPr>
          <w:rFonts w:ascii="Arial" w:cs="Arial" w:eastAsia="Arial" w:hAnsi="Arial"/>
          <w:sz w:val="17"/>
          <w:szCs w:val="17"/>
          <w:u w:val="single" w:color="auto"/>
          <w:color w:val="auto"/>
        </w:rPr>
        <w:t>Section 2.11(g)</w:t>
      </w:r>
      <w:r>
        <w:rPr>
          <w:rFonts w:ascii="Arial" w:cs="Arial" w:eastAsia="Arial" w:hAnsi="Arial"/>
          <w:sz w:val="17"/>
          <w:szCs w:val="17"/>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otherwise, and including any amounts made available to the Administrative Agent by that Defaulting Lender pursuant to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that Defaulting Lender to the Administrative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in the case of a Revolving Lender, to the payment on a pro rata basis of any amounts owing by that Defaulting Lender to each Issuing Bank and the Swingline Lender hereunder;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in the case of a Revolving Lender, if so determined by the Administrative Agent, Holdings and the Borrower, to be held in a non-interest bearing deposit account and released in order to satisfy obligations of that Defaulting Lender to fund Loans under this Agreement; </w:t>
      </w:r>
      <w:r>
        <w:rPr>
          <w:rFonts w:ascii="Arial" w:cs="Arial" w:eastAsia="Arial" w:hAnsi="Arial"/>
          <w:sz w:val="17"/>
          <w:szCs w:val="17"/>
          <w:u w:val="single" w:color="auto"/>
          <w:color w:val="auto"/>
        </w:rPr>
        <w:t>fifth</w:t>
      </w:r>
      <w:r>
        <w:rPr>
          <w:rFonts w:ascii="Arial" w:cs="Arial" w:eastAsia="Arial" w:hAnsi="Arial"/>
          <w:sz w:val="17"/>
          <w:szCs w:val="17"/>
          <w:color w:val="auto"/>
        </w:rPr>
        <w:t>, to the payment of any amounts owing to the Lenders,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20"/>
          </w:cols>
          <w:pgMar w:left="440" w:top="274" w:right="439" w:bottom="1440" w:gutter="0" w:footer="0" w:header="0"/>
        </w:sectPr>
      </w:pPr>
    </w:p>
    <w:bookmarkStart w:id="165" w:name="page166"/>
    <w:bookmarkEnd w:id="165"/>
    <w:p>
      <w:pPr>
        <w:jc w:val="both"/>
        <w:ind w:left="440"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payment is a payment of the principal amount of any Loans or LC Disbursements and such Lender is a Defaulting Lender under </w:t>
      </w:r>
      <w:r>
        <w:rPr>
          <w:rFonts w:ascii="Arial" w:cs="Arial" w:eastAsia="Arial" w:hAnsi="Arial"/>
          <w:sz w:val="16"/>
          <w:szCs w:val="16"/>
          <w:u w:val="single" w:color="auto"/>
          <w:color w:val="auto"/>
        </w:rPr>
        <w:t>clause</w:t>
      </w:r>
    </w:p>
    <w:p>
      <w:pPr>
        <w:spacing w:after="0" w:line="4" w:lineRule="exact"/>
        <w:rPr>
          <w:sz w:val="20"/>
          <w:szCs w:val="20"/>
          <w:color w:val="auto"/>
        </w:rPr>
      </w:pPr>
    </w:p>
    <w:p>
      <w:pPr>
        <w:jc w:val="both"/>
        <w:ind w:left="440" w:right="20" w:hanging="4"/>
        <w:spacing w:after="0" w:line="253" w:lineRule="auto"/>
        <w:tabs>
          <w:tab w:leader="none" w:pos="694" w:val="left"/>
        </w:tabs>
        <w:numPr>
          <w:ilvl w:val="0"/>
          <w:numId w:val="171"/>
        </w:numPr>
        <w:rPr>
          <w:rFonts w:ascii="Arial" w:cs="Arial" w:eastAsia="Arial" w:hAnsi="Arial"/>
          <w:sz w:val="18"/>
          <w:szCs w:val="18"/>
          <w:u w:val="single" w:color="auto"/>
          <w:color w:val="auto"/>
        </w:rPr>
      </w:pPr>
      <w:r>
        <w:rPr>
          <w:rFonts w:ascii="Arial" w:cs="Arial" w:eastAsia="Arial" w:hAnsi="Arial"/>
          <w:sz w:val="18"/>
          <w:szCs w:val="18"/>
          <w:color w:val="auto"/>
        </w:rPr>
        <w:t xml:space="preserve">of the definition thereof, such payment shall be applied solely to pay the relevant Loans of, or LC Disbursements owed to, as applicable, the relevant non-Defaulting Lenders on a pro rata basis prior to being applied pursuant to the other provisions of this </w:t>
      </w:r>
      <w:r>
        <w:rPr>
          <w:rFonts w:ascii="Arial" w:cs="Arial" w:eastAsia="Arial" w:hAnsi="Arial"/>
          <w:sz w:val="18"/>
          <w:szCs w:val="18"/>
          <w:u w:val="single" w:color="auto"/>
          <w:color w:val="auto"/>
        </w:rPr>
        <w:t>Section 2.22(a)(ii)</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w:t>
      </w:r>
      <w:r>
        <w:rPr>
          <w:rFonts w:ascii="Arial" w:cs="Arial" w:eastAsia="Arial" w:hAnsi="Arial"/>
          <w:sz w:val="18"/>
          <w:szCs w:val="18"/>
          <w:u w:val="single" w:color="auto"/>
          <w:color w:val="auto"/>
        </w:rPr>
        <w:t>Section 2.05(j)</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82" w:lineRule="exact"/>
        <w:rPr>
          <w:rFonts w:ascii="Arial" w:cs="Arial" w:eastAsia="Arial" w:hAnsi="Arial"/>
          <w:sz w:val="18"/>
          <w:szCs w:val="18"/>
          <w:u w:val="single" w:color="auto"/>
          <w:color w:val="auto"/>
        </w:rPr>
      </w:pPr>
    </w:p>
    <w:p>
      <w:pPr>
        <w:jc w:val="both"/>
        <w:ind w:left="440" w:firstLine="419"/>
        <w:spacing w:after="0" w:line="259" w:lineRule="auto"/>
        <w:tabs>
          <w:tab w:leader="none" w:pos="1178"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That Defaulting Lender (x) shall not be entitled to receive or accrue any commitment fee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Arial" w:cs="Arial" w:eastAsia="Arial" w:hAnsi="Arial"/>
          <w:sz w:val="18"/>
          <w:szCs w:val="18"/>
          <w:u w:val="single" w:color="auto"/>
          <w:color w:val="auto"/>
        </w:rPr>
        <w:t>Section 2.12(f)</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left="440" w:firstLine="419"/>
        <w:spacing w:after="0" w:line="269" w:lineRule="auto"/>
        <w:tabs>
          <w:tab w:leader="none" w:pos="1181" w:val="left"/>
        </w:tabs>
        <w:numPr>
          <w:ilvl w:val="1"/>
          <w:numId w:val="171"/>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xml:space="preserve">. During any period in which there is a Defaulting Lender, for purposes of computing the amount of the obligation of each non-Defaulting Lender to acquire, refinance or fund participations in Swingline Loans and Letters of Credit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the “Applicable Percentage” of each non-Defaulting Lender shall be computed without giving effect to the Revolving Commitment of that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obligation of each non-Defaulting Lender to acquire, refinance or fund participations in Letters of Credit and Swingline Loans shall not at any time exceed the positive difference, if any, of (1) the Revolving Commitment of that non-Defaulting Lender minus (2) the aggregate Revolving Exposure of that Lender. If the reallocation provided for in the preceding sentence cannot, or can only partially, be effected, the Borrower shall (A) first, prepay the portion of such Defaulting Lender’s Swingline Exposure that has not been reallocated and (B) second, cash collateralize for the benefit of the Issuing Banks the portion of such Defaulting Lender’s LC Exposure that has not been reallocated in accordance with the procedures set forth in </w:t>
      </w:r>
      <w:r>
        <w:rPr>
          <w:rFonts w:ascii="Arial" w:cs="Arial" w:eastAsia="Arial" w:hAnsi="Arial"/>
          <w:sz w:val="17"/>
          <w:szCs w:val="17"/>
          <w:u w:val="single" w:color="auto"/>
          <w:color w:val="auto"/>
        </w:rPr>
        <w:t>Section 2.05(j)</w:t>
      </w:r>
      <w:r>
        <w:rPr>
          <w:rFonts w:ascii="Arial" w:cs="Arial" w:eastAsia="Arial" w:hAnsi="Arial"/>
          <w:sz w:val="17"/>
          <w:szCs w:val="17"/>
          <w:color w:val="auto"/>
        </w:rPr>
        <w:t xml:space="preserve"> for so long as such unreallocated LC Exposure is outstanding.</w:t>
      </w:r>
    </w:p>
    <w:p>
      <w:pPr>
        <w:spacing w:after="0" w:line="77" w:lineRule="exact"/>
        <w:rPr>
          <w:rFonts w:ascii="Arial" w:cs="Arial" w:eastAsia="Arial" w:hAnsi="Arial"/>
          <w:sz w:val="17"/>
          <w:szCs w:val="17"/>
          <w:color w:val="auto"/>
        </w:rPr>
      </w:pPr>
    </w:p>
    <w:p>
      <w:pPr>
        <w:jc w:val="both"/>
        <w:ind w:firstLine="436"/>
        <w:spacing w:after="0" w:line="253" w:lineRule="auto"/>
        <w:tabs>
          <w:tab w:leader="none" w:pos="695"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the Administrative Agent, the Swingline Lender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Applicable Percentages (without giving effect to </w:t>
      </w:r>
      <w:r>
        <w:rPr>
          <w:rFonts w:ascii="Arial" w:cs="Arial" w:eastAsia="Arial" w:hAnsi="Arial"/>
          <w:sz w:val="18"/>
          <w:szCs w:val="18"/>
          <w:u w:val="single" w:color="auto"/>
          <w:color w:val="auto"/>
        </w:rPr>
        <w:t>Section 2.22(a)</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whereupon that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except to the extent otherwise expressly agreed by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20"/>
          </w:cols>
          <w:pgMar w:left="440" w:top="274" w:right="439" w:bottom="1440" w:gutter="0" w:footer="0" w:header="0"/>
        </w:sectPr>
      </w:pPr>
    </w:p>
    <w:bookmarkStart w:id="166" w:name="page167"/>
    <w:bookmarkEnd w:id="166"/>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affected parties, no change hereunder from Defaulting Lender to Lender will constitute a waiver or release of any claim of any party hereunder arising from that Lender’s having been a Defaulting Lender.</w:t>
      </w:r>
    </w:p>
    <w:p>
      <w:pPr>
        <w:spacing w:after="0" w:line="170"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 xml:space="preserve">SECTION 2.23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 has made it unlawful, or that any Governmental Authority has asserted that it is unlawful, for any Lender to make, maintain or fund Loans whose interest is determined by reference to the Adjusted LIBO Rate, or to determine or charge interest rates based upon the Adjusted LIBO Rate, then, on notice thereof by such Lender to the Borrower through the Administrative Agent, any obligation of such Lender to make or continue Eurocurrency Loans or to convert ABR Loans to Eurocurrency Loans shall be suspended until such Lender notifies the Administrative Agent and the Borrower that the circumstances giving rise to such determination no longer exist. Upon receipt of such notice, (x) the Borrower shall, upon three Business Days’ notice from such Lender (with a copy to the Administrative Agent), prepay or, if applicable, convert all Eurocurrency Loans of such Lender to ABR Loans, either on the last day of the Interest Period therefor, if such Lender may lawfully continue to maintain such Eurocurrency Loans to such day, or immediately, if such Lender may not lawfully continue to maintain such Eurocurrency Loans, and (y) if such notice asserts the illegality of such Lender determining or charging interest rates based upon the Adjusted LIBO Rate, the Administrative Agent shall, during the period of such suspension, compute the Alternate Base Rate applicable to such Lender without reference to the Adjusted LIBO Rate component thereof until the Administrative Agent is advised in writing by such Lender that it is no longer illegal for such Lender to determine or charge interest rates based upon the Adjusted LIBO Rate. Each Lender agrees to notify the Administrative Agent and the Borrower in writing promptly upon becoming aware that it is no longer illegal for such Lender to determine or charge interest rates based upon the Adjusted LIBO Rate. Upon any such prepayment or conversion, the Borrower shall also pay accrued interest on the amount so prepaid or converted.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2.24 </w:t>
      </w:r>
      <w:r>
        <w:rPr>
          <w:rFonts w:ascii="Arial" w:cs="Arial" w:eastAsia="Arial" w:hAnsi="Arial"/>
          <w:sz w:val="18"/>
          <w:szCs w:val="18"/>
          <w:u w:val="single" w:color="auto"/>
          <w:color w:val="auto"/>
        </w:rPr>
        <w:t>Loan Modification Offers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67" w:lineRule="auto"/>
        <w:tabs>
          <w:tab w:leader="none" w:pos="69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Borrower may at any time and from time to time request that all or a portion of each Term Loan of any Class (an “</w:t>
      </w:r>
      <w:r>
        <w:rPr>
          <w:rFonts w:ascii="Arial" w:cs="Arial" w:eastAsia="Arial" w:hAnsi="Arial"/>
          <w:sz w:val="17"/>
          <w:szCs w:val="17"/>
          <w:u w:val="single" w:color="auto"/>
          <w:color w:val="auto"/>
        </w:rPr>
        <w:t>Existing Term Loan</w:t>
      </w:r>
      <w:r>
        <w:rPr>
          <w:rFonts w:ascii="Arial" w:cs="Arial" w:eastAsia="Arial" w:hAnsi="Arial"/>
          <w:sz w:val="17"/>
          <w:szCs w:val="17"/>
          <w:color w:val="auto"/>
        </w:rPr>
        <w:t xml:space="preserve"> </w:t>
      </w:r>
      <w:r>
        <w:rPr>
          <w:rFonts w:ascii="Arial" w:cs="Arial" w:eastAsia="Arial" w:hAnsi="Arial"/>
          <w:sz w:val="17"/>
          <w:szCs w:val="17"/>
          <w:u w:val="single" w:color="auto"/>
          <w:color w:val="auto"/>
        </w:rPr>
        <w:t>Class</w:t>
      </w:r>
      <w:r>
        <w:rPr>
          <w:rFonts w:ascii="Arial" w:cs="Arial" w:eastAsia="Arial" w:hAnsi="Arial"/>
          <w:sz w:val="17"/>
          <w:szCs w:val="17"/>
          <w:color w:val="auto"/>
        </w:rPr>
        <w:t>”) be converted or exchanged to extend the scheduled final maturity date(s) of any payment of principal with respect to all or a portion of any principal amount of such Term Loans (any such Term Loans which have been so extended, “</w:t>
      </w:r>
      <w:r>
        <w:rPr>
          <w:rFonts w:ascii="Arial" w:cs="Arial" w:eastAsia="Arial" w:hAnsi="Arial"/>
          <w:sz w:val="17"/>
          <w:szCs w:val="17"/>
          <w:u w:val="single" w:color="auto"/>
          <w:color w:val="auto"/>
        </w:rPr>
        <w:t>Extended Term Loans</w:t>
      </w:r>
      <w:r>
        <w:rPr>
          <w:rFonts w:ascii="Arial" w:cs="Arial" w:eastAsia="Arial" w:hAnsi="Arial"/>
          <w:sz w:val="17"/>
          <w:szCs w:val="17"/>
          <w:color w:val="auto"/>
        </w:rPr>
        <w:t xml:space="preserve">”) and to provide for other terms consistent with this </w:t>
      </w:r>
      <w:r>
        <w:rPr>
          <w:rFonts w:ascii="Arial" w:cs="Arial" w:eastAsia="Arial" w:hAnsi="Arial"/>
          <w:sz w:val="17"/>
          <w:szCs w:val="17"/>
          <w:u w:val="single" w:color="auto"/>
          <w:color w:val="auto"/>
        </w:rPr>
        <w:t>Section 2.24</w:t>
      </w:r>
      <w:r>
        <w:rPr>
          <w:rFonts w:ascii="Arial" w:cs="Arial" w:eastAsia="Arial" w:hAnsi="Arial"/>
          <w:sz w:val="17"/>
          <w:szCs w:val="17"/>
          <w:color w:val="auto"/>
        </w:rPr>
        <w:t>. Prior to entering into any Loan Modification Agreement with respect to any Extended Term Loans, the Borrower shall provide written notice to the Administrative Agent (who shall provide a copy of such notice to each of the Lenders of the applicable Existing Term Loan Class, with such request offered equally to all such Lenders of such Existing Term Loan Class) (a “</w:t>
      </w:r>
      <w:r>
        <w:rPr>
          <w:rFonts w:ascii="Arial" w:cs="Arial" w:eastAsia="Arial" w:hAnsi="Arial"/>
          <w:sz w:val="17"/>
          <w:szCs w:val="17"/>
          <w:u w:val="single" w:color="auto"/>
          <w:color w:val="auto"/>
        </w:rPr>
        <w:t>Term Loan Extension Request</w:t>
      </w:r>
      <w:r>
        <w:rPr>
          <w:rFonts w:ascii="Arial" w:cs="Arial" w:eastAsia="Arial" w:hAnsi="Arial"/>
          <w:sz w:val="17"/>
          <w:szCs w:val="17"/>
          <w:color w:val="auto"/>
        </w:rPr>
        <w:t xml:space="preserve">”) setting forth the proposed terms of the Extended Term Loans to be established, which terms shall be similar to the Term Loans of the Existing Term Loan Class from which they are to be extended except that (w) the scheduled final maturity date shall be extended and all or any of the scheduled amortization payments of all or a portion of any principal amount of such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in the Loan Modification Agreement or the Incremental Facility Amendment, as the case may be, with respect to the Existing Term Loan Class of Term Loans from which such Extended Term Loans were extended, in each case as more particularly set forth in </w:t>
      </w:r>
      <w:r>
        <w:rPr>
          <w:rFonts w:ascii="Arial" w:cs="Arial" w:eastAsia="Arial" w:hAnsi="Arial"/>
          <w:sz w:val="17"/>
          <w:szCs w:val="17"/>
          <w:u w:val="single" w:color="auto"/>
          <w:color w:val="auto"/>
        </w:rPr>
        <w:t>Section 2.24(c)</w:t>
      </w:r>
      <w:r>
        <w:rPr>
          <w:rFonts w:ascii="Arial" w:cs="Arial" w:eastAsia="Arial" w:hAnsi="Arial"/>
          <w:sz w:val="17"/>
          <w:szCs w:val="17"/>
          <w:color w:val="auto"/>
        </w:rPr>
        <w:t xml:space="preserve"> below), (x)(A) the interest rates (including through fixed interest rates), interest margins, rate floors, upfront fees, funding discounts, AHYDO Catch-Up Payments, original issue discounts, currency types and denominations and prepayment terms and premiums with respect to the Extended Term Loans may be different than those for the Term Loans of such Existing Term Loan Class and/or (B) additional fees and/or premiums may be payable to the Lenders providing such Extended Term Loans in addition to any of the items contemplated by the preceding clause (A), in each case, to the extent provided in the applicable Loan Modification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20"/>
          </w:cols>
          <w:pgMar w:left="440" w:top="274" w:right="439" w:bottom="1440" w:gutter="0" w:footer="0" w:header="0"/>
        </w:sectPr>
      </w:pPr>
    </w:p>
    <w:bookmarkStart w:id="167" w:name="page168"/>
    <w:bookmarkEnd w:id="167"/>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(y) subject to the provisions set forth in </w:t>
      </w:r>
      <w:r>
        <w:rPr>
          <w:rFonts w:ascii="Arial" w:cs="Arial" w:eastAsia="Arial" w:hAnsi="Arial"/>
          <w:sz w:val="17"/>
          <w:szCs w:val="17"/>
          <w:u w:val="single" w:color="auto"/>
          <w:color w:val="auto"/>
        </w:rPr>
        <w:t>Section 2.11</w:t>
      </w:r>
      <w:r>
        <w:rPr>
          <w:rFonts w:ascii="Arial" w:cs="Arial" w:eastAsia="Arial" w:hAnsi="Arial"/>
          <w:sz w:val="17"/>
          <w:szCs w:val="17"/>
          <w:color w:val="auto"/>
        </w:rPr>
        <w:t>, the Extended Term Loans may have optional prepayment terms (including call protection and prepayment terms and premiums) and mandatory prepayment terms as may be agreed between Holdings, the Borrower and the Lenders thereof and (z) the Loan Modification Agreement may provide for other covenants and terms that apply to any period after the Latest Maturity Date. No Lender shall have any obligation to agree to have any of its Term Loans of any Existing Term Loan Class converted into Extended Term Loans pursuant to any Term Loan Extension Request. Any Extended Term Loans of any Extension Series shall constitute a separate Class of Term Loans from the Existing Term Loan Class of Term Loans from which they were extended.</w:t>
      </w:r>
    </w:p>
    <w:p>
      <w:pPr>
        <w:spacing w:after="0" w:line="70" w:lineRule="exact"/>
        <w:rPr>
          <w:sz w:val="20"/>
          <w:szCs w:val="20"/>
          <w:color w:val="auto"/>
        </w:rPr>
      </w:pPr>
    </w:p>
    <w:p>
      <w:pPr>
        <w:jc w:val="both"/>
        <w:ind w:firstLine="436"/>
        <w:spacing w:after="0" w:line="283" w:lineRule="auto"/>
        <w:tabs>
          <w:tab w:leader="none" w:pos="70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request that all or a portion of the Revolving Commitments of any Class, the Extended Revolving Commitments of any Class and/or any Replacement Revolving Commitments (and, in each case, including any previously extended Revolving Credit Commitments and/or Replacement Revolving Commitments), existing at the time of such request (each, an “</w:t>
      </w:r>
      <w:r>
        <w:rPr>
          <w:rFonts w:ascii="Arial" w:cs="Arial" w:eastAsia="Arial" w:hAnsi="Arial"/>
          <w:sz w:val="16"/>
          <w:szCs w:val="16"/>
          <w:u w:val="single" w:color="auto"/>
          <w:color w:val="auto"/>
        </w:rPr>
        <w:t>Existing Revolving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w:t>
      </w:r>
      <w:r>
        <w:rPr>
          <w:rFonts w:ascii="Arial" w:cs="Arial" w:eastAsia="Arial" w:hAnsi="Arial"/>
          <w:sz w:val="16"/>
          <w:szCs w:val="16"/>
          <w:color w:val="auto"/>
        </w:rPr>
        <w:t>” and any related revolving credit loans under any such facility, “</w:t>
      </w:r>
      <w:r>
        <w:rPr>
          <w:rFonts w:ascii="Arial" w:cs="Arial" w:eastAsia="Arial" w:hAnsi="Arial"/>
          <w:sz w:val="16"/>
          <w:szCs w:val="16"/>
          <w:u w:val="single" w:color="auto"/>
          <w:color w:val="auto"/>
        </w:rPr>
        <w:t>Existing Revolving Loans</w:t>
      </w:r>
      <w:r>
        <w:rPr>
          <w:rFonts w:ascii="Arial" w:cs="Arial" w:eastAsia="Arial" w:hAnsi="Arial"/>
          <w:sz w:val="16"/>
          <w:szCs w:val="16"/>
          <w:color w:val="auto"/>
        </w:rPr>
        <w:t>”; each Existing Revolving Commitment and related Existing Revolving Loans together being referred to as an “</w:t>
      </w:r>
      <w:r>
        <w:rPr>
          <w:rFonts w:ascii="Arial" w:cs="Arial" w:eastAsia="Arial" w:hAnsi="Arial"/>
          <w:sz w:val="16"/>
          <w:szCs w:val="16"/>
          <w:u w:val="single" w:color="auto"/>
          <w:color w:val="auto"/>
        </w:rPr>
        <w:t>Existing Revolving Class</w:t>
      </w:r>
      <w:r>
        <w:rPr>
          <w:rFonts w:ascii="Arial" w:cs="Arial" w:eastAsia="Arial" w:hAnsi="Arial"/>
          <w:sz w:val="16"/>
          <w:szCs w:val="16"/>
          <w:color w:val="auto"/>
        </w:rPr>
        <w:t>”) be converted or exchanged to extend the termination date thereof and the scheduled maturity date(s) of any payment of principal with respect to all or a portion of any principal amount of Existing Revolving Loans related to such Existing Revolving Commitments (any such Existing Revolving Commitments which have been so extended, “</w:t>
      </w:r>
      <w:r>
        <w:rPr>
          <w:rFonts w:ascii="Arial" w:cs="Arial" w:eastAsia="Arial" w:hAnsi="Arial"/>
          <w:sz w:val="16"/>
          <w:szCs w:val="16"/>
          <w:u w:val="single" w:color="auto"/>
          <w:color w:val="auto"/>
        </w:rPr>
        <w:t>Extended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Revolving Commitments</w:t>
      </w:r>
      <w:r>
        <w:rPr>
          <w:rFonts w:ascii="Arial" w:cs="Arial" w:eastAsia="Arial" w:hAnsi="Arial"/>
          <w:sz w:val="16"/>
          <w:szCs w:val="16"/>
          <w:color w:val="auto"/>
        </w:rPr>
        <w:t>” and any related revolving credit loans, “</w:t>
      </w:r>
      <w:r>
        <w:rPr>
          <w:rFonts w:ascii="Arial" w:cs="Arial" w:eastAsia="Arial" w:hAnsi="Arial"/>
          <w:sz w:val="16"/>
          <w:szCs w:val="16"/>
          <w:u w:val="single" w:color="auto"/>
          <w:color w:val="auto"/>
        </w:rPr>
        <w:t>Extended Revolving Loans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 2.24</w:t>
      </w:r>
      <w:r>
        <w:rPr>
          <w:rFonts w:ascii="Arial" w:cs="Arial" w:eastAsia="Arial" w:hAnsi="Arial"/>
          <w:sz w:val="16"/>
          <w:szCs w:val="16"/>
          <w:color w:val="auto"/>
        </w:rPr>
        <w:t>. Prior to entering into any Loan Modification Agreement with respect to any Extended Revolving Commitments, the Borrower shall provide a notice to the Administrative Agent (who shall provide a copy of such notice to each of the Lenders of the applicable Class of Existing Revolving Commitments, with such request offered equally to all Lenders of such Class) (a “</w:t>
      </w:r>
      <w:r>
        <w:rPr>
          <w:rFonts w:ascii="Arial" w:cs="Arial" w:eastAsia="Arial" w:hAnsi="Arial"/>
          <w:sz w:val="16"/>
          <w:szCs w:val="16"/>
          <w:u w:val="single" w:color="auto"/>
          <w:color w:val="auto"/>
        </w:rPr>
        <w:t>Revolving Credit Extension Request</w:t>
      </w:r>
      <w:r>
        <w:rPr>
          <w:rFonts w:ascii="Arial" w:cs="Arial" w:eastAsia="Arial" w:hAnsi="Arial"/>
          <w:sz w:val="16"/>
          <w:szCs w:val="16"/>
          <w:color w:val="auto"/>
        </w:rPr>
        <w:t>”) setting forth the proposed terms of the Extended Revolving Commitments to be established thereunder, which terms shall be similar to those applicable to the Existing Revolving Commitments from which they are to be extended (the “</w:t>
      </w:r>
      <w:r>
        <w:rPr>
          <w:rFonts w:ascii="Arial" w:cs="Arial" w:eastAsia="Arial" w:hAnsi="Arial"/>
          <w:sz w:val="16"/>
          <w:szCs w:val="16"/>
          <w:u w:val="single" w:color="auto"/>
          <w:color w:val="auto"/>
        </w:rPr>
        <w:t>Specified Existing Revolving Commitment Class</w:t>
      </w:r>
      <w:r>
        <w:rPr>
          <w:rFonts w:ascii="Arial" w:cs="Arial" w:eastAsia="Arial" w:hAnsi="Arial"/>
          <w:sz w:val="16"/>
          <w:szCs w:val="16"/>
          <w:color w:val="auto"/>
        </w:rPr>
        <w:t xml:space="preserve">”) except that (w) all or any of the final maturity dates of such Extended Revolving Commitments may be delayed to later dates than the final maturity dates of the Existing Revolving Commitments of the Specified Existing Revolving Credit Commitment Class, (x)(A) the interest rates, interest margins, rate floors, upfront fees, funding discounts, AHYDO Catch-Up Payments, original issue discounts, currency types and denominations and prepayment terms and premiums with respect to the Extended Revolving Commitments may be different than those for the Existing Revolving Commitments of the Specified Existing Revolving Commitment Class and/or (B) additional fees and/or premiums may be payable to the Lenders providing such Extended Revolving Commitments in addition to or in lieu of any of the items contemplated by the preceding clause (A) and (y)(1) the undrawn revolving credit commitment fee rate with respect to the Extended Revolving Commitments may be different than those for the Specified Existing Revolving Commitment Class and (2) the Loan Modification Agreement may provide for other covenants and terms that apply to any period after the Latest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or otherwise, (I) the borrowing and repayment (other than in connection with a permanent repayment and termination of commitments) of the Extended Revolving Loans under any Extended Revolving Commitments shall be made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with any borrowings and repayments of the Existing Revolving Loans of the Specified Existing Revolving Commitment Class (the mechanics for which may be implemented through the applicable Loan Modification Agreement and may include technical changes related to the borrowing and repayment procedures of the Specified Existing Revolving Commitment Class), (II) assignments and participations of Extended Revolving Commitments and Extended Revolving Loans shall be governed by the assignment and participation provisions set forth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(III) subject to the applicable limitations set forth in </w:t>
      </w:r>
      <w:r>
        <w:rPr>
          <w:rFonts w:ascii="Arial" w:cs="Arial" w:eastAsia="Arial" w:hAnsi="Arial"/>
          <w:sz w:val="16"/>
          <w:szCs w:val="16"/>
          <w:u w:val="single" w:color="auto"/>
          <w:color w:val="auto"/>
        </w:rPr>
        <w:t>Section 2.08</w:t>
      </w:r>
      <w:r>
        <w:rPr>
          <w:rFonts w:ascii="Arial" w:cs="Arial" w:eastAsia="Arial" w:hAnsi="Arial"/>
          <w:sz w:val="16"/>
          <w:szCs w:val="16"/>
          <w:color w:val="auto"/>
        </w:rPr>
        <w:t>, permanent repayments of Extended Revolving Loans (and corresponding permanent reduction in the related Extended Revolving Commitments) shall be permitted as may be agreed between Holdings and the Borrower and the Lenders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20"/>
          </w:cols>
          <w:pgMar w:left="440" w:top="274" w:right="439" w:bottom="1440" w:gutter="0" w:footer="0" w:header="0"/>
        </w:sectPr>
      </w:pPr>
    </w:p>
    <w:bookmarkStart w:id="168" w:name="page169"/>
    <w:bookmarkEnd w:id="168"/>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thereof. No Lender shall have any obligation to agree to have any of its Revolving Loans or Revolving Commitments of any Existing Revolving Class converted or exchanged into Extended Revolving Loans or Extended Revolving Commitments pursuant to any Loan Modification Offer. Any Extended Revolving Credit Commitments of any Extension Series shall constitute a separate Class of revolving credit commitments from Existing Revolving Commitments of the Specified Existing Revolving Credit Class and from any other Existing Revolving Commitments (together with any other Extended Revolving Commitments so established on such date).</w:t>
      </w:r>
    </w:p>
    <w:p>
      <w:pPr>
        <w:spacing w:after="0" w:line="80" w:lineRule="exact"/>
        <w:rPr>
          <w:sz w:val="20"/>
          <w:szCs w:val="20"/>
          <w:color w:val="auto"/>
        </w:rPr>
      </w:pPr>
    </w:p>
    <w:p>
      <w:pPr>
        <w:jc w:val="both"/>
        <w:ind w:firstLine="436"/>
        <w:spacing w:after="0" w:line="284" w:lineRule="auto"/>
        <w:tabs>
          <w:tab w:leader="none" w:pos="69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The Borrower shall provide the applicable Loan Modification Offer to the Administrative Agent at least five Business Days (or such shorter period as the Administrative Agent may determine in its reasonable discretion) prior to the date on which Lenders under the Existing Class are requested to respond, and shall agree to such procedures, if any, as may be established by, or acceptable to, the Administrative Agent, in each case acting reasonably, to accomplish the purpose of this </w:t>
      </w:r>
      <w:r>
        <w:rPr>
          <w:rFonts w:ascii="Arial" w:cs="Arial" w:eastAsia="Arial" w:hAnsi="Arial"/>
          <w:sz w:val="16"/>
          <w:szCs w:val="16"/>
          <w:u w:val="single" w:color="auto"/>
          <w:color w:val="auto"/>
        </w:rPr>
        <w:t>Section 2.24</w:t>
      </w:r>
      <w:r>
        <w:rPr>
          <w:rFonts w:ascii="Arial" w:cs="Arial" w:eastAsia="Arial" w:hAnsi="Arial"/>
          <w:sz w:val="16"/>
          <w:szCs w:val="16"/>
          <w:color w:val="auto"/>
        </w:rPr>
        <w:t>. Holdings and the Borrower may, at its election, specify as a condition to consummating any Loan Modification Agreement that a minimum amount (to be determined and specified in the relevant Loan Modification Offer in Holdings’ and the Borrower’s sole discretion and as may be waived by the Borrower) of Term Loans and/or Revolving Commitments (as applicable) of any or all applicable Classes be tendered. Any Lender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wishing to have all or a portion of its Term Loans, Revolving Commitments or Replacement Revolving Credit Commitments (or any earlier Extended Revolving Commitments) of an Existing Class subject to such Loan Modification Offer converted or exchanged into Extended Loans/Commitments shall notify the Administrative Agent (an “</w:t>
      </w:r>
      <w:r>
        <w:rPr>
          <w:rFonts w:ascii="Arial" w:cs="Arial" w:eastAsia="Arial" w:hAnsi="Arial"/>
          <w:sz w:val="16"/>
          <w:szCs w:val="16"/>
          <w:u w:val="single" w:color="auto"/>
          <w:color w:val="auto"/>
        </w:rPr>
        <w:t>Extension Election</w:t>
      </w:r>
      <w:r>
        <w:rPr>
          <w:rFonts w:ascii="Arial" w:cs="Arial" w:eastAsia="Arial" w:hAnsi="Arial"/>
          <w:sz w:val="16"/>
          <w:szCs w:val="16"/>
          <w:color w:val="auto"/>
        </w:rPr>
        <w:t xml:space="preserve">”) on or prior to the date specified in such Loan Modification Offer of the amount of its Term Loans, Revolving Commitments and/or Replacement Revolving Commitments (and/or any earlier Extended Revolving Commitments) which it has elected to convert or exchange into Extended Loans/Commitments (subject to any minimum denomination requirements imposed by the Administrative Agent). In the event that the aggregate amount of Term Loans, Revolving Commitments and Replacement Revolving Commitments (and any earlier-extended Extended Revolving Commitments) subject to Extension Elections exceeds the amount of Extended Loans/Commitments requested pursuant to the Extension Request, Term Loans, Revolving Commitments, Replacement Revolving Commitments or earlier-extended Extended Revolving Commitments, as applicable, subject to Extension Elections shall be converted to or exchanged to Extended Loans/Commitments on a pro rata basis (subject to such rounding requirements as may be established by the Administrative Agent) based on the amount of Term Loans, Revolving Commitments, Replacement Revolving Commitments and earlier-extended Extended Revolving Commitments included in each such Extension Election or as may be otherwise agreed to in the applicable Loan Modification Agreement. Notwithstanding the conversion of any Existing Revolving Credit Commitment into an Extended Revolving Credit Commitment, unless expressly agreed by the holders of each affected Existing Revolving Credit Commitment of the Specified Existing Revolving Credit Commitment Class, such Extended Revolving Credit Commitment shall not be treated more favorably than all Existing Revolving Commitments of the Specified Existing Revolving Credit Commitment Class for purposes of the obligations of a Revolving Lender in respect of Swingline Loans under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Letters of Credit under </w:t>
      </w:r>
      <w:r>
        <w:rPr>
          <w:rFonts w:ascii="Arial" w:cs="Arial" w:eastAsia="Arial" w:hAnsi="Arial"/>
          <w:sz w:val="16"/>
          <w:szCs w:val="16"/>
          <w:u w:val="single" w:color="auto"/>
          <w:color w:val="auto"/>
        </w:rPr>
        <w:t>Section 2.05</w:t>
      </w:r>
      <w:r>
        <w:rPr>
          <w:rFonts w:ascii="Arial" w:cs="Arial" w:eastAsia="Arial" w:hAnsi="Arial"/>
          <w:sz w:val="16"/>
          <w:szCs w:val="16"/>
          <w:color w:val="auto"/>
        </w:rPr>
        <w:t>, except that the applicable Loan Modification Agreement may provide that the last day for issuing Letters of Credit may be extended and the related obligations to issue Letters of Credit may be continued (pursuant to mechanics to be specified in the applicable Loan Modification Agreement) so long as the applicable Issuing Bank has consented to such extensions (it being understood that no consent of any other Lender shall be required in connection with any such extension).</w:t>
      </w:r>
    </w:p>
    <w:p>
      <w:pPr>
        <w:spacing w:after="0" w:line="281" w:lineRule="exact"/>
        <w:rPr>
          <w:rFonts w:ascii="Arial" w:cs="Arial" w:eastAsia="Arial" w:hAnsi="Arial"/>
          <w:sz w:val="16"/>
          <w:szCs w:val="16"/>
          <w:color w:val="auto"/>
        </w:rPr>
      </w:pPr>
    </w:p>
    <w:p>
      <w:pPr>
        <w:jc w:val="both"/>
        <w:ind w:firstLine="436"/>
        <w:spacing w:after="0" w:line="286" w:lineRule="auto"/>
        <w:tabs>
          <w:tab w:leader="none" w:pos="70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Extended Loans/Commitments shall be established pursuant to an amendment (a “</w:t>
      </w:r>
      <w:r>
        <w:rPr>
          <w:rFonts w:ascii="Arial" w:cs="Arial" w:eastAsia="Arial" w:hAnsi="Arial"/>
          <w:sz w:val="17"/>
          <w:szCs w:val="17"/>
          <w:u w:val="single" w:color="auto"/>
          <w:color w:val="auto"/>
        </w:rPr>
        <w:t>Loan Modification Agreement</w:t>
      </w:r>
      <w:r>
        <w:rPr>
          <w:rFonts w:ascii="Arial" w:cs="Arial" w:eastAsia="Arial" w:hAnsi="Arial"/>
          <w:sz w:val="17"/>
          <w:szCs w:val="17"/>
          <w:color w:val="auto"/>
        </w:rPr>
        <w:t xml:space="preserve">”) to this Agreement (which, except to the extent expressly contemplated by the penultimate sentence of this </w:t>
      </w:r>
      <w:r>
        <w:rPr>
          <w:rFonts w:ascii="Arial" w:cs="Arial" w:eastAsia="Arial" w:hAnsi="Arial"/>
          <w:sz w:val="17"/>
          <w:szCs w:val="17"/>
          <w:u w:val="single" w:color="auto"/>
          <w:color w:val="auto"/>
        </w:rPr>
        <w:t>Section 2.24(d)</w:t>
      </w:r>
      <w:r>
        <w:rPr>
          <w:rFonts w:ascii="Arial" w:cs="Arial" w:eastAsia="Arial" w:hAnsi="Arial"/>
          <w:sz w:val="17"/>
          <w:szCs w:val="17"/>
          <w:color w:val="auto"/>
        </w:rPr>
        <w:t xml:space="preserve"> and notwithstanding anything to the contrary set forth in </w:t>
      </w:r>
      <w:r>
        <w:rPr>
          <w:rFonts w:ascii="Arial" w:cs="Arial" w:eastAsia="Arial" w:hAnsi="Arial"/>
          <w:sz w:val="17"/>
          <w:szCs w:val="17"/>
          <w:u w:val="single" w:color="auto"/>
          <w:color w:val="auto"/>
        </w:rPr>
        <w:t>Section 9.02</w:t>
      </w:r>
      <w:r>
        <w:rPr>
          <w:rFonts w:ascii="Arial" w:cs="Arial" w:eastAsia="Arial" w:hAnsi="Arial"/>
          <w:sz w:val="17"/>
          <w:szCs w:val="17"/>
          <w:color w:val="auto"/>
        </w:rPr>
        <w:t>, shall not require the consent of any Lender other than the Extending Lenders with respect 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20"/>
          </w:cols>
          <w:pgMar w:left="440" w:top="274" w:right="439" w:bottom="1440" w:gutter="0" w:footer="0" w:header="0"/>
        </w:sectPr>
      </w:pPr>
    </w:p>
    <w:bookmarkStart w:id="169" w:name="page170"/>
    <w:bookmarkEnd w:id="169"/>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Extended Loans/Commitments established thereby) executed by the Loan Parties, the Administrative Agent and the Extending Lenders. In addition to any terms and changes required or permitted by </w:t>
      </w:r>
      <w:r>
        <w:rPr>
          <w:rFonts w:ascii="Arial" w:cs="Arial" w:eastAsia="Arial" w:hAnsi="Arial"/>
          <w:sz w:val="16"/>
          <w:szCs w:val="16"/>
          <w:u w:val="single" w:color="auto"/>
          <w:color w:val="auto"/>
        </w:rPr>
        <w:t>Section 2.24(a)</w:t>
      </w:r>
      <w:r>
        <w:rPr>
          <w:rFonts w:ascii="Arial" w:cs="Arial" w:eastAsia="Arial" w:hAnsi="Arial"/>
          <w:sz w:val="16"/>
          <w:szCs w:val="16"/>
          <w:color w:val="auto"/>
        </w:rPr>
        <w:t xml:space="preserve">, each Loan Modification Agreement in respect of Extended Term Loans shall amend the scheduled amortization payments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the applicable Incremental Facility Amendment or Loan Modification Agreement with respect to the Existing Class of Term Loans from which the Extended Term Loans were exchanged to reduce each scheduled installment scheduled to be repaid on any date for the Existing Class in the same proportion as the amount of Term Loans of the Existing Class is to be reduced pursuant to such Loan Modification Agreement (it being understood that the amount of any installment payable with respect to any individual Term Loan of such Existing Class that is not an Extended Term Loan shall not be reduced as a result thereof). In connection with any Loan Modification Agreement, the Borrower shall deliver an opinion of counsel reasonably acceptable to the Administrative Agent and addressed to the Administrative Agent and the applicable Extending Lenders (i) as to the enforceability of such Loan Modification Agreement, this Agreement as amended thereby, and such of the other Loan Documents (if any) as may be amended thereby (in the case of such other Loan Documents as contemplated by the immediately preceding sentence) and covering customary matters and (ii) to the effect that such Loan Modification Agreement, including the Extended Loans/Commitments provided for therein, does not breach or result in a default under the provisions of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of this Agreement.</w:t>
      </w:r>
    </w:p>
    <w:p>
      <w:pPr>
        <w:spacing w:after="0" w:line="60" w:lineRule="exact"/>
        <w:rPr>
          <w:sz w:val="20"/>
          <w:szCs w:val="20"/>
          <w:color w:val="auto"/>
        </w:rPr>
      </w:pPr>
    </w:p>
    <w:p>
      <w:pPr>
        <w:jc w:val="both"/>
        <w:ind w:firstLine="436"/>
        <w:spacing w:after="0" w:line="286" w:lineRule="auto"/>
        <w:tabs>
          <w:tab w:leader="none" w:pos="69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(A) on any date on which any Existing Term Loan Class or Class of Existing Revolving Commitments is converted or exchanged to extend the related scheduled maturity date(s) in accordance with paragraph (a) above (an “</w:t>
      </w:r>
      <w:r>
        <w:rPr>
          <w:rFonts w:ascii="Arial" w:cs="Arial" w:eastAsia="Arial" w:hAnsi="Arial"/>
          <w:sz w:val="16"/>
          <w:szCs w:val="16"/>
          <w:u w:val="single" w:color="auto"/>
          <w:color w:val="auto"/>
        </w:rPr>
        <w:t>Extension Date</w:t>
      </w:r>
      <w:r>
        <w:rPr>
          <w:rFonts w:ascii="Arial" w:cs="Arial" w:eastAsia="Arial" w:hAnsi="Arial"/>
          <w:sz w:val="16"/>
          <w:szCs w:val="16"/>
          <w:color w:val="auto"/>
        </w:rPr>
        <w:t>”), (I) in the case of the existing Term Loans of each Extending Lender, the aggregate principal amount of such existing Term Loans shall be deemed reduced by an amount equal to the aggregate principal amount of Extended Term Loans so converted or exchanged by such Lender on such date, and the Extended Term Loans shall be established as a separate Class of Term Loans (together with any other Extended Term Loans so established on such date) and (II) in the case of the Existing Revolving Credit Commitments of each Extending Lender under any Specified Existing Revolving Credit Commitment Class, the aggregate principal amount of such Existing Revolving Commitments shall be deemed reduced by an amount equal to the aggregate principal amount of Extended Revolving Commitments so converted or exchanged by such Lender on such date (or by any greater amount as may be agreed by the Borrower and such Lender), and such Extended Revolving Commitments shall be established as a separate Class of revolving credit commitments from the Specified Existing Revolving Credit Class and from any other Existing Revolving Commitments (together with any other Extended Revolving Commitments so established on such date) and (B) if, on any Extension Date, any Existing Revolving Loans of any Extending Lender are outstanding under the Specified Existing Revolving Credit Class, such Existing Revolving Loans (and any related participations) shall be deemed to be converted or exchanged to Extended Revolving Loans (and related participations) of the applicable Class in the same proportion as such Extending Lender’s Specified Existing Revolving Commitments to Extended Revolving Commitments of such Class.</w:t>
      </w:r>
    </w:p>
    <w:p>
      <w:pPr>
        <w:spacing w:after="0" w:line="62" w:lineRule="exact"/>
        <w:rPr>
          <w:rFonts w:ascii="Arial" w:cs="Arial" w:eastAsia="Arial" w:hAnsi="Arial"/>
          <w:sz w:val="16"/>
          <w:szCs w:val="16"/>
          <w:color w:val="auto"/>
        </w:rPr>
      </w:pPr>
    </w:p>
    <w:p>
      <w:pPr>
        <w:jc w:val="both"/>
        <w:ind w:firstLine="436"/>
        <w:spacing w:after="0" w:line="272" w:lineRule="auto"/>
        <w:tabs>
          <w:tab w:leader="none" w:pos="67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In the event that the Administrative Agent determines in its sole discretion that the allocation of Extended Term Loans of a given Extension Series or the Extended Revolving Commitments of a given Extension Series, in each case to a given Lender was incorrectly determined as a result of manifest administrative error in the receipt and processing of an Extension Election timely submitted by such Lender in accordance with the procedures set forth in the applicable Loan Modification Agreement, then the Administrative Agent, Holdings, the Borrower and such affected Lender may (and hereby are authorized to), in their sole discretion and without the consent of any other Lender, enter into an amendment to this Agreement and the other Loan Documents (each, a “</w:t>
      </w:r>
      <w:r>
        <w:rPr>
          <w:rFonts w:ascii="Arial" w:cs="Arial" w:eastAsia="Arial" w:hAnsi="Arial"/>
          <w:sz w:val="17"/>
          <w:szCs w:val="17"/>
          <w:u w:val="single" w:color="auto"/>
          <w:color w:val="auto"/>
        </w:rPr>
        <w:t>Corrective Loan Modification Agreement</w:t>
      </w:r>
      <w:r>
        <w:rPr>
          <w:rFonts w:ascii="Arial" w:cs="Arial" w:eastAsia="Arial" w:hAnsi="Arial"/>
          <w:sz w:val="17"/>
          <w:szCs w:val="17"/>
          <w:color w:val="auto"/>
        </w:rPr>
        <w:t>”) within 15 days following the effective date of such Loan Modification Agreement, as the case may be, which Corrective Loan Modification Agreement shall (i) provide for the conversion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20"/>
          </w:cols>
          <w:pgMar w:left="440" w:top="274" w:right="439" w:bottom="1440" w:gutter="0" w:footer="0" w:header="0"/>
        </w:sectPr>
      </w:pPr>
    </w:p>
    <w:bookmarkStart w:id="170" w:name="page171"/>
    <w:bookmarkEnd w:id="170"/>
    <w:p>
      <w:pPr>
        <w:jc w:val="both"/>
        <w:ind w:left="4"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exchange and extension of Term Loans under the Existing Term Loan Class or Existing Revolving Commitments (and related Revolving Exposure), as the case may be, in such amount as is required to cause such Lender to hold Extended Term Loans or Extended Revolving Commitments (and related revolving credit exposure) of the applicable Extension Series into which such other Term Loans or Commitments were initially converted or exchanged, as the case may be, in the amount such Lender would have held had such administrative error not occurred and had such Lender received the minimum allocation of the applicable Loans or Commitments to which it was entitled under the terms of such Loan Modification Agreement, in the absence of such error, (ii) be subject to the satisfaction of such conditions as the Administrative Agent, Holdings, the Borrower and such Lender may agree (including conditions of the type required to be satisfied for the effectiveness of a Loan Modification Agreement described in </w:t>
      </w:r>
      <w:r>
        <w:rPr>
          <w:rFonts w:ascii="Arial" w:cs="Arial" w:eastAsia="Arial" w:hAnsi="Arial"/>
          <w:sz w:val="16"/>
          <w:szCs w:val="16"/>
          <w:u w:val="single" w:color="auto"/>
          <w:color w:val="auto"/>
        </w:rPr>
        <w:t>Section 2.24(d)</w:t>
      </w:r>
      <w:r>
        <w:rPr>
          <w:rFonts w:ascii="Arial" w:cs="Arial" w:eastAsia="Arial" w:hAnsi="Arial"/>
          <w:sz w:val="16"/>
          <w:szCs w:val="16"/>
          <w:color w:val="auto"/>
        </w:rPr>
        <w:t>), and</w:t>
      </w:r>
    </w:p>
    <w:p>
      <w:pPr>
        <w:spacing w:after="0" w:line="2" w:lineRule="exact"/>
        <w:rPr>
          <w:sz w:val="20"/>
          <w:szCs w:val="20"/>
          <w:color w:val="auto"/>
        </w:rPr>
      </w:pPr>
    </w:p>
    <w:p>
      <w:pPr>
        <w:ind w:left="4" w:right="20" w:hanging="4"/>
        <w:spacing w:after="0" w:line="260" w:lineRule="auto"/>
        <w:tabs>
          <w:tab w:leader="none" w:pos="35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effect such other amendments of the type (with appropriate reference and nomenclature changes) described in the penultimate sentence of </w:t>
      </w:r>
      <w:r>
        <w:rPr>
          <w:rFonts w:ascii="Arial" w:cs="Arial" w:eastAsia="Arial" w:hAnsi="Arial"/>
          <w:sz w:val="18"/>
          <w:szCs w:val="18"/>
          <w:u w:val="single" w:color="auto"/>
          <w:color w:val="auto"/>
        </w:rPr>
        <w:t>Section 2.24(c)</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4" w:right="20" w:firstLine="436"/>
        <w:spacing w:after="0" w:line="277" w:lineRule="auto"/>
        <w:tabs>
          <w:tab w:leader="none" w:pos="71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No conversion or exchange of Loans or Commitments pursuant to any Loan Modification Agreement in accordance with 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shall constitute a voluntary or mandatory payment or prepayment for purposes of this Agreement.</w:t>
      </w:r>
    </w:p>
    <w:p>
      <w:pPr>
        <w:spacing w:after="0" w:line="62" w:lineRule="exact"/>
        <w:rPr>
          <w:rFonts w:ascii="Arial" w:cs="Arial" w:eastAsia="Arial" w:hAnsi="Arial"/>
          <w:sz w:val="18"/>
          <w:szCs w:val="18"/>
          <w:color w:val="auto"/>
        </w:rPr>
      </w:pPr>
    </w:p>
    <w:p>
      <w:pPr>
        <w:jc w:val="both"/>
        <w:ind w:left="4" w:firstLine="436"/>
        <w:spacing w:after="0" w:line="283" w:lineRule="auto"/>
        <w:tabs>
          <w:tab w:leader="none" w:pos="71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If, in connection with any proposed Loan Modification Offer, any Lender declines to consent to such Loan Modification Offer on the terms and by the deadline set forth in such Loan Modification Offer (each such Lender, a “</w:t>
      </w:r>
      <w:r>
        <w:rPr>
          <w:rFonts w:ascii="Arial" w:cs="Arial" w:eastAsia="Arial" w:hAnsi="Arial"/>
          <w:sz w:val="16"/>
          <w:szCs w:val="16"/>
          <w:u w:val="single" w:color="auto"/>
          <w:color w:val="auto"/>
        </w:rPr>
        <w:t>Non-Accepting Lender</w:t>
      </w:r>
      <w:r>
        <w:rPr>
          <w:rFonts w:ascii="Arial" w:cs="Arial" w:eastAsia="Arial" w:hAnsi="Arial"/>
          <w:sz w:val="16"/>
          <w:szCs w:val="16"/>
          <w:color w:val="auto"/>
        </w:rPr>
        <w:t xml:space="preserve">”) then the Borrower may, on notice to the Administrative Agent and the Non-Accepting Lender, replace such Non-Accepting Lender by causing such Lender to (and such Lender shall be obligated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of its interests, rights and obligations under this Agreement in respect of the Loans and Commitments of the applicable Class to one or more Eligible Assignees (which Eligible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assignment pursuant to the terms of this </w:t>
      </w:r>
      <w:r>
        <w:rPr>
          <w:rFonts w:ascii="Arial" w:cs="Arial" w:eastAsia="Arial" w:hAnsi="Arial"/>
          <w:sz w:val="16"/>
          <w:szCs w:val="16"/>
          <w:u w:val="single" w:color="auto"/>
          <w:color w:val="auto"/>
        </w:rPr>
        <w:t>Section 2.24(h)</w:t>
      </w:r>
      <w:r>
        <w:rPr>
          <w:rFonts w:ascii="Arial" w:cs="Arial" w:eastAsia="Arial" w:hAnsi="Arial"/>
          <w:sz w:val="16"/>
          <w:szCs w:val="16"/>
          <w:color w:val="auto"/>
        </w:rPr>
        <w:t xml:space="preserve"> may be effected pursuant to an Assignment and Assumption executed by Holdings, the Borrower, the Administrative and the assignee, and the Non-Accepting Lender need not be party thereto, and (B) neither the Administrative Agent nor any Lender shall have any obligation to the Borrower to find a replacement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the applicable assignee shall have agreed to provide Loans and/or Commitments on the terms set forth in the applicable Loan Modification Agreement, (b) such Non-Accepting Lender shall have received payment of an amount equal to the outstanding principal of the Loans of the applicable Existing Class assigned by it pursuant to this </w:t>
      </w:r>
      <w:r>
        <w:rPr>
          <w:rFonts w:ascii="Arial" w:cs="Arial" w:eastAsia="Arial" w:hAnsi="Arial"/>
          <w:sz w:val="16"/>
          <w:szCs w:val="16"/>
          <w:u w:val="single" w:color="auto"/>
          <w:color w:val="auto"/>
        </w:rPr>
        <w:t>Section 2.24(h)</w:t>
      </w:r>
      <w:r>
        <w:rPr>
          <w:rFonts w:ascii="Arial" w:cs="Arial" w:eastAsia="Arial" w:hAnsi="Arial"/>
          <w:sz w:val="16"/>
          <w:szCs w:val="16"/>
          <w:color w:val="auto"/>
        </w:rPr>
        <w:t>, accrued interest thereon, accrued fees and all other amounts payable to it hereunder from the Eligible Assignee (to the extent of such outstanding principal and accrued interest and fees),</w:t>
      </w:r>
    </w:p>
    <w:p>
      <w:pPr>
        <w:spacing w:after="0" w:line="2" w:lineRule="exact"/>
        <w:rPr>
          <w:rFonts w:ascii="Arial" w:cs="Arial" w:eastAsia="Arial" w:hAnsi="Arial"/>
          <w:sz w:val="16"/>
          <w:szCs w:val="16"/>
          <w:color w:val="auto"/>
        </w:rPr>
      </w:pPr>
    </w:p>
    <w:p>
      <w:pPr>
        <w:jc w:val="both"/>
        <w:ind w:left="4" w:right="20" w:hanging="4"/>
        <w:spacing w:after="0" w:line="255" w:lineRule="auto"/>
        <w:tabs>
          <w:tab w:leader="none" w:pos="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unless waived, the Borrower or such Eligible Assignee shall have paid to the Administrative Agent the processing and recordation fee specified in </w:t>
      </w:r>
      <w:r>
        <w:rPr>
          <w:rFonts w:ascii="Arial" w:cs="Arial" w:eastAsia="Arial" w:hAnsi="Arial"/>
          <w:sz w:val="18"/>
          <w:szCs w:val="18"/>
          <w:u w:val="single" w:color="auto"/>
          <w:color w:val="auto"/>
        </w:rPr>
        <w:t>Section 9.04(b)</w:t>
      </w:r>
      <w:r>
        <w:rPr>
          <w:rFonts w:ascii="Arial" w:cs="Arial" w:eastAsia="Arial" w:hAnsi="Arial"/>
          <w:sz w:val="18"/>
          <w:szCs w:val="18"/>
          <w:color w:val="auto"/>
        </w:rPr>
        <w:t xml:space="preserve"> and (d) such Non-Accepting Lender shall be entitled to any prepayment premiums or penalties from the Borrower to the extent a premium or penalty would be due in respect of a prepayment of Term Loans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664" w:hanging="224"/>
        <w:spacing w:after="0"/>
        <w:tabs>
          <w:tab w:leader="none" w:pos="664" w:val="left"/>
        </w:tabs>
        <w:numPr>
          <w:ilvl w:val="1"/>
          <w:numId w:val="17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this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shall supersede any provisions in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to the contrary.</w:t>
      </w:r>
    </w:p>
    <w:p>
      <w:pPr>
        <w:spacing w:after="0" w:line="200" w:lineRule="exact"/>
        <w:rPr>
          <w:sz w:val="20"/>
          <w:szCs w:val="20"/>
          <w:color w:val="auto"/>
        </w:rPr>
      </w:pPr>
    </w:p>
    <w:p>
      <w:pPr>
        <w:spacing w:after="0" w:line="25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Each of Holdings (solely with respect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w:t>
      </w:r>
      <w:r>
        <w:rPr>
          <w:rFonts w:ascii="Arial" w:cs="Arial" w:eastAsia="Arial" w:hAnsi="Arial"/>
          <w:sz w:val="18"/>
          <w:szCs w:val="18"/>
          <w:u w:val="single" w:color="auto"/>
          <w:color w:val="auto"/>
        </w:rPr>
        <w:t>3.07</w:t>
      </w:r>
      <w:r>
        <w:rPr>
          <w:rFonts w:ascii="Arial" w:cs="Arial" w:eastAsia="Arial" w:hAnsi="Arial"/>
          <w:sz w:val="18"/>
          <w:szCs w:val="18"/>
          <w:color w:val="auto"/>
        </w:rPr>
        <w:t xml:space="preserve">, </w:t>
      </w:r>
      <w:r>
        <w:rPr>
          <w:rFonts w:ascii="Arial" w:cs="Arial" w:eastAsia="Arial" w:hAnsi="Arial"/>
          <w:sz w:val="18"/>
          <w:szCs w:val="18"/>
          <w:u w:val="single" w:color="auto"/>
          <w:color w:val="auto"/>
        </w:rPr>
        <w:t>3.08</w:t>
      </w:r>
      <w:r>
        <w:rPr>
          <w:rFonts w:ascii="Arial" w:cs="Arial" w:eastAsia="Arial" w:hAnsi="Arial"/>
          <w:sz w:val="18"/>
          <w:szCs w:val="18"/>
          <w:color w:val="auto"/>
        </w:rPr>
        <w:t xml:space="preserve">, </w:t>
      </w:r>
      <w:r>
        <w:rPr>
          <w:rFonts w:ascii="Arial" w:cs="Arial" w:eastAsia="Arial" w:hAnsi="Arial"/>
          <w:sz w:val="18"/>
          <w:szCs w:val="18"/>
          <w:u w:val="single" w:color="auto"/>
          <w:color w:val="auto"/>
        </w:rPr>
        <w:t>3.09</w:t>
      </w:r>
      <w:r>
        <w:rPr>
          <w:rFonts w:ascii="Arial" w:cs="Arial" w:eastAsia="Arial" w:hAnsi="Arial"/>
          <w:sz w:val="18"/>
          <w:szCs w:val="18"/>
          <w:color w:val="auto"/>
        </w:rPr>
        <w:t xml:space="preserve">, </w:t>
      </w:r>
      <w:r>
        <w:rPr>
          <w:rFonts w:ascii="Arial" w:cs="Arial" w:eastAsia="Arial" w:hAnsi="Arial"/>
          <w:sz w:val="18"/>
          <w:szCs w:val="18"/>
          <w:u w:val="single" w:color="auto"/>
          <w:color w:val="auto"/>
        </w:rPr>
        <w:t>3.12</w:t>
      </w:r>
      <w:r>
        <w:rPr>
          <w:rFonts w:ascii="Arial" w:cs="Arial" w:eastAsia="Arial" w:hAnsi="Arial"/>
          <w:sz w:val="18"/>
          <w:szCs w:val="18"/>
          <w:color w:val="auto"/>
        </w:rPr>
        <w:t xml:space="preserve">, </w:t>
      </w:r>
      <w:r>
        <w:rPr>
          <w:rFonts w:ascii="Arial" w:cs="Arial" w:eastAsia="Arial" w:hAnsi="Arial"/>
          <w:sz w:val="18"/>
          <w:szCs w:val="18"/>
          <w:u w:val="single" w:color="auto"/>
          <w:color w:val="auto"/>
        </w:rPr>
        <w:t>3.15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3.17</w:t>
      </w:r>
      <w:r>
        <w:rPr>
          <w:rFonts w:ascii="Arial" w:cs="Arial" w:eastAsia="Arial" w:hAnsi="Arial"/>
          <w:sz w:val="18"/>
          <w:szCs w:val="18"/>
          <w:color w:val="auto"/>
        </w:rPr>
        <w:t>) and the Borrower (solely as to itself and its respective Restricted Subsidiaries) represents and warrants to the Lenders that: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24"/>
          </w:cols>
          <w:pgMar w:left="436" w:top="274" w:right="439" w:bottom="1440" w:gutter="0" w:footer="0" w:header="0"/>
        </w:sectPr>
      </w:pPr>
    </w:p>
    <w:bookmarkStart w:id="171" w:name="page172"/>
    <w:bookmarkEnd w:id="171"/>
    <w:p>
      <w:pPr>
        <w:jc w:val="both"/>
        <w:ind w:left="4"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xml:space="preserve">. Each of Holdings, the Borrower and each Restricted Subsidiary is (a) duly organized, validly existing and (to the extent such concept exists in the relevant jurisdictions) in good standing under the laws of the jurisdiction of its organization, (b) has the corporate or other organizational power and authority to (i) carry on its business as now conducted and (ii) execute, deliver and perform its obligations under each Loan Document to which it is a party and (c) is qualified to do business in, and is in good standing in, every jurisdiction where such qualification is required, except in the case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(other than with respect to the Borrower or any Loan Party that is a Significant Subsidiary),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(c)</w:t>
      </w:r>
      <w:r>
        <w:rPr>
          <w:rFonts w:ascii="Arial" w:cs="Arial" w:eastAsia="Arial" w:hAnsi="Arial"/>
          <w:sz w:val="18"/>
          <w:szCs w:val="18"/>
          <w:color w:val="auto"/>
        </w:rPr>
        <w:t>, where the failure to do so, individually or in the aggregate, could not reasonably be expected to result in a Material Adverse Effect.</w:t>
      </w:r>
    </w:p>
    <w:p>
      <w:pPr>
        <w:spacing w:after="0" w:line="195" w:lineRule="exact"/>
        <w:rPr>
          <w:sz w:val="20"/>
          <w:szCs w:val="20"/>
          <w:color w:val="auto"/>
        </w:rPr>
      </w:pPr>
    </w:p>
    <w:p>
      <w:pPr>
        <w:jc w:val="both"/>
        <w:ind w:left="4" w:firstLine="440"/>
        <w:spacing w:after="0" w:line="275"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This Agreement has been duly authorized,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execution, delivery and performance of the obligations under the Loan Documents</w:t>
      </w:r>
    </w:p>
    <w:p>
      <w:pPr>
        <w:spacing w:after="0" w:line="46" w:lineRule="exact"/>
        <w:rPr>
          <w:sz w:val="20"/>
          <w:szCs w:val="20"/>
          <w:color w:val="auto"/>
        </w:rPr>
      </w:pPr>
    </w:p>
    <w:p>
      <w:pPr>
        <w:jc w:val="both"/>
        <w:ind w:left="4" w:right="20" w:hanging="4"/>
        <w:spacing w:after="0" w:line="281" w:lineRule="auto"/>
        <w:tabs>
          <w:tab w:leader="none" w:pos="25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w:t>
      </w:r>
    </w:p>
    <w:p>
      <w:pPr>
        <w:spacing w:after="0" w:line="1" w:lineRule="exact"/>
        <w:rPr>
          <w:rFonts w:ascii="Arial" w:cs="Arial" w:eastAsia="Arial" w:hAnsi="Arial"/>
          <w:sz w:val="16"/>
          <w:szCs w:val="16"/>
          <w:color w:val="auto"/>
        </w:rPr>
      </w:pPr>
    </w:p>
    <w:p>
      <w:pPr>
        <w:jc w:val="both"/>
        <w:ind w:left="4" w:hanging="4"/>
        <w:spacing w:after="0" w:line="287" w:lineRule="auto"/>
        <w:tabs>
          <w:tab w:leader="none" w:pos="24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the Organizational Documents of Holdings, the Borrower or any other Loan Party, or (ii) any Requirements of Law applicable to Holdings, the Borrower or any Restricted Subsidiary, (c) will not violate or result in a default under any indenture or other agreement or instrument that constitutes Material Indebtedness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except Liens created under the Loan Documents, except (in the case of each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to the extent that the failure to obtain or make such consent, approval, registration, filing or action, or such violation, default or right as the case may be, individually or in the aggregate, could not reasonably be expected to have a Material Adverse Effect.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Effect</w:t>
      </w:r>
      <w:r>
        <w:rPr>
          <w:rFonts w:ascii="Arial" w:cs="Arial" w:eastAsia="Arial" w:hAnsi="Arial"/>
          <w:sz w:val="18"/>
          <w:szCs w:val="18"/>
          <w:color w:val="auto"/>
        </w:rPr>
        <w:t>.</w:t>
      </w:r>
    </w:p>
    <w:p>
      <w:pPr>
        <w:spacing w:after="0" w:line="117" w:lineRule="exact"/>
        <w:rPr>
          <w:sz w:val="20"/>
          <w:szCs w:val="20"/>
          <w:color w:val="auto"/>
        </w:rPr>
      </w:pPr>
    </w:p>
    <w:p>
      <w:pPr>
        <w:jc w:val="both"/>
        <w:ind w:left="4" w:firstLine="436"/>
        <w:spacing w:after="0" w:line="273" w:lineRule="auto"/>
        <w:tabs>
          <w:tab w:leader="none" w:pos="7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Audited Financial Statements and Unaudited Financials (i) were prepared in accordance with GAAP consistently applied throughout the period covered thereby, except as otherwise expressly indicated therein and subject to year-end adjustments and the lack of accruals for taxes and the absence of footnotes, and (ii) fairly present in all material respects the consolidated financial position of the Target (or its predecessor, if applicable) and its consolidated subsidiaries as of the respective dates thereof and the consolidated results of their operations for the respective periods then ended in accordance with GAAP consistently applied during the periods referred to therein, except as otherwise expressly indicated therein and subject to year-end adjustments or the lack of accruals for taxes and the absence of footnotes.</w:t>
      </w:r>
    </w:p>
    <w:p>
      <w:pPr>
        <w:spacing w:after="0" w:line="69" w:lineRule="exact"/>
        <w:rPr>
          <w:rFonts w:ascii="Arial" w:cs="Arial" w:eastAsia="Arial" w:hAnsi="Arial"/>
          <w:sz w:val="17"/>
          <w:szCs w:val="17"/>
          <w:color w:val="auto"/>
        </w:rPr>
      </w:pPr>
    </w:p>
    <w:p>
      <w:pPr>
        <w:ind w:left="4" w:right="20" w:firstLine="436"/>
        <w:spacing w:after="0" w:line="342" w:lineRule="auto"/>
        <w:tabs>
          <w:tab w:leader="none" w:pos="70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Pro Forma Financial Statements have been prepared in good faith, based on assumptions believed by the Borrower to be reasonable as of the date of delivery thereof, and present fairly in all material respects the estimated financial position of the Borrower and its Subsidiaries as if the</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24"/>
          </w:cols>
          <w:pgMar w:left="436" w:top="274" w:right="439" w:bottom="1440" w:gutter="0" w:footer="0" w:header="0"/>
        </w:sectPr>
      </w:pPr>
    </w:p>
    <w:bookmarkStart w:id="172" w:name="page173"/>
    <w:bookmarkEnd w:id="172"/>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had occurred as of the relevant date (in the case of any pro forma consolidated balance sheet) or at the beginning of such period (in the case of any pro forma statement of income or operations).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Since the Effective Date, there has been no Material Adverse Effect.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57" w:lineRule="auto"/>
        <w:tabs>
          <w:tab w:leader="none" w:pos="69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Borrower and each Restricted Subsidiary has good title to, or valid leasehold interests in, all its real and personal property material to its business (including the Mortgaged Properties, if any), (i) free and clear of all Liens except for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(ii) free of title defects except for defects in title that do not interfere with its ability to conduct its business as currently conducted or as proposed to be conducted or to utilize such properties for their intended purposes, in each case, except as could not reasonably be expected to have, individually or in the aggregate, a Material Adverse Effect.</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As of the Effective Date, </w:t>
      </w:r>
      <w:r>
        <w:rPr>
          <w:rFonts w:ascii="Arial" w:cs="Arial" w:eastAsia="Arial" w:hAnsi="Arial"/>
          <w:sz w:val="18"/>
          <w:szCs w:val="18"/>
          <w:u w:val="single" w:color="auto"/>
          <w:color w:val="auto"/>
        </w:rPr>
        <w:t>Schedule 3.05</w:t>
      </w:r>
      <w:r>
        <w:rPr>
          <w:rFonts w:ascii="Arial" w:cs="Arial" w:eastAsia="Arial" w:hAnsi="Arial"/>
          <w:sz w:val="18"/>
          <w:szCs w:val="18"/>
          <w:color w:val="auto"/>
        </w:rPr>
        <w:t xml:space="preserve"> contains a true and complete list of the Material Real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Litigation, Environmental and Labor Matters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57" w:lineRule="auto"/>
        <w:tabs>
          <w:tab w:leader="none" w:pos="70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3.06</w:t>
      </w:r>
      <w:r>
        <w:rPr>
          <w:rFonts w:ascii="Arial" w:cs="Arial" w:eastAsia="Arial" w:hAnsi="Arial"/>
          <w:sz w:val="18"/>
          <w:szCs w:val="18"/>
          <w:color w:val="auto"/>
        </w:rPr>
        <w:t>, (i) there are no actions, suits or proceedings by or before any arbitrator or Governmental Authority pending against or, to the knowledge of the Borrower, threatened against or affecting the Borrower or any Restricted Subsidiary that could reasonably be expected, individually or in the aggregate, to result in a Material Adverse Effect and (ii) none of the Borrower or any Subsidiary has treated, stored, transported, Released or disposed of Hazardous Materials at or from any currently or formerly owned real property or facility relating to its business in a manner that could reasonably be expected to have a Material Adverse Effect.</w:t>
      </w:r>
    </w:p>
    <w:p>
      <w:pPr>
        <w:spacing w:after="0" w:line="79" w:lineRule="exact"/>
        <w:rPr>
          <w:rFonts w:ascii="Arial" w:cs="Arial" w:eastAsia="Arial" w:hAnsi="Arial"/>
          <w:sz w:val="18"/>
          <w:szCs w:val="18"/>
          <w:color w:val="auto"/>
        </w:rPr>
      </w:pPr>
    </w:p>
    <w:p>
      <w:pPr>
        <w:jc w:val="both"/>
        <w:ind w:right="20" w:firstLine="436"/>
        <w:spacing w:after="0" w:line="296" w:lineRule="auto"/>
        <w:tabs>
          <w:tab w:leader="none" w:pos="71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Except with respect to any matters that, individually or in the aggregate, could not reasonably be expected to result in a Material Adverse Effect, none of the Borrower or any Restricted Subsidiary (i) has failed to comply with any Environmental Law or to obtain, maintain or comply with any permit, license or other approval required under any Environmental Law, (ii) has, to the knowledge of the Borrower, become subject to any Environmental Liability, (iii) has received written notice of any claim with respect to any Environmental Liability or (iv) has, to the knowledge of the Borrower, any basis to reasonably expect that Holdings, the Borrower or any Restricted Subsidiary will become subject to any Environmental Liability.</w:t>
      </w:r>
    </w:p>
    <w:p>
      <w:pPr>
        <w:spacing w:after="0" w:line="53" w:lineRule="exact"/>
        <w:rPr>
          <w:rFonts w:ascii="Arial" w:cs="Arial" w:eastAsia="Arial" w:hAnsi="Arial"/>
          <w:sz w:val="16"/>
          <w:szCs w:val="16"/>
          <w:color w:val="auto"/>
        </w:rPr>
      </w:pPr>
    </w:p>
    <w:p>
      <w:pPr>
        <w:jc w:val="both"/>
        <w:ind w:right="20" w:firstLine="436"/>
        <w:spacing w:after="0" w:line="259" w:lineRule="auto"/>
        <w:tabs>
          <w:tab w:leader="none" w:pos="70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Except with respect to any matters that, individually or in the aggregate, could not reasonably be expected to result in a Material Adverse Effect, (a) there are no strikes or other labor disputes against Holdings, the Borrower or any Restricted Subsidiary pending or, to the knowledge of the Borrower, threatened in writing and (b) none of the Borrower or the Restricted Subsidiaries have been in violation of the Fair Labor Standards Act or any other Requirements of Law dealing with wage and hour matters.</w:t>
      </w:r>
    </w:p>
    <w:p>
      <w:pPr>
        <w:spacing w:after="0" w:line="18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of Holdings, the Borrower and each Restricted Subsidiary is in compliance with all Requirements of Law (including Heath Care Laws and Data Protection Requirements) applicable to it or its property except, where the failure to do so, individually or in the aggregate, could not reasonably be expected to result in a Material Adverse Effect.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20"/>
          </w:cols>
          <w:pgMar w:left="440" w:top="274" w:right="439" w:bottom="1440" w:gutter="0" w:footer="0" w:header="0"/>
        </w:sectPr>
      </w:pPr>
    </w:p>
    <w:bookmarkStart w:id="173" w:name="page174"/>
    <w:bookmarkEnd w:id="173"/>
    <w:p>
      <w:pPr>
        <w:jc w:val="both"/>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None of Holdings, the Borrower or any other Loan Party is an “investment company” as defined in, or subject to regulation under, the Investment Company Act of 1940, as amended from time to time.</w:t>
      </w:r>
    </w:p>
    <w:p>
      <w:pPr>
        <w:spacing w:after="0" w:line="170" w:lineRule="exact"/>
        <w:rPr>
          <w:sz w:val="20"/>
          <w:szCs w:val="20"/>
          <w:color w:val="auto"/>
        </w:rPr>
      </w:pPr>
    </w:p>
    <w:p>
      <w:pPr>
        <w:jc w:val="both"/>
        <w:ind w:right="20" w:firstLine="440"/>
        <w:spacing w:after="0" w:line="255"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could not, individually or in the aggregate, reasonably be expected to have a Material Adverse Effect, Holdings, the Borrower and each Restricted Subsidiary (a) have timely filed or caused to be filed all Tax returns required to have been filed and (b) have paid or caused to be paid all Taxes required to have been paid (whether or not shown on a Tax return) including in their capacity as tax withholding agents, except any Taxes (i) that are not overdue by more than 30 days or (ii) that are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Holdings, the Borrower or such Restricted Subsidiary, as the case may be, has set aside on its books adequate reserves therefor in accordance with GAAP.</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ERISA; Foreign Pension Plans</w:t>
      </w:r>
      <w:r>
        <w:rPr>
          <w:rFonts w:ascii="Arial" w:cs="Arial" w:eastAsia="Arial" w:hAnsi="Arial"/>
          <w:sz w:val="18"/>
          <w:szCs w:val="18"/>
          <w:color w:val="auto"/>
        </w:rPr>
        <w:t>.</w:t>
      </w:r>
    </w:p>
    <w:p>
      <w:pPr>
        <w:spacing w:after="0" w:line="117" w:lineRule="exact"/>
        <w:rPr>
          <w:sz w:val="20"/>
          <w:szCs w:val="20"/>
          <w:color w:val="auto"/>
        </w:rPr>
      </w:pPr>
    </w:p>
    <w:p>
      <w:pPr>
        <w:jc w:val="both"/>
        <w:ind w:right="20" w:firstLine="436"/>
        <w:spacing w:after="0" w:line="263" w:lineRule="auto"/>
        <w:tabs>
          <w:tab w:leader="none" w:pos="68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Except as could not, individually or in the aggregate, reasonably be expected to result in a Material Adverse Effect, each Plan is in compliance with the applicable provisions of ERISA, the Code and other federal or state laws and regulations and each Foreign Pension Plan is in compliance with all applicable laws and regulations.</w:t>
      </w:r>
    </w:p>
    <w:p>
      <w:pPr>
        <w:spacing w:after="0" w:line="75" w:lineRule="exact"/>
        <w:rPr>
          <w:rFonts w:ascii="Arial" w:cs="Arial" w:eastAsia="Arial" w:hAnsi="Arial"/>
          <w:sz w:val="18"/>
          <w:szCs w:val="18"/>
          <w:color w:val="auto"/>
        </w:rPr>
      </w:pPr>
    </w:p>
    <w:p>
      <w:pPr>
        <w:jc w:val="both"/>
        <w:ind w:firstLine="436"/>
        <w:spacing w:after="0" w:line="255" w:lineRule="auto"/>
        <w:tabs>
          <w:tab w:leader="none" w:pos="72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 ERISA Event has occurred and, except as could not reasonably be expected, individually or in the aggregate, to result in a Material Adverse Effect, no ERISA Event is expected to occur. Except as could not reasonably be expected, individually or in the aggregate, to result in a Material Adverse Effect, (i) neither any Loan Party nor any ERISA Affiliate has incurred, or reasonably expects to incur, any liability (and no event has occurred which, with the giving of notice under Section 4219 of ERISA, would result in such liability) under Section 4201 of ERISA with respect to a Multiemployer Plan and (ii) neither any Loan Party nor any ERISA Affiliate has engaged in a transaction that could be subject to Section 4069 or 4212(c) of ERISA.</w:t>
      </w:r>
    </w:p>
    <w:p>
      <w:pPr>
        <w:spacing w:after="0" w:line="84" w:lineRule="exact"/>
        <w:rPr>
          <w:rFonts w:ascii="Arial" w:cs="Arial" w:eastAsia="Arial" w:hAnsi="Arial"/>
          <w:sz w:val="18"/>
          <w:szCs w:val="18"/>
          <w:color w:val="auto"/>
        </w:rPr>
      </w:pPr>
    </w:p>
    <w:p>
      <w:pPr>
        <w:ind w:right="20" w:firstLine="436"/>
        <w:spacing w:after="0" w:line="277" w:lineRule="auto"/>
        <w:tabs>
          <w:tab w:leader="none" w:pos="70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As of the Effective Date, neither any Loan Party nor any ERISA Affiliate maintains, contributes to or has any liability (whether actual or contingent) with respect to any Plan, Multiemployer Plan or Foreign Pension Plan.</w:t>
      </w:r>
    </w:p>
    <w:p>
      <w:pPr>
        <w:spacing w:after="0" w:line="62" w:lineRule="exact"/>
        <w:rPr>
          <w:rFonts w:ascii="Arial" w:cs="Arial" w:eastAsia="Arial" w:hAnsi="Arial"/>
          <w:sz w:val="18"/>
          <w:szCs w:val="18"/>
          <w:color w:val="auto"/>
        </w:rPr>
      </w:pPr>
    </w:p>
    <w:p>
      <w:pPr>
        <w:jc w:val="both"/>
        <w:ind w:right="20" w:firstLine="436"/>
        <w:spacing w:after="0" w:line="263" w:lineRule="auto"/>
        <w:tabs>
          <w:tab w:leader="none" w:pos="71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As of the Effective Date, no Loan Party is (i) an employee benefit plan subject to Part IV of Subtitle B of Title I of ERISA, (ii) a plan or account described in Section 4975 of the Code to which Section 4975 of the Code applies, or (iii) an entity deemed to hold “plan assets” (within the meaning of Section 3(42) of ERISA) of any such plans or accounts.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117" w:lineRule="exact"/>
        <w:rPr>
          <w:sz w:val="20"/>
          <w:szCs w:val="20"/>
          <w:color w:val="auto"/>
        </w:rPr>
      </w:pPr>
    </w:p>
    <w:p>
      <w:pPr>
        <w:jc w:val="both"/>
        <w:ind w:right="20" w:firstLine="436"/>
        <w:spacing w:after="0" w:line="271" w:lineRule="auto"/>
        <w:tabs>
          <w:tab w:leader="none" w:pos="68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The written information or written data (taken as a whole) heretofore or contemporaneously furnished by the Borrower, any of its Subsidiaries or any of their respective authorized representatives to any Agent or any Lender on or before the Effective Date (including all such information contained in the Loan Documents) for purposes of, or in connection with, this Agreement or any transaction contemplated hereby, is correct in all material respects and does not contain any untrue statement of material fact and does not omit to state any material fact necessary to make the statements contained therein not materially misleading in light of the circumstances under which such statements are made (after giving effect to all supplements so furnished from time to time); it being understood and agreed that for purposes of this Section 3.11, such information and data shall not include projections (including financial estimates, forecasts and other forward-looking information), pro forma financial information or information of a general economic or industry specific nature;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20"/>
          </w:cols>
          <w:pgMar w:left="440" w:top="274" w:right="439" w:bottom="1440" w:gutter="0" w:footer="0" w:header="0"/>
        </w:sectPr>
      </w:pPr>
    </w:p>
    <w:bookmarkStart w:id="174" w:name="page175"/>
    <w:bookmarkEnd w:id="174"/>
    <w:p>
      <w:pPr>
        <w:jc w:val="both"/>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projected and pro forma financial information, the Borrower represents only that such information was prepared in good faith based upon assumptions believed to be reasonable at the time of preparation and delivery; it being understood that such projected and pro forma financial information is as to future events and not to be viewed as facts, is subject to significant uncertainties and contingencies, many of which are beyond the control of the Borrower and the Restricted Subsidiaries, that no assurance can be given that any particular projections will be realized and that actual results during the period or periods covered by any such projections may differ from the projected results and such differences may be material.</w:t>
      </w:r>
    </w:p>
    <w:p>
      <w:pPr>
        <w:spacing w:after="0" w:line="161" w:lineRule="exact"/>
        <w:rPr>
          <w:sz w:val="20"/>
          <w:szCs w:val="20"/>
          <w:color w:val="auto"/>
        </w:rPr>
      </w:pPr>
    </w:p>
    <w:p>
      <w:pPr>
        <w:ind w:right="20" w:firstLine="436"/>
        <w:spacing w:after="0" w:line="308" w:lineRule="auto"/>
        <w:tabs>
          <w:tab w:leader="none" w:pos="7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As of the Closing Date, the information included in the Beneficial Ownership Certification with respect to any beneficial owner (as defined in the Beneficial Ownership Regulation) of the Borrower, is true and correct in all material respects to the best of the beneficial owner’s knowledge.</w:t>
      </w:r>
    </w:p>
    <w:p>
      <w:pPr>
        <w:spacing w:after="0" w:line="146"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As of the Effective Date,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sets forth the name of, and the ownership interest of Holdings and each Subsidiary in, each Subsidiary.</w:t>
      </w:r>
    </w:p>
    <w:p>
      <w:pPr>
        <w:spacing w:after="0" w:line="170" w:lineRule="exact"/>
        <w:rPr>
          <w:sz w:val="20"/>
          <w:szCs w:val="20"/>
          <w:color w:val="auto"/>
        </w:rPr>
      </w:pPr>
    </w:p>
    <w:p>
      <w:pPr>
        <w:jc w:val="both"/>
        <w:ind w:firstLine="440"/>
        <w:spacing w:after="0" w:line="290"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Intellectual Property; Licenses, Etc.</w:t>
      </w:r>
      <w:r>
        <w:rPr>
          <w:rFonts w:ascii="Arial" w:cs="Arial" w:eastAsia="Arial" w:hAnsi="Arial"/>
          <w:sz w:val="16"/>
          <w:szCs w:val="16"/>
          <w:color w:val="auto"/>
        </w:rPr>
        <w:t>. Except as could not reasonably be expected to have a Material Adverse Effect, each of the Borrower and each Restricted Subsidiary owns, licenses or possesses the right to use, all of the rights to Intellectual Property that are reasonably necessary for the operation of its business as currently conducted, and, to the knowledge of the Borrower, without conflict with the rights of any Person. To the knowledge of the Borrower, the Borrower or each Restricted Subsidiary do not, in the operation of their businesses as currently conducted, infringe upon any Intellectual Property rights held by any Person except for such infringements, individually or in the aggregate, which could not reasonably be expected to have a Material Adverse Effect. No claim or litigation regarding any of the Intellectual Property owned by Holdings, the Borrower or any Restricted Subsidiary is pending or, to the knowledge of the Borrower, threatened in writing against the Borrower or any Restricted Subsidiary, which, individually or in the aggregate, could reasonably be expected to have a Material Adverse Effect.</w:t>
      </w:r>
    </w:p>
    <w:p>
      <w:pPr>
        <w:spacing w:after="0" w:line="16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Solvency</w:t>
      </w:r>
      <w:r>
        <w:rPr>
          <w:rFonts w:ascii="Arial" w:cs="Arial" w:eastAsia="Arial" w:hAnsi="Arial"/>
          <w:sz w:val="18"/>
          <w:szCs w:val="18"/>
          <w:color w:val="auto"/>
        </w:rPr>
        <w:t>. On the Effective Date, and after giving effect to the Transactions, the Borrower and its Subsidiaries, on a consolidated basis, are Solvent.</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spacing w:after="0" w:line="184" w:lineRule="exact"/>
        <w:rPr>
          <w:sz w:val="20"/>
          <w:szCs w:val="20"/>
          <w:color w:val="auto"/>
        </w:rPr>
      </w:pPr>
    </w:p>
    <w:p>
      <w:pPr>
        <w:jc w:val="both"/>
        <w:ind w:firstLine="440"/>
        <w:spacing w:after="0" w:line="271"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Security Interest in Collateral</w:t>
      </w:r>
      <w:r>
        <w:rPr>
          <w:rFonts w:ascii="Arial" w:cs="Arial" w:eastAsia="Arial" w:hAnsi="Arial"/>
          <w:sz w:val="17"/>
          <w:szCs w:val="17"/>
          <w:color w:val="auto"/>
        </w:rPr>
        <w:t xml:space="preserve">. Subject to the provisions of this Agreement (including, without limitation, the terms of the proviso to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all Collateral delivered after the Effective Date pursuant to </w:t>
      </w:r>
      <w:r>
        <w:rPr>
          <w:rFonts w:ascii="Arial" w:cs="Arial" w:eastAsia="Arial" w:hAnsi="Arial"/>
          <w:sz w:val="17"/>
          <w:szCs w:val="17"/>
          <w:u w:val="single" w:color="auto"/>
          <w:color w:val="auto"/>
        </w:rPr>
        <w:t>Section 5.12</w:t>
      </w:r>
      <w:r>
        <w:rPr>
          <w:rFonts w:ascii="Arial" w:cs="Arial" w:eastAsia="Arial" w:hAnsi="Arial"/>
          <w:sz w:val="17"/>
          <w:szCs w:val="17"/>
          <w:color w:val="auto"/>
        </w:rPr>
        <w:t>) and the other relevant Loan Documents, the Security Documents create legal, valid and enforceable Liens on all of the Collateral in favor of the Collateral Agent, for the benefit of itself and the other Secured Parties, subject to applicable bankruptcy, insolvency, reorganization, moratorium or other laws affecting creditors’ rights generally and subject to general principles of equity, regardless of whether considered in a proceeding in equity or at law. Upon the satisfaction of the applicable Perfection Requirements, such Liens constitute perfected Liens (with the priority that such Liens are expressed to have under the relevant Security Documents) on the Collateral (to the extent such Liens are required to be perfected under the terms of the Loan Documents) securing the Secured Obligations, in each case as and to the extent set forth therein.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USA Patriot Act, OFAC and FCPA</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20"/>
          </w:cols>
          <w:pgMar w:left="440" w:top="274" w:right="439" w:bottom="1440" w:gutter="0" w:footer="0" w:header="0"/>
        </w:sectPr>
      </w:pPr>
    </w:p>
    <w:bookmarkStart w:id="175" w:name="page176"/>
    <w:bookmarkEnd w:id="175"/>
    <w:p>
      <w:pPr>
        <w:jc w:val="both"/>
        <w:ind w:right="20" w:firstLine="436"/>
        <w:spacing w:after="0" w:line="255" w:lineRule="auto"/>
        <w:tabs>
          <w:tab w:leader="none" w:pos="707"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Holdings, the Borrower and the Subsidiaries will not use the proceeds of the Loans, or lend, contribute or otherwise make available such proceeds to any Subsidiary, joint venture partner or other Person, for the purpose of funding or financing (i) any activities of or business with any Person who is the target of applicable Sanctions, or in or with any country or territory that is the target of comprehensive Sanctions (as of the Effective Date, the Crimea region of Ukraine, Cuba, Iran, Syria, and North Korea) (each, a “</w:t>
      </w:r>
      <w:r>
        <w:rPr>
          <w:rFonts w:ascii="Arial" w:cs="Arial" w:eastAsia="Arial" w:hAnsi="Arial"/>
          <w:sz w:val="18"/>
          <w:szCs w:val="18"/>
          <w:u w:val="single" w:color="auto"/>
          <w:color w:val="auto"/>
        </w:rPr>
        <w:t>Sanctioned Country</w:t>
      </w:r>
      <w:r>
        <w:rPr>
          <w:rFonts w:ascii="Arial" w:cs="Arial" w:eastAsia="Arial" w:hAnsi="Arial"/>
          <w:sz w:val="18"/>
          <w:szCs w:val="18"/>
          <w:color w:val="auto"/>
        </w:rPr>
        <w:t>”), or (ii) any other transaction that would constitute or give rise to a violation by any Person (including any Person participating in the transaction, whether as underwriter, advisor, investor, lender or otherwise) of Sanctions.</w:t>
      </w:r>
    </w:p>
    <w:p>
      <w:pPr>
        <w:spacing w:after="0" w:line="84" w:lineRule="exact"/>
        <w:rPr>
          <w:rFonts w:ascii="Arial" w:cs="Arial" w:eastAsia="Arial" w:hAnsi="Arial"/>
          <w:sz w:val="18"/>
          <w:szCs w:val="18"/>
          <w:color w:val="auto"/>
        </w:rPr>
      </w:pPr>
    </w:p>
    <w:p>
      <w:pPr>
        <w:jc w:val="both"/>
        <w:ind w:firstLine="436"/>
        <w:spacing w:after="0" w:line="257" w:lineRule="auto"/>
        <w:tabs>
          <w:tab w:leader="none" w:pos="71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Holdings, the Borrower and the Restricted Subsidiaries will not use the proceeds of the Loans (i) for any payments to any governmental official or employee, political party, official of a political party, candidate for political office, or anyone else acting in an official capacity, in order to obtain, retain or direct business or obtain any improper advantage, in violation of (A) the United States Foreign Corrupt Practices Act of 1977, as amended (the “</w:t>
      </w:r>
      <w:r>
        <w:rPr>
          <w:rFonts w:ascii="Arial" w:cs="Arial" w:eastAsia="Arial" w:hAnsi="Arial"/>
          <w:sz w:val="18"/>
          <w:szCs w:val="18"/>
          <w:u w:val="single" w:color="auto"/>
          <w:color w:val="auto"/>
        </w:rPr>
        <w:t>FCPA</w:t>
      </w:r>
      <w:r>
        <w:rPr>
          <w:rFonts w:ascii="Arial" w:cs="Arial" w:eastAsia="Arial" w:hAnsi="Arial"/>
          <w:sz w:val="18"/>
          <w:szCs w:val="18"/>
          <w:color w:val="auto"/>
        </w:rPr>
        <w:t>”) or (B) other anti-corruption laws applicable to the Borrower and the Restricted Subsidiaries, or (ii) in violation of Title III of the USA Patriot Act.</w:t>
      </w:r>
    </w:p>
    <w:p>
      <w:pPr>
        <w:spacing w:after="0" w:line="79" w:lineRule="exact"/>
        <w:rPr>
          <w:rFonts w:ascii="Arial" w:cs="Arial" w:eastAsia="Arial" w:hAnsi="Arial"/>
          <w:sz w:val="18"/>
          <w:szCs w:val="18"/>
          <w:color w:val="auto"/>
        </w:rPr>
      </w:pPr>
    </w:p>
    <w:p>
      <w:pPr>
        <w:ind w:left="680" w:hanging="244"/>
        <w:spacing w:after="0"/>
        <w:tabs>
          <w:tab w:leader="none" w:pos="6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Each of Holdings, the Borrower and the Subsidiaries is in compliance in all material respects with applicable Sanctions.</w:t>
      </w:r>
    </w:p>
    <w:p>
      <w:pPr>
        <w:spacing w:after="0" w:line="117" w:lineRule="exact"/>
        <w:rPr>
          <w:rFonts w:ascii="Arial" w:cs="Arial" w:eastAsia="Arial" w:hAnsi="Arial"/>
          <w:sz w:val="18"/>
          <w:szCs w:val="18"/>
          <w:color w:val="auto"/>
        </w:rPr>
      </w:pPr>
    </w:p>
    <w:p>
      <w:pPr>
        <w:ind w:right="20" w:firstLine="436"/>
        <w:spacing w:after="0" w:line="277" w:lineRule="auto"/>
        <w:tabs>
          <w:tab w:leader="none" w:pos="69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Each of Holdings, the Borrower and the Restricted Subsidiaries is in compliance in (i) in all material respects with Title III of the USA Patriot Act and (ii) other than as could not reasonably be expected to result in a Material Adverse Effect, the FCPA.</w:t>
      </w:r>
    </w:p>
    <w:p>
      <w:pPr>
        <w:spacing w:after="0" w:line="62" w:lineRule="exact"/>
        <w:rPr>
          <w:rFonts w:ascii="Arial" w:cs="Arial" w:eastAsia="Arial" w:hAnsi="Arial"/>
          <w:sz w:val="18"/>
          <w:szCs w:val="18"/>
          <w:color w:val="auto"/>
        </w:rPr>
      </w:pPr>
    </w:p>
    <w:p>
      <w:pPr>
        <w:jc w:val="both"/>
        <w:ind w:right="20" w:firstLine="436"/>
        <w:spacing w:after="0" w:line="263" w:lineRule="auto"/>
        <w:tabs>
          <w:tab w:leader="none" w:pos="68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None of the Loan Parties or the Subsidiaries or, to the knowledge of Holdings and the Borrower, any director, officer or employee of the Loan Parties or the Subsidiaries, is an individual or entity: (i) currently on OFAC’s list of Specially Designated Nationals and Blocked Persons; (ii) located, organized or resident in a Sanctioned Country; or (iii) that is otherwise the subject or target of Sanctions.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w:t>
      </w:r>
    </w:p>
    <w:p>
      <w:pPr>
        <w:spacing w:after="0" w:line="225"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The obligations of the Lenders to make Loans and of each Issuing Bank to issue Letters of Credit hereunder shall not become effective until the date on which each of the following conditions shall be satisfied (or waived in accordance with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pacing w:after="0" w:line="38" w:lineRule="exact"/>
        <w:rPr>
          <w:sz w:val="20"/>
          <w:szCs w:val="20"/>
          <w:color w:val="auto"/>
        </w:rPr>
      </w:pPr>
    </w:p>
    <w:p>
      <w:pPr>
        <w:jc w:val="both"/>
        <w:ind w:firstLine="436"/>
        <w:spacing w:after="0" w:line="301" w:lineRule="auto"/>
        <w:tabs>
          <w:tab w:leader="none" w:pos="686"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from (i) a Responsible Officer of each of Holdings and the Borrower, (ii) each of the Administrative Agent and the Collateral Agent, (iii) each Lender, (iv) the Swingline Lender and (v) each Issuing Bank, either (x) a counterpart of this Agreement signed on behalf of such party or (y) written evidence satisfactory to the Administrative Agent (which may include a copy transmitted by facsimile or other electronic transmission of a signed counterpart of this Agreement) that such party has signed a counterpart of this Agreement.</w:t>
      </w:r>
    </w:p>
    <w:p>
      <w:pPr>
        <w:spacing w:after="0" w:line="49" w:lineRule="exact"/>
        <w:rPr>
          <w:rFonts w:ascii="Arial" w:cs="Arial" w:eastAsia="Arial" w:hAnsi="Arial"/>
          <w:sz w:val="16"/>
          <w:szCs w:val="16"/>
          <w:color w:val="auto"/>
        </w:rPr>
      </w:pPr>
    </w:p>
    <w:p>
      <w:pPr>
        <w:ind w:right="20" w:firstLine="436"/>
        <w:spacing w:after="0" w:line="277" w:lineRule="auto"/>
        <w:tabs>
          <w:tab w:leader="none" w:pos="70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Administrative Agent shall have received a written opinion (addressed to the Administrative Agent, the Collateral Agent and the Lenders and dated the Effective Date) of Simpson Thacher &amp; Bartlett LLP, as special New York counsel for the Loan Parties.</w:t>
      </w:r>
    </w:p>
    <w:p>
      <w:pPr>
        <w:spacing w:after="0" w:line="62" w:lineRule="exact"/>
        <w:rPr>
          <w:rFonts w:ascii="Arial" w:cs="Arial" w:eastAsia="Arial" w:hAnsi="Arial"/>
          <w:sz w:val="18"/>
          <w:szCs w:val="18"/>
          <w:color w:val="auto"/>
        </w:rPr>
      </w:pPr>
    </w:p>
    <w:p>
      <w:pPr>
        <w:ind w:right="20" w:firstLine="436"/>
        <w:spacing w:after="0" w:line="277" w:lineRule="auto"/>
        <w:tabs>
          <w:tab w:leader="none" w:pos="68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of the Borrower, dated the Effective Date and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confirming compliance with the condition set forth in </w:t>
      </w:r>
      <w:r>
        <w:rPr>
          <w:rFonts w:ascii="Arial" w:cs="Arial" w:eastAsia="Arial" w:hAnsi="Arial"/>
          <w:sz w:val="18"/>
          <w:szCs w:val="18"/>
          <w:u w:val="single" w:color="auto"/>
          <w:color w:val="auto"/>
        </w:rPr>
        <w:t>Section 4.01(o)(ii)</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20"/>
          </w:cols>
          <w:pgMar w:left="440" w:top="274" w:right="439" w:bottom="1440" w:gutter="0" w:footer="0" w:header="0"/>
        </w:sectPr>
      </w:pPr>
    </w:p>
    <w:bookmarkStart w:id="176" w:name="page177"/>
    <w:bookmarkEnd w:id="176"/>
    <w:p>
      <w:pPr>
        <w:ind w:left="724" w:hanging="284"/>
        <w:spacing w:after="0"/>
        <w:tabs>
          <w:tab w:leader="none" w:pos="724" w:val="left"/>
        </w:tabs>
        <w:numPr>
          <w:ilvl w:val="1"/>
          <w:numId w:val="1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have received a certificate of each Loan Party, dated the Effective Date, including or attaching a copy of</w:t>
      </w:r>
    </w:p>
    <w:p>
      <w:pPr>
        <w:spacing w:after="0" w:line="34" w:lineRule="exact"/>
        <w:rPr>
          <w:rFonts w:ascii="Arial" w:cs="Arial" w:eastAsia="Arial" w:hAnsi="Arial"/>
          <w:sz w:val="17"/>
          <w:szCs w:val="17"/>
          <w:color w:val="auto"/>
        </w:rPr>
      </w:pPr>
    </w:p>
    <w:p>
      <w:pPr>
        <w:ind w:left="224" w:hanging="224"/>
        <w:spacing w:after="0"/>
        <w:tabs>
          <w:tab w:leader="none" w:pos="22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each Organizational Document of each Loan Party certified, to the extent applicable, as of a recent date by the applicable Governmental Authority,</w:t>
      </w:r>
    </w:p>
    <w:p>
      <w:pPr>
        <w:spacing w:after="0" w:line="32" w:lineRule="exact"/>
        <w:rPr>
          <w:rFonts w:ascii="Arial" w:cs="Arial" w:eastAsia="Arial" w:hAnsi="Arial"/>
          <w:sz w:val="16"/>
          <w:szCs w:val="16"/>
          <w:color w:val="auto"/>
        </w:rPr>
      </w:pPr>
    </w:p>
    <w:p>
      <w:pPr>
        <w:ind w:left="304" w:hanging="304"/>
        <w:spacing w:after="0"/>
        <w:tabs>
          <w:tab w:leader="none" w:pos="304" w:val="left"/>
        </w:tabs>
        <w:numPr>
          <w:ilvl w:val="0"/>
          <w:numId w:val="189"/>
        </w:numPr>
        <w:rPr>
          <w:rFonts w:ascii="Arial" w:cs="Arial" w:eastAsia="Arial" w:hAnsi="Arial"/>
          <w:sz w:val="17"/>
          <w:szCs w:val="17"/>
          <w:color w:val="auto"/>
        </w:rPr>
      </w:pPr>
      <w:r>
        <w:rPr>
          <w:rFonts w:ascii="Arial" w:cs="Arial" w:eastAsia="Arial" w:hAnsi="Arial"/>
          <w:sz w:val="17"/>
          <w:szCs w:val="17"/>
          <w:color w:val="auto"/>
        </w:rPr>
        <w:t>signature and incumbency certificates of the Responsible Officers of each Loan Party executing the Loan Documents to which it is a party,</w:t>
      </w:r>
    </w:p>
    <w:p>
      <w:pPr>
        <w:spacing w:after="0" w:line="20" w:lineRule="exact"/>
        <w:rPr>
          <w:rFonts w:ascii="Arial" w:cs="Arial" w:eastAsia="Arial" w:hAnsi="Arial"/>
          <w:sz w:val="17"/>
          <w:szCs w:val="17"/>
          <w:color w:val="auto"/>
        </w:rPr>
      </w:pPr>
    </w:p>
    <w:p>
      <w:pPr>
        <w:jc w:val="both"/>
        <w:ind w:left="4" w:right="20" w:hanging="4"/>
        <w:spacing w:after="0" w:line="281" w:lineRule="auto"/>
        <w:tabs>
          <w:tab w:leader="none" w:pos="32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resolutions of the Board of Directors of each Loan Party approving and authorizing the execution, delivery and performance of Loan Documents to which it is a party, certified as of the Effective Date by a Responsible Officer as being in full force and effect without modification or amendment, and</w:t>
      </w:r>
    </w:p>
    <w:p>
      <w:pPr>
        <w:spacing w:after="0" w:line="1" w:lineRule="exact"/>
        <w:rPr>
          <w:rFonts w:ascii="Arial" w:cs="Arial" w:eastAsia="Arial" w:hAnsi="Arial"/>
          <w:sz w:val="16"/>
          <w:szCs w:val="16"/>
          <w:color w:val="auto"/>
        </w:rPr>
      </w:pPr>
    </w:p>
    <w:p>
      <w:pPr>
        <w:ind w:left="4" w:right="20" w:hanging="4"/>
        <w:spacing w:after="0" w:line="260" w:lineRule="auto"/>
        <w:tabs>
          <w:tab w:leader="none" w:pos="33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good standing certificate (to the extent such concept exists) from the applicable Governmental Authority of each Loan Party’s jurisdiction of incorporation, organization or formation.</w:t>
      </w:r>
    </w:p>
    <w:p>
      <w:pPr>
        <w:spacing w:after="0" w:line="77" w:lineRule="exact"/>
        <w:rPr>
          <w:rFonts w:ascii="Arial" w:cs="Arial" w:eastAsia="Arial" w:hAnsi="Arial"/>
          <w:sz w:val="18"/>
          <w:szCs w:val="18"/>
          <w:color w:val="auto"/>
        </w:rPr>
      </w:pPr>
    </w:p>
    <w:p>
      <w:pPr>
        <w:jc w:val="both"/>
        <w:ind w:left="4" w:firstLine="436"/>
        <w:spacing w:after="0" w:line="257" w:lineRule="auto"/>
        <w:tabs>
          <w:tab w:leader="none" w:pos="7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All fees required to be paid on the Effective Date, including pursuant to the Fee Letter and reasonable out-of-pocket expenses required to be paid on the Effective Date pursuant to the Commitment Letter, and with respect to expenses, to the extent invoiced at least three Business Days (as defined in the Merger Agreement) prior to the Effective Date (except as otherwise reasonably agreed by the Borrower), shall, upon the initial Borrowings under the Credit Facilities hereunder, have been, or will be substantially simultaneously, paid (which amounts may be offset against the proceeds of the Credit Facilities hereunder).</w:t>
      </w:r>
    </w:p>
    <w:p>
      <w:pPr>
        <w:spacing w:after="0" w:line="79" w:lineRule="exact"/>
        <w:rPr>
          <w:rFonts w:ascii="Arial" w:cs="Arial" w:eastAsia="Arial" w:hAnsi="Arial"/>
          <w:sz w:val="18"/>
          <w:szCs w:val="18"/>
          <w:color w:val="auto"/>
        </w:rPr>
      </w:pPr>
    </w:p>
    <w:p>
      <w:pPr>
        <w:jc w:val="both"/>
        <w:ind w:left="4" w:firstLine="436"/>
        <w:spacing w:after="0" w:line="285" w:lineRule="auto"/>
        <w:tabs>
          <w:tab w:leader="none" w:pos="676" w:val="left"/>
        </w:tabs>
        <w:numPr>
          <w:ilvl w:val="1"/>
          <w:numId w:val="189"/>
        </w:numPr>
        <w:rPr>
          <w:rFonts w:ascii="Arial" w:cs="Arial" w:eastAsia="Arial" w:hAnsi="Arial"/>
          <w:sz w:val="16"/>
          <w:szCs w:val="16"/>
          <w:color w:val="auto"/>
        </w:rPr>
      </w:pPr>
      <w:r>
        <w:rPr>
          <w:rFonts w:ascii="Arial" w:cs="Arial" w:eastAsia="Arial" w:hAnsi="Arial"/>
          <w:sz w:val="16"/>
          <w:szCs w:val="16"/>
          <w:color w:val="auto"/>
        </w:rPr>
        <w:t xml:space="preserve">The Collateral and Guarantee Requirement shall have been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contained in this Agreement or the other Loan Documents, to the extent any security interest in any Collateral is not or cannot be provided and/or perfected on the Effective Date (other than the pledge and perfection of the security interests (i) in the certificated Equity Interests, if any, of the Borrower and any wholly-owned Domestic Subsidiary of Holdings that is a Restricted Subsidiary and that is not an Immaterial Subsidiary (to the extent required by the Collateral and Guarantee Requirement);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subsidiaries of the Target, to the extent the Borrower has used commercially reasonable efforts to procure the delivery thereof prior to the Effective Date, certificated Equity Interests of the subsidiaries of the Target will only be required to be delivered on the Effective Date pursuant to the terms set forth herein if such certificates are actually received from the Seller or the Target and (ii) in other assets pursuant to which a security interest may be perfected by the filing of a financing statement under the UCC but, for the avoidance of doubt, including the items described in clause (e) of the definition of the term “Collateral and Guarantee Requirement”) after the Borrower’s use of commercially reasonable efforts to do so or without undue burden or expense, then the provision and/or perfection of a security interest in such Collateral shall not constitute a condition to the initial Borrowing under the Credit Facilities to occur on the Effective Date and the Borrower agrees to deliver or cause to be delivered such documents and instruments, and take or cause to be taken such other actions as may be required to provide and/or perfect such security interests, with respect to any other Collateral (other than certificated Equity Interests of the Target or any wholly-owned material U.S. restricted subsidiary of the Target not delivered on the Effective Date, on or prior to the date that is five Business Days after the Effective Date, and with respect to any other such Collateral, on or prior to the date that is 90 days after the Effective Date or, in each case, such longer period of time as may be mutually agreed by the Collateral Agent and the Borrower, each acting reasonably.</w:t>
      </w:r>
    </w:p>
    <w:p>
      <w:pPr>
        <w:spacing w:after="0" w:line="68" w:lineRule="exact"/>
        <w:rPr>
          <w:rFonts w:ascii="Arial" w:cs="Arial" w:eastAsia="Arial" w:hAnsi="Arial"/>
          <w:sz w:val="16"/>
          <w:szCs w:val="16"/>
          <w:color w:val="auto"/>
        </w:rPr>
      </w:pPr>
    </w:p>
    <w:p>
      <w:pPr>
        <w:jc w:val="both"/>
        <w:ind w:left="4" w:right="20" w:firstLine="436"/>
        <w:spacing w:after="0" w:line="259" w:lineRule="auto"/>
        <w:tabs>
          <w:tab w:leader="none" w:pos="71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Subject to the proviso in paragraph (f) above, each document (including any UCC (or similar) financing statement) required by any Security Document or under applicable Requirements of Law to be filed, registered or recorded in order to create in favor of the Collateral Agent, for the benefit of the Secured Parties, a perfected Lien on the Collateral required to be delivered pursuant to such Security Document, shall be in proper form for filing, registration or recordation.</w:t>
      </w:r>
    </w:p>
    <w:p>
      <w:pPr>
        <w:spacing w:after="0" w:line="78" w:lineRule="exact"/>
        <w:rPr>
          <w:rFonts w:ascii="Arial" w:cs="Arial" w:eastAsia="Arial" w:hAnsi="Arial"/>
          <w:sz w:val="18"/>
          <w:szCs w:val="18"/>
          <w:color w:val="auto"/>
        </w:rPr>
      </w:pPr>
    </w:p>
    <w:p>
      <w:pPr>
        <w:ind w:left="4" w:right="20" w:firstLine="436"/>
        <w:spacing w:after="0" w:line="277" w:lineRule="auto"/>
        <w:tabs>
          <w:tab w:leader="none" w:pos="74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Effective Date Refinancing shall have been consummated, or shall be consummated substantially simultaneously with the initial Borrowing under any of the Credit Facilities.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24"/>
          </w:cols>
          <w:pgMar w:left="436" w:top="274" w:right="439" w:bottom="1440" w:gutter="0" w:footer="0" w:header="0"/>
        </w:sectPr>
      </w:pPr>
    </w:p>
    <w:bookmarkStart w:id="177" w:name="page178"/>
    <w:bookmarkEnd w:id="177"/>
    <w:p>
      <w:pPr>
        <w:ind w:right="20" w:firstLine="436"/>
        <w:spacing w:after="0" w:line="277" w:lineRule="auto"/>
        <w:tabs>
          <w:tab w:leader="none" w:pos="6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have received (i) the Audited Financial Statements, (ii) the Unaudited Financials, and (iii) the Pro Forma Financial Statements.</w:t>
      </w:r>
    </w:p>
    <w:p>
      <w:pPr>
        <w:spacing w:after="0" w:line="62" w:lineRule="exact"/>
        <w:rPr>
          <w:rFonts w:ascii="Arial" w:cs="Arial" w:eastAsia="Arial" w:hAnsi="Arial"/>
          <w:sz w:val="18"/>
          <w:szCs w:val="18"/>
          <w:color w:val="auto"/>
        </w:rPr>
      </w:pPr>
    </w:p>
    <w:p>
      <w:pPr>
        <w:jc w:val="both"/>
        <w:ind w:right="20" w:firstLine="436"/>
        <w:spacing w:after="0" w:line="263" w:lineRule="auto"/>
        <w:tabs>
          <w:tab w:leader="none" w:pos="69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from the chief financial officer (or other officer with reasonably equivalent responsibilities) of the Borrower certifying that the Borrower and its Subsidiaries, on a consolidated basis after giving effect to the Transactions are Solvent.</w:t>
      </w:r>
    </w:p>
    <w:p>
      <w:pPr>
        <w:spacing w:after="0" w:line="75" w:lineRule="exact"/>
        <w:rPr>
          <w:rFonts w:ascii="Arial" w:cs="Arial" w:eastAsia="Arial" w:hAnsi="Arial"/>
          <w:sz w:val="18"/>
          <w:szCs w:val="18"/>
          <w:color w:val="auto"/>
        </w:rPr>
      </w:pPr>
    </w:p>
    <w:p>
      <w:pPr>
        <w:jc w:val="both"/>
        <w:ind w:firstLine="436"/>
        <w:spacing w:after="0" w:line="273" w:lineRule="auto"/>
        <w:tabs>
          <w:tab w:leader="none" w:pos="732"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Administrative Agent and the Joint Bookrunners shall have received, at least three Business Days prior to the Effective Date, all documentation and other information about the Borrower and the Guarantors that shall have been reasonably requested by the Administrative Agent or the Joint Bookrunners in writing at least 10 Business Days prior to the Effective Date and that the Administrative Agent and the Joint Bookrunners reasonably determine is required by United States regulatory authorities under applicable “know your customer” and anti-money laundering rules and regulations, including without limitation the USA Patriot Act, including, if the Borrower qualifies as a “legal entity customer” under the Beneficial Ownership Regulation, a Beneficial Ownership Certification in relation to the Borrower.</w:t>
      </w:r>
    </w:p>
    <w:p>
      <w:pPr>
        <w:spacing w:after="0" w:line="69" w:lineRule="exact"/>
        <w:rPr>
          <w:rFonts w:ascii="Arial" w:cs="Arial" w:eastAsia="Arial" w:hAnsi="Arial"/>
          <w:sz w:val="17"/>
          <w:szCs w:val="17"/>
          <w:color w:val="auto"/>
        </w:rPr>
      </w:pPr>
    </w:p>
    <w:p>
      <w:pPr>
        <w:ind w:right="20" w:firstLine="436"/>
        <w:spacing w:after="0" w:line="277" w:lineRule="auto"/>
        <w:tabs>
          <w:tab w:leader="none" w:pos="67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Equity Contribution shall have been made, or substantially simultaneously with the initial Borrowing under any of the Credit Facilities hereunder, shall be made, in at least the amount set forth in the definition thereof.</w:t>
      </w:r>
    </w:p>
    <w:p>
      <w:pPr>
        <w:spacing w:after="0" w:line="62" w:lineRule="exact"/>
        <w:rPr>
          <w:rFonts w:ascii="Arial" w:cs="Arial" w:eastAsia="Arial" w:hAnsi="Arial"/>
          <w:sz w:val="18"/>
          <w:szCs w:val="18"/>
          <w:color w:val="auto"/>
        </w:rPr>
      </w:pPr>
    </w:p>
    <w:p>
      <w:pPr>
        <w:ind w:firstLine="436"/>
        <w:spacing w:after="0" w:line="277" w:lineRule="auto"/>
        <w:tabs>
          <w:tab w:leader="none" w:pos="75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Between the Signing Date and the Effective Date, no Company Material Adverse Effect (as defined in the Merger Agreement as in effect on the Signing Date) shall have occurred.</w:t>
      </w:r>
    </w:p>
    <w:p>
      <w:pPr>
        <w:spacing w:after="0" w:line="62" w:lineRule="exact"/>
        <w:rPr>
          <w:rFonts w:ascii="Arial" w:cs="Arial" w:eastAsia="Arial" w:hAnsi="Arial"/>
          <w:sz w:val="18"/>
          <w:szCs w:val="18"/>
          <w:color w:val="auto"/>
        </w:rPr>
      </w:pPr>
    </w:p>
    <w:p>
      <w:pPr>
        <w:jc w:val="both"/>
        <w:ind w:right="20" w:firstLine="436"/>
        <w:spacing w:after="0" w:line="257" w:lineRule="auto"/>
        <w:tabs>
          <w:tab w:leader="none" w:pos="73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Acquisition shall have been consummated, or substantially simultaneously with, the Borrowing under any of the Credit Facilities hereunder, shall be consummated, in all material respects in accordance with the terms of the Merger Agreement, after giving effect to any modifications, amendments, supplements, consents, waivers or requests, other than those modifications, amendments, supplements, consents, waivers or requests (including the effects of any such requests) that are materially adverse to the interests of the Lenders or the Joint Lead Arrangers (including their affiliates with Commitments hereunder).</w:t>
      </w:r>
    </w:p>
    <w:p>
      <w:pPr>
        <w:spacing w:after="0" w:line="79" w:lineRule="exact"/>
        <w:rPr>
          <w:rFonts w:ascii="Arial" w:cs="Arial" w:eastAsia="Arial" w:hAnsi="Arial"/>
          <w:sz w:val="18"/>
          <w:szCs w:val="18"/>
          <w:color w:val="auto"/>
        </w:rPr>
      </w:pPr>
    </w:p>
    <w:p>
      <w:pPr>
        <w:jc w:val="both"/>
        <w:ind w:firstLine="436"/>
        <w:spacing w:after="0" w:line="271" w:lineRule="auto"/>
        <w:tabs>
          <w:tab w:leader="none" w:pos="69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The (i) Specified Merger Agreement Representations shall be true and correct but only to the extent that Parent (or any of its affiliates) has the right (taking into account any applicable cure provisions) to terminate its (or its affiliates’) obligations under the Merger Agreement or decline to consummate the Acquisition (in each case in accordance with the terms thereof) as a result of a breach of such representation in the Merger Agreement and (ii) the Specified Representations shall be true and correct in all material respects on the Effective Date (unless such representations relate to an earlier date, in which case, such representations shall have been true and correct in all materials respect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Specified Representation is qualified by or subject to a “material adverse effect”, “material adverse change” or similar term or qualification, the definition thereof shall be the definition of Company Material Adverse Effect (as defined in the Merger Agreement) for purposes of the making or deemed making of such Specified Representation on, or as of, the Effective Date (or any date prior thereto).</w:t>
      </w:r>
    </w:p>
    <w:p>
      <w:pPr>
        <w:spacing w:after="0" w:line="70" w:lineRule="exact"/>
        <w:rPr>
          <w:rFonts w:ascii="Arial" w:cs="Arial" w:eastAsia="Arial" w:hAnsi="Arial"/>
          <w:sz w:val="17"/>
          <w:szCs w:val="17"/>
          <w:color w:val="auto"/>
        </w:rPr>
      </w:pPr>
    </w:p>
    <w:p>
      <w:pPr>
        <w:ind w:left="700" w:hanging="264"/>
        <w:spacing w:after="0"/>
        <w:tabs>
          <w:tab w:leader="none" w:pos="7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Administrative Agent shall have received a Borrowing Request.</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each Issuing Bank to issue, amend (other than an amendment in respect of a then outstanding Letter of Credit that does not increase the face amount thereof), renew or extend any Letter of Credit is subject to receipt of the request therefor in accordance herewith and to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20"/>
          </w:cols>
          <w:pgMar w:left="440" w:top="274" w:right="439" w:bottom="1440" w:gutter="0" w:footer="0" w:header="0"/>
        </w:sectPr>
      </w:pPr>
    </w:p>
    <w:bookmarkStart w:id="178" w:name="page179"/>
    <w:bookmarkEnd w:id="178"/>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satisfaction of the following conditions;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following conditions shall not apply to (i) extensions of credit on the Effective Date (including any Letter of Credit being issued (or deemed issued) on the Effective Date), (ii) any Borrowings under any Incremental Facility, the conditions of which are set forth in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and (iii) any extensions of credit or Borrowings under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76" w:lineRule="exact"/>
        <w:rPr>
          <w:sz w:val="20"/>
          <w:szCs w:val="20"/>
          <w:color w:val="auto"/>
        </w:rPr>
      </w:pPr>
    </w:p>
    <w:p>
      <w:pPr>
        <w:jc w:val="both"/>
        <w:ind w:firstLine="436"/>
        <w:spacing w:after="0" w:line="296" w:lineRule="auto"/>
        <w:tabs>
          <w:tab w:leader="none" w:pos="68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each Loan Party set forth in the Loan Documents shall be true and correct in all material respects on and as of the date of such Borrowing or the date of issuance, amendment, renewal or extension of such Letter of Credit,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representation and warranty that is qualified as to “materiality,” “Material Adverse Effect” or similar language shall be true and correct in all respects on the date of such credit extension or on such earlier date, as the case may be.</w:t>
      </w:r>
    </w:p>
    <w:p>
      <w:pPr>
        <w:spacing w:after="0" w:line="53" w:lineRule="exact"/>
        <w:rPr>
          <w:rFonts w:ascii="Arial" w:cs="Arial" w:eastAsia="Arial" w:hAnsi="Arial"/>
          <w:sz w:val="16"/>
          <w:szCs w:val="16"/>
          <w:color w:val="auto"/>
        </w:rPr>
      </w:pPr>
    </w:p>
    <w:p>
      <w:pPr>
        <w:ind w:right="20" w:firstLine="436"/>
        <w:spacing w:after="0" w:line="277" w:lineRule="auto"/>
        <w:tabs>
          <w:tab w:leader="none" w:pos="71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the case may be, no Default or Event of Default shall have occurred and be continuing.</w:t>
      </w:r>
    </w:p>
    <w:p>
      <w:pPr>
        <w:spacing w:after="0" w:line="62" w:lineRule="exact"/>
        <w:rPr>
          <w:rFonts w:ascii="Arial" w:cs="Arial" w:eastAsia="Arial" w:hAnsi="Arial"/>
          <w:sz w:val="18"/>
          <w:szCs w:val="18"/>
          <w:color w:val="auto"/>
        </w:rPr>
      </w:pPr>
    </w:p>
    <w:p>
      <w:pPr>
        <w:ind w:right="20" w:firstLine="436"/>
        <w:spacing w:after="0" w:line="277" w:lineRule="auto"/>
        <w:tabs>
          <w:tab w:leader="none" w:pos="73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The Administrative Agent or, if applicable, the Swingline Lender, shall have received a Borrowing Request in accordance with the requirements hereof or the Loan Parties shall have complied with the requirements of </w:t>
      </w:r>
      <w:r>
        <w:rPr>
          <w:rFonts w:ascii="Arial" w:cs="Arial" w:eastAsia="Arial" w:hAnsi="Arial"/>
          <w:sz w:val="18"/>
          <w:szCs w:val="18"/>
          <w:u w:val="single" w:color="auto"/>
          <w:color w:val="auto"/>
        </w:rPr>
        <w:t>2.05(b)</w:t>
      </w:r>
      <w:r>
        <w:rPr>
          <w:rFonts w:ascii="Arial" w:cs="Arial" w:eastAsia="Arial" w:hAnsi="Arial"/>
          <w:sz w:val="18"/>
          <w:szCs w:val="18"/>
          <w:color w:val="auto"/>
        </w:rPr>
        <w:t>, as applicable.</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Each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conversion or a continuation of a Borrowing shall not constitute a “Borrowing” for purposes of this Section) and each issuance, amendment, renewal or extension of a Letter of Credit after the Effective Date shall be deemed to constitute a representation and warranty by the Borrower on the date of the applicable Borrowing as to the matters specified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 xml:space="preserve">Until the Termination Date shall have occurred, each of Holdings (solely with respect to </w:t>
      </w:r>
      <w:r>
        <w:rPr>
          <w:rFonts w:ascii="Arial" w:cs="Arial" w:eastAsia="Arial" w:hAnsi="Arial"/>
          <w:sz w:val="18"/>
          <w:szCs w:val="18"/>
          <w:u w:val="single" w:color="auto"/>
          <w:color w:val="auto"/>
        </w:rPr>
        <w:t>Sections 5.04</w:t>
      </w:r>
      <w:r>
        <w:rPr>
          <w:rFonts w:ascii="Arial" w:cs="Arial" w:eastAsia="Arial" w:hAnsi="Arial"/>
          <w:sz w:val="18"/>
          <w:szCs w:val="18"/>
          <w:color w:val="auto"/>
        </w:rPr>
        <w:t xml:space="preserve">, </w:t>
      </w:r>
      <w:r>
        <w:rPr>
          <w:rFonts w:ascii="Arial" w:cs="Arial" w:eastAsia="Arial" w:hAnsi="Arial"/>
          <w:sz w:val="18"/>
          <w:szCs w:val="18"/>
          <w:u w:val="single" w:color="auto"/>
          <w:color w:val="auto"/>
        </w:rPr>
        <w:t>5.05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 and the Borrower covenants and agrees with the Lenders that:</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Administrative Agent (for further distribution by the Administrative Agent to the Lenders):</w:t>
      </w:r>
    </w:p>
    <w:p>
      <w:pPr>
        <w:spacing w:after="0" w:line="170" w:lineRule="exact"/>
        <w:rPr>
          <w:sz w:val="20"/>
          <w:szCs w:val="20"/>
          <w:color w:val="auto"/>
        </w:rPr>
      </w:pPr>
    </w:p>
    <w:p>
      <w:pPr>
        <w:jc w:val="both"/>
        <w:ind w:firstLine="436"/>
        <w:spacing w:after="0" w:line="288" w:lineRule="auto"/>
        <w:tabs>
          <w:tab w:leader="none" w:pos="688" w:val="left"/>
        </w:tabs>
        <w:numPr>
          <w:ilvl w:val="0"/>
          <w:numId w:val="192"/>
        </w:numPr>
        <w:rPr>
          <w:rFonts w:ascii="Arial" w:cs="Arial" w:eastAsia="Arial" w:hAnsi="Arial"/>
          <w:sz w:val="16"/>
          <w:szCs w:val="16"/>
          <w:color w:val="auto"/>
        </w:rPr>
      </w:pPr>
      <w:r>
        <w:rPr>
          <w:rFonts w:ascii="Arial" w:cs="Arial" w:eastAsia="Arial" w:hAnsi="Arial"/>
          <w:sz w:val="16"/>
          <w:szCs w:val="16"/>
          <w:color w:val="auto"/>
        </w:rPr>
        <w:t>commencing with the fiscal year ending December 31, 2019, as soon as available, but in any event within 120 days after the end of each fiscal year of the Borrower (or, in the case of the fiscal year ending December 31, 2019, 150 days), the audited consolidated balance sheet of the Borrower as at the end of such fiscal year, and the related audited consolidated statements of operations and consolidated statements of comprehensive income, consolidated statements of changes in members’ equity and consolidated audited statements of cash flows of the Borrower for such fiscal year, and related notes and related explanations thereto, setting forth in each case (other than the fiscal year ended December 31, 2019 (with respect to which for the avoidance of doubt, no comparative consolidated figures or reconciliation will be required)) in comparative form, the figures for the preceding fiscal year, all reported on by Ernst &amp; Young LLP or other independent public accountants of recognized national standing, which report and opinion shall be prepared in accordance with generally accepted auditing standards, without a qualification as to going concern as defined by Statement on Accounting Standards AU-C Section 570 “The Auditor’s Consideration of an Entity’s Ability to Continue as a Going Concern” (or any similar statement under any amended or successor rule as may be adopted by the Auditing Standards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20"/>
          </w:cols>
          <w:pgMar w:left="440" w:top="274" w:right="439" w:bottom="1440" w:gutter="0" w:footer="0" w:header="0"/>
        </w:sectPr>
      </w:pPr>
    </w:p>
    <w:bookmarkStart w:id="179" w:name="page180"/>
    <w:bookmarkEnd w:id="179"/>
    <w:p>
      <w:pPr>
        <w:jc w:val="both"/>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from time to time) or as to the scope of the audit (other than, in each such case, (1) solely with respect to, or expressly resulting solely from, an upcoming maturity date within twelve (12) months under the documentation governing any Indebtedness, (2) the activities, operations, financial results, assets or liabilities of any Unrestricted Subsidiaries or (3) any prospective breach of the Financial Maintenance Covenant), to the effect that such consolidated financial statements present fairly in all material respects the consolidated financial position and consolidated results of operations and cash flows of the Borrower and its consolidated Subsidiaries as of the end of and for such year on a consolidated basis in accordance with GAAP consistently applied;</w:t>
      </w:r>
    </w:p>
    <w:p>
      <w:pPr>
        <w:spacing w:after="0" w:line="84" w:lineRule="exact"/>
        <w:rPr>
          <w:sz w:val="20"/>
          <w:szCs w:val="20"/>
          <w:color w:val="auto"/>
        </w:rPr>
      </w:pPr>
    </w:p>
    <w:p>
      <w:pPr>
        <w:jc w:val="both"/>
        <w:ind w:left="4" w:firstLine="436"/>
        <w:spacing w:after="0" w:line="286" w:lineRule="auto"/>
        <w:tabs>
          <w:tab w:leader="none" w:pos="717" w:val="left"/>
        </w:tabs>
        <w:numPr>
          <w:ilvl w:val="1"/>
          <w:numId w:val="193"/>
        </w:numPr>
        <w:rPr>
          <w:rFonts w:ascii="Arial" w:cs="Arial" w:eastAsia="Arial" w:hAnsi="Arial"/>
          <w:sz w:val="16"/>
          <w:szCs w:val="16"/>
          <w:color w:val="auto"/>
        </w:rPr>
      </w:pPr>
      <w:r>
        <w:rPr>
          <w:rFonts w:ascii="Arial" w:cs="Arial" w:eastAsia="Arial" w:hAnsi="Arial"/>
          <w:sz w:val="16"/>
          <w:szCs w:val="16"/>
          <w:color w:val="auto"/>
        </w:rPr>
        <w:t>commencing with the fiscal quarter ended September 30, 2019, as soon as available, but in any event within 45 days after the end of each fiscal quarter of each fiscal year of the Borrower (or, in the case of the fiscal quarters ending September 30, 2019, December 31, 2019, March 31, 2020, June 30, 2020 and September 30, 2020, 60 days), the unaudited consolidated balance sheet of the Borrower as at the end of such fiscal quarter and the related unaudited consolidated statements of operations and unaudited consolidated statements of comprehensive income, unaudited consolidated statements of changes in members’ equity and consolidated unaudited statements of cash flows for such fiscal quarter and for the elapsed portion of the fiscal year ended with the last day of such fiscal quarter, and the related unaudited consolidated statement of cash flow for the portion of the fiscal year ended with the last day of such fiscal quarter, and setting forth in each case (other than for the quarterly periods ending September 30, 2019, December 31, 2019, March 31, 2020, June 30, 2020 and September 30, 2020 (with respect to which for the avoidance of doubt, no comparative consolidated figures or reconciliation will be required)) in comparative form the figures for the corresponding period or periods of (or, in the case of the balance sheets, as of the end of) the previous fiscal year, all certified by a Financial Officer as presenting fairly in all material respects the consolidated financial position and consolidated results of operations and cash flows of the Borrower and its consolidated Subsidiaries as of the end of and for such fiscal quarter (except in the case of cash flows) and such portion of the fiscal year on a consolidated basis in accordance with GAAP consistently applied, subject to changes resulting from audit and normal year-end audit adjustments and to the absence of footnotes;</w:t>
      </w:r>
    </w:p>
    <w:p>
      <w:pPr>
        <w:spacing w:after="0" w:line="65" w:lineRule="exact"/>
        <w:rPr>
          <w:rFonts w:ascii="Arial" w:cs="Arial" w:eastAsia="Arial" w:hAnsi="Arial"/>
          <w:sz w:val="16"/>
          <w:szCs w:val="16"/>
          <w:color w:val="auto"/>
        </w:rPr>
      </w:pPr>
    </w:p>
    <w:p>
      <w:pPr>
        <w:jc w:val="both"/>
        <w:ind w:left="4" w:right="20" w:firstLine="436"/>
        <w:spacing w:after="0" w:line="263" w:lineRule="auto"/>
        <w:tabs>
          <w:tab w:leader="none" w:pos="71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 xml:space="preserve">for any period in which a Subsidiary has been designated as an Unrestricted Subsidiary, simultaneously with the delivery of the financial statements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for such period, supplemental financial information necessary to eliminate the accounts of Unrestricted Subsidiaries from such consolidated financial statements;</w:t>
      </w:r>
    </w:p>
    <w:p>
      <w:pPr>
        <w:spacing w:after="0" w:line="75" w:lineRule="exact"/>
        <w:rPr>
          <w:rFonts w:ascii="Arial" w:cs="Arial" w:eastAsia="Arial" w:hAnsi="Arial"/>
          <w:sz w:val="18"/>
          <w:szCs w:val="18"/>
          <w:color w:val="auto"/>
        </w:rPr>
      </w:pPr>
    </w:p>
    <w:p>
      <w:pPr>
        <w:ind w:left="724" w:hanging="284"/>
        <w:spacing w:after="0"/>
        <w:tabs>
          <w:tab w:leader="none" w:pos="724"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not later than five Business Days after any delivery of financial statements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(excluding, in the case of clause</w:t>
      </w:r>
    </w:p>
    <w:p>
      <w:pPr>
        <w:spacing w:after="0" w:line="34" w:lineRule="exact"/>
        <w:rPr>
          <w:rFonts w:ascii="Arial" w:cs="Arial" w:eastAsia="Arial" w:hAnsi="Arial"/>
          <w:sz w:val="17"/>
          <w:szCs w:val="17"/>
          <w:color w:val="auto"/>
        </w:rPr>
      </w:pPr>
    </w:p>
    <w:p>
      <w:pPr>
        <w:jc w:val="both"/>
        <w:ind w:left="4" w:right="20" w:hanging="4"/>
        <w:spacing w:after="0" w:line="268" w:lineRule="auto"/>
        <w:tabs>
          <w:tab w:leader="none" w:pos="262"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above, with respect to the fourth fiscal quarter of any year), a Compliance Certificate of a Financial Officer (i) certifying as to whether a Default has occurred and, if a Default has occurred, specifying the details thereof and any action taken or proposed to be taken with respect thereto, (ii) setting forth reasonably detailed calculations demonstrating compliance with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for such Test Period, (iii) setting forth reasonably detailed calculations in the case of financial statements delivered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beginning with the financial statements for the fiscal year of the Borrower ending December 31, 2020, of Excess Cash Flow for such fiscal year and (iv) in the case of financial statements delivered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setting forth a reasonably detailed calculation of the Net Proceeds received during the applicable period by or on behalf of the Borrower or any Subsidiary in respect of any Disposition/Casualty Prepayment Event and the portion of such Net Proceeds that has been invested or is intended to be reinvested in accordance with the first proviso in </w:t>
      </w:r>
      <w:r>
        <w:rPr>
          <w:rFonts w:ascii="Arial" w:cs="Arial" w:eastAsia="Arial" w:hAnsi="Arial"/>
          <w:sz w:val="17"/>
          <w:szCs w:val="17"/>
          <w:u w:val="single" w:color="auto"/>
          <w:color w:val="auto"/>
        </w:rPr>
        <w:t>Section 2.11(c</w:t>
      </w:r>
      <w:r>
        <w:rPr>
          <w:rFonts w:ascii="Arial" w:cs="Arial" w:eastAsia="Arial" w:hAnsi="Arial"/>
          <w:sz w:val="17"/>
          <w:szCs w:val="17"/>
          <w:color w:val="auto"/>
        </w:rPr>
        <w:t>);</w:t>
      </w:r>
    </w:p>
    <w:p>
      <w:pPr>
        <w:spacing w:after="0" w:line="75" w:lineRule="exact"/>
        <w:rPr>
          <w:rFonts w:ascii="Arial" w:cs="Arial" w:eastAsia="Arial" w:hAnsi="Arial"/>
          <w:sz w:val="17"/>
          <w:szCs w:val="17"/>
          <w:color w:val="auto"/>
        </w:rPr>
      </w:pPr>
    </w:p>
    <w:p>
      <w:pPr>
        <w:ind w:left="4" w:right="20" w:firstLine="436"/>
        <w:spacing w:after="0" w:line="277" w:lineRule="auto"/>
        <w:tabs>
          <w:tab w:leader="none" w:pos="69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not later than five Business Days after any delivery of financial statements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(other than under clause (b) above, in respect of the fourth fiscal quarter of any year), a</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24"/>
          </w:cols>
          <w:pgMar w:left="436" w:top="274" w:right="439" w:bottom="1440" w:gutter="0" w:footer="0" w:header="0"/>
        </w:sectPr>
      </w:pPr>
    </w:p>
    <w:bookmarkStart w:id="180" w:name="page181"/>
    <w:bookmarkEnd w:id="180"/>
    <w:p>
      <w:pPr>
        <w:ind w:left="4"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narrative discussion and analysis of the financial condition and results of operations of the Borrower and its Subsidiaries for such fiscal quarter or such fiscal year;</w:t>
      </w:r>
    </w:p>
    <w:p>
      <w:pPr>
        <w:spacing w:after="0" w:line="62" w:lineRule="exact"/>
        <w:rPr>
          <w:sz w:val="20"/>
          <w:szCs w:val="20"/>
          <w:color w:val="auto"/>
        </w:rPr>
      </w:pPr>
    </w:p>
    <w:p>
      <w:pPr>
        <w:jc w:val="both"/>
        <w:ind w:left="4" w:right="20" w:firstLine="436"/>
        <w:spacing w:after="0" w:line="263" w:lineRule="auto"/>
        <w:tabs>
          <w:tab w:leader="none" w:pos="69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not later than 120 days after the commencement of each fiscal year of the Borrower (or, in the case of the first fiscal year following the Effective Date, 150 days) occurring prior to an IPO, a detailed consolidated budget for the Borrower and its Subsidiaries for such fiscal year in a form customarily prepared by the Borrower;</w:t>
      </w:r>
    </w:p>
    <w:p>
      <w:pPr>
        <w:spacing w:after="0" w:line="75" w:lineRule="exact"/>
        <w:rPr>
          <w:rFonts w:ascii="Arial" w:cs="Arial" w:eastAsia="Arial" w:hAnsi="Arial"/>
          <w:sz w:val="18"/>
          <w:szCs w:val="18"/>
          <w:color w:val="auto"/>
        </w:rPr>
      </w:pPr>
    </w:p>
    <w:p>
      <w:pPr>
        <w:jc w:val="both"/>
        <w:ind w:left="4" w:firstLine="436"/>
        <w:spacing w:after="0" w:line="255" w:lineRule="auto"/>
        <w:tabs>
          <w:tab w:leader="none" w:pos="71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any annual, quarterly and other regular, material periodic and special reports (including on Form 10-K, 10-Q or 8-K) and registration statements which Holdings, the Borrower or any Restricted Subsidiary files with the SEC or any analogous Governmental Authority in any relevant jurisdiction (other than amendments to any registration statement (to the extent such registration statement, in the form it becomes effective, is delivered to the Administrative Agent for further delivery to the Lenders), exhibits to any registration statement and, if applicable, any registration statements on Form S-8 and other than any filing filed confidentiality with the SEC or any analogous Governmental Authority in any relevant jurisdiction); and</w:t>
      </w:r>
    </w:p>
    <w:p>
      <w:pPr>
        <w:spacing w:after="0" w:line="84" w:lineRule="exact"/>
        <w:rPr>
          <w:rFonts w:ascii="Arial" w:cs="Arial" w:eastAsia="Arial" w:hAnsi="Arial"/>
          <w:sz w:val="18"/>
          <w:szCs w:val="18"/>
          <w:color w:val="auto"/>
        </w:rPr>
      </w:pPr>
    </w:p>
    <w:p>
      <w:pPr>
        <w:jc w:val="both"/>
        <w:ind w:left="4" w:firstLine="436"/>
        <w:spacing w:after="0" w:line="272" w:lineRule="auto"/>
        <w:tabs>
          <w:tab w:leader="none" w:pos="701"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promptly following any request therefor, such other information (which may be in the form of an officer’s certificate) regarding the operations, business affairs and financial condition of the Borrower or any Restricted Subsidiary, or compliance with the terms of any Loan Document, as the Administrative Agent on its own behalf or on behalf of any Lender may reasonably request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none of the Borrower or any of its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binding confidentiality agreement or (iii) is subject to attorney-client or similar privilege or constitutes attorney work product.</w:t>
      </w:r>
    </w:p>
    <w:p>
      <w:pPr>
        <w:spacing w:after="0" w:line="177" w:lineRule="exact"/>
        <w:rPr>
          <w:sz w:val="20"/>
          <w:szCs w:val="20"/>
          <w:color w:val="auto"/>
        </w:rPr>
      </w:pPr>
    </w:p>
    <w:p>
      <w:pPr>
        <w:jc w:val="both"/>
        <w:ind w:left="4" w:firstLine="440"/>
        <w:spacing w:after="0" w:line="283" w:lineRule="auto"/>
        <w:rPr>
          <w:sz w:val="20"/>
          <w:szCs w:val="20"/>
          <w:color w:val="auto"/>
        </w:rPr>
      </w:pPr>
      <w:r>
        <w:rPr>
          <w:rFonts w:ascii="Arial" w:cs="Arial" w:eastAsia="Arial" w:hAnsi="Arial"/>
          <w:sz w:val="16"/>
          <w:szCs w:val="16"/>
          <w:color w:val="auto"/>
        </w:rPr>
        <w:t xml:space="preserve">Notwithstanding the foregoing, the obligations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may be satisfied with respect to financial information of the Borrower and its Subsidiaries by furnishing (A) the Form 10-K or 10-Q (or the equivalent), as applicable, of the Borrower (or another Parent Entity) filed with the SEC or (B) the applicable financial statements of the Borrower (or any Parent Entity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information relates to a Parent Entity, such information is accompanied by consolidating information, which may be unaudited, that explains in reasonable detail the differences between the information relating to such Parent Entity and its consolidated subsidiaries, on the one hand, and the information relating to the Borrower and its consolidated Subsidiaries on a stand-alone basis, on the other hand, and to the extent such information is in lieu of information required to be provided under </w:t>
      </w:r>
      <w:r>
        <w:rPr>
          <w:rFonts w:ascii="Arial" w:cs="Arial" w:eastAsia="Arial" w:hAnsi="Arial"/>
          <w:sz w:val="16"/>
          <w:szCs w:val="16"/>
          <w:u w:val="single" w:color="auto"/>
          <w:color w:val="auto"/>
        </w:rPr>
        <w:t>Section 5.01(a)</w:t>
      </w:r>
      <w:r>
        <w:rPr>
          <w:rFonts w:ascii="Arial" w:cs="Arial" w:eastAsia="Arial" w:hAnsi="Arial"/>
          <w:sz w:val="16"/>
          <w:szCs w:val="16"/>
          <w:color w:val="auto"/>
        </w:rPr>
        <w:t>, such materials are accompanied by a report and opinion of Ernst &amp; Young LLP or any other independent registered public accounting firm of nationally recognized standing, which report and opinion shall be prepared in accordance with generally accepted auditing standards, without any qualification related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or as to the scope of the audit (other than (1) solely with respect to, or expressly resulting solely from, an upcoming maturity date within twelve (12) months under the documentation governing any Indebtedness,</w:t>
      </w:r>
    </w:p>
    <w:p>
      <w:pPr>
        <w:spacing w:after="0" w:line="3" w:lineRule="exact"/>
        <w:rPr>
          <w:sz w:val="20"/>
          <w:szCs w:val="20"/>
          <w:color w:val="auto"/>
        </w:rPr>
      </w:pPr>
    </w:p>
    <w:p>
      <w:pPr>
        <w:ind w:left="4" w:right="20" w:hanging="4"/>
        <w:spacing w:after="0" w:line="260" w:lineRule="auto"/>
        <w:tabs>
          <w:tab w:leader="none" w:pos="29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activities, operations, financial results, assets or liabilities of any Unrestricted Subsidiaries or (3) any prospective breach of the Financial Maintenance Covenant).</w:t>
      </w:r>
    </w:p>
    <w:p>
      <w:pPr>
        <w:spacing w:after="0" w:line="185"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may be delivered electronically and if so delivered, shall be deemed to have been delivered on the earlier of the date (A) on which the Borrower posts such documents, or provides a link thereto, on the Borrower’s or one of its Affiliates’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24"/>
          </w:cols>
          <w:pgMar w:left="436" w:top="274" w:right="439" w:bottom="1440" w:gutter="0" w:footer="0" w:header="0"/>
        </w:sectPr>
      </w:pPr>
    </w:p>
    <w:bookmarkStart w:id="181" w:name="page182"/>
    <w:bookmarkEnd w:id="181"/>
    <w:p>
      <w:pPr>
        <w:jc w:val="both"/>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website on the Internet or (B) on which such documents are posted on the Borrower’s behalf on Syndtrak or another website, if any, to which each Lender and the 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deliver such documents to the Administrative Agent upon its reasonable request until a written notice to cease delivering such documents is given by the Administrative Agent and (ii) the Borrower shall notify the Administrative Agent (by telecopier or electronic mail) of the posting of any such documents and upon its reasonable request, provide to the Administrative Agent by electronic mail electronic versions (</w:t>
      </w:r>
      <w:r>
        <w:rPr>
          <w:rFonts w:ascii="Arial" w:cs="Arial" w:eastAsia="Arial" w:hAnsi="Arial"/>
          <w:sz w:val="18"/>
          <w:szCs w:val="18"/>
          <w:u w:val="single" w:color="auto"/>
          <w:color w:val="auto"/>
        </w:rPr>
        <w:t>i.e.</w:t>
      </w:r>
      <w:r>
        <w:rPr>
          <w:rFonts w:ascii="Arial" w:cs="Arial" w:eastAsia="Arial" w:hAnsi="Arial"/>
          <w:sz w:val="18"/>
          <w:szCs w:val="18"/>
          <w:color w:val="auto"/>
        </w:rPr>
        <w:t>,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92" w:lineRule="exact"/>
        <w:rPr>
          <w:sz w:val="20"/>
          <w:szCs w:val="20"/>
          <w:color w:val="auto"/>
        </w:rPr>
      </w:pPr>
    </w:p>
    <w:p>
      <w:pPr>
        <w:jc w:val="both"/>
        <w:ind w:firstLine="440"/>
        <w:spacing w:after="0" w:line="268" w:lineRule="auto"/>
        <w:rPr>
          <w:sz w:val="20"/>
          <w:szCs w:val="20"/>
          <w:color w:val="auto"/>
        </w:rPr>
      </w:pPr>
      <w:r>
        <w:rPr>
          <w:rFonts w:ascii="Arial" w:cs="Arial" w:eastAsia="Arial" w:hAnsi="Arial"/>
          <w:sz w:val="17"/>
          <w:szCs w:val="17"/>
          <w:color w:val="auto"/>
        </w:rPr>
        <w:t>The Borrower hereby acknowledges that (a) the Administrative Agent and/or the Joint Bookrunners will make available to the Lenders materials and/or information provided by or on behalf of the Borrower hereunder (collectively, “</w:t>
      </w:r>
      <w:r>
        <w:rPr>
          <w:rFonts w:ascii="Arial" w:cs="Arial" w:eastAsia="Arial" w:hAnsi="Arial"/>
          <w:sz w:val="17"/>
          <w:szCs w:val="17"/>
          <w:u w:val="single" w:color="auto"/>
          <w:color w:val="auto"/>
        </w:rPr>
        <w:t>Company Materials</w:t>
      </w:r>
      <w:r>
        <w:rPr>
          <w:rFonts w:ascii="Arial" w:cs="Arial" w:eastAsia="Arial" w:hAnsi="Arial"/>
          <w:sz w:val="17"/>
          <w:szCs w:val="17"/>
          <w:color w:val="auto"/>
        </w:rPr>
        <w:t>”) by posting the Company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upon the Administrative Agent’s reasonable request, use commercially reasonable efforts to identify that portion of the Company Materials that may be distributed to the Public Lenders and that (i) all such Company Materials shall be clearly and conspicuously marked “PUBLIC” which, at a minimum, shall mean that the word “PUBLIC” shall appear prominently on the first page thereof; (ii) by marking Company Materials “PUBLIC,” the Borrower shall be deemed to have authorized the Administrative Agent, the Joint Bookrunners and the Lenders to treat such Company Materials as not containing any material non-public information (although it may be sensitive and proprietary) with respect to the Borrower or its respective Affiliates or its and their respective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Company Materials constitute Information, they shall be treated as set forth in </w:t>
      </w:r>
      <w:r>
        <w:rPr>
          <w:rFonts w:ascii="Arial" w:cs="Arial" w:eastAsia="Arial" w:hAnsi="Arial"/>
          <w:sz w:val="17"/>
          <w:szCs w:val="17"/>
          <w:u w:val="single" w:color="auto"/>
          <w:color w:val="auto"/>
        </w:rPr>
        <w:t>Section 9.12</w:t>
      </w:r>
      <w:r>
        <w:rPr>
          <w:rFonts w:ascii="Arial" w:cs="Arial" w:eastAsia="Arial" w:hAnsi="Arial"/>
          <w:sz w:val="17"/>
          <w:szCs w:val="17"/>
          <w:color w:val="auto"/>
        </w:rPr>
        <w:t>); (iii) all Company Materials marked “PUBLIC” are permitted to be made available through a portion of the Platform designated “Public Side Information”; and (iv) the Administrative Agent and the Joint Bookrunners shall be entitled to treat any Company Materials that are not marked “PUBLIC” as being suitable only for posting on a portion of the Platform not designated “Public Side Information.”</w:t>
      </w:r>
    </w:p>
    <w:p>
      <w:pPr>
        <w:spacing w:after="0" w:line="182"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for the avoidance of doubt, anything disclosed, examined inspected or otherwise made available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subject to the provisions of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Notices of Material Events</w:t>
      </w:r>
      <w:r>
        <w:rPr>
          <w:rFonts w:ascii="Arial" w:cs="Arial" w:eastAsia="Arial" w:hAnsi="Arial"/>
          <w:sz w:val="17"/>
          <w:szCs w:val="17"/>
          <w:color w:val="auto"/>
        </w:rPr>
        <w:t>. Promptly after any Responsible Officer of the Borrower obtains actual knowledge thereof,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Borrower will furnish to the Administrative Agent (for distribution to each Lender through the Administrative Agent) written notice of the following:</w:t>
      </w:r>
    </w:p>
    <w:p>
      <w:pPr>
        <w:spacing w:after="0" w:line="114" w:lineRule="exact"/>
        <w:rPr>
          <w:sz w:val="20"/>
          <w:szCs w:val="20"/>
          <w:color w:val="auto"/>
        </w:rPr>
      </w:pPr>
    </w:p>
    <w:p>
      <w:pPr>
        <w:ind w:left="680" w:hanging="244"/>
        <w:spacing w:after="0"/>
        <w:tabs>
          <w:tab w:leader="none" w:pos="6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occurrence of any Default; and</w:t>
      </w:r>
    </w:p>
    <w:p>
      <w:pPr>
        <w:spacing w:after="0" w:line="117" w:lineRule="exact"/>
        <w:rPr>
          <w:rFonts w:ascii="Arial" w:cs="Arial" w:eastAsia="Arial" w:hAnsi="Arial"/>
          <w:sz w:val="18"/>
          <w:szCs w:val="18"/>
          <w:color w:val="auto"/>
        </w:rPr>
      </w:pPr>
    </w:p>
    <w:p>
      <w:pPr>
        <w:jc w:val="both"/>
        <w:ind w:firstLine="436"/>
        <w:spacing w:after="0" w:line="257" w:lineRule="auto"/>
        <w:tabs>
          <w:tab w:leader="none" w:pos="71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(1) the filing or commencement of any action, suit or proceeding by or before any arbitrator or Governmental Authority against or, to the knowledge of a Financial Officer or another senior executive officer of Holdings or the Borrower, affecting Holdings, the Borrower or any of its Restricted Subsidiaries or (2) the receipt of a written notice of an Environmental Liability or the occurrence of an ERISA Event, or liability with respect to a Foreign Pension Plan, in each case that could, individually or in connection with any other event or liability, reasonably be expected to result in a Material Adverse Effect.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20"/>
          </w:cols>
          <w:pgMar w:left="440" w:top="274" w:right="439" w:bottom="1440" w:gutter="0" w:footer="0" w:header="0"/>
        </w:sectPr>
      </w:pPr>
    </w:p>
    <w:bookmarkStart w:id="182" w:name="page183"/>
    <w:bookmarkEnd w:id="182"/>
    <w:p>
      <w:pPr>
        <w:jc w:val="both"/>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notice delivered under this Section shall be accompanied by a written statement of a Responsible Officer of Holdings or the Borrower setting forth the details of the event or development requiring such notice and any action taken or proposed to be taken with respect thereto.</w:t>
      </w:r>
    </w:p>
    <w:p>
      <w:pPr>
        <w:spacing w:after="0" w:line="146"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Information Regarding Collateral</w:t>
      </w:r>
      <w:r>
        <w:rPr>
          <w:rFonts w:ascii="Arial" w:cs="Arial" w:eastAsia="Arial" w:hAnsi="Arial"/>
          <w:sz w:val="18"/>
          <w:szCs w:val="18"/>
          <w:color w:val="auto"/>
        </w:rPr>
        <w:t>. The Borrower will furnish to the Administrative Agent promptly after the occurrence thereof (and in any event within 60 days or such longer period as reasonably agreed to by the Administrative Agent) written notice of any change (i) in any Loan Party’s legal name (as set forth in its certificate of organization or like document), (ii) in the jurisdiction of incorporation or organization or the location of the chief executive office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spacing w:after="0" w:line="192" w:lineRule="exact"/>
        <w:rPr>
          <w:sz w:val="20"/>
          <w:szCs w:val="20"/>
          <w:color w:val="auto"/>
        </w:rPr>
      </w:pPr>
    </w:p>
    <w:p>
      <w:pPr>
        <w:jc w:val="both"/>
        <w:ind w:right="20" w:firstLine="440"/>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Each of Holdings and the Borrower will, and will cause each Subsidiary to, do or cause to be done all things necessary to obtain, preserve, renew, and keep in full force and effect its legal existence and the rights, licenses, permits, privileges, franchises, patents, copyrights, trademarks, trade names and all other Intellectual Property material to the conduct of its business, in each case (other than the preservation of the legal existence of Holdings and the Borrower) to the extent that the failure to do so could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6.06</w:t>
      </w:r>
      <w:r>
        <w:rPr>
          <w:rFonts w:ascii="Arial" w:cs="Arial" w:eastAsia="Arial" w:hAnsi="Arial"/>
          <w:sz w:val="18"/>
          <w:szCs w:val="18"/>
          <w:color w:val="auto"/>
        </w:rPr>
        <w:t xml:space="preserve"> or any Disposition permitted by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92"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Payment of Taxes, Etc.</w:t>
      </w:r>
      <w:r>
        <w:rPr>
          <w:rFonts w:ascii="Arial" w:cs="Arial" w:eastAsia="Arial" w:hAnsi="Arial"/>
          <w:sz w:val="18"/>
          <w:szCs w:val="18"/>
          <w:color w:val="auto"/>
        </w:rPr>
        <w:t xml:space="preserve"> Each of Holdings and the Borrower will, and will cause each Restricted Subsidiary to, pay its obligations in respect of Taxes before the same shall become delinquent or in default, except (a) where the failure to make payment could not reasonably be expected, individually or in the aggregate, to result in a Material Adverse Effect, or (b) for Taxes that are being contested in good faith by appropriate proceedings for which adequate reserves have been made in accordance with GAAP.</w:t>
      </w:r>
    </w:p>
    <w:p>
      <w:pPr>
        <w:spacing w:after="0" w:line="187" w:lineRule="exact"/>
        <w:rPr>
          <w:sz w:val="20"/>
          <w:szCs w:val="20"/>
          <w:color w:val="auto"/>
        </w:rPr>
      </w:pPr>
    </w:p>
    <w:p>
      <w:pPr>
        <w:jc w:val="both"/>
        <w:ind w:firstLine="440"/>
        <w:spacing w:after="0" w:line="271"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The Borrower will, and will cause each Restricted 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 In the event of the Release or presence of any Hazardous Material on any real property of the Borrower or any Subsidiary, the Borrower and its Subsidiaries, upon discovery thereof, shall take all reasonable and necessary steps to initiate and expeditiously complete all response, corrective and other action required under Environmental Laws or by a Governmental Authority to mitigate and eliminate any related Environmental Liability, and shall keep the Administrative Agent informed of their actions and the results of such actions as the Administrative Agent shall reasonably request, except where the failure to do so could not reasonably be expected to have, individually or in the aggregate, a Material Adverse Effect.</w:t>
      </w:r>
    </w:p>
    <w:p>
      <w:pPr>
        <w:spacing w:after="0" w:line="178" w:lineRule="exact"/>
        <w:rPr>
          <w:sz w:val="20"/>
          <w:szCs w:val="20"/>
          <w:color w:val="auto"/>
        </w:rPr>
      </w:pPr>
    </w:p>
    <w:p>
      <w:pPr>
        <w:jc w:val="both"/>
        <w:ind w:right="20" w:firstLine="440"/>
        <w:spacing w:after="0" w:line="254"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Borrower will, and will cause each Restricted Subsidiary to, maintain,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of the management of the Borrower) are reasonable and prudent in light of the size and nature of its business; and will furnish to the Lenders, upon the reasonable written request from the Administrative Agent, information presented in reasonable detail as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20"/>
          </w:cols>
          <w:pgMar w:left="440" w:top="274" w:right="439" w:bottom="1440" w:gutter="0" w:footer="0" w:header="0"/>
        </w:sectPr>
      </w:pPr>
    </w:p>
    <w:bookmarkStart w:id="183" w:name="page184"/>
    <w:bookmarkEnd w:id="183"/>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insurance so carried. Subject to </w:t>
      </w:r>
      <w:r>
        <w:rPr>
          <w:rFonts w:ascii="Arial" w:cs="Arial" w:eastAsia="Arial" w:hAnsi="Arial"/>
          <w:sz w:val="16"/>
          <w:szCs w:val="16"/>
          <w:u w:val="single" w:color="auto"/>
          <w:color w:val="auto"/>
        </w:rPr>
        <w:t>Section 5.14</w:t>
      </w:r>
      <w:r>
        <w:rPr>
          <w:rFonts w:ascii="Arial" w:cs="Arial" w:eastAsia="Arial" w:hAnsi="Arial"/>
          <w:sz w:val="16"/>
          <w:szCs w:val="16"/>
          <w:color w:val="auto"/>
        </w:rPr>
        <w:t>, each such policy of insurance maintained by a Loan Party shall (i) in the case of any liability policies, name the Collateral Agent and the Secured Parties as additional insureds thereunder as its interests may appear and (ii) in the case of each casualty insurance policy (excluding any business interruption insurance, workers’ compensation policy or employee liability policy), contain an additional loss payable/mortgagee clause or endorsement that names Collateral Agent, on behalf of the Secured Parties, as an additional loss payee/mortgagee thereunder. If any portion of any Mortgaged Property subject to FEMA rules and regulations is at any time located in an area identified by FEMA (or any successor agency) as a Special Flood Hazard Area with respect to which flood insurance has been made available under the Flood Insurance Laws, then the Borrower shall, or shall cause the relevant Loan Party to, (i) maintain or cause to be maintained, flood insurance sufficient to comply with all applicable rules and regulations promulgated pursuant to the Flood Insurance Laws and (ii) deliver to the Administrative Agent evidence of such compliance, which evidence complies with applicable Flood Insurance Laws and rules and regulations promulgated pursuant thereto.</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Books and Records; Inspection and Audit Rights; Lender call</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85" w:lineRule="auto"/>
        <w:tabs>
          <w:tab w:leader="none" w:pos="69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The Borrower will, and will cause each Restricted Subsidiary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the Borrower or the Restricted Subsidiaries, as the case may be. The Borrower will, and will cause each Restricted Subsidiary to, permit any representatives designated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Administrative Agent on behalf of the Lenders may exercise visitation and inspection rights of the Administrative Agent and the Lenders under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and the Administrative Agent shall not exercise such rights more often than one time during any calendar year absent the existence of an Event of Default, which visitation and inspection shall be at the reasonable expense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when an Event of Default exists and is continuing, the Administrative Agent (or any of its representatives or independent contractors) may do any of the foregoing at the expense of the Borrower at any time during normal business hours and upon reasonable advance notice and (ii) the Administrative Agent shall give the Borrower the opportunity to participate in any discussions with the Borrower’s independent public accountants. Notwithstanding anything to the contrary, none of Holdings, the Borrower or any Restricted Subsidiary will be required to disclose, permit the inspection, examination or making copies or abstracts of, or discussion of, any document, information or other matter (A) that constitutes non-financial trade secrets or non-financial proprietary information, (B) in respect of which disclosure to any Agent or any Lender (or their respective representatives or contractors) is prohibited by Requirements of Law or any binding confidentiality agreement or (C) that is subject to attorney-client or similar privilege or constitutes attorney work product.</w:t>
      </w:r>
    </w:p>
    <w:p>
      <w:pPr>
        <w:spacing w:after="0" w:line="68" w:lineRule="exact"/>
        <w:rPr>
          <w:rFonts w:ascii="Arial" w:cs="Arial" w:eastAsia="Arial" w:hAnsi="Arial"/>
          <w:sz w:val="16"/>
          <w:szCs w:val="16"/>
          <w:color w:val="auto"/>
        </w:rPr>
      </w:pPr>
    </w:p>
    <w:p>
      <w:pPr>
        <w:jc w:val="both"/>
        <w:ind w:right="20" w:firstLine="436"/>
        <w:spacing w:after="0" w:line="259" w:lineRule="auto"/>
        <w:tabs>
          <w:tab w:leader="none" w:pos="69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At the request of the Administrative Agent and not more than once per calendar year, upon reasonable prior notice and in any event not earlier than after delivery of the narrative discussion under Section 5.01(e) for the prior year (beginning with the narrative discussion delivered with respect to the 2019 fiscal year), the Borrower shall host a conference call for the Lenders to discuss the performance of the Borrower and its Restricted Subsidiaries during the fiscal year most recently ended.</w:t>
      </w:r>
    </w:p>
    <w:p>
      <w:pPr>
        <w:spacing w:after="0" w:line="18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and will cause each Restricted Subsidiary to, comply with its Organizational Documents and all Requirements of Law (including Environmental Laws, ERISA, Health Care Laws and Data Protection Requirements) applicable to it or its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20"/>
          </w:cols>
          <w:pgMar w:left="440" w:top="274" w:right="439" w:bottom="1440" w:gutter="0" w:footer="0" w:header="0"/>
        </w:sectPr>
      </w:pPr>
    </w:p>
    <w:bookmarkStart w:id="184" w:name="page185"/>
    <w:bookmarkEnd w:id="18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except where the failure to do so, individually or in the aggregate, could not reasonably be expected to result in a Material Adverse Effect.</w:t>
      </w:r>
    </w:p>
    <w:p>
      <w:pPr>
        <w:spacing w:after="0" w:line="248" w:lineRule="exact"/>
        <w:rPr>
          <w:sz w:val="20"/>
          <w:szCs w:val="20"/>
          <w:color w:val="auto"/>
        </w:rPr>
      </w:pPr>
    </w:p>
    <w:p>
      <w:pPr>
        <w:jc w:val="both"/>
        <w:ind w:firstLine="440"/>
        <w:spacing w:after="0" w:line="283"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Use of Proceeds and Letters of Credit</w:t>
      </w:r>
      <w:r>
        <w:rPr>
          <w:rFonts w:ascii="Arial" w:cs="Arial" w:eastAsia="Arial" w:hAnsi="Arial"/>
          <w:sz w:val="16"/>
          <w:szCs w:val="16"/>
          <w:color w:val="auto"/>
        </w:rPr>
        <w:t xml:space="preserve">. The proceeds of the Initial Term Loans, together with the Equity Contribution and cash on hand at Target and its Subsidiaries, to pay the Effective Date Refinancing, a portion of the Merger Consideration and the Transaction Costs. On and after the Effective Date, the proceeds of the Revolving Loans and Swingline Loans shall be used to finance the working capital needs and other general corporate purposes of the Borrower and its Subsidiaries (including for capital expenditures, working capital and/or purchase price adjustments, transactions fees and expenses (in each case, including in connection with the Merger), Permitted Acquisitions and other Investments, Restricted Payments and any other purposes not prohibited by the terms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borrowing of Revolving Loans on the Effective Date shall only be used for, and not exceed the amounts permitted by, the Permitted Initial Revolving Credit Borrowing Purposes. Letters of Credit may be issued (x) on the Effective Date in the ordinary course of business and to backstop, replace or otherwise provide credit support for any letters of credit outstanding immediately prior to the Effective Date under the Existing Credit Facility, and (y) after the Effective Date, for general corporate purposes of the Borrower and its Subsidiaries, and any other purpose not prohibited by the terms of the Loan Documents. The proceeds of (i) any Incremental Term Loans shall be used for working capital and/or general corporate purposes, Permitted Acquisitions and other Investments, Restricted Payments or such other purpose or purposes set forth in the applicable Incremental Facility Amendment and (ii) any Replacement Revolving Loans shall be used for working capital and/or general corporate purposes or such other purpose or purposes set forth in the applicable Incremental Facility Amendment. The proceeds of any Other Term Loans and Other Revolving Loans shall be used for the purposes set forth in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and the proceeds of any Credit Agreement Refinancing Indebtedness and Incremental Refinancing Indebtedness shall be applied among the Loans and any Incremental Facilities in accordance with the terms of this Agreement. The proceeds of the 2020 Incremental Term Loans made pursuant to Amendment No. 1 shall be used to finance the working capital needs and other general corporate purposes of the Borrower and its Subsidiaries (including for capital expenditures, working capital and/or purchase price adjustments, transactions fees and expenses, Permitted Acquisitions and other Investments, Restricted Payments and any other purposes not prohibited by the terms of the Loan Documents). The proceeds of the 2021 Incremental Term Loans made pursuant to Amendment No. 5 shall be used on Amendment No. 5 Effective Date to refinance in full all of the Initial Term Loans outstanding hereunder as of Amendment No. 5 Effective Date (immediately prior to giving effect to Amendment No. 5) and to pay fees and expenses related thereto. The proceeds of the 2021-2 Incremental Term Loans made pursuant to Amendment No. 6 shall be used to finance the working capital needs and other general corporate purposes of the Borrower and its Subsidiaries (including for capital expenditures, working capital and/or purchase price adjustments, transactions fees and expenses, Permitted Acquisitions and other Investments, Restricted Payments and any other purposes not prohibited by the terms of the Loan Documents). The Borrower will not use the proceeds of the Loans: (i) for the purpose of funding or financing (A) any activities of or business with any Person who is the target of applicable Sanctions, or in or with any Sanctioned Country or (B) any other transaction that would constitute or give rise to a violation by any Person (including any Person participating in the transaction, whether as underwriter, advisor, investor, lender or otherwise) of Sanctions;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w:t>
      </w:r>
    </w:p>
    <w:p>
      <w:pPr>
        <w:spacing w:after="0" w:line="188"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Additional Subsidiaries</w:t>
      </w:r>
      <w:r>
        <w:rPr>
          <w:rFonts w:ascii="Arial" w:cs="Arial" w:eastAsia="Arial" w:hAnsi="Arial"/>
          <w:sz w:val="17"/>
          <w:szCs w:val="17"/>
          <w:color w:val="auto"/>
        </w:rPr>
        <w:t>. If any additional Restricted Subsidiary is formed or acquired after the Effective Date, including, without limitation, upon the formation of any Subsidiary that is a Divided Delaware LLC and is not otherwise an Excluded Subsidiary, the Borrower will, within 60 days (or such longer period as the Administrative Agent shall reasonably agree) after such newly formed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20"/>
          </w:cols>
          <w:pgMar w:left="440" w:top="274" w:right="439" w:bottom="1440" w:gutter="0" w:footer="0" w:header="0"/>
        </w:sectPr>
      </w:pPr>
    </w:p>
    <w:bookmarkStart w:id="185" w:name="page186"/>
    <w:bookmarkEnd w:id="185"/>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acquired Restricted Subsidiary is formed or acquired (unless such Subsidiary is an Excluded Subsidiary and not otherwise required under the Loan Documents), notify the Administrative Agent thereof, and all actions (if any) required to be taken with respect to such newly formed or acquired Subsidiary in order to satisfy the Collateral and Guarantee Requirement shall have been taken with respect to such Subsidiary, the assets of such Subsidiary and with respect to any Equity Interest in such Subsidiary owned by or on behalf of any Loan Party within 60 days after such formation or acquisition (or such longer period as the Administrative Agent shall reasonably agree);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designation of an Unrestricted Subsidiary as a Restricted Subsidiary or any Restricted Subsidiary ceasing to be an Excluded Subsidiary shall constitute the formation or acquisition of a Restricted Subsidiary for purposes of this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57" w:lineRule="auto"/>
        <w:tabs>
          <w:tab w:leader="none" w:pos="70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account control agreements and other documents), that may be required under any applicable law and that the Administrative Agent or the Required Lenders may reasonably request, to cause the Collateral and Guarantee Requirement to be and remain satisfied at all times, all at the expense of the Loan Parties.</w:t>
      </w:r>
    </w:p>
    <w:p>
      <w:pPr>
        <w:spacing w:after="0" w:line="79" w:lineRule="exact"/>
        <w:rPr>
          <w:rFonts w:ascii="Arial" w:cs="Arial" w:eastAsia="Arial" w:hAnsi="Arial"/>
          <w:sz w:val="18"/>
          <w:szCs w:val="18"/>
          <w:color w:val="auto"/>
        </w:rPr>
      </w:pPr>
    </w:p>
    <w:p>
      <w:pPr>
        <w:jc w:val="both"/>
        <w:ind w:firstLine="436"/>
        <w:spacing w:after="0" w:line="270" w:lineRule="auto"/>
        <w:tabs>
          <w:tab w:leader="none" w:pos="69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If, after the Effective Date, any assets (including any Material Real Property) are acquired by the Borrower or any other Loan Party (including any acquisition of any material assets upon the formation of any Subsidiary that is a Divided Delaware LLC and is not otherwise an Excluded Subsidiary) or are owned by any Restricted Subsidiary on or after the time it becomes a Loan Party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that are intended to be subject to the Liens created by any Security Document but are not so subject to a Lien thereunder (other than assets (i) constituting Collateral under a Security Document that have already become subject to the Lien created by such Security Document upon acquisition thereof or (ii) constituting Excluded Assets), the Borrower will promptly notify the Administrative Agent thereof, and, within 90 days after such acquisition (or such longer period as the Administrative Agent shall reasonably agree), the Borrower will cause such assets to be subjected to a Lien securing the Secured Obligations and will take and cause the other Loan Parties to take, such actions as shall be necessary and reasonably requested by the Administrative Agent and to satisfy the Collateral and Guarantee Requirement.</w:t>
      </w:r>
    </w:p>
    <w:p>
      <w:pPr>
        <w:spacing w:after="0" w:line="72" w:lineRule="exact"/>
        <w:rPr>
          <w:rFonts w:ascii="Arial" w:cs="Arial" w:eastAsia="Arial" w:hAnsi="Arial"/>
          <w:sz w:val="17"/>
          <w:szCs w:val="17"/>
          <w:color w:val="auto"/>
        </w:rPr>
      </w:pPr>
    </w:p>
    <w:p>
      <w:pPr>
        <w:jc w:val="both"/>
        <w:ind w:firstLine="436"/>
        <w:spacing w:after="0" w:line="269" w:lineRule="auto"/>
        <w:tabs>
          <w:tab w:leader="none" w:pos="69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If, after the Effective Date, any deposit account, securities account or commodities account is opened or is held by the Borrower or any other Loan Party (including through any Permitted Acquisition or following the formation of any Subsidiary) and is not otherwise an Excluded Account, each of Holdings and the Borrower will, and will cause each Loan Party to, use commercially reasonable efforts to execute an Account Control Agreement to cause the Collateral and Guarantee Requirement to be and remain satisfied at all times. Notwithstanding the foregoing, the Loan Parties may close accounts (including Controlled Accounts) and/or open accounts (including Controlled Accounts) without the Administrative Agent’s consent, subject to the prompt execution and delivery to the Administrative Agent of an Account Control Agreement with respect to any account (other than any Excluded Account) established or acquired after the Effective Date. The Administrative Agent shall execute any requested and customary notice of termination to the account bank at which such Controlled Account has been maintained;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Loan Parties provide to the Administrative Agent an Account Control Agreement for a replacement Controlled Account consistent with clause (e) of the definition of “Collateral and Guarantee Requirements”. For the avoidance of doubt, the Loan Parties may open or close Excluded Accounts at any time, without requirement of delivery of an Account Control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20"/>
          </w:cols>
          <w:pgMar w:left="440" w:top="274" w:right="439" w:bottom="1440" w:gutter="0" w:footer="0" w:header="0"/>
        </w:sectPr>
      </w:pPr>
    </w:p>
    <w:bookmarkStart w:id="186" w:name="page187"/>
    <w:bookmarkEnd w:id="186"/>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notice of control may be issued by the Collateral Agent to the account bank under any Account Control Agreement unless an Event of Default is continuing.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Certain Post-Closing Obligations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96" w:lineRule="auto"/>
        <w:tabs>
          <w:tab w:leader="none" w:pos="68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As promptly as practicable, and in any event within the time periods after the Effective Date specified in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or such later date as the Administrative Agent reasonably agrees to in writing, including to reasonably accommodate circumstances unforeseen on the Effective Date, Holdings, the Borrower and each other Loan Party, as applicable, shall deliver the documents or take the actions specified on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that would have been required to be delivered or taken on the Effective Date but for the proviso to </w:t>
      </w:r>
      <w:r>
        <w:rPr>
          <w:rFonts w:ascii="Arial" w:cs="Arial" w:eastAsia="Arial" w:hAnsi="Arial"/>
          <w:sz w:val="16"/>
          <w:szCs w:val="16"/>
          <w:u w:val="single" w:color="auto"/>
          <w:color w:val="auto"/>
        </w:rPr>
        <w:t>Section 4.01(f)</w:t>
      </w:r>
      <w:r>
        <w:rPr>
          <w:rFonts w:ascii="Arial" w:cs="Arial" w:eastAsia="Arial" w:hAnsi="Arial"/>
          <w:sz w:val="16"/>
          <w:szCs w:val="16"/>
          <w:color w:val="auto"/>
        </w:rPr>
        <w:t>, in each case except to the extent otherwise agreed by the Administrative Agent pursuant to its authority as set forth in the definition of “Collateral and Guarantee Requirement”.</w:t>
      </w:r>
    </w:p>
    <w:p>
      <w:pPr>
        <w:spacing w:after="0" w:line="53" w:lineRule="exact"/>
        <w:rPr>
          <w:rFonts w:ascii="Arial" w:cs="Arial" w:eastAsia="Arial" w:hAnsi="Arial"/>
          <w:sz w:val="16"/>
          <w:szCs w:val="16"/>
          <w:color w:val="auto"/>
        </w:rPr>
      </w:pPr>
    </w:p>
    <w:p>
      <w:pPr>
        <w:ind w:firstLine="436"/>
        <w:spacing w:after="0" w:line="342" w:lineRule="auto"/>
        <w:tabs>
          <w:tab w:leader="none" w:pos="69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Within 90 days after the Effective Date (or such longer period as the Administrative Agent may agree in its sole discretion), the Borrower shall perform or cause to be performed the actions referred to in paragraphs (e) and (f) of the definition of “Collateral and Guarantee Requirement.”</w:t>
      </w:r>
    </w:p>
    <w:p>
      <w:pPr>
        <w:spacing w:after="0" w:line="124" w:lineRule="exact"/>
        <w:rPr>
          <w:sz w:val="20"/>
          <w:szCs w:val="20"/>
          <w:color w:val="auto"/>
        </w:rPr>
      </w:pPr>
    </w:p>
    <w:p>
      <w:pPr>
        <w:jc w:val="both"/>
        <w:ind w:firstLine="440"/>
        <w:spacing w:after="0" w:line="267"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Designation of Subsidiaries</w:t>
      </w:r>
      <w:r>
        <w:rPr>
          <w:rFonts w:ascii="Arial" w:cs="Arial" w:eastAsia="Arial" w:hAnsi="Arial"/>
          <w:sz w:val="17"/>
          <w:szCs w:val="17"/>
          <w:color w:val="auto"/>
        </w:rPr>
        <w:t>. The Borrower may at any time after the Effective Date</w:t>
      </w:r>
      <w:r>
        <w:rPr>
          <w:rFonts w:ascii="Arial" w:cs="Arial" w:eastAsia="Arial" w:hAnsi="Arial"/>
          <w:sz w:val="17"/>
          <w:szCs w:val="17"/>
          <w:u w:val="single" w:color="auto"/>
          <w:color w:val="0000FF"/>
        </w:rPr>
        <w:t>,</w:t>
      </w:r>
      <w:r>
        <w:rPr>
          <w:rFonts w:ascii="Arial" w:cs="Arial" w:eastAsia="Arial" w:hAnsi="Arial"/>
          <w:sz w:val="17"/>
          <w:szCs w:val="17"/>
          <w:color w:val="auto"/>
        </w:rPr>
        <w:t xml:space="preserve"> designate (or subsequently re-designate) any Restricted Subsidiary as an Unrestricted Subsidiary (other than any Subsidiary that owns, directly or indirectly, any Equity Interests of, or holds a Lien on, any Loan Party or any Restricted Subsidiary that is not being designated as an Unrestricted Subsidiary) or any Unrestricted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immediately before and after giving effect to such designation on a pro forma basis, (i) no Event of Default shall have occurred and be continuing or would result therefrom and (ii) the Total Net Cash Leverage Ratio would not exceed </w:t>
      </w:r>
      <w:r>
        <w:rPr>
          <w:rFonts w:ascii="Arial" w:cs="Arial" w:eastAsia="Arial" w:hAnsi="Arial"/>
          <w:sz w:val="17"/>
          <w:szCs w:val="17"/>
          <w:u w:val="single" w:color="auto"/>
          <w:color w:val="0000FF"/>
        </w:rPr>
        <w:t>(x) during the Suspension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Period, 4.00:1.00, and (y) after the Suspension Period has ended,</w:t>
      </w:r>
      <w:r>
        <w:rPr>
          <w:rFonts w:ascii="Arial" w:cs="Arial" w:eastAsia="Arial" w:hAnsi="Arial"/>
          <w:sz w:val="17"/>
          <w:szCs w:val="17"/>
          <w:color w:val="0000FF"/>
        </w:rPr>
        <w:t xml:space="preserve"> </w:t>
      </w:r>
      <w:r>
        <w:rPr>
          <w:rFonts w:ascii="Arial" w:cs="Arial" w:eastAsia="Arial" w:hAnsi="Arial"/>
          <w:sz w:val="17"/>
          <w:szCs w:val="17"/>
          <w:color w:val="000000"/>
        </w:rPr>
        <w:t>7.00:1.00;</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FF"/>
        </w:rPr>
        <w:t xml:space="preserve"> </w:t>
      </w:r>
      <w:r>
        <w:rPr>
          <w:rFonts w:ascii="Arial" w:cs="Arial" w:eastAsia="Arial" w:hAnsi="Arial"/>
          <w:sz w:val="17"/>
          <w:szCs w:val="17"/>
          <w:color w:val="000000"/>
        </w:rPr>
        <w:t>further that to the extent that any Restricted Subsidiary owns, or</w:t>
      </w:r>
      <w:r>
        <w:rPr>
          <w:rFonts w:ascii="Arial" w:cs="Arial" w:eastAsia="Arial" w:hAnsi="Arial"/>
          <w:sz w:val="17"/>
          <w:szCs w:val="17"/>
          <w:color w:val="0000FF"/>
        </w:rPr>
        <w:t xml:space="preserve"> </w:t>
      </w:r>
      <w:r>
        <w:rPr>
          <w:rFonts w:ascii="Arial" w:cs="Arial" w:eastAsia="Arial" w:hAnsi="Arial"/>
          <w:sz w:val="17"/>
          <w:szCs w:val="17"/>
          <w:color w:val="000000"/>
        </w:rPr>
        <w:t xml:space="preserve">holds exclusive licenses or rights to, any intellectual property that is material to the business and operations of the Borrower and the Restricted Subsidiaries (taken as a whole), no such Restricted Subsidiary may be designated as an Unrestricted Subsidiary. No Loan Party or any of its Restricted Subsidiaries shall transfer any ownership right, or exclusive license or right to, any intellectual property that is material to the business and operations of the Borrower and the Restricted Subsidiaries (taken as a whole) to any Unrestricted Subsidiary. The designation of any Restricted Subsidiary as an Unrestricted Subsidiary after the Effective Date shall constitute an Investment by the Borrower (or its applicable Restricted Subsidiary) therein at the date of designation in an amount equal to the Fair Market Value of the Borrower’s or the applicable Restricted Subsidiary’s investment therein. The designation of any Unrestricted Subsidiary as a Restricted Subsidiary shall constitute (x) the incurrence at the time of designation of any Investment, Indebtedness or Liens of such Subsidiary existing at such time, (y) a Return on any Investment by the Borrower or its applicable Restricted Subsidiary in Unrestricted Subsidiaries pursuant to the preceding sentence in an amount equal to the Fair Market Value at the date of such designation of the Borrower’s or its Subsidiary’s Investment in such Subsidiary, and (z) the formation or acquisition of a Restricted Subsidiary for purposes of </w:t>
      </w:r>
      <w:r>
        <w:rPr>
          <w:rFonts w:ascii="Arial" w:cs="Arial" w:eastAsia="Arial" w:hAnsi="Arial"/>
          <w:sz w:val="17"/>
          <w:szCs w:val="17"/>
          <w:u w:val="single" w:color="auto"/>
          <w:color w:val="000000"/>
        </w:rPr>
        <w:t>Section</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5.11</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-2192020</wp:posOffset>
            </wp:positionV>
            <wp:extent cx="254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-1643380</wp:posOffset>
            </wp:positionV>
            <wp:extent cx="121729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-1506220</wp:posOffset>
            </wp:positionV>
            <wp:extent cx="30257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 xml:space="preserve">Until the Termination Date shall have occurred, each of Holdings (solely with respect to </w:t>
      </w:r>
      <w:r>
        <w:rPr>
          <w:rFonts w:ascii="Arial" w:cs="Arial" w:eastAsia="Arial" w:hAnsi="Arial"/>
          <w:sz w:val="18"/>
          <w:szCs w:val="18"/>
          <w:u w:val="single" w:color="auto"/>
          <w:color w:val="auto"/>
        </w:rPr>
        <w:t>Section 6.06</w:t>
      </w:r>
      <w:r>
        <w:rPr>
          <w:rFonts w:ascii="Arial" w:cs="Arial" w:eastAsia="Arial" w:hAnsi="Arial"/>
          <w:sz w:val="18"/>
          <w:szCs w:val="18"/>
          <w:color w:val="auto"/>
        </w:rPr>
        <w:t>) and the Borrower covenants and agrees with the Lenders that: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20"/>
          </w:cols>
          <w:pgMar w:left="440" w:top="274" w:right="439" w:bottom="1440" w:gutter="0" w:footer="0" w:header="0"/>
        </w:sectPr>
      </w:pPr>
    </w:p>
    <w:bookmarkStart w:id="187" w:name="page188"/>
    <w:bookmarkEnd w:id="18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6.01 </w:t>
      </w:r>
      <w:r>
        <w:rPr>
          <w:rFonts w:ascii="Arial" w:cs="Arial" w:eastAsia="Arial" w:hAnsi="Arial"/>
          <w:sz w:val="18"/>
          <w:szCs w:val="18"/>
          <w:u w:val="single" w:color="auto"/>
          <w:color w:val="auto"/>
        </w:rPr>
        <w:t>Indebtedness; Certain Equity Securities</w:t>
      </w:r>
      <w:r>
        <w:rPr>
          <w:rFonts w:ascii="Arial" w:cs="Arial" w:eastAsia="Arial" w:hAnsi="Arial"/>
          <w:sz w:val="18"/>
          <w:szCs w:val="18"/>
          <w:color w:val="auto"/>
        </w:rPr>
        <w:t>.</w:t>
      </w:r>
    </w:p>
    <w:p>
      <w:pPr>
        <w:spacing w:after="0" w:line="117" w:lineRule="exact"/>
        <w:rPr>
          <w:sz w:val="20"/>
          <w:szCs w:val="20"/>
          <w:color w:val="auto"/>
        </w:rPr>
      </w:pPr>
    </w:p>
    <w:p>
      <w:pPr>
        <w:ind w:left="244" w:hanging="244"/>
        <w:spacing w:after="0"/>
        <w:tabs>
          <w:tab w:leader="none" w:pos="24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Borrower will not, and will not permit any Restricted Subsidiary to, incur or permit to exist any Indebtedness, except:</w:t>
      </w:r>
    </w:p>
    <w:p>
      <w:pPr>
        <w:spacing w:after="0" w:line="117" w:lineRule="exact"/>
        <w:rPr>
          <w:rFonts w:ascii="Arial" w:cs="Arial" w:eastAsia="Arial" w:hAnsi="Arial"/>
          <w:sz w:val="18"/>
          <w:szCs w:val="18"/>
          <w:color w:val="auto"/>
        </w:rPr>
      </w:pPr>
    </w:p>
    <w:p>
      <w:pPr>
        <w:ind w:left="4" w:right="20" w:firstLine="419"/>
        <w:spacing w:after="0" w:line="277" w:lineRule="auto"/>
        <w:tabs>
          <w:tab w:leader="none" w:pos="65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Indebtedness of the Borrower and the Restricted Subsidiaries under the Loan Documents (including any Indebtedness incurred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2.24</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right="20" w:firstLine="419"/>
        <w:spacing w:after="0" w:line="308" w:lineRule="auto"/>
        <w:tabs>
          <w:tab w:leader="none" w:pos="72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 xml:space="preserve">Indebtedness (A) outstanding on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Indebtedness with an outstanding principal amount in excess of $5,000,000 shall only be permitted under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if set forth on </w:t>
      </w:r>
      <w:r>
        <w:rPr>
          <w:rFonts w:ascii="Arial" w:cs="Arial" w:eastAsia="Arial" w:hAnsi="Arial"/>
          <w:sz w:val="17"/>
          <w:szCs w:val="17"/>
          <w:u w:val="single" w:color="auto"/>
          <w:color w:val="auto"/>
        </w:rPr>
        <w:t>Schedule 6.01</w:t>
      </w:r>
      <w:r>
        <w:rPr>
          <w:rFonts w:ascii="Arial" w:cs="Arial" w:eastAsia="Arial" w:hAnsi="Arial"/>
          <w:sz w:val="17"/>
          <w:szCs w:val="17"/>
          <w:color w:val="auto"/>
        </w:rPr>
        <w:t>, and (B) any Permitted Refinancing thereof;</w:t>
      </w:r>
    </w:p>
    <w:p>
      <w:pPr>
        <w:spacing w:after="0" w:line="38" w:lineRule="exact"/>
        <w:rPr>
          <w:rFonts w:ascii="Arial" w:cs="Arial" w:eastAsia="Arial" w:hAnsi="Arial"/>
          <w:sz w:val="17"/>
          <w:szCs w:val="17"/>
          <w:color w:val="auto"/>
        </w:rPr>
      </w:pPr>
    </w:p>
    <w:p>
      <w:pPr>
        <w:jc w:val="both"/>
        <w:ind w:left="4" w:right="20" w:firstLine="419"/>
        <w:spacing w:after="0" w:line="279" w:lineRule="auto"/>
        <w:tabs>
          <w:tab w:leader="none" w:pos="758" w:val="left"/>
        </w:tabs>
        <w:numPr>
          <w:ilvl w:val="1"/>
          <w:numId w:val="201"/>
        </w:numPr>
        <w:rPr>
          <w:rFonts w:ascii="Arial" w:cs="Arial" w:eastAsia="Arial" w:hAnsi="Arial"/>
          <w:sz w:val="17"/>
          <w:szCs w:val="17"/>
          <w:color w:val="auto"/>
        </w:rPr>
      </w:pPr>
      <w:r>
        <w:rPr>
          <w:rFonts w:ascii="Arial" w:cs="Arial" w:eastAsia="Arial" w:hAnsi="Arial"/>
          <w:sz w:val="17"/>
          <w:szCs w:val="17"/>
          <w:color w:val="auto"/>
        </w:rPr>
        <w:t xml:space="preserve">Guarantees by the Borrower and the Restricted Subsidiaries in respect of Indebtedness of the Borrower or any Restricted Subsidiary otherwise permitted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Indebtedness being Guaranteed is subordinated to the Loan Document Obligations, such Guarantee shall be subordinated to the Guarantee of the Loan Document Obligations on terms at least as favorable (as reasonably determined by the Borrower) taken as a whole, to the Lenders as those contained in the subordination of such Indebtedness;</w:t>
      </w:r>
    </w:p>
    <w:p>
      <w:pPr>
        <w:spacing w:after="0" w:line="63" w:lineRule="exact"/>
        <w:rPr>
          <w:rFonts w:ascii="Arial" w:cs="Arial" w:eastAsia="Arial" w:hAnsi="Arial"/>
          <w:sz w:val="17"/>
          <w:szCs w:val="17"/>
          <w:color w:val="auto"/>
        </w:rPr>
      </w:pPr>
    </w:p>
    <w:p>
      <w:pPr>
        <w:jc w:val="both"/>
        <w:ind w:left="4" w:firstLine="419"/>
        <w:spacing w:after="0" w:line="279" w:lineRule="auto"/>
        <w:tabs>
          <w:tab w:leader="none" w:pos="741" w:val="left"/>
        </w:tabs>
        <w:numPr>
          <w:ilvl w:val="1"/>
          <w:numId w:val="201"/>
        </w:numPr>
        <w:rPr>
          <w:rFonts w:ascii="Arial" w:cs="Arial" w:eastAsia="Arial" w:hAnsi="Arial"/>
          <w:sz w:val="17"/>
          <w:szCs w:val="17"/>
          <w:color w:val="auto"/>
        </w:rPr>
      </w:pPr>
      <w:r>
        <w:rPr>
          <w:rFonts w:ascii="Arial" w:cs="Arial" w:eastAsia="Arial" w:hAnsi="Arial"/>
          <w:sz w:val="17"/>
          <w:szCs w:val="17"/>
          <w:color w:val="auto"/>
        </w:rPr>
        <w:t xml:space="preserve">Indebtedness of the Borrower or any Restricted Subsidiary owing to the Borrower or any Restricted Subsidiary to the extent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Indebtedness of any Loan Party owing to any Restricted Subsidiary that is not a Loan Party shall be subordinated to the Loan Document Obligations pursuant to the Intercompany Note or otherwise on terms (A) at least as favorable to the Lenders as those set forth in the form of Intercompany Note or (B) otherwise reasonably satisfactory to the Administrative Agent;</w:t>
      </w:r>
    </w:p>
    <w:p>
      <w:pPr>
        <w:spacing w:after="0" w:line="63" w:lineRule="exact"/>
        <w:rPr>
          <w:rFonts w:ascii="Arial" w:cs="Arial" w:eastAsia="Arial" w:hAnsi="Arial"/>
          <w:sz w:val="17"/>
          <w:szCs w:val="17"/>
          <w:color w:val="auto"/>
        </w:rPr>
      </w:pPr>
    </w:p>
    <w:p>
      <w:pPr>
        <w:jc w:val="both"/>
        <w:ind w:left="4" w:right="20" w:firstLine="419"/>
        <w:spacing w:after="0" w:line="288" w:lineRule="auto"/>
        <w:tabs>
          <w:tab w:leader="none" w:pos="689" w:val="left"/>
        </w:tabs>
        <w:numPr>
          <w:ilvl w:val="1"/>
          <w:numId w:val="201"/>
        </w:numPr>
        <w:rPr>
          <w:rFonts w:ascii="Arial" w:cs="Arial" w:eastAsia="Arial" w:hAnsi="Arial"/>
          <w:sz w:val="16"/>
          <w:szCs w:val="16"/>
          <w:color w:val="auto"/>
        </w:rPr>
      </w:pPr>
      <w:r>
        <w:rPr>
          <w:rFonts w:ascii="Arial" w:cs="Arial" w:eastAsia="Arial" w:hAnsi="Arial"/>
          <w:sz w:val="16"/>
          <w:szCs w:val="16"/>
          <w:color w:val="auto"/>
        </w:rPr>
        <w:t xml:space="preserve">(A) Indebtedness (including Capital Lease Obligations) of the Borrower or any Restricted Subsidiary the proceeds of which are used to finance the acquisition, development, construction, repair, restoration, replacement, maintenance, upgrade, expansion or improvement of fixed or capital assets or other property (whether real or personal) (whether through the direct purchase of property or the Equity Interest of any person owning such property) or otherwise incurred in respect of Capital Expenditures;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incurred concurrently with or within 270 days after the applicable acquisition, development, construction, repair, restoration, replacement, maintenance, upgrade, expansion or improvement;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at the time of any such incurrence of Indebtedness and after giving pro forma effect thereto and to the use of the proceeds thereof, the aggregate principal amount of Indebtedness then outstanding under this </w:t>
      </w:r>
      <w:r>
        <w:rPr>
          <w:rFonts w:ascii="Arial" w:cs="Arial" w:eastAsia="Arial" w:hAnsi="Arial"/>
          <w:sz w:val="16"/>
          <w:szCs w:val="16"/>
          <w:u w:val="single" w:color="auto"/>
          <w:color w:val="auto"/>
        </w:rPr>
        <w:t>clause (v)(A)</w:t>
      </w:r>
      <w:r>
        <w:rPr>
          <w:rFonts w:ascii="Arial" w:cs="Arial" w:eastAsia="Arial" w:hAnsi="Arial"/>
          <w:sz w:val="16"/>
          <w:szCs w:val="16"/>
          <w:color w:val="auto"/>
        </w:rPr>
        <w:t xml:space="preserve"> shall not exceed an amount equal to the greater of (x) $10,000,000 and (y) 10.0% of Consolidated Cash EBITDA for the Test Period most recently ended on or prior to such date of incurrence (measured as of the date such Indebtedness is incurred based upon the financial statements most recently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and (B) any Permitted Refinancing thereof;</w:t>
      </w:r>
    </w:p>
    <w:p>
      <w:pPr>
        <w:spacing w:after="0" w:line="60" w:lineRule="exact"/>
        <w:rPr>
          <w:rFonts w:ascii="Arial" w:cs="Arial" w:eastAsia="Arial" w:hAnsi="Arial"/>
          <w:sz w:val="16"/>
          <w:szCs w:val="16"/>
          <w:color w:val="auto"/>
        </w:rPr>
      </w:pPr>
    </w:p>
    <w:p>
      <w:pPr>
        <w:ind w:left="4" w:right="20" w:firstLine="419"/>
        <w:spacing w:after="0" w:line="277" w:lineRule="auto"/>
        <w:tabs>
          <w:tab w:leader="none" w:pos="745"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Indebtedness in respect of Swap Agreements Incurred in the ordinary course of business or consistent with past practice and, in each case, at the time entered into, not for speculative purposes;</w:t>
      </w:r>
    </w:p>
    <w:p>
      <w:pPr>
        <w:spacing w:after="0" w:line="62" w:lineRule="exact"/>
        <w:rPr>
          <w:rFonts w:ascii="Arial" w:cs="Arial" w:eastAsia="Arial" w:hAnsi="Arial"/>
          <w:sz w:val="18"/>
          <w:szCs w:val="18"/>
          <w:color w:val="auto"/>
        </w:rPr>
      </w:pPr>
    </w:p>
    <w:p>
      <w:pPr>
        <w:jc w:val="both"/>
        <w:ind w:left="4" w:right="20" w:firstLine="419"/>
        <w:spacing w:after="0" w:line="259" w:lineRule="auto"/>
        <w:tabs>
          <w:tab w:leader="none" w:pos="79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 Indebtedness of any Person that becomes a Restricted Subsidiary (or of any Person not previously a Restricted Subsidiary that is merged, consolidated or amalgamated with or into the Borrower or any Restricted Subsidiary) after the Effective Date as a result of an Acquisition Transaction or similar Investment permitted by this Agreement, or Indebtedness of any Person that is assumed by the Borrower or any Restricted Subsidiary in connection with an</w:t>
      </w:r>
    </w:p>
    <w:p>
      <w:pPr>
        <w:spacing w:after="0" w:line="119"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584"/>
          </w:cols>
          <w:pgMar w:left="876" w:top="274" w:right="439" w:bottom="1440" w:gutter="0" w:footer="0" w:header="0"/>
        </w:sectPr>
      </w:pPr>
    </w:p>
    <w:bookmarkStart w:id="188" w:name="page189"/>
    <w:bookmarkEnd w:id="188"/>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Acquisition Transaction or similar Investment or an acquisition of assets by the Borrower or such Restricted Subsidiary permitted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such Indebtedness is not incurred in contemplation of such Acquisition Transaction or similar Investment or acquisition of assets, (2) other than with respect to a Limited Condition Transaction in which case, compliance with this proviso shall be determined in accordance with </w:t>
      </w:r>
      <w:r>
        <w:rPr>
          <w:rFonts w:ascii="Arial" w:cs="Arial" w:eastAsia="Arial" w:hAnsi="Arial"/>
          <w:sz w:val="18"/>
          <w:szCs w:val="18"/>
          <w:u w:val="single" w:color="auto"/>
          <w:color w:val="auto"/>
        </w:rPr>
        <w:t>Section 1.08</w:t>
      </w:r>
      <w:r>
        <w:rPr>
          <w:rFonts w:ascii="Arial" w:cs="Arial" w:eastAsia="Arial" w:hAnsi="Arial"/>
          <w:sz w:val="18"/>
          <w:szCs w:val="18"/>
          <w:color w:val="auto"/>
        </w:rPr>
        <w:t>, after giving pro forma effect to the assumption of such Indebtedness and the transactions consummated in connection therewith, no Event of Default shall have occurred and be continuing or would result therefrom, (3) such Indebtedness is only the obligation of the Person and/or Person’s subsidiaries that are acquired or that acquire the relevant assets and (4) at the time of such assumption thereof and after giving pro forma effect thereto, the aggregate principal amount of such Indebtedness shall not exceed the amount permitted by Section 6.01(a)(xxvi)(A)(II) as if such Indebtedness was Acquisition Debt, except that the limitation in clause (IV) of Section 6.01(a)(xxvi)(A)(II) shall not apply to Indebtedness assumed pursuant to this Section 6.01(a)(vii), and (B) any Permitted Refinancing thereof;</w:t>
      </w:r>
    </w:p>
    <w:p>
      <w:pPr>
        <w:spacing w:after="0" w:line="86" w:lineRule="exact"/>
        <w:rPr>
          <w:sz w:val="20"/>
          <w:szCs w:val="20"/>
          <w:color w:val="auto"/>
        </w:rPr>
      </w:pPr>
    </w:p>
    <w:p>
      <w:pPr>
        <w:jc w:val="both"/>
        <w:ind w:right="20" w:firstLine="419"/>
        <w:spacing w:after="0" w:line="286" w:lineRule="auto"/>
        <w:tabs>
          <w:tab w:leader="none" w:pos="85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Indebtedness in respect of Permitted Receivables Financings;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incurrence of such Indebtedness (and without giving effect to the incurrence of any such Indebtedness and the use of proceeds thereof), the disposition of the Permitted Receivables Financing Assets pursuant to such Permitted Receivables Financings is permitted by </w:t>
      </w:r>
      <w:r>
        <w:rPr>
          <w:rFonts w:ascii="Arial" w:cs="Arial" w:eastAsia="Arial" w:hAnsi="Arial"/>
          <w:sz w:val="17"/>
          <w:szCs w:val="17"/>
          <w:u w:val="single" w:color="auto"/>
          <w:color w:val="auto"/>
        </w:rPr>
        <w:t>Section 6.05(g)(B)</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firstLine="419"/>
        <w:spacing w:after="0" w:line="308" w:lineRule="auto"/>
        <w:tabs>
          <w:tab w:leader="none" w:pos="77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Indebtedness representing deferred compensation to current and former officers, directors, managers, employees, consultants or independent contractors of the Borrower (and any Parent Entity) and the Restricted Subsidiaries incurred in the ordinary course of business;</w:t>
      </w:r>
    </w:p>
    <w:p>
      <w:pPr>
        <w:spacing w:after="0" w:line="38" w:lineRule="exact"/>
        <w:rPr>
          <w:rFonts w:ascii="Arial" w:cs="Arial" w:eastAsia="Arial" w:hAnsi="Arial"/>
          <w:sz w:val="17"/>
          <w:szCs w:val="17"/>
          <w:color w:val="auto"/>
        </w:rPr>
      </w:pPr>
    </w:p>
    <w:p>
      <w:pPr>
        <w:jc w:val="both"/>
        <w:ind w:right="20" w:firstLine="419"/>
        <w:spacing w:after="0" w:line="286" w:lineRule="auto"/>
        <w:tabs>
          <w:tab w:leader="none" w:pos="69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Indebtedness consisting of unsecured promissory notes issued by any Loan Party to current or former officers, managers, consultants, independent contractors, directors and employees or their respective estates, successors, Immediate Family Members or distributees to finance the purchase or redemption of Equity Interests of the Borrower (or any Parent Entity) permitted by </w:t>
      </w:r>
      <w:r>
        <w:rPr>
          <w:rFonts w:ascii="Arial" w:cs="Arial" w:eastAsia="Arial" w:hAnsi="Arial"/>
          <w:sz w:val="17"/>
          <w:szCs w:val="17"/>
          <w:u w:val="single" w:color="auto"/>
          <w:color w:val="auto"/>
        </w:rPr>
        <w:t>Section 6.08(a)</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jc w:val="both"/>
        <w:ind w:right="20" w:firstLine="419"/>
        <w:spacing w:after="0" w:line="275" w:lineRule="auto"/>
        <w:tabs>
          <w:tab w:leader="none" w:pos="75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(A) Indebtedness arising from an agreement providing for indemnification obligations, payment obligations in respect of any non-compete, consulting or similar arrangement, or obligations in respect of purchase price (including earnouts) or other similar adjustments incurred in an Acquisition Transaction or similar Investment permitted by this Agreement and any other Investment or any Disposition, in each case permitted under this Agreement and (B) Indebtedness arising from guaranties, letters of credit, bank guaranties, surety bonds, performance bonds or similar instruments securing the performance pursuant to any such agreement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jc w:val="both"/>
        <w:ind w:right="20" w:firstLine="419"/>
        <w:spacing w:after="0" w:line="259" w:lineRule="auto"/>
        <w:tabs>
          <w:tab w:leader="none" w:pos="78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Indebtedness consisting of obligations under deferred compensation or other similar arrangements incurred (A) in the ordinary course of business to current or former directors, officers, employees, members of management, managers and consultants of the Borrower (or any Parent Entity) and/or any Restricted Subsidiary and (B) in connection with the Transactions and any Permitted Acquisition or other Investment permitted hereunder;</w:t>
      </w:r>
    </w:p>
    <w:p>
      <w:pPr>
        <w:spacing w:after="0" w:line="78" w:lineRule="exact"/>
        <w:rPr>
          <w:rFonts w:ascii="Arial" w:cs="Arial" w:eastAsia="Arial" w:hAnsi="Arial"/>
          <w:sz w:val="18"/>
          <w:szCs w:val="18"/>
          <w:color w:val="auto"/>
        </w:rPr>
      </w:pPr>
    </w:p>
    <w:p>
      <w:pPr>
        <w:jc w:val="both"/>
        <w:ind w:firstLine="419"/>
        <w:spacing w:after="0" w:line="263" w:lineRule="auto"/>
        <w:tabs>
          <w:tab w:leader="none" w:pos="84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Cash Management Obligations and other Indebtedness in respect of netting services, overdraft protections and similar arrangements and Indebtedness arising from the honoring of a bank or other financial institution of a check, draft or similar instrument drawn against insufficient funds, in each case in the ordinary course of business;</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580"/>
          </w:cols>
          <w:pgMar w:left="880" w:top="274" w:right="439" w:bottom="1440" w:gutter="0" w:footer="0" w:header="0"/>
        </w:sectPr>
      </w:pPr>
    </w:p>
    <w:bookmarkStart w:id="189" w:name="page190"/>
    <w:bookmarkEnd w:id="189"/>
    <w:p>
      <w:pPr>
        <w:jc w:val="both"/>
        <w:ind w:left="4" w:right="20" w:firstLine="419"/>
        <w:spacing w:after="0" w:line="291" w:lineRule="auto"/>
        <w:tabs>
          <w:tab w:leader="none" w:pos="825" w:val="left"/>
        </w:tabs>
        <w:numPr>
          <w:ilvl w:val="1"/>
          <w:numId w:val="2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Indebtedness of the Borrower 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the incurrence thereof and after giving pro forma effect thereto and the use of the proceeds thereof, the aggregate principal amount of Indebtedness then outstanding in reliance on this </w:t>
      </w:r>
      <w:r>
        <w:rPr>
          <w:rFonts w:ascii="Arial" w:cs="Arial" w:eastAsia="Arial" w:hAnsi="Arial"/>
          <w:sz w:val="16"/>
          <w:szCs w:val="16"/>
          <w:u w:val="single" w:color="auto"/>
          <w:color w:val="auto"/>
        </w:rPr>
        <w:t>clause</w:t>
      </w:r>
    </w:p>
    <w:p>
      <w:pPr>
        <w:jc w:val="both"/>
        <w:ind w:left="4" w:hanging="4"/>
        <w:spacing w:after="0" w:line="273" w:lineRule="auto"/>
        <w:tabs>
          <w:tab w:leader="none" w:pos="398" w:val="left"/>
        </w:tabs>
        <w:numPr>
          <w:ilvl w:val="0"/>
          <w:numId w:val="204"/>
        </w:numPr>
        <w:rPr>
          <w:rFonts w:ascii="Arial" w:cs="Arial" w:eastAsia="Arial" w:hAnsi="Arial"/>
          <w:sz w:val="17"/>
          <w:szCs w:val="17"/>
          <w:u w:val="single" w:color="auto"/>
          <w:color w:val="auto"/>
        </w:rPr>
      </w:pPr>
      <w:r>
        <w:rPr>
          <w:rFonts w:ascii="Arial" w:cs="Arial" w:eastAsia="Arial" w:hAnsi="Arial"/>
          <w:sz w:val="17"/>
          <w:szCs w:val="17"/>
          <w:color w:val="auto"/>
        </w:rPr>
        <w:t xml:space="preserve">shall not exceed </w:t>
      </w:r>
      <w:r>
        <w:rPr>
          <w:rFonts w:ascii="Arial" w:cs="Arial" w:eastAsia="Arial" w:hAnsi="Arial"/>
          <w:sz w:val="17"/>
          <w:szCs w:val="17"/>
          <w:u w:val="single" w:color="auto"/>
          <w:color w:val="0000FF"/>
        </w:rPr>
        <w:t>(x) during the Suspension Period, $6,250,000, and (y) after the Suspension Period has ended,</w:t>
      </w:r>
      <w:r>
        <w:rPr>
          <w:rFonts w:ascii="Arial" w:cs="Arial" w:eastAsia="Arial" w:hAnsi="Arial"/>
          <w:sz w:val="17"/>
          <w:szCs w:val="17"/>
          <w:color w:val="auto"/>
        </w:rPr>
        <w:t xml:space="preserve"> the greater of (</w:t>
      </w:r>
      <w:r>
        <w:rPr>
          <w:rFonts w:ascii="Arial" w:cs="Arial" w:eastAsia="Arial" w:hAnsi="Arial"/>
          <w:sz w:val="17"/>
          <w:szCs w:val="17"/>
          <w:color w:val="FF4338"/>
          <w:strike w:val="1"/>
        </w:rPr>
        <w:t>x</w:t>
      </w:r>
      <w:r>
        <w:rPr>
          <w:rFonts w:ascii="Arial" w:cs="Arial" w:eastAsia="Arial" w:hAnsi="Arial"/>
          <w:sz w:val="17"/>
          <w:szCs w:val="17"/>
          <w:u w:val="single" w:color="auto"/>
          <w:color w:val="0000FF"/>
        </w:rPr>
        <w:t>I</w:t>
      </w:r>
      <w:r>
        <w:rPr>
          <w:rFonts w:ascii="Arial" w:cs="Arial" w:eastAsia="Arial" w:hAnsi="Arial"/>
          <w:sz w:val="17"/>
          <w:szCs w:val="17"/>
          <w:color w:val="auto"/>
        </w:rPr>
        <w:t>) $12,500,000 and (</w:t>
      </w:r>
      <w:r>
        <w:rPr>
          <w:rFonts w:ascii="Arial" w:cs="Arial" w:eastAsia="Arial" w:hAnsi="Arial"/>
          <w:sz w:val="17"/>
          <w:szCs w:val="17"/>
          <w:color w:val="FF4338"/>
          <w:strike w:val="1"/>
        </w:rPr>
        <w:t>y</w:t>
      </w:r>
      <w:r>
        <w:rPr>
          <w:rFonts w:ascii="Arial" w:cs="Arial" w:eastAsia="Arial" w:hAnsi="Arial"/>
          <w:sz w:val="17"/>
          <w:szCs w:val="17"/>
          <w:u w:val="single" w:color="auto"/>
          <w:color w:val="0000FF"/>
        </w:rPr>
        <w:t>II</w:t>
      </w:r>
      <w:r>
        <w:rPr>
          <w:rFonts w:ascii="Arial" w:cs="Arial" w:eastAsia="Arial" w:hAnsi="Arial"/>
          <w:sz w:val="17"/>
          <w:szCs w:val="17"/>
          <w:color w:val="auto"/>
        </w:rPr>
        <w:t xml:space="preserve">) 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and (B) any Permitted Refinancing thereof;</w:t>
      </w:r>
    </w:p>
    <w:p>
      <w:pPr>
        <w:spacing w:after="0" w:line="68" w:lineRule="exact"/>
        <w:rPr>
          <w:rFonts w:ascii="Arial" w:cs="Arial" w:eastAsia="Arial" w:hAnsi="Arial"/>
          <w:sz w:val="17"/>
          <w:szCs w:val="17"/>
          <w:u w:val="single" w:color="auto"/>
          <w:color w:val="auto"/>
        </w:rPr>
      </w:pPr>
    </w:p>
    <w:p>
      <w:pPr>
        <w:ind w:left="784" w:hanging="361"/>
        <w:spacing w:after="0"/>
        <w:tabs>
          <w:tab w:leader="none" w:pos="784" w:val="left"/>
        </w:tabs>
        <w:numPr>
          <w:ilvl w:val="1"/>
          <w:numId w:val="204"/>
        </w:numPr>
        <w:rPr>
          <w:rFonts w:ascii="Arial" w:cs="Arial" w:eastAsia="Arial" w:hAnsi="Arial"/>
          <w:sz w:val="16"/>
          <w:szCs w:val="16"/>
          <w:color w:val="auto"/>
        </w:rPr>
      </w:pPr>
      <w:r>
        <w:rPr>
          <w:rFonts w:ascii="Arial" w:cs="Arial" w:eastAsia="Arial" w:hAnsi="Arial"/>
          <w:sz w:val="16"/>
          <w:szCs w:val="16"/>
          <w:color w:val="auto"/>
        </w:rPr>
        <w:t>Indebtedness consisting of (A) the financing of insurance premiums, (B) take-or-pay obligations contained in supply arrangements or</w:t>
      </w:r>
    </w:p>
    <w:p>
      <w:pPr>
        <w:spacing w:after="0" w:line="46" w:lineRule="exact"/>
        <w:rPr>
          <w:rFonts w:ascii="Arial" w:cs="Arial" w:eastAsia="Arial" w:hAnsi="Arial"/>
          <w:sz w:val="16"/>
          <w:szCs w:val="16"/>
          <w:color w:val="auto"/>
        </w:rPr>
      </w:pPr>
    </w:p>
    <w:p>
      <w:pPr>
        <w:ind w:left="4" w:right="20"/>
        <w:spacing w:after="0" w:line="260" w:lineRule="auto"/>
        <w:rPr>
          <w:rFonts w:ascii="Arial" w:cs="Arial" w:eastAsia="Arial" w:hAnsi="Arial"/>
          <w:sz w:val="16"/>
          <w:szCs w:val="16"/>
          <w:color w:val="auto"/>
        </w:rPr>
      </w:pPr>
      <w:r>
        <w:rPr>
          <w:rFonts w:ascii="Arial" w:cs="Arial" w:eastAsia="Arial" w:hAnsi="Arial"/>
          <w:sz w:val="18"/>
          <w:szCs w:val="18"/>
          <w:color w:val="auto"/>
        </w:rPr>
        <w:t>(C) Guarantees of the obligations of suppliers, customers, franchisees and licensees of the Borrower and the Restricted Subsidiaries, in each case in the ordinary course of business or consistent with past practice;</w:t>
      </w:r>
    </w:p>
    <w:p>
      <w:pPr>
        <w:spacing w:after="0" w:line="77" w:lineRule="exact"/>
        <w:rPr>
          <w:rFonts w:ascii="Arial" w:cs="Arial" w:eastAsia="Arial" w:hAnsi="Arial"/>
          <w:sz w:val="16"/>
          <w:szCs w:val="16"/>
          <w:color w:val="auto"/>
        </w:rPr>
      </w:pPr>
    </w:p>
    <w:p>
      <w:pPr>
        <w:jc w:val="both"/>
        <w:ind w:left="4" w:firstLine="419"/>
        <w:spacing w:after="0" w:line="257" w:lineRule="auto"/>
        <w:tabs>
          <w:tab w:leader="none" w:pos="82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Indebtedness incurred by the Borrower or any Restricted Subsidiary in respect of letters of credit, bank guarantees, warehouse receipts, bankers’ acceptances, or similar instruments issued or created, or related to obligations or liabilities (other than Indebtedness) incurred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spacing w:after="0" w:line="79" w:lineRule="exact"/>
        <w:rPr>
          <w:rFonts w:ascii="Arial" w:cs="Arial" w:eastAsia="Arial" w:hAnsi="Arial"/>
          <w:sz w:val="18"/>
          <w:szCs w:val="18"/>
          <w:color w:val="auto"/>
        </w:rPr>
      </w:pPr>
    </w:p>
    <w:p>
      <w:pPr>
        <w:jc w:val="both"/>
        <w:ind w:left="4" w:right="20" w:firstLine="419"/>
        <w:spacing w:after="0" w:line="259" w:lineRule="auto"/>
        <w:tabs>
          <w:tab w:leader="none" w:pos="89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obligations in respect of self-insurance and obligations in respect of performance, bid, appeal and surety bonds and performance, bankers acceptance facilities and completion guarantees, leases, government or trade contracts and similar obligations provided by the Borrower or any Restricted Subsidiary or obligations in respect of letters of credit, bank guarantees or similar instruments related thereto, in each case in the ordinary course of business or consistent with past practice;</w:t>
      </w:r>
    </w:p>
    <w:p>
      <w:pPr>
        <w:spacing w:after="0" w:line="78" w:lineRule="exact"/>
        <w:rPr>
          <w:rFonts w:ascii="Arial" w:cs="Arial" w:eastAsia="Arial" w:hAnsi="Arial"/>
          <w:sz w:val="18"/>
          <w:szCs w:val="18"/>
          <w:color w:val="auto"/>
        </w:rPr>
      </w:pPr>
    </w:p>
    <w:p>
      <w:pPr>
        <w:ind w:left="4" w:right="20" w:firstLine="419"/>
        <w:spacing w:after="0" w:line="277" w:lineRule="auto"/>
        <w:tabs>
          <w:tab w:leader="none" w:pos="92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Indebtedness comprising obligations in respect of take or pay contracts entered into the ordinary course of business or consistent with past practice;</w:t>
      </w:r>
    </w:p>
    <w:p>
      <w:pPr>
        <w:spacing w:after="0" w:line="62" w:lineRule="exact"/>
        <w:rPr>
          <w:rFonts w:ascii="Arial" w:cs="Arial" w:eastAsia="Arial" w:hAnsi="Arial"/>
          <w:sz w:val="18"/>
          <w:szCs w:val="18"/>
          <w:color w:val="auto"/>
        </w:rPr>
      </w:pPr>
    </w:p>
    <w:p>
      <w:pPr>
        <w:jc w:val="both"/>
        <w:ind w:left="4" w:firstLine="419"/>
        <w:spacing w:after="0" w:line="287" w:lineRule="auto"/>
        <w:tabs>
          <w:tab w:leader="none" w:pos="836"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(A) Indebtedness (the Indebtedness incurred pursuant to this </w:t>
      </w:r>
      <w:r>
        <w:rPr>
          <w:rFonts w:ascii="Arial" w:cs="Arial" w:eastAsia="Arial" w:hAnsi="Arial"/>
          <w:sz w:val="16"/>
          <w:szCs w:val="16"/>
          <w:u w:val="single" w:color="auto"/>
          <w:color w:val="auto"/>
        </w:rPr>
        <w:t>Section 6.01(a)(xix)</w:t>
      </w:r>
      <w:r>
        <w:rPr>
          <w:rFonts w:ascii="Arial" w:cs="Arial" w:eastAsia="Arial" w:hAnsi="Arial"/>
          <w:sz w:val="16"/>
          <w:szCs w:val="16"/>
          <w:color w:val="auto"/>
        </w:rPr>
        <w:t>, the “</w:t>
      </w:r>
      <w:r>
        <w:rPr>
          <w:rFonts w:ascii="Arial" w:cs="Arial" w:eastAsia="Arial" w:hAnsi="Arial"/>
          <w:sz w:val="16"/>
          <w:szCs w:val="16"/>
          <w:u w:val="single" w:color="auto"/>
          <w:color w:val="auto"/>
        </w:rPr>
        <w:t>Ratio Indebtedness</w:t>
      </w:r>
      <w:r>
        <w:rPr>
          <w:rFonts w:ascii="Arial" w:cs="Arial" w:eastAsia="Arial" w:hAnsi="Arial"/>
          <w:sz w:val="16"/>
          <w:szCs w:val="16"/>
          <w:color w:val="auto"/>
        </w:rPr>
        <w:t xml:space="preserve">”) of the Borrower 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the incurrence thereof and after giving pro forma effect thereto and the use of the proceeds thereof, the aggregate principal amount of Indebtedness outstanding in reliance on this </w:t>
      </w:r>
      <w:r>
        <w:rPr>
          <w:rFonts w:ascii="Arial" w:cs="Arial" w:eastAsia="Arial" w:hAnsi="Arial"/>
          <w:sz w:val="16"/>
          <w:szCs w:val="16"/>
          <w:u w:val="single" w:color="auto"/>
          <w:color w:val="auto"/>
        </w:rPr>
        <w:t>clause (xix)</w:t>
      </w:r>
      <w:r>
        <w:rPr>
          <w:rFonts w:ascii="Arial" w:cs="Arial" w:eastAsia="Arial" w:hAnsi="Arial"/>
          <w:sz w:val="16"/>
          <w:szCs w:val="16"/>
          <w:color w:val="auto"/>
        </w:rPr>
        <w:t xml:space="preserve"> shall not exceed the sum of (1) </w:t>
      </w:r>
      <w:r>
        <w:rPr>
          <w:rFonts w:ascii="Arial" w:cs="Arial" w:eastAsia="Arial" w:hAnsi="Arial"/>
          <w:sz w:val="16"/>
          <w:szCs w:val="16"/>
          <w:u w:val="single" w:color="auto"/>
          <w:color w:val="0000FF"/>
        </w:rPr>
        <w:t>after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Suspension Period has ended,</w:t>
      </w:r>
      <w:r>
        <w:rPr>
          <w:rFonts w:ascii="Arial" w:cs="Arial" w:eastAsia="Arial" w:hAnsi="Arial"/>
          <w:sz w:val="16"/>
          <w:szCs w:val="16"/>
          <w:color w:val="0000FF"/>
        </w:rPr>
        <w:t xml:space="preserve"> </w:t>
      </w:r>
      <w:r>
        <w:rPr>
          <w:rFonts w:ascii="Arial" w:cs="Arial" w:eastAsia="Arial" w:hAnsi="Arial"/>
          <w:sz w:val="16"/>
          <w:szCs w:val="16"/>
          <w:color w:val="000000"/>
        </w:rPr>
        <w:t>the Incremental Base Amount available at such time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(for the avoidance of doubt, no amount shall be available under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this clause (1) during the Suspension Period),</w:t>
      </w:r>
      <w:r>
        <w:rPr>
          <w:rFonts w:ascii="Arial" w:cs="Arial" w:eastAsia="Arial" w:hAnsi="Arial"/>
          <w:sz w:val="16"/>
          <w:szCs w:val="16"/>
          <w:color w:val="0000FF"/>
        </w:rPr>
        <w:t xml:space="preserve"> </w:t>
      </w:r>
      <w:r>
        <w:rPr>
          <w:rFonts w:ascii="Arial" w:cs="Arial" w:eastAsia="Arial" w:hAnsi="Arial"/>
          <w:sz w:val="16"/>
          <w:szCs w:val="16"/>
          <w:color w:val="000000"/>
        </w:rPr>
        <w:t>plus (2) additional unlimited amounts so long as after giving effect to the incurrence of such Ratio</w:t>
      </w:r>
      <w:r>
        <w:rPr>
          <w:rFonts w:ascii="Arial" w:cs="Arial" w:eastAsia="Arial" w:hAnsi="Arial"/>
          <w:sz w:val="16"/>
          <w:szCs w:val="16"/>
          <w:color w:val="0000FF"/>
        </w:rPr>
        <w:t xml:space="preserve"> </w:t>
      </w:r>
      <w:r>
        <w:rPr>
          <w:rFonts w:ascii="Arial" w:cs="Arial" w:eastAsia="Arial" w:hAnsi="Arial"/>
          <w:sz w:val="16"/>
          <w:szCs w:val="16"/>
          <w:color w:val="000000"/>
        </w:rPr>
        <w:t xml:space="preserve">Indebtedness and the use of proceeds thereof, calculated on a pro forma basis as of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6"/>
          <w:szCs w:val="16"/>
          <w:u w:val="single" w:color="auto"/>
          <w:color w:val="000000"/>
        </w:rPr>
        <w:t>Section 5.01(a)</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b)</w:t>
      </w:r>
      <w:r>
        <w:rPr>
          <w:rFonts w:ascii="Arial" w:cs="Arial" w:eastAsia="Arial" w:hAnsi="Arial"/>
          <w:sz w:val="16"/>
          <w:szCs w:val="16"/>
          <w:color w:val="000000"/>
        </w:rPr>
        <w:t xml:space="preserve">) (but excluding from the computation thereof the proceeds of such Indebtedness) the Total Net Cash Leverage Ratio would not exceed </w:t>
      </w:r>
      <w:r>
        <w:rPr>
          <w:rFonts w:ascii="Arial" w:cs="Arial" w:eastAsia="Arial" w:hAnsi="Arial"/>
          <w:sz w:val="16"/>
          <w:szCs w:val="16"/>
          <w:u w:val="single" w:color="auto"/>
          <w:color w:val="0000FF"/>
        </w:rPr>
        <w:t>(x) during the Suspension Period, 4.00:1.00, and (y) after the Suspension</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Period has ended,</w:t>
      </w:r>
      <w:r>
        <w:rPr>
          <w:rFonts w:ascii="Arial" w:cs="Arial" w:eastAsia="Arial" w:hAnsi="Arial"/>
          <w:sz w:val="16"/>
          <w:szCs w:val="16"/>
          <w:color w:val="0000FF"/>
        </w:rPr>
        <w:t xml:space="preserve"> </w:t>
      </w:r>
      <w:r>
        <w:rPr>
          <w:rFonts w:ascii="Arial" w:cs="Arial" w:eastAsia="Arial" w:hAnsi="Arial"/>
          <w:sz w:val="16"/>
          <w:szCs w:val="16"/>
          <w:color w:val="000000"/>
        </w:rPr>
        <w:t>6.00:1.00;</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FF"/>
        </w:rPr>
        <w:t xml:space="preserve"> </w:t>
      </w:r>
      <w:r>
        <w:rPr>
          <w:rFonts w:ascii="Arial" w:cs="Arial" w:eastAsia="Arial" w:hAnsi="Arial"/>
          <w:sz w:val="16"/>
          <w:szCs w:val="16"/>
          <w:color w:val="000000"/>
        </w:rPr>
        <w:t>that (I)</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clauses (a)</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(b)</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(c)</w:t>
      </w:r>
      <w:r>
        <w:rPr>
          <w:rFonts w:ascii="Arial" w:cs="Arial" w:eastAsia="Arial" w:hAnsi="Arial"/>
          <w:sz w:val="16"/>
          <w:szCs w:val="16"/>
          <w:color w:val="0000FF"/>
        </w:rPr>
        <w:t xml:space="preserve"> </w:t>
      </w:r>
      <w:r>
        <w:rPr>
          <w:rFonts w:ascii="Arial" w:cs="Arial" w:eastAsia="Arial" w:hAnsi="Arial"/>
          <w:sz w:val="16"/>
          <w:szCs w:val="16"/>
          <w:color w:val="000000"/>
        </w:rPr>
        <w:t>of the Required Additional Debt Terms shall have been satisfied, (II) the</w:t>
      </w:r>
      <w:r>
        <w:rPr>
          <w:rFonts w:ascii="Arial" w:cs="Arial" w:eastAsia="Arial" w:hAnsi="Arial"/>
          <w:sz w:val="16"/>
          <w:szCs w:val="16"/>
          <w:color w:val="0000FF"/>
        </w:rPr>
        <w:t xml:space="preserve"> </w:t>
      </w:r>
      <w:r>
        <w:rPr>
          <w:rFonts w:ascii="Arial" w:cs="Arial" w:eastAsia="Arial" w:hAnsi="Arial"/>
          <w:sz w:val="16"/>
          <w:szCs w:val="16"/>
          <w:color w:val="000000"/>
        </w:rPr>
        <w:t>aggregate principal amount of Ratio Indebtedness that is incurred by or secured by assets of Restricted Subsidiaries that are not Loan Parties, when combined with the aggregate principal amount of Acquisition Debt that has been incurred by Restricted Subsidiaries that are not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-4332605</wp:posOffset>
            </wp:positionV>
            <wp:extent cx="505777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0577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-4195445</wp:posOffset>
            </wp:positionV>
            <wp:extent cx="774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6321425</wp:posOffset>
            </wp:positionH>
            <wp:positionV relativeFrom="paragraph">
              <wp:posOffset>-1246505</wp:posOffset>
            </wp:positionV>
            <wp:extent cx="3943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-1109345</wp:posOffset>
            </wp:positionV>
            <wp:extent cx="13544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-1109345</wp:posOffset>
            </wp:positionV>
            <wp:extent cx="29057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-972185</wp:posOffset>
            </wp:positionV>
            <wp:extent cx="209994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099945" cy="8255"/>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-423545</wp:posOffset>
            </wp:positionV>
            <wp:extent cx="347154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715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-286385</wp:posOffset>
            </wp:positionV>
            <wp:extent cx="8229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0"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584"/>
          </w:cols>
          <w:pgMar w:left="876" w:top="274" w:right="439" w:bottom="1440" w:gutter="0" w:footer="0" w:header="0"/>
        </w:sectPr>
      </w:pPr>
    </w:p>
    <w:bookmarkStart w:id="190" w:name="page191"/>
    <w:bookmarkEnd w:id="190"/>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Parties and is outstanding in reliance on clause (ii) of the proviso to clause (a)(xxvi)(A), shall not exceed, at the time of incurrence thereof and after giving pro forma effect thereto and the use of the proceeds thereof, the greater of (x) $12,500,000 and (y) 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(b)) as of such time</w:t>
      </w:r>
      <w:r>
        <w:rPr>
          <w:rFonts w:ascii="Arial" w:cs="Arial" w:eastAsia="Arial" w:hAnsi="Arial"/>
          <w:sz w:val="17"/>
          <w:szCs w:val="17"/>
          <w:u w:val="single" w:color="auto"/>
          <w:color w:val="0000FF"/>
        </w:rPr>
        <w:t>,</w:t>
      </w:r>
      <w:r>
        <w:rPr>
          <w:rFonts w:ascii="Arial" w:cs="Arial" w:eastAsia="Arial" w:hAnsi="Arial"/>
          <w:sz w:val="17"/>
          <w:szCs w:val="17"/>
          <w:color w:val="auto"/>
        </w:rPr>
        <w:t xml:space="preserve"> and (III) subject to </w:t>
      </w:r>
      <w:r>
        <w:rPr>
          <w:rFonts w:ascii="Arial" w:cs="Arial" w:eastAsia="Arial" w:hAnsi="Arial"/>
          <w:sz w:val="17"/>
          <w:szCs w:val="17"/>
          <w:u w:val="single" w:color="auto"/>
          <w:color w:val="auto"/>
        </w:rPr>
        <w:t>Section 1.08</w:t>
      </w:r>
      <w:r>
        <w:rPr>
          <w:rFonts w:ascii="Arial" w:cs="Arial" w:eastAsia="Arial" w:hAnsi="Arial"/>
          <w:sz w:val="17"/>
          <w:szCs w:val="17"/>
          <w:color w:val="auto"/>
        </w:rPr>
        <w:t xml:space="preserve">, no Event of Default shall have occurred and be continuing or would result therefrom; and (B) any Permitted Refinancing thereof; </w:t>
      </w:r>
      <w:r>
        <w:rPr>
          <w:rFonts w:ascii="Arial" w:cs="Arial" w:eastAsia="Arial" w:hAnsi="Arial"/>
          <w:sz w:val="17"/>
          <w:szCs w:val="17"/>
          <w:u w:val="single" w:color="auto"/>
          <w:color w:val="0000FF"/>
        </w:rPr>
        <w:t>provided that the opportunity to commit to provide all or a portion of any Indebtedness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incurred pursuant to this Section 6.01(a)(xix) shall be offered by the Borrower first to the existing Lenders on a pro rata basis and, to the extent that such existing Lenders have not agreed to provide such Indebtedness within five Business Days after receiving such offer from the Borrower (or the Administrative Agent or any arranger of such Indebtedness on behalf of the Borrower), on the terms specified by the Borrower, the Borrower may then offer such opportunity to other Persons (which may include existing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-687070</wp:posOffset>
            </wp:positionV>
            <wp:extent cx="342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2555240</wp:posOffset>
            </wp:positionH>
            <wp:positionV relativeFrom="paragraph">
              <wp:posOffset>-549910</wp:posOffset>
            </wp:positionV>
            <wp:extent cx="41490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1490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-412750</wp:posOffset>
            </wp:positionV>
            <wp:extent cx="670369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-275590</wp:posOffset>
            </wp:positionV>
            <wp:extent cx="67119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-138430</wp:posOffset>
            </wp:positionV>
            <wp:extent cx="670369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wp:posOffset>
            </wp:positionV>
            <wp:extent cx="44831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483100" cy="8890"/>
                    </a:xfrm>
                    <a:prstGeom prst="rect">
                      <a:avLst/>
                    </a:prstGeom>
                    <a:noFill/>
                  </pic:spPr>
                </pic:pic>
              </a:graphicData>
            </a:graphic>
          </wp:anchor>
        </w:drawing>
      </w:r>
    </w:p>
    <w:p>
      <w:pPr>
        <w:spacing w:after="0" w:line="57" w:lineRule="exact"/>
        <w:rPr>
          <w:sz w:val="20"/>
          <w:szCs w:val="20"/>
          <w:color w:val="auto"/>
        </w:rPr>
      </w:pPr>
    </w:p>
    <w:p>
      <w:pPr>
        <w:ind w:left="760" w:hanging="341"/>
        <w:spacing w:after="0"/>
        <w:tabs>
          <w:tab w:leader="none" w:pos="7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Indebtedness supported by a letter of credit issued in a principal amount not to exceed the face amount of such letter of credit;</w:t>
      </w:r>
    </w:p>
    <w:p>
      <w:pPr>
        <w:spacing w:after="0" w:line="128" w:lineRule="exact"/>
        <w:rPr>
          <w:rFonts w:ascii="Arial" w:cs="Arial" w:eastAsia="Arial" w:hAnsi="Arial"/>
          <w:sz w:val="17"/>
          <w:szCs w:val="17"/>
          <w:color w:val="auto"/>
        </w:rPr>
      </w:pPr>
    </w:p>
    <w:p>
      <w:pPr>
        <w:ind w:right="20" w:firstLine="419"/>
        <w:spacing w:after="0" w:line="277" w:lineRule="auto"/>
        <w:tabs>
          <w:tab w:leader="none" w:pos="82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Permitted Unsecured Refinancing Debt and any Permitted Refinancing thereof constituting Indebtedness of the Borrower or any other Loan Party;</w:t>
      </w:r>
    </w:p>
    <w:p>
      <w:pPr>
        <w:spacing w:after="0" w:line="62" w:lineRule="exact"/>
        <w:rPr>
          <w:rFonts w:ascii="Arial" w:cs="Arial" w:eastAsia="Arial" w:hAnsi="Arial"/>
          <w:sz w:val="18"/>
          <w:szCs w:val="18"/>
          <w:color w:val="auto"/>
        </w:rPr>
      </w:pPr>
    </w:p>
    <w:p>
      <w:pPr>
        <w:ind w:right="20" w:firstLine="419"/>
        <w:spacing w:after="0" w:line="277" w:lineRule="auto"/>
        <w:tabs>
          <w:tab w:leader="none" w:pos="88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Permitted Equal Priority Refinancing Debt and Permitted Junior Priority Refinancing Debt, and any Permitted Refinancing thereof constituting Indebtedness of the Borrower or any other Loan Party;</w:t>
      </w:r>
    </w:p>
    <w:p>
      <w:pPr>
        <w:spacing w:after="0" w:line="62" w:lineRule="exact"/>
        <w:rPr>
          <w:rFonts w:ascii="Arial" w:cs="Arial" w:eastAsia="Arial" w:hAnsi="Arial"/>
          <w:sz w:val="18"/>
          <w:szCs w:val="18"/>
          <w:color w:val="auto"/>
        </w:rPr>
      </w:pPr>
    </w:p>
    <w:p>
      <w:pPr>
        <w:jc w:val="both"/>
        <w:ind w:firstLine="419"/>
        <w:spacing w:after="0" w:line="255" w:lineRule="auto"/>
        <w:tabs>
          <w:tab w:leader="none" w:pos="92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(A) Indebtedness (the Indebtedness incurred pursuant to this </w:t>
      </w:r>
      <w:r>
        <w:rPr>
          <w:rFonts w:ascii="Arial" w:cs="Arial" w:eastAsia="Arial" w:hAnsi="Arial"/>
          <w:sz w:val="18"/>
          <w:szCs w:val="18"/>
          <w:u w:val="single" w:color="auto"/>
          <w:color w:val="auto"/>
        </w:rPr>
        <w:t>Section 6.01(a)(xxiii)</w:t>
      </w:r>
      <w:r>
        <w:rPr>
          <w:rFonts w:ascii="Arial" w:cs="Arial" w:eastAsia="Arial" w:hAnsi="Arial"/>
          <w:sz w:val="18"/>
          <w:szCs w:val="18"/>
          <w:color w:val="auto"/>
        </w:rPr>
        <w:t>, “</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of the Borrower or any other Loan Party consisting of (x) secured, subordinated or unsecured bonds, notes or debentures (which bonds, notes or debentures, if secured, may be secured by Liens on the Collateral having (or intended to have) a priority ranking junior to the Liens on the Collateral securing the Secured Obligations or (y) secured or unsecured loans (or commitments to provide loans or other extensions of credit) (which loans or commitments, if secured, may be secured by Liens on the Collateral having (or intended to have) a priority ranking junior to the Liens on the Collateral securing the Secured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4" w:lineRule="exact"/>
        <w:rPr>
          <w:rFonts w:ascii="Arial" w:cs="Arial" w:eastAsia="Arial" w:hAnsi="Arial"/>
          <w:sz w:val="18"/>
          <w:szCs w:val="18"/>
          <w:color w:val="auto"/>
        </w:rPr>
      </w:pPr>
    </w:p>
    <w:p>
      <w:pPr>
        <w:ind w:left="540" w:firstLine="408"/>
        <w:spacing w:after="0" w:line="342" w:lineRule="auto"/>
        <w:tabs>
          <w:tab w:leader="none" w:pos="1198"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aggregate principal amount of all such Indebtedness incurred pursuant to this clause shall not exceed at the time of incurrence thereof and after giving pro forma effect to such incurrence and the use of proceeds thereof, the Incremental Cap at such time,</w:t>
      </w:r>
    </w:p>
    <w:p>
      <w:pPr>
        <w:spacing w:after="0" w:line="15" w:lineRule="exact"/>
        <w:rPr>
          <w:rFonts w:ascii="Arial" w:cs="Arial" w:eastAsia="Arial" w:hAnsi="Arial"/>
          <w:sz w:val="16"/>
          <w:szCs w:val="16"/>
          <w:color w:val="auto"/>
        </w:rPr>
      </w:pPr>
    </w:p>
    <w:p>
      <w:pPr>
        <w:ind w:left="1200" w:hanging="252"/>
        <w:spacing w:after="0"/>
        <w:tabs>
          <w:tab w:leader="none" w:pos="12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Required Additional Debt Terms shall have been satisfied,</w:t>
      </w:r>
    </w:p>
    <w:p>
      <w:pPr>
        <w:spacing w:after="0" w:line="117" w:lineRule="exact"/>
        <w:rPr>
          <w:rFonts w:ascii="Arial" w:cs="Arial" w:eastAsia="Arial" w:hAnsi="Arial"/>
          <w:sz w:val="18"/>
          <w:szCs w:val="18"/>
          <w:color w:val="auto"/>
        </w:rPr>
      </w:pPr>
    </w:p>
    <w:p>
      <w:pPr>
        <w:ind w:left="540" w:right="20" w:firstLine="408"/>
        <w:spacing w:after="0" w:line="277" w:lineRule="auto"/>
        <w:tabs>
          <w:tab w:leader="none" w:pos="1209"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1.08</w:t>
      </w:r>
      <w:r>
        <w:rPr>
          <w:rFonts w:ascii="Arial" w:cs="Arial" w:eastAsia="Arial" w:hAnsi="Arial"/>
          <w:sz w:val="18"/>
          <w:szCs w:val="18"/>
          <w:color w:val="auto"/>
        </w:rPr>
        <w:t>, (A) no Event of Default shall have occurred and be continuing or would result therefrom, and (B) any Permitted Refinancing thereof</w:t>
      </w:r>
      <w:r>
        <w:rPr>
          <w:rFonts w:ascii="Arial" w:cs="Arial" w:eastAsia="Arial" w:hAnsi="Arial"/>
          <w:sz w:val="18"/>
          <w:szCs w:val="18"/>
          <w:color w:val="FF4338"/>
          <w:strike w:val="1"/>
        </w:rPr>
        <w:t>.</w:t>
      </w:r>
      <w:r>
        <w:rPr>
          <w:rFonts w:ascii="Arial" w:cs="Arial" w:eastAsia="Arial" w:hAnsi="Arial"/>
          <w:sz w:val="18"/>
          <w:szCs w:val="18"/>
          <w:u w:val="single" w:color="auto"/>
          <w:color w:val="0000FF"/>
        </w:rPr>
        <w:t>,</w:t>
      </w:r>
    </w:p>
    <w:p>
      <w:pPr>
        <w:spacing w:after="0" w:line="62" w:lineRule="exact"/>
        <w:rPr>
          <w:rFonts w:ascii="Arial" w:cs="Arial" w:eastAsia="Arial" w:hAnsi="Arial"/>
          <w:sz w:val="18"/>
          <w:szCs w:val="18"/>
          <w:color w:val="auto"/>
        </w:rPr>
      </w:pPr>
    </w:p>
    <w:p>
      <w:pPr>
        <w:jc w:val="both"/>
        <w:ind w:left="540" w:firstLine="408"/>
        <w:spacing w:after="0" w:line="259" w:lineRule="auto"/>
        <w:tabs>
          <w:tab w:leader="none" w:pos="1201" w:val="left"/>
        </w:tabs>
        <w:numPr>
          <w:ilvl w:val="1"/>
          <w:numId w:val="20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opportunity to commit to provide all or a portion of any Indebtedness incurred pursuant to this Section 6.01(a)(xxiii) shall be offered by the Borrower first to the existing Lenders on a pro rata basis and, to the extent that such existing Lenders have not agreed to provide such Indebtedness within five Business Days after receiving such offer from the Borrower (or the Administrative Agent or any arranger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-617855</wp:posOffset>
            </wp:positionV>
            <wp:extent cx="254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-412115</wp:posOffset>
            </wp:positionV>
            <wp:extent cx="6103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10362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-274955</wp:posOffset>
            </wp:positionV>
            <wp:extent cx="636905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-137795</wp:posOffset>
            </wp:positionV>
            <wp:extent cx="636079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-635</wp:posOffset>
            </wp:positionV>
            <wp:extent cx="7454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45490" cy="8890"/>
                    </a:xfrm>
                    <a:prstGeom prst="rect">
                      <a:avLst/>
                    </a:prstGeom>
                    <a:noFill/>
                  </pic:spPr>
                </pic:pic>
              </a:graphicData>
            </a:graphic>
          </wp:anchor>
        </w:drawing>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580"/>
          </w:cols>
          <w:pgMar w:left="880" w:top="274" w:right="439" w:bottom="1440" w:gutter="0" w:footer="0" w:header="0"/>
        </w:sectPr>
      </w:pPr>
    </w:p>
    <w:bookmarkStart w:id="191" w:name="page192"/>
    <w:bookmarkEnd w:id="191"/>
    <w:p>
      <w:pPr>
        <w:ind w:left="544"/>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on behalf of the Borrower), on the terms specified by the Borrower, the Borrower may then offer such opportunity to other Persons (which may include existing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-147955</wp:posOffset>
            </wp:positionV>
            <wp:extent cx="636905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-10795</wp:posOffset>
            </wp:positionV>
            <wp:extent cx="21513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42" w:lineRule="exact"/>
        <w:rPr>
          <w:sz w:val="20"/>
          <w:szCs w:val="20"/>
          <w:color w:val="auto"/>
        </w:rPr>
      </w:pPr>
    </w:p>
    <w:p>
      <w:pPr>
        <w:ind w:left="904" w:hanging="481"/>
        <w:spacing w:after="0"/>
        <w:tabs>
          <w:tab w:leader="none" w:pos="90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4" w:right="20" w:firstLine="419"/>
        <w:spacing w:after="0" w:line="285" w:lineRule="auto"/>
        <w:tabs>
          <w:tab w:leader="none" w:pos="864" w:val="left"/>
        </w:tabs>
        <w:numPr>
          <w:ilvl w:val="1"/>
          <w:numId w:val="206"/>
        </w:numPr>
        <w:rPr>
          <w:rFonts w:ascii="Arial" w:cs="Arial" w:eastAsia="Arial" w:hAnsi="Arial"/>
          <w:sz w:val="16"/>
          <w:szCs w:val="16"/>
          <w:color w:val="auto"/>
        </w:rPr>
      </w:pPr>
      <w:r>
        <w:rPr>
          <w:rFonts w:ascii="Arial" w:cs="Arial" w:eastAsia="Arial" w:hAnsi="Arial"/>
          <w:sz w:val="16"/>
          <w:szCs w:val="16"/>
          <w:color w:val="auto"/>
        </w:rPr>
        <w:t xml:space="preserve">(A) Indebtedness of any Restricted Subsidiary that is not a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incurrence thereof and after giving pro forma effect thereto and the use of the proceeds thereof, the aggregate principal amount of Indebtedness incurred in reliance on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(xxv)(A)</w:t>
      </w:r>
      <w:r>
        <w:rPr>
          <w:rFonts w:ascii="Arial" w:cs="Arial" w:eastAsia="Arial" w:hAnsi="Arial"/>
          <w:sz w:val="16"/>
          <w:szCs w:val="16"/>
          <w:color w:val="auto"/>
        </w:rPr>
        <w:t xml:space="preserve"> then outstanding shall not exceed an amount equal to the greater of (x) $5,000,000 and (y) 10.0%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Permitted Refinancing thereof;</w:t>
      </w:r>
    </w:p>
    <w:p>
      <w:pPr>
        <w:spacing w:after="0" w:line="102" w:lineRule="exact"/>
        <w:rPr>
          <w:rFonts w:ascii="Arial" w:cs="Arial" w:eastAsia="Arial" w:hAnsi="Arial"/>
          <w:sz w:val="18"/>
          <w:szCs w:val="18"/>
          <w:color w:val="auto"/>
        </w:rPr>
      </w:pPr>
    </w:p>
    <w:p>
      <w:pPr>
        <w:ind w:left="4" w:firstLine="419"/>
        <w:spacing w:after="0" w:line="308" w:lineRule="auto"/>
        <w:tabs>
          <w:tab w:leader="none" w:pos="935" w:val="left"/>
        </w:tabs>
        <w:numPr>
          <w:ilvl w:val="1"/>
          <w:numId w:val="207"/>
        </w:numPr>
        <w:rPr>
          <w:rFonts w:ascii="Arial" w:cs="Arial" w:eastAsia="Arial" w:hAnsi="Arial"/>
          <w:sz w:val="17"/>
          <w:szCs w:val="17"/>
          <w:color w:val="auto"/>
        </w:rPr>
      </w:pPr>
      <w:r>
        <w:rPr>
          <w:rFonts w:ascii="Arial" w:cs="Arial" w:eastAsia="Arial" w:hAnsi="Arial"/>
          <w:sz w:val="17"/>
          <w:szCs w:val="17"/>
          <w:color w:val="auto"/>
        </w:rPr>
        <w:t xml:space="preserve">(A) Indebtedness of the Borrower or any Restricted Subsidiary incurred to finance a Permitted Acquisition or similar Investment permitted by this Agreement (the Indebtedness incurred pursuant to this </w:t>
      </w:r>
      <w:r>
        <w:rPr>
          <w:rFonts w:ascii="Arial" w:cs="Arial" w:eastAsia="Arial" w:hAnsi="Arial"/>
          <w:sz w:val="17"/>
          <w:szCs w:val="17"/>
          <w:u w:val="single" w:color="auto"/>
          <w:color w:val="auto"/>
        </w:rPr>
        <w:t>Section 6.01(a)(xxvi)</w:t>
      </w:r>
      <w:r>
        <w:rPr>
          <w:rFonts w:ascii="Arial" w:cs="Arial" w:eastAsia="Arial" w:hAnsi="Arial"/>
          <w:sz w:val="17"/>
          <w:szCs w:val="17"/>
          <w:color w:val="auto"/>
        </w:rPr>
        <w:t>, “</w:t>
      </w:r>
      <w:r>
        <w:rPr>
          <w:rFonts w:ascii="Arial" w:cs="Arial" w:eastAsia="Arial" w:hAnsi="Arial"/>
          <w:sz w:val="17"/>
          <w:szCs w:val="17"/>
          <w:u w:val="single" w:color="auto"/>
          <w:color w:val="auto"/>
        </w:rPr>
        <w:t>Acquisition Debt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38" w:lineRule="exact"/>
        <w:rPr>
          <w:rFonts w:ascii="Arial" w:cs="Arial" w:eastAsia="Arial" w:hAnsi="Arial"/>
          <w:sz w:val="17"/>
          <w:szCs w:val="17"/>
          <w:color w:val="auto"/>
        </w:rPr>
      </w:pPr>
    </w:p>
    <w:p>
      <w:pPr>
        <w:ind w:left="784" w:hanging="233"/>
        <w:spacing w:after="0"/>
        <w:tabs>
          <w:tab w:leader="none" w:pos="784" w:val="left"/>
        </w:tabs>
        <w:numPr>
          <w:ilvl w:val="2"/>
          <w:numId w:val="20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1.08</w:t>
      </w:r>
      <w:r>
        <w:rPr>
          <w:rFonts w:ascii="Arial" w:cs="Arial" w:eastAsia="Arial" w:hAnsi="Arial"/>
          <w:sz w:val="18"/>
          <w:szCs w:val="18"/>
          <w:color w:val="auto"/>
        </w:rPr>
        <w:t>, no Event of Default shall have occurred and be continuing or would result therefrom,</w:t>
      </w:r>
    </w:p>
    <w:p>
      <w:pPr>
        <w:spacing w:after="0" w:line="117" w:lineRule="exact"/>
        <w:rPr>
          <w:sz w:val="20"/>
          <w:szCs w:val="20"/>
          <w:color w:val="auto"/>
        </w:rPr>
      </w:pPr>
    </w:p>
    <w:p>
      <w:pPr>
        <w:jc w:val="both"/>
        <w:ind w:left="544" w:firstLine="7"/>
        <w:spacing w:after="0" w:line="269" w:lineRule="auto"/>
        <w:tabs>
          <w:tab w:leader="none" w:pos="83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at the time of incurrence thereof and after giving pro forma effect thereto and the use of the proceeds thereof, the aggregate principal amount of Acquisition Debt incurred in reliance on this clause (xxvi) and then outstanding shall not exceed the sum of (A) </w:t>
      </w:r>
      <w:r>
        <w:rPr>
          <w:rFonts w:ascii="Arial" w:cs="Arial" w:eastAsia="Arial" w:hAnsi="Arial"/>
          <w:sz w:val="17"/>
          <w:szCs w:val="17"/>
          <w:u w:val="single" w:color="auto"/>
          <w:color w:val="0000FF"/>
        </w:rPr>
        <w:t>after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Suspension Period has ended,</w:t>
      </w:r>
      <w:r>
        <w:rPr>
          <w:rFonts w:ascii="Arial" w:cs="Arial" w:eastAsia="Arial" w:hAnsi="Arial"/>
          <w:sz w:val="17"/>
          <w:szCs w:val="17"/>
          <w:color w:val="0000FF"/>
        </w:rPr>
        <w:t xml:space="preserve"> </w:t>
      </w:r>
      <w:r>
        <w:rPr>
          <w:rFonts w:ascii="Arial" w:cs="Arial" w:eastAsia="Arial" w:hAnsi="Arial"/>
          <w:sz w:val="17"/>
          <w:szCs w:val="17"/>
          <w:color w:val="000000"/>
        </w:rPr>
        <w:t>the Incremental Base Amount available at such time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(for the avoidance of doubt, no amount shall be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available under this clause (A) during the Suspension Period),</w:t>
      </w:r>
      <w:r>
        <w:rPr>
          <w:rFonts w:ascii="Arial" w:cs="Arial" w:eastAsia="Arial" w:hAnsi="Arial"/>
          <w:sz w:val="17"/>
          <w:szCs w:val="17"/>
          <w:color w:val="0000FF"/>
        </w:rPr>
        <w:t xml:space="preserve"> </w:t>
      </w:r>
      <w:r>
        <w:rPr>
          <w:rFonts w:ascii="Arial" w:cs="Arial" w:eastAsia="Arial" w:hAnsi="Arial"/>
          <w:sz w:val="17"/>
          <w:szCs w:val="17"/>
          <w:color w:val="000000"/>
        </w:rPr>
        <w:t>plus (B) additional unlimited amounts so long as after giving effect to the</w:t>
      </w:r>
      <w:r>
        <w:rPr>
          <w:rFonts w:ascii="Arial" w:cs="Arial" w:eastAsia="Arial" w:hAnsi="Arial"/>
          <w:sz w:val="17"/>
          <w:szCs w:val="17"/>
          <w:color w:val="0000FF"/>
        </w:rPr>
        <w:t xml:space="preserve"> </w:t>
      </w:r>
      <w:r>
        <w:rPr>
          <w:rFonts w:ascii="Arial" w:cs="Arial" w:eastAsia="Arial" w:hAnsi="Arial"/>
          <w:sz w:val="17"/>
          <w:szCs w:val="17"/>
          <w:color w:val="000000"/>
        </w:rPr>
        <w:t xml:space="preserve">incurrence of such Acquisition Debt and the use of proceeds thereof, calculated on a pro forma basis as of the Test Period most recently ended on or prior to such date of incurrence (measured as of the date such Indebtedness is incurred based upon the financial statements most recently delivered (or required to have been delivered) on or prior to such date pursuant to </w:t>
      </w:r>
      <w:r>
        <w:rPr>
          <w:rFonts w:ascii="Arial" w:cs="Arial" w:eastAsia="Arial" w:hAnsi="Arial"/>
          <w:sz w:val="17"/>
          <w:szCs w:val="17"/>
          <w:u w:val="single" w:color="auto"/>
          <w:color w:val="000000"/>
        </w:rPr>
        <w:t>Section 5.01(a)</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(b))</w:t>
      </w:r>
      <w:r>
        <w:rPr>
          <w:rFonts w:ascii="Arial" w:cs="Arial" w:eastAsia="Arial" w:hAnsi="Arial"/>
          <w:sz w:val="17"/>
          <w:szCs w:val="17"/>
          <w:color w:val="000000"/>
        </w:rPr>
        <w:t xml:space="preserve"> (but excluding from the computation thereof the proceeds of such Indebtedness), the Total Net Cash Leverage Ratio would not exceed </w:t>
      </w:r>
      <w:r>
        <w:rPr>
          <w:rFonts w:ascii="Arial" w:cs="Arial" w:eastAsia="Arial" w:hAnsi="Arial"/>
          <w:sz w:val="17"/>
          <w:szCs w:val="17"/>
          <w:u w:val="single" w:color="auto"/>
          <w:color w:val="0000FF"/>
        </w:rPr>
        <w:t>(x) during the</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Suspension Period, 4.00:1.00, and (y) after the Suspension Period has ended,</w:t>
      </w:r>
      <w:r>
        <w:rPr>
          <w:rFonts w:ascii="Arial" w:cs="Arial" w:eastAsia="Arial" w:hAnsi="Arial"/>
          <w:sz w:val="17"/>
          <w:szCs w:val="17"/>
          <w:color w:val="0000FF"/>
        </w:rPr>
        <w:t xml:space="preserve"> </w:t>
      </w:r>
      <w:r>
        <w:rPr>
          <w:rFonts w:ascii="Arial" w:cs="Arial" w:eastAsia="Arial" w:hAnsi="Arial"/>
          <w:sz w:val="17"/>
          <w:szCs w:val="17"/>
          <w:color w:val="000000"/>
        </w:rPr>
        <w:t>6.00:1.00</w:t>
      </w:r>
      <w:r>
        <w:rPr>
          <w:rFonts w:ascii="Arial" w:cs="Arial" w:eastAsia="Arial" w:hAnsi="Arial"/>
          <w:sz w:val="17"/>
          <w:szCs w:val="17"/>
          <w:u w:val="single" w:color="auto"/>
          <w:color w:val="0000FF"/>
        </w:rPr>
        <w:t>, in each case,</w:t>
      </w:r>
      <w:r>
        <w:rPr>
          <w:rFonts w:ascii="Arial" w:cs="Arial" w:eastAsia="Arial" w:hAnsi="Arial"/>
          <w:sz w:val="17"/>
          <w:szCs w:val="17"/>
          <w:color w:val="0000FF"/>
        </w:rPr>
        <w:t xml:space="preserve"> </w:t>
      </w:r>
      <w:r>
        <w:rPr>
          <w:rFonts w:ascii="Arial" w:cs="Arial" w:eastAsia="Arial" w:hAnsi="Arial"/>
          <w:sz w:val="17"/>
          <w:szCs w:val="17"/>
          <w:color w:val="000000"/>
        </w:rPr>
        <w:t>calculated on a pro forma basis after</w:t>
      </w:r>
      <w:r>
        <w:rPr>
          <w:rFonts w:ascii="Arial" w:cs="Arial" w:eastAsia="Arial" w:hAnsi="Arial"/>
          <w:sz w:val="17"/>
          <w:szCs w:val="17"/>
          <w:color w:val="0000FF"/>
        </w:rPr>
        <w:t xml:space="preserve"> </w:t>
      </w:r>
      <w:r>
        <w:rPr>
          <w:rFonts w:ascii="Arial" w:cs="Arial" w:eastAsia="Arial" w:hAnsi="Arial"/>
          <w:sz w:val="17"/>
          <w:szCs w:val="17"/>
          <w:color w:val="000000"/>
        </w:rPr>
        <w:t>giving effect to all other transactions consummated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6321425</wp:posOffset>
            </wp:positionH>
            <wp:positionV relativeFrom="paragraph">
              <wp:posOffset>-1098550</wp:posOffset>
            </wp:positionV>
            <wp:extent cx="3943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-961390</wp:posOffset>
            </wp:positionV>
            <wp:extent cx="141414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414145" cy="8890"/>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-961390</wp:posOffset>
            </wp:positionV>
            <wp:extent cx="23317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331720" cy="889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-824230</wp:posOffset>
            </wp:positionV>
            <wp:extent cx="288861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888615" cy="8890"/>
                    </a:xfrm>
                    <a:prstGeom prst="rect">
                      <a:avLst/>
                    </a:prstGeom>
                    <a:noFill/>
                  </pic:spPr>
                </pic:pic>
              </a:graphicData>
            </a:graphic>
          </wp:anchor>
        </w:drawing>
        <w:drawing>
          <wp:anchor simplePos="0" relativeHeight="251657728" behindDoc="1" locked="0" layoutInCell="0" allowOverlap="1">
            <wp:simplePos x="0" y="0"/>
            <wp:positionH relativeFrom="column">
              <wp:posOffset>6021070</wp:posOffset>
            </wp:positionH>
            <wp:positionV relativeFrom="paragraph">
              <wp:posOffset>-275590</wp:posOffset>
            </wp:positionV>
            <wp:extent cx="6940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-138430</wp:posOffset>
            </wp:positionV>
            <wp:extent cx="464629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646295" cy="8890"/>
                    </a:xfrm>
                    <a:prstGeom prst="rect">
                      <a:avLst/>
                    </a:prstGeom>
                    <a:noFill/>
                  </pic:spPr>
                </pic:pic>
              </a:graphicData>
            </a:graphic>
          </wp:anchor>
        </w:drawing>
      </w:r>
    </w:p>
    <w:p>
      <w:pPr>
        <w:spacing w:after="0" w:line="5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(III) [reserved],</w:t>
      </w:r>
    </w:p>
    <w:p>
      <w:pPr>
        <w:spacing w:after="0" w:line="117" w:lineRule="exact"/>
        <w:rPr>
          <w:sz w:val="20"/>
          <w:szCs w:val="20"/>
          <w:color w:val="auto"/>
        </w:rPr>
      </w:pPr>
    </w:p>
    <w:p>
      <w:pPr>
        <w:jc w:val="both"/>
        <w:ind w:left="544"/>
        <w:spacing w:after="0" w:line="286" w:lineRule="auto"/>
        <w:rPr>
          <w:sz w:val="20"/>
          <w:szCs w:val="20"/>
          <w:color w:val="auto"/>
        </w:rPr>
      </w:pPr>
      <w:r>
        <w:rPr>
          <w:rFonts w:ascii="Arial" w:cs="Arial" w:eastAsia="Arial" w:hAnsi="Arial"/>
          <w:sz w:val="16"/>
          <w:szCs w:val="16"/>
          <w:color w:val="auto"/>
        </w:rPr>
        <w:t xml:space="preserve">(IV) the aggregate principal amount of Acquisition Debt that is incurred by or secured by the assets of Restricted Subsidiaries that are not Loan Parties, when combined with the aggregate principal amount of Ratio Indebtedness that has been incurred by Restricted Subsidiaries that are not Loan Parties and is outstanding in reliance on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the second proviso to </w:t>
      </w:r>
      <w:r>
        <w:rPr>
          <w:rFonts w:ascii="Arial" w:cs="Arial" w:eastAsia="Arial" w:hAnsi="Arial"/>
          <w:sz w:val="16"/>
          <w:szCs w:val="16"/>
          <w:u w:val="single" w:color="auto"/>
          <w:color w:val="auto"/>
        </w:rPr>
        <w:t>clause (a)(xix)(A)</w:t>
      </w:r>
      <w:r>
        <w:rPr>
          <w:rFonts w:ascii="Arial" w:cs="Arial" w:eastAsia="Arial" w:hAnsi="Arial"/>
          <w:sz w:val="16"/>
          <w:szCs w:val="16"/>
          <w:color w:val="auto"/>
        </w:rPr>
        <w:t>, shall not exceed, at the time of incurrence thereof, and after giving pro forma effect thereto and the use of the proceeds thereof, the greater of (x) $12,500,000 and</w:t>
      </w:r>
    </w:p>
    <w:p>
      <w:pPr>
        <w:spacing w:after="0" w:line="1" w:lineRule="exact"/>
        <w:rPr>
          <w:sz w:val="20"/>
          <w:szCs w:val="20"/>
          <w:color w:val="auto"/>
        </w:rPr>
      </w:pPr>
    </w:p>
    <w:p>
      <w:pPr>
        <w:ind w:left="544" w:right="20" w:firstLine="7"/>
        <w:spacing w:after="0" w:line="260" w:lineRule="auto"/>
        <w:tabs>
          <w:tab w:leader="none" w:pos="80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25.0% of Consolidated Cash EBITDA for the Test Period most recently ended on or prior to such date of incurrence (measured as of the date such Indebtedness is incurred based upon the financial statements most recently delivered (or</w:t>
      </w:r>
    </w:p>
    <w:p>
      <w:pPr>
        <w:spacing w:after="0" w:line="118"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584"/>
          </w:cols>
          <w:pgMar w:left="876" w:top="274" w:right="439" w:bottom="1440" w:gutter="0" w:footer="0" w:header="0"/>
        </w:sectPr>
      </w:pPr>
    </w:p>
    <w:bookmarkStart w:id="192" w:name="page193"/>
    <w:bookmarkEnd w:id="192"/>
    <w:p>
      <w:pPr>
        <w:ind w:left="980" w:right="200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required to have been delivered) on or prior to such date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of such time, and (V) the Required Additional Debt Terms shall have been satisfied,</w:t>
      </w:r>
    </w:p>
    <w:p>
      <w:pPr>
        <w:spacing w:after="0" w:line="1" w:lineRule="exact"/>
        <w:rPr>
          <w:sz w:val="20"/>
          <w:szCs w:val="20"/>
          <w:color w:val="auto"/>
        </w:rPr>
      </w:pPr>
    </w:p>
    <w:p>
      <w:pPr>
        <w:jc w:val="both"/>
        <w:ind w:left="980" w:right="20"/>
        <w:spacing w:after="0" w:line="275" w:lineRule="auto"/>
        <w:rPr>
          <w:sz w:val="20"/>
          <w:szCs w:val="20"/>
          <w:color w:val="auto"/>
        </w:rPr>
      </w:pPr>
      <w:r>
        <w:rPr>
          <w:rFonts w:ascii="Arial" w:cs="Arial" w:eastAsia="Arial" w:hAnsi="Arial"/>
          <w:sz w:val="17"/>
          <w:szCs w:val="17"/>
          <w:color w:val="auto"/>
        </w:rPr>
        <w:t xml:space="preserve">and (B) any Permitted Refinancing thereof; </w:t>
      </w:r>
      <w:r>
        <w:rPr>
          <w:rFonts w:ascii="Arial" w:cs="Arial" w:eastAsia="Arial" w:hAnsi="Arial"/>
          <w:sz w:val="17"/>
          <w:szCs w:val="17"/>
          <w:u w:val="single" w:color="auto"/>
          <w:color w:val="0000FF"/>
        </w:rPr>
        <w:t>provided that the opportunity to commit to provide all or a portion of any Indebtedness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incurred pursuant to this Section 6.01(a)(xxvi) shall be offered by the Borrower first to the existing Lenders on a pro rata basis and, to the extent that such existing Lenders have not agreed to provide such Indebtedness within five Business Days after receiving such offer from the Borrower (or the Administrative Agent or any arranger of such Indebtedness on behalf of the Borrower), on the terms specified by the Borrower, the Borrower may then offer such opportunity to other Persons (which may include existing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-555625</wp:posOffset>
            </wp:positionV>
            <wp:extent cx="428625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28625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-418465</wp:posOffset>
            </wp:positionV>
            <wp:extent cx="636905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-281305</wp:posOffset>
            </wp:positionV>
            <wp:extent cx="636905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-144145</wp:posOffset>
            </wp:positionV>
            <wp:extent cx="636079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-6985</wp:posOffset>
            </wp:positionV>
            <wp:extent cx="51517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48" w:lineRule="exact"/>
        <w:rPr>
          <w:sz w:val="20"/>
          <w:szCs w:val="20"/>
          <w:color w:val="auto"/>
        </w:rPr>
      </w:pPr>
    </w:p>
    <w:p>
      <w:pPr>
        <w:ind w:left="1400" w:hanging="541"/>
        <w:spacing w:after="0"/>
        <w:tabs>
          <w:tab w:leader="none" w:pos="14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commission advances from insurance carriers made in the ordinary course of business or consistent with past practice;</w:t>
      </w:r>
    </w:p>
    <w:p>
      <w:pPr>
        <w:spacing w:after="0" w:line="117" w:lineRule="exact"/>
        <w:rPr>
          <w:rFonts w:ascii="Arial" w:cs="Arial" w:eastAsia="Arial" w:hAnsi="Arial"/>
          <w:sz w:val="18"/>
          <w:szCs w:val="18"/>
          <w:color w:val="auto"/>
        </w:rPr>
      </w:pPr>
    </w:p>
    <w:p>
      <w:pPr>
        <w:ind w:left="1440" w:hanging="581"/>
        <w:spacing w:after="0"/>
        <w:tabs>
          <w:tab w:leader="none" w:pos="14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340" w:hanging="481"/>
        <w:spacing w:after="0"/>
        <w:tabs>
          <w:tab w:leader="none" w:pos="13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300" w:hanging="441"/>
        <w:spacing w:after="0"/>
        <w:tabs>
          <w:tab w:leader="none" w:pos="13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Settlement Indebtedness; and</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3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 xml:space="preserve">all premiums (if any), interest (including post-petition interest), accretion or amortization of original issue discount, fees, expenses, charges and additional or contingent interest on obligations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(xxx)</w:t>
      </w:r>
      <w:r>
        <w:rPr>
          <w:rFonts w:ascii="Arial" w:cs="Arial" w:eastAsia="Arial" w:hAnsi="Arial"/>
          <w:sz w:val="18"/>
          <w:szCs w:val="18"/>
          <w:color w:val="auto"/>
        </w:rPr>
        <w:t xml:space="preserve"> above.</w:t>
      </w:r>
    </w:p>
    <w:p>
      <w:pPr>
        <w:spacing w:after="0" w:line="62" w:lineRule="exact"/>
        <w:rPr>
          <w:rFonts w:ascii="Arial" w:cs="Arial" w:eastAsia="Arial" w:hAnsi="Arial"/>
          <w:sz w:val="18"/>
          <w:szCs w:val="18"/>
          <w:color w:val="auto"/>
        </w:rPr>
      </w:pPr>
    </w:p>
    <w:p>
      <w:pPr>
        <w:jc w:val="both"/>
        <w:ind w:firstLine="436"/>
        <w:spacing w:after="0" w:line="279" w:lineRule="auto"/>
        <w:tabs>
          <w:tab w:leader="none" w:pos="703"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The Borrower will not, nor will it permit any of its Restricted Subsidiaries to, issue any Disqualified Equity Interests, except (x) Disqualified Equity Interests issued to and held by Holdings, the Borrower or any Restricted Subsidiary that is a direct or indirect wholly-owned subsidiary of the Borrower and (y) Disqualified Equity Interests issued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this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any such issuance of Disqualified Equity Interests shall be deemed to be an incurrence of Indebtedness and subject to the provisions set forth in </w:t>
      </w:r>
      <w:r>
        <w:rPr>
          <w:rFonts w:ascii="Arial" w:cs="Arial" w:eastAsia="Arial" w:hAnsi="Arial"/>
          <w:sz w:val="17"/>
          <w:szCs w:val="17"/>
          <w:u w:val="single" w:color="auto"/>
          <w:color w:val="auto"/>
        </w:rPr>
        <w:t>Section 6.01(a)</w:t>
      </w:r>
      <w:r>
        <w:rPr>
          <w:rFonts w:ascii="Arial" w:cs="Arial" w:eastAsia="Arial" w:hAnsi="Arial"/>
          <w:sz w:val="17"/>
          <w:szCs w:val="17"/>
          <w:color w:val="auto"/>
        </w:rPr>
        <w:t>.</w:t>
      </w:r>
    </w:p>
    <w:p>
      <w:pPr>
        <w:spacing w:after="0" w:line="171"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6"/>
          <w:szCs w:val="16"/>
          <w:color w:val="auto"/>
        </w:rPr>
        <w:t xml:space="preserve">Notwithstanding anything to the contrary herein, for purposes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if any Indebtedness (or a portion thereof) would be permitted pursuant to one or more provisions described therein, the Borrower may divide, classify and reclassify such Indebtedness (or a portion thereof) (it being understood that any reclassification of such Indebtedness from a basket or other non-incurrence based exception to a ratio incurrence based exception shall require concurrent notice to the Administrative Agent), in any manner that complies with the covenants set forth in this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so long as the Indebtedness (as so divided and/or reclassified) would be permitted to be made in reliance on the applicable exception as of the date of such reclassification;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Indebtedness outstanding under the Loan Documents (including any Indebtedness outstanding under any Incremental Refinancing Facility) incurred to Refinance (in whole or in part) such Indebtedness will be deemed to have been incurred in reliance only on the exception set forth in </w:t>
      </w:r>
      <w:r>
        <w:rPr>
          <w:rFonts w:ascii="Arial" w:cs="Arial" w:eastAsia="Arial" w:hAnsi="Arial"/>
          <w:sz w:val="16"/>
          <w:szCs w:val="16"/>
          <w:u w:val="single" w:color="auto"/>
          <w:color w:val="auto"/>
        </w:rPr>
        <w:t>Section 6.01(a)(i)</w:t>
      </w:r>
      <w:r>
        <w:rPr>
          <w:rFonts w:ascii="Arial" w:cs="Arial" w:eastAsia="Arial" w:hAnsi="Arial"/>
          <w:sz w:val="16"/>
          <w:szCs w:val="16"/>
          <w:color w:val="auto"/>
        </w:rPr>
        <w:t xml:space="preserve">. The accrual of interest, the accretion of accreted value and the payment of interest in the form of additional Indebtedness shall not be deemed to be an incurrence of Indebtedness for purposes of this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66"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Notwithstanding anything to the contrary herein (and notwithstanding any division, classification or reclassification permitted by the foregoing paragraph), Indebtedness in respect of any receivables programs, securitizations, factoring facilities, any facilities or programs relating to Permitted Receivables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20"/>
          </w:cols>
          <w:pgMar w:left="440" w:top="274" w:right="439" w:bottom="1440" w:gutter="0" w:footer="0" w:header="0"/>
        </w:sectPr>
      </w:pPr>
    </w:p>
    <w:bookmarkStart w:id="193" w:name="page194"/>
    <w:bookmarkEnd w:id="193"/>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Facility Assets and other similar facilities programs or arrangements may only be incurred pursuant to </w:t>
      </w:r>
      <w:r>
        <w:rPr>
          <w:rFonts w:ascii="Arial" w:cs="Arial" w:eastAsia="Arial" w:hAnsi="Arial"/>
          <w:sz w:val="18"/>
          <w:szCs w:val="18"/>
          <w:u w:val="single" w:color="auto"/>
          <w:color w:val="auto"/>
        </w:rPr>
        <w:t>Section 6.01(a)(viii)</w:t>
      </w:r>
      <w:r>
        <w:rPr>
          <w:rFonts w:ascii="Arial" w:cs="Arial" w:eastAsia="Arial" w:hAnsi="Arial"/>
          <w:sz w:val="18"/>
          <w:szCs w:val="18"/>
          <w:color w:val="auto"/>
        </w:rPr>
        <w:t xml:space="preserve"> above and may not be incurred or permitted pursuant to any other clause in this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In addition, for the avoidance of doubt, except to the extent incurred under </w:t>
      </w:r>
      <w:r>
        <w:rPr>
          <w:rFonts w:ascii="Arial" w:cs="Arial" w:eastAsia="Arial" w:hAnsi="Arial"/>
          <w:sz w:val="18"/>
          <w:szCs w:val="18"/>
          <w:u w:val="single" w:color="auto"/>
          <w:color w:val="auto"/>
        </w:rPr>
        <w:t>Section 6.01(a)(i)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6.01(a)(xxii)</w:t>
      </w:r>
      <w:r>
        <w:rPr>
          <w:rFonts w:ascii="Arial" w:cs="Arial" w:eastAsia="Arial" w:hAnsi="Arial"/>
          <w:sz w:val="18"/>
          <w:szCs w:val="18"/>
          <w:color w:val="auto"/>
        </w:rPr>
        <w:t>, any Indebtedness permitted to be incurred hereunder and secured by the Collateral shall only be permitted to be secured by Liens on the Collateral that rank on a junior priority basis to the Secured Obligations.</w:t>
      </w:r>
    </w:p>
    <w:p>
      <w:pPr>
        <w:spacing w:after="0" w:line="18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Restricted Subsidiary to, create, incur, assume or permit to exist any Lien on any property or asset now owned or hereafter acquired by it, except:</w:t>
      </w:r>
    </w:p>
    <w:p>
      <w:pPr>
        <w:spacing w:after="0" w:line="62" w:lineRule="exact"/>
        <w:rPr>
          <w:sz w:val="20"/>
          <w:szCs w:val="20"/>
          <w:color w:val="auto"/>
        </w:rPr>
      </w:pPr>
    </w:p>
    <w:p>
      <w:pPr>
        <w:ind w:left="1080" w:hanging="221"/>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Liens created under the Loan Documents, including Liens securing Incremental Facilities;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17" w:lineRule="exact"/>
        <w:rPr>
          <w:rFonts w:ascii="Arial" w:cs="Arial" w:eastAsia="Arial" w:hAnsi="Arial"/>
          <w:sz w:val="18"/>
          <w:szCs w:val="18"/>
          <w:color w:val="auto"/>
        </w:rPr>
      </w:pPr>
    </w:p>
    <w:p>
      <w:pPr>
        <w:jc w:val="both"/>
        <w:ind w:left="440" w:firstLine="419"/>
        <w:spacing w:after="0" w:line="272" w:lineRule="auto"/>
        <w:tabs>
          <w:tab w:leader="none" w:pos="119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Liens existing on the Effective Date (provided that Liens securing Indebtedness or obligations in excess of $5,000,000 shall only be permitted under this Section 6.02(iii) if set forth on Schedule 6.02) and any modifications, Refinancing, replacements, renewals or extensions thereof (or successive modifications, Refinancings, replacements, renewals or extensions) upon or in the same assets theretofor subject to such Lien other than (1) after-acquired property that is affixed or incorporated into the property covered by such Lien, (2) after-acquired property subject to a Lien securing Indebtedness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the terms of which Indebtedness require or include a pledge of after-acquired property (it being understood that such requirement shall not be permitted to apply to any property to which such requirement would have not have applied but for such acquisition) and (3) the proceeds and products thereof;</w:t>
      </w:r>
    </w:p>
    <w:p>
      <w:pPr>
        <w:spacing w:after="0" w:line="69" w:lineRule="exact"/>
        <w:rPr>
          <w:rFonts w:ascii="Arial" w:cs="Arial" w:eastAsia="Arial" w:hAnsi="Arial"/>
          <w:sz w:val="17"/>
          <w:szCs w:val="17"/>
          <w:color w:val="auto"/>
        </w:rPr>
      </w:pPr>
    </w:p>
    <w:p>
      <w:pPr>
        <w:jc w:val="both"/>
        <w:ind w:left="440" w:firstLine="419"/>
        <w:spacing w:after="0" w:line="269" w:lineRule="auto"/>
        <w:tabs>
          <w:tab w:leader="none" w:pos="118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w:t>
      </w:r>
      <w:r>
        <w:rPr>
          <w:rFonts w:ascii="Arial" w:cs="Arial" w:eastAsia="Arial" w:hAnsi="Arial"/>
          <w:sz w:val="17"/>
          <w:szCs w:val="17"/>
          <w:u w:val="single" w:color="auto"/>
          <w:color w:val="auto"/>
        </w:rPr>
        <w:t>Section 6.01(a)(v)</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Liens attach concurrently with or within 270 days after the acquisition, development, construction, repair, restoration, replacement, maintenance, upgrade, expansion or improvement (as applicable) of the property subject to such Liens, (B) such Liens do not at any time encumber any property other than the property financed by such Indebtedness, except for accessions and additions to such property, replacements thereof and customary security deposits, related contract rights and payment intangibles, and the proceeds and the products thereof, and any lease of such property (including accessions thereto) and the proceeds and products thereof and (C) with respect to Capital Lease Obligations,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Capital Lease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individual financings of equipment provided by one lender may be cross collateralized to other financings of equipment provided by such lender;</w:t>
      </w:r>
    </w:p>
    <w:p>
      <w:pPr>
        <w:spacing w:after="0" w:line="77" w:lineRule="exact"/>
        <w:rPr>
          <w:rFonts w:ascii="Arial" w:cs="Arial" w:eastAsia="Arial" w:hAnsi="Arial"/>
          <w:sz w:val="17"/>
          <w:szCs w:val="17"/>
          <w:color w:val="auto"/>
        </w:rPr>
      </w:pPr>
    </w:p>
    <w:p>
      <w:pPr>
        <w:jc w:val="both"/>
        <w:ind w:left="440" w:right="20" w:firstLine="419"/>
        <w:spacing w:after="0" w:line="286" w:lineRule="auto"/>
        <w:tabs>
          <w:tab w:leader="none" w:pos="1126" w:val="left"/>
        </w:tabs>
        <w:numPr>
          <w:ilvl w:val="0"/>
          <w:numId w:val="212"/>
        </w:numPr>
        <w:rPr>
          <w:rFonts w:ascii="Arial" w:cs="Arial" w:eastAsia="Arial" w:hAnsi="Arial"/>
          <w:sz w:val="17"/>
          <w:szCs w:val="17"/>
          <w:color w:val="auto"/>
        </w:rPr>
      </w:pPr>
      <w:r>
        <w:rPr>
          <w:rFonts w:ascii="Arial" w:cs="Arial" w:eastAsia="Arial" w:hAnsi="Arial"/>
          <w:sz w:val="17"/>
          <w:szCs w:val="17"/>
          <w:color w:val="auto"/>
        </w:rPr>
        <w:t>leases, licenses, subleases or sublicenses (including the provisions of software or the licensing of other Intellectual Property rights) and terminations thereof granted to others that are entered into in the ordinary course of business or consistent with past practice or that do not interfere in any material respect with the business of the Borrower and the Restricted Subsidiaries, taken as a whole;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20"/>
          </w:cols>
          <w:pgMar w:left="440" w:top="274" w:right="439" w:bottom="1440" w:gutter="0" w:footer="0" w:header="0"/>
        </w:sectPr>
      </w:pPr>
    </w:p>
    <w:bookmarkStart w:id="194" w:name="page195"/>
    <w:bookmarkEnd w:id="194"/>
    <w:p>
      <w:pPr>
        <w:ind w:left="4" w:right="20" w:firstLine="419"/>
        <w:spacing w:after="0" w:line="277" w:lineRule="auto"/>
        <w:tabs>
          <w:tab w:leader="none" w:pos="736" w:val="left"/>
        </w:tabs>
        <w:numPr>
          <w:ilvl w:val="1"/>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in favor of customs and revenue authorities arising as a matter of law to secure payment of customs duties in connection with the importation of goods;</w:t>
      </w:r>
    </w:p>
    <w:p>
      <w:pPr>
        <w:spacing w:after="0" w:line="62" w:lineRule="exact"/>
        <w:rPr>
          <w:rFonts w:ascii="Arial" w:cs="Arial" w:eastAsia="Arial" w:hAnsi="Arial"/>
          <w:sz w:val="18"/>
          <w:szCs w:val="18"/>
          <w:color w:val="auto"/>
        </w:rPr>
      </w:pPr>
    </w:p>
    <w:p>
      <w:pPr>
        <w:ind w:left="784" w:hanging="361"/>
        <w:spacing w:after="0"/>
        <w:tabs>
          <w:tab w:leader="none" w:pos="784" w:val="left"/>
        </w:tabs>
        <w:numPr>
          <w:ilvl w:val="1"/>
          <w:numId w:val="213"/>
        </w:numPr>
        <w:rPr>
          <w:rFonts w:ascii="Arial" w:cs="Arial" w:eastAsia="Arial" w:hAnsi="Arial"/>
          <w:sz w:val="16"/>
          <w:szCs w:val="16"/>
          <w:color w:val="auto"/>
        </w:rPr>
      </w:pPr>
      <w:r>
        <w:rPr>
          <w:rFonts w:ascii="Arial" w:cs="Arial" w:eastAsia="Arial" w:hAnsi="Arial"/>
          <w:sz w:val="16"/>
          <w:szCs w:val="16"/>
          <w:color w:val="auto"/>
        </w:rPr>
        <w:t>Liens (A) of a collection bank arising under Section 4-210 of the Uniform Commercial Code on items in the course of collection and</w:t>
      </w:r>
    </w:p>
    <w:p>
      <w:pPr>
        <w:spacing w:after="0" w:line="46" w:lineRule="exact"/>
        <w:rPr>
          <w:rFonts w:ascii="Arial" w:cs="Arial" w:eastAsia="Arial" w:hAnsi="Arial"/>
          <w:sz w:val="16"/>
          <w:szCs w:val="16"/>
          <w:color w:val="auto"/>
        </w:rPr>
      </w:pPr>
    </w:p>
    <w:p>
      <w:pPr>
        <w:ind w:left="4" w:right="20" w:hanging="4"/>
        <w:spacing w:after="0" w:line="260" w:lineRule="auto"/>
        <w:tabs>
          <w:tab w:leader="none" w:pos="29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 favor of a banking institution arising as a matter of law encumbering deposits (including the right of setoff) and that are within the general parameters customary in the banking industry;</w:t>
      </w:r>
    </w:p>
    <w:p>
      <w:pPr>
        <w:spacing w:after="0" w:line="77" w:lineRule="exact"/>
        <w:rPr>
          <w:rFonts w:ascii="Arial" w:cs="Arial" w:eastAsia="Arial" w:hAnsi="Arial"/>
          <w:sz w:val="18"/>
          <w:szCs w:val="18"/>
          <w:color w:val="auto"/>
        </w:rPr>
      </w:pPr>
    </w:p>
    <w:p>
      <w:pPr>
        <w:jc w:val="both"/>
        <w:ind w:left="4" w:right="20" w:firstLine="419"/>
        <w:spacing w:after="0" w:line="296" w:lineRule="auto"/>
        <w:tabs>
          <w:tab w:leader="none" w:pos="831" w:val="left"/>
        </w:tabs>
        <w:numPr>
          <w:ilvl w:val="1"/>
          <w:numId w:val="214"/>
        </w:numPr>
        <w:rPr>
          <w:rFonts w:ascii="Arial" w:cs="Arial" w:eastAsia="Arial" w:hAnsi="Arial"/>
          <w:sz w:val="16"/>
          <w:szCs w:val="16"/>
          <w:color w:val="auto"/>
        </w:rPr>
      </w:pPr>
      <w:r>
        <w:rPr>
          <w:rFonts w:ascii="Arial" w:cs="Arial" w:eastAsia="Arial" w:hAnsi="Arial"/>
          <w:sz w:val="16"/>
          <w:szCs w:val="16"/>
          <w:color w:val="auto"/>
        </w:rPr>
        <w:t xml:space="preserve">Liens (A) on cash advances or escrow deposits in favor of the seller of any property to be acquired in an Investment permitted pursuant to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to be applied against the purchase price for such Investment or otherwise in connection with any escrow arrangements with respect to any such Investment or any Disposition permitted under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(including any letter of intent or purchase agreement with respect to such Investment or Disposition) or (B) consisting of an agreement to Dispose of any property in a Disposition permitted under </w:t>
      </w:r>
      <w:r>
        <w:rPr>
          <w:rFonts w:ascii="Arial" w:cs="Arial" w:eastAsia="Arial" w:hAnsi="Arial"/>
          <w:sz w:val="16"/>
          <w:szCs w:val="16"/>
          <w:u w:val="single" w:color="auto"/>
          <w:color w:val="auto"/>
        </w:rPr>
        <w:t>Section 6.05</w:t>
      </w:r>
      <w:r>
        <w:rPr>
          <w:rFonts w:ascii="Arial" w:cs="Arial" w:eastAsia="Arial" w:hAnsi="Arial"/>
          <w:sz w:val="16"/>
          <w:szCs w:val="16"/>
          <w:color w:val="auto"/>
        </w:rPr>
        <w:t>, in each case, solely to the extent such Investment or Disposition, as the case may be, would have been permitted on the date of the creation of such Lien;</w:t>
      </w:r>
    </w:p>
    <w:p>
      <w:pPr>
        <w:spacing w:after="0" w:line="53" w:lineRule="exact"/>
        <w:rPr>
          <w:rFonts w:ascii="Arial" w:cs="Arial" w:eastAsia="Arial" w:hAnsi="Arial"/>
          <w:sz w:val="16"/>
          <w:szCs w:val="16"/>
          <w:color w:val="auto"/>
        </w:rPr>
      </w:pPr>
    </w:p>
    <w:p>
      <w:pPr>
        <w:jc w:val="both"/>
        <w:ind w:left="4" w:firstLine="419"/>
        <w:spacing w:after="0" w:line="263" w:lineRule="auto"/>
        <w:tabs>
          <w:tab w:leader="none" w:pos="73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Liens on property of any Restricted Subsidiary that is not a Loan Party, which Liens secure Indebtedness of such Restricted Subsidiary that is not a Loan Party, in each case, to the extent such Indebtedness is non-recourse to any Loan Party and is permitted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(xxv)</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4" w:right="20" w:firstLine="419"/>
        <w:spacing w:after="0" w:line="263" w:lineRule="auto"/>
        <w:tabs>
          <w:tab w:leader="none" w:pos="693" w:val="left"/>
        </w:tabs>
        <w:numPr>
          <w:ilvl w:val="1"/>
          <w:numId w:val="214"/>
        </w:numPr>
        <w:rPr>
          <w:rFonts w:ascii="Arial" w:cs="Arial" w:eastAsia="Arial" w:hAnsi="Arial"/>
          <w:sz w:val="18"/>
          <w:szCs w:val="18"/>
          <w:color w:val="auto"/>
        </w:rPr>
      </w:pPr>
      <w:r>
        <w:rPr>
          <w:rFonts w:ascii="Arial" w:cs="Arial" w:eastAsia="Arial" w:hAnsi="Arial"/>
          <w:sz w:val="18"/>
          <w:szCs w:val="18"/>
          <w:color w:val="auto"/>
        </w:rPr>
        <w:t>Liens granted by a Restricted Subsidiary that is not a Loan Party in favor of any Loan Party (other than Holdings), Liens granted by a Restricted Subsidiary that is not a Loan Party in favor of a Restricted Subsidiary that is not a Loan Party and Liens granted by a Loan Party (other than Holdings) in favor of any other Loan Party (other than Holdings);</w:t>
      </w:r>
    </w:p>
    <w:p>
      <w:pPr>
        <w:spacing w:after="0" w:line="75" w:lineRule="exact"/>
        <w:rPr>
          <w:rFonts w:ascii="Arial" w:cs="Arial" w:eastAsia="Arial" w:hAnsi="Arial"/>
          <w:sz w:val="18"/>
          <w:szCs w:val="18"/>
          <w:color w:val="auto"/>
        </w:rPr>
      </w:pPr>
    </w:p>
    <w:p>
      <w:pPr>
        <w:jc w:val="both"/>
        <w:ind w:left="4" w:firstLine="419"/>
        <w:spacing w:after="0" w:line="254" w:lineRule="auto"/>
        <w:tabs>
          <w:tab w:leader="none" w:pos="74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Liens existing on property at the time of its acquisition or existing on the property of any Person at the time such Person becomes a Restricted Subsidiary, in each case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 was not created in contemplation of such acquisition or such Person becoming a Restricted Subsidiary, (B) 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under this Agreement that require or include, pursuant to their terms at such time, a pledge of after-acquired property, it being understood that such requirement shall not be permitted to apply to any property to which such requirement would not have applied but for such acquisition), and (C) the Indebtedness secured thereby is permitted under </w:t>
      </w:r>
      <w:r>
        <w:rPr>
          <w:rFonts w:ascii="Arial" w:cs="Arial" w:eastAsia="Arial" w:hAnsi="Arial"/>
          <w:sz w:val="18"/>
          <w:szCs w:val="18"/>
          <w:u w:val="single" w:color="auto"/>
          <w:color w:val="auto"/>
        </w:rPr>
        <w:t>Section 6.01(a)(v)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jc w:val="both"/>
        <w:ind w:left="4" w:firstLine="419"/>
        <w:spacing w:after="0" w:line="296" w:lineRule="auto"/>
        <w:tabs>
          <w:tab w:leader="none" w:pos="814"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any interest or title (and all encumbrances and other matters affecting such interest or title) of a lessor or sublessor, licensor or sublicensor or secured by a lessor’s or sublessor’s, licensor’s or sublicensor’s interest under leases (other than leases constituting Capital Lease Obligations), subleases, licenses, cross licenses or sublicenses entered into by the Borrower or any Restricted Subsidiary in the ordinary course of business or consistent with past practice, provided that any interest or title granted under any licenses, cross-licenses, or sublicenses is non-exclusive and does not materially interfere with the business of the Borrower and the Restricted Subsidiaries, taken as a whole;</w:t>
      </w:r>
    </w:p>
    <w:p>
      <w:pPr>
        <w:spacing w:after="0" w:line="53" w:lineRule="exact"/>
        <w:rPr>
          <w:rFonts w:ascii="Arial" w:cs="Arial" w:eastAsia="Arial" w:hAnsi="Arial"/>
          <w:sz w:val="16"/>
          <w:szCs w:val="16"/>
          <w:color w:val="auto"/>
        </w:rPr>
      </w:pPr>
    </w:p>
    <w:p>
      <w:pPr>
        <w:ind w:left="4" w:firstLine="419"/>
        <w:spacing w:after="0" w:line="277" w:lineRule="auto"/>
        <w:tabs>
          <w:tab w:leader="none" w:pos="86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or purchase of goods by the Borrower or any Restricted Subsidiary in the ordinary course of business or consistent with past practice;</w:t>
      </w:r>
    </w:p>
    <w:p>
      <w:pPr>
        <w:spacing w:after="0" w:line="103"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584"/>
          </w:cols>
          <w:pgMar w:left="876" w:top="274" w:right="439" w:bottom="1440" w:gutter="0" w:footer="0" w:header="0"/>
        </w:sectPr>
      </w:pPr>
    </w:p>
    <w:bookmarkStart w:id="195" w:name="page196"/>
    <w:bookmarkEnd w:id="195"/>
    <w:p>
      <w:pPr>
        <w:ind w:left="4" w:right="20" w:firstLine="419"/>
        <w:spacing w:after="0" w:line="277" w:lineRule="auto"/>
        <w:tabs>
          <w:tab w:leader="none" w:pos="823" w:val="left"/>
        </w:tabs>
        <w:numPr>
          <w:ilvl w:val="1"/>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deemed to exist in connection with Investments in repurchase agreements permitted under clause (e) of the definition of the term “Cash Equivalents”;</w:t>
      </w:r>
    </w:p>
    <w:p>
      <w:pPr>
        <w:spacing w:after="0" w:line="62" w:lineRule="exact"/>
        <w:rPr>
          <w:rFonts w:ascii="Arial" w:cs="Arial" w:eastAsia="Arial" w:hAnsi="Arial"/>
          <w:sz w:val="18"/>
          <w:szCs w:val="18"/>
          <w:color w:val="auto"/>
        </w:rPr>
      </w:pPr>
    </w:p>
    <w:p>
      <w:pPr>
        <w:ind w:left="4" w:right="20" w:firstLine="419"/>
        <w:spacing w:after="0" w:line="342" w:lineRule="auto"/>
        <w:tabs>
          <w:tab w:leader="none" w:pos="79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Liens encumbering reasonable and customary initial deposits and margin deposits and similar Liens attaching to commodity trading accounts or other brokerage accounts incurred in the ordinary course of business or consistent with past practice and not for speculative purposes;</w:t>
      </w:r>
    </w:p>
    <w:p>
      <w:pPr>
        <w:spacing w:after="0" w:line="15" w:lineRule="exact"/>
        <w:rPr>
          <w:rFonts w:ascii="Arial" w:cs="Arial" w:eastAsia="Arial" w:hAnsi="Arial"/>
          <w:sz w:val="16"/>
          <w:szCs w:val="16"/>
          <w:color w:val="auto"/>
        </w:rPr>
      </w:pPr>
    </w:p>
    <w:p>
      <w:pPr>
        <w:jc w:val="both"/>
        <w:ind w:left="4" w:right="20" w:firstLine="419"/>
        <w:spacing w:after="0" w:line="257" w:lineRule="auto"/>
        <w:tabs>
          <w:tab w:leader="none" w:pos="83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or consistent with past practice of the Borrower or any Restricted Subsidiary or (C) relating to purchase orders and other agreements entered into with customers of the Borrower or any Restricted Subsidiary in the ordinary course of business or consistent with past practice;</w:t>
      </w:r>
    </w:p>
    <w:p>
      <w:pPr>
        <w:spacing w:after="0" w:line="79" w:lineRule="exact"/>
        <w:rPr>
          <w:rFonts w:ascii="Arial" w:cs="Arial" w:eastAsia="Arial" w:hAnsi="Arial"/>
          <w:sz w:val="18"/>
          <w:szCs w:val="18"/>
          <w:color w:val="auto"/>
        </w:rPr>
      </w:pPr>
    </w:p>
    <w:p>
      <w:pPr>
        <w:jc w:val="both"/>
        <w:ind w:left="4" w:right="20" w:firstLine="419"/>
        <w:spacing w:after="0" w:line="286" w:lineRule="auto"/>
        <w:tabs>
          <w:tab w:leader="none" w:pos="875" w:val="left"/>
        </w:tabs>
        <w:numPr>
          <w:ilvl w:val="1"/>
          <w:numId w:val="215"/>
        </w:numPr>
        <w:rPr>
          <w:rFonts w:ascii="Arial" w:cs="Arial" w:eastAsia="Arial" w:hAnsi="Arial"/>
          <w:sz w:val="17"/>
          <w:szCs w:val="17"/>
          <w:color w:val="auto"/>
        </w:rPr>
      </w:pPr>
      <w:r>
        <w:rPr>
          <w:rFonts w:ascii="Arial" w:cs="Arial" w:eastAsia="Arial" w:hAnsi="Arial"/>
          <w:sz w:val="17"/>
          <w:szCs w:val="17"/>
          <w:color w:val="auto"/>
        </w:rPr>
        <w:t>ground leases in respect of real property on which facilities owned or leased by the Borrower or any Restricted Subsidiary are located and any zoning or similar law or right reserved to or vested in any Governmental Authority to control or regulate the use of any real property that does not materially interfere with the ordinary conduct of the business of Holdings or any Restricted Subsidiary;</w:t>
      </w:r>
    </w:p>
    <w:p>
      <w:pPr>
        <w:spacing w:after="0" w:line="57" w:lineRule="exact"/>
        <w:rPr>
          <w:rFonts w:ascii="Arial" w:cs="Arial" w:eastAsia="Arial" w:hAnsi="Arial"/>
          <w:sz w:val="17"/>
          <w:szCs w:val="17"/>
          <w:color w:val="auto"/>
        </w:rPr>
      </w:pPr>
    </w:p>
    <w:p>
      <w:pPr>
        <w:ind w:left="924" w:hanging="501"/>
        <w:spacing w:after="0"/>
        <w:tabs>
          <w:tab w:leader="none" w:pos="92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117" w:lineRule="exact"/>
        <w:rPr>
          <w:rFonts w:ascii="Arial" w:cs="Arial" w:eastAsia="Arial" w:hAnsi="Arial"/>
          <w:sz w:val="18"/>
          <w:szCs w:val="18"/>
          <w:color w:val="auto"/>
        </w:rPr>
      </w:pPr>
    </w:p>
    <w:p>
      <w:pPr>
        <w:ind w:left="824" w:hanging="401"/>
        <w:spacing w:after="0"/>
        <w:tabs>
          <w:tab w:leader="none" w:pos="824" w:val="left"/>
        </w:tabs>
        <w:numPr>
          <w:ilvl w:val="1"/>
          <w:numId w:val="215"/>
        </w:numPr>
        <w:rPr>
          <w:rFonts w:ascii="Arial" w:cs="Arial" w:eastAsia="Arial" w:hAnsi="Arial"/>
          <w:sz w:val="17"/>
          <w:szCs w:val="17"/>
          <w:color w:val="auto"/>
        </w:rPr>
      </w:pPr>
      <w:r>
        <w:rPr>
          <w:rFonts w:ascii="Arial" w:cs="Arial" w:eastAsia="Arial" w:hAnsi="Arial"/>
          <w:sz w:val="17"/>
          <w:szCs w:val="17"/>
          <w:color w:val="auto"/>
        </w:rPr>
        <w:t>Liens on the Collateral securing (A) Permitted Equal Priority Refinancing Debt, (B) Permitted Junior Priority Refinancing Debt and</w:t>
      </w:r>
    </w:p>
    <w:p>
      <w:pPr>
        <w:spacing w:after="0" w:line="34" w:lineRule="exact"/>
        <w:rPr>
          <w:rFonts w:ascii="Arial" w:cs="Arial" w:eastAsia="Arial" w:hAnsi="Arial"/>
          <w:sz w:val="17"/>
          <w:szCs w:val="17"/>
          <w:color w:val="auto"/>
        </w:rPr>
      </w:pPr>
    </w:p>
    <w:p>
      <w:pPr>
        <w:jc w:val="both"/>
        <w:ind w:left="4" w:hanging="4"/>
        <w:spacing w:after="0" w:line="284" w:lineRule="auto"/>
        <w:tabs>
          <w:tab w:leader="none" w:pos="30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Incremental Equivalent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if any such Indebtedness is secured by Liens on the Collateral that rank (or are intended to rank) on an equal priority basis (but without regard to control of remedies) with the Liens on the Collateral securing the Secured Obligations, such Indebtedness shall be subject to an Intercreditor Agreement of the type described in clause (a) of the definition thereof providing that such Liens on the Collateral shall rank on an equal priority basis with Liens on the Collateral securing the Secured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Indebtedness under this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shall include Permitted Junior Priority Refinancing Debt or Incremental Equivalent Debt and (y) if any such Indebtedness (which shall include any Permitted Junior Priority Refinancing Debt or any Incremental Equivalent Debt) is secured by the Liens on the Collateral that rank (or are intended to rank) on a junior basis to Liens on the Collateral securing the Secured Obligations, such Indebtedness shall be subject to an Intercreditor Agreement described in clause (b) of the definition thereof providing that the Liens on the Collateral shall rank on a junior basis to the Liens on the Collateral securing the Secured Obligations;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Lenders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w:t>
      </w:r>
    </w:p>
    <w:p>
      <w:pPr>
        <w:spacing w:after="0" w:line="107"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584"/>
          </w:cols>
          <w:pgMar w:left="876" w:top="274" w:right="439" w:bottom="1440" w:gutter="0" w:footer="0" w:header="0"/>
        </w:sectPr>
      </w:pPr>
    </w:p>
    <w:bookmarkStart w:id="196" w:name="page197"/>
    <w:bookmarkEnd w:id="196"/>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Security Documents or an Intercreditor Agreement to the extent necessary to effect the provisions contemplated by this </w:t>
      </w:r>
      <w:r>
        <w:rPr>
          <w:rFonts w:ascii="Arial" w:cs="Arial" w:eastAsia="Arial" w:hAnsi="Arial"/>
          <w:sz w:val="16"/>
          <w:szCs w:val="16"/>
          <w:u w:val="single" w:color="auto"/>
          <w:color w:val="auto"/>
        </w:rPr>
        <w:t>Section 6.02(xix)</w:t>
      </w:r>
      <w:r>
        <w:rPr>
          <w:rFonts w:ascii="Arial" w:cs="Arial" w:eastAsia="Arial" w:hAnsi="Arial"/>
          <w:sz w:val="16"/>
          <w:szCs w:val="16"/>
          <w:color w:val="auto"/>
        </w:rPr>
        <w:t>;</w:t>
      </w:r>
    </w:p>
    <w:p>
      <w:pPr>
        <w:spacing w:after="0" w:line="140" w:lineRule="exact"/>
        <w:rPr>
          <w:sz w:val="20"/>
          <w:szCs w:val="20"/>
          <w:color w:val="auto"/>
        </w:rPr>
      </w:pPr>
    </w:p>
    <w:p>
      <w:pPr>
        <w:jc w:val="both"/>
        <w:ind w:left="4" w:right="20" w:firstLine="419"/>
        <w:spacing w:after="0" w:line="291" w:lineRule="auto"/>
        <w:tabs>
          <w:tab w:leader="none" w:pos="776" w:val="left"/>
        </w:tabs>
        <w:numPr>
          <w:ilvl w:val="1"/>
          <w:numId w:val="217"/>
        </w:numPr>
        <w:rPr>
          <w:rFonts w:ascii="Arial" w:cs="Arial" w:eastAsia="Arial" w:hAnsi="Arial"/>
          <w:sz w:val="16"/>
          <w:szCs w:val="16"/>
          <w:color w:val="auto"/>
        </w:rPr>
      </w:pPr>
      <w:r>
        <w:rPr>
          <w:rFonts w:ascii="Arial" w:cs="Arial" w:eastAsia="Arial" w:hAnsi="Arial"/>
          <w:sz w:val="16"/>
          <w:szCs w:val="16"/>
          <w:color w:val="auto"/>
        </w:rPr>
        <w:t xml:space="preserve">other Liens;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incurrence of such Liens and the obligations secured thereby (after giving pro forma effect to any such obligations) the aggregate outstanding principal amount of obligations secured by Liens then outstanding in reliance on this </w:t>
      </w:r>
      <w:r>
        <w:rPr>
          <w:rFonts w:ascii="Arial" w:cs="Arial" w:eastAsia="Arial" w:hAnsi="Arial"/>
          <w:sz w:val="16"/>
          <w:szCs w:val="16"/>
          <w:u w:val="single" w:color="auto"/>
          <w:color w:val="auto"/>
        </w:rPr>
        <w:t>clause</w:t>
      </w:r>
    </w:p>
    <w:p>
      <w:pPr>
        <w:jc w:val="both"/>
        <w:ind w:left="4" w:hanging="4"/>
        <w:spacing w:after="0" w:line="284" w:lineRule="auto"/>
        <w:tabs>
          <w:tab w:leader="none" w:pos="352" w:val="left"/>
        </w:tabs>
        <w:numPr>
          <w:ilvl w:val="0"/>
          <w:numId w:val="218"/>
        </w:numPr>
        <w:rPr>
          <w:rFonts w:ascii="Arial" w:cs="Arial" w:eastAsia="Arial" w:hAnsi="Arial"/>
          <w:sz w:val="16"/>
          <w:szCs w:val="16"/>
          <w:u w:val="single" w:color="auto"/>
          <w:color w:val="auto"/>
        </w:rPr>
      </w:pPr>
      <w:r>
        <w:rPr>
          <w:rFonts w:ascii="Arial" w:cs="Arial" w:eastAsia="Arial" w:hAnsi="Arial"/>
          <w:sz w:val="16"/>
          <w:szCs w:val="16"/>
          <w:color w:val="auto"/>
        </w:rPr>
        <w:t xml:space="preserve">shall not exceed </w:t>
      </w:r>
      <w:r>
        <w:rPr>
          <w:rFonts w:ascii="Arial" w:cs="Arial" w:eastAsia="Arial" w:hAnsi="Arial"/>
          <w:sz w:val="16"/>
          <w:szCs w:val="16"/>
          <w:u w:val="single" w:color="auto"/>
          <w:color w:val="0000FF"/>
        </w:rPr>
        <w:t>(x) during the Suspension Period, $6,250,000 and (y) after the Suspension Period has ended,</w:t>
      </w:r>
      <w:r>
        <w:rPr>
          <w:rFonts w:ascii="Arial" w:cs="Arial" w:eastAsia="Arial" w:hAnsi="Arial"/>
          <w:sz w:val="16"/>
          <w:szCs w:val="16"/>
          <w:color w:val="auto"/>
        </w:rPr>
        <w:t xml:space="preserve"> the greater of (</w:t>
      </w:r>
      <w:r>
        <w:rPr>
          <w:rFonts w:ascii="Arial" w:cs="Arial" w:eastAsia="Arial" w:hAnsi="Arial"/>
          <w:sz w:val="16"/>
          <w:szCs w:val="16"/>
          <w:color w:val="FF4338"/>
          <w:strike w:val="1"/>
        </w:rPr>
        <w:t>x</w:t>
      </w:r>
      <w:r>
        <w:rPr>
          <w:rFonts w:ascii="Arial" w:cs="Arial" w:eastAsia="Arial" w:hAnsi="Arial"/>
          <w:sz w:val="16"/>
          <w:szCs w:val="16"/>
          <w:u w:val="single" w:color="auto"/>
          <w:color w:val="0000FF"/>
        </w:rPr>
        <w:t>I</w:t>
      </w:r>
      <w:r>
        <w:rPr>
          <w:rFonts w:ascii="Arial" w:cs="Arial" w:eastAsia="Arial" w:hAnsi="Arial"/>
          <w:sz w:val="16"/>
          <w:szCs w:val="16"/>
          <w:color w:val="auto"/>
        </w:rPr>
        <w:t>) $12,500,000 and (</w:t>
      </w:r>
      <w:r>
        <w:rPr>
          <w:rFonts w:ascii="Arial" w:cs="Arial" w:eastAsia="Arial" w:hAnsi="Arial"/>
          <w:sz w:val="16"/>
          <w:szCs w:val="16"/>
          <w:color w:val="FF4338"/>
          <w:strike w:val="1"/>
        </w:rPr>
        <w:t>y</w:t>
      </w:r>
      <w:r>
        <w:rPr>
          <w:rFonts w:ascii="Arial" w:cs="Arial" w:eastAsia="Arial" w:hAnsi="Arial"/>
          <w:sz w:val="16"/>
          <w:szCs w:val="16"/>
          <w:u w:val="single" w:color="auto"/>
          <w:color w:val="0000FF"/>
        </w:rPr>
        <w:t>II</w:t>
      </w:r>
      <w:r>
        <w:rPr>
          <w:rFonts w:ascii="Arial" w:cs="Arial" w:eastAsia="Arial" w:hAnsi="Arial"/>
          <w:sz w:val="16"/>
          <w:szCs w:val="16"/>
          <w:color w:val="auto"/>
        </w:rPr>
        <w:t xml:space="preserve"> ) 25.0% of Consolidated Cash EBITDA for the Test Period most recently ended on or prior to such date of incurrence (measured as of the date of such incurrence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such Liens are consensual Liens that are secured by the Collateral, then the holders of the Indebtedness or other obligations secured thereby (or a representative or trustee on their behalf) shall enter into an Intercreditor Agreement providing that the Liens on the Collateral securing such Indebtedness or other obligations shall rank junior to the Liens on the Collateral securing the Obligations, but in any event shall not be required to enter into a Intercreditor Agreement if such Liens are on Collateral consisting solely of Cash and Cash Equivalents that do not secure indebtedness for borrowed money;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Lenders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w:t>
      </w:r>
      <w:r>
        <w:rPr>
          <w:rFonts w:ascii="Arial" w:cs="Arial" w:eastAsia="Arial" w:hAnsi="Arial"/>
          <w:sz w:val="16"/>
          <w:szCs w:val="16"/>
          <w:u w:val="single" w:color="auto"/>
          <w:color w:val="auto"/>
        </w:rPr>
        <w:t>Section 6.02(xx)</w:t>
      </w:r>
      <w:r>
        <w:rPr>
          <w:rFonts w:ascii="Arial" w:cs="Arial" w:eastAsia="Arial" w:hAnsi="Arial"/>
          <w:sz w:val="16"/>
          <w:szCs w:val="16"/>
          <w:color w:val="auto"/>
        </w:rPr>
        <w:t>;</w:t>
      </w:r>
    </w:p>
    <w:p>
      <w:pPr>
        <w:spacing w:after="0" w:line="66" w:lineRule="exact"/>
        <w:rPr>
          <w:rFonts w:ascii="Arial" w:cs="Arial" w:eastAsia="Arial" w:hAnsi="Arial"/>
          <w:sz w:val="16"/>
          <w:szCs w:val="16"/>
          <w:u w:val="single" w:color="auto"/>
          <w:color w:val="auto"/>
        </w:rPr>
      </w:pPr>
    </w:p>
    <w:p>
      <w:pPr>
        <w:ind w:left="824" w:hanging="401"/>
        <w:spacing w:after="0"/>
        <w:tabs>
          <w:tab w:leader="none" w:pos="824" w:val="left"/>
        </w:tabs>
        <w:numPr>
          <w:ilvl w:val="1"/>
          <w:numId w:val="218"/>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used to satisfy and discharge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satisfaction and discharge is permitted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102" w:lineRule="exact"/>
        <w:rPr>
          <w:rFonts w:ascii="Arial" w:cs="Arial" w:eastAsia="Arial" w:hAnsi="Arial"/>
          <w:sz w:val="16"/>
          <w:szCs w:val="16"/>
          <w:color w:val="auto"/>
        </w:rPr>
      </w:pPr>
    </w:p>
    <w:p>
      <w:pPr>
        <w:ind w:left="4" w:right="20" w:firstLine="419"/>
        <w:spacing w:after="0" w:line="277" w:lineRule="auto"/>
        <w:tabs>
          <w:tab w:leader="none" w:pos="88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Liens on Permitted Receivables Financing Assets or Liens on other assets granted pursuant to Standard Securitization Undertakings, in each case, incurred in connection with Permitted Receivables Financings;</w:t>
      </w:r>
    </w:p>
    <w:p>
      <w:pPr>
        <w:spacing w:after="0" w:line="62" w:lineRule="exact"/>
        <w:rPr>
          <w:rFonts w:ascii="Arial" w:cs="Arial" w:eastAsia="Arial" w:hAnsi="Arial"/>
          <w:sz w:val="18"/>
          <w:szCs w:val="18"/>
          <w:color w:val="auto"/>
        </w:rPr>
      </w:pPr>
    </w:p>
    <w:p>
      <w:pPr>
        <w:ind w:left="4" w:firstLine="419"/>
        <w:spacing w:after="0" w:line="277" w:lineRule="auto"/>
        <w:tabs>
          <w:tab w:leader="none" w:pos="92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receipt of progress payments and advances from customers in the ordinary course of business to the extent the same creates a Lien on the related inventory and proceeds thereof;</w:t>
      </w:r>
    </w:p>
    <w:p>
      <w:pPr>
        <w:spacing w:after="0" w:line="62" w:lineRule="exact"/>
        <w:rPr>
          <w:rFonts w:ascii="Arial" w:cs="Arial" w:eastAsia="Arial" w:hAnsi="Arial"/>
          <w:sz w:val="18"/>
          <w:szCs w:val="18"/>
          <w:color w:val="auto"/>
        </w:rPr>
      </w:pPr>
    </w:p>
    <w:p>
      <w:pPr>
        <w:jc w:val="both"/>
        <w:ind w:left="4" w:firstLine="419"/>
        <w:spacing w:after="0" w:line="259" w:lineRule="auto"/>
        <w:tabs>
          <w:tab w:leader="none" w:pos="931"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 Liens on Equity Interests of Joint Ventures securing capital contributions to, or obligations of, such Persons or pursuant to the relevant Joint Venture agreement or arrangement, (ii) customary rights of first refusal and tag, drag and similar rights in Joint Venture agreements and (iii) Liens solely on any cash earnest money deposits made by the Borrower or any of its Restricted Subsidiaries in connection with any letter of intent or purchase agreement permitted hereunder;</w:t>
      </w:r>
    </w:p>
    <w:p>
      <w:pPr>
        <w:spacing w:after="0" w:line="78" w:lineRule="exact"/>
        <w:rPr>
          <w:rFonts w:ascii="Arial" w:cs="Arial" w:eastAsia="Arial" w:hAnsi="Arial"/>
          <w:sz w:val="18"/>
          <w:szCs w:val="18"/>
          <w:color w:val="auto"/>
        </w:rPr>
      </w:pPr>
    </w:p>
    <w:p>
      <w:pPr>
        <w:ind w:left="4" w:firstLine="419"/>
        <w:spacing w:after="0" w:line="342" w:lineRule="auto"/>
        <w:tabs>
          <w:tab w:leader="none" w:pos="865" w:val="left"/>
        </w:tabs>
        <w:numPr>
          <w:ilvl w:val="1"/>
          <w:numId w:val="218"/>
        </w:numPr>
        <w:rPr>
          <w:rFonts w:ascii="Arial" w:cs="Arial" w:eastAsia="Arial" w:hAnsi="Arial"/>
          <w:sz w:val="16"/>
          <w:szCs w:val="16"/>
          <w:color w:val="auto"/>
        </w:rPr>
      </w:pPr>
      <w:r>
        <w:rPr>
          <w:rFonts w:ascii="Arial" w:cs="Arial" w:eastAsia="Arial" w:hAnsi="Arial"/>
          <w:sz w:val="16"/>
          <w:szCs w:val="16"/>
          <w:color w:val="auto"/>
        </w:rPr>
        <w:t xml:space="preserve">Liens in respect of Sale Leasebacks in each case on the assets or property sold and leased back in such Sale Leaseback; </w:t>
      </w:r>
      <w:r>
        <w:rPr>
          <w:rFonts w:ascii="Arial" w:cs="Arial" w:eastAsia="Arial" w:hAnsi="Arial"/>
          <w:sz w:val="16"/>
          <w:szCs w:val="16"/>
          <w:u w:val="single" w:color="auto"/>
          <w:color w:val="0000FF"/>
        </w:rPr>
        <w:t>provided that,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during the Suspension Period, after giving effect to the incurrence of such Liens, the Total Net Cash Leverage Ratio would not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-4086860</wp:posOffset>
            </wp:positionV>
            <wp:extent cx="50749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074920"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-3949700</wp:posOffset>
            </wp:positionV>
            <wp:extent cx="7747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-177800</wp:posOffset>
            </wp:positionV>
            <wp:extent cx="6686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-40640</wp:posOffset>
            </wp:positionV>
            <wp:extent cx="612076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36"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584"/>
          </w:cols>
          <w:pgMar w:left="876" w:top="274" w:right="439" w:bottom="1440" w:gutter="0" w:footer="0" w:header="0"/>
        </w:sectPr>
      </w:pPr>
    </w:p>
    <w:bookmarkStart w:id="197" w:name="page198"/>
    <w:bookmarkEnd w:id="197"/>
    <w:p>
      <w:pPr>
        <w:jc w:val="both"/>
        <w:ind w:left="4" w:right="20"/>
        <w:spacing w:after="0" w:line="263"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4.00:1.00, calculated on a pro forma basis as of the Test Period most recently ended on or prior to such date of incurrence (measured as of the date such Liens are incurred based upon the financial statements most recently delivered (or required to have been delivered) on or prior to such date pursuant to Section 5.01(a) or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671195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-139700</wp:posOffset>
            </wp:positionV>
            <wp:extent cx="671195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wp:posOffset>
            </wp:positionV>
            <wp:extent cx="158559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56" w:lineRule="exact"/>
        <w:rPr>
          <w:sz w:val="20"/>
          <w:szCs w:val="20"/>
          <w:color w:val="auto"/>
        </w:rPr>
      </w:pPr>
    </w:p>
    <w:p>
      <w:pPr>
        <w:ind w:left="4" w:right="20" w:firstLine="419"/>
        <w:spacing w:after="0" w:line="277" w:lineRule="auto"/>
        <w:tabs>
          <w:tab w:leader="none" w:pos="91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Liens on cash and Cash Equivalents arising in connection with the defeasance, discharge or redemption of Indebtedness for no longer than 60 days prior to such defeasance, discharge or redemption;</w:t>
      </w:r>
    </w:p>
    <w:p>
      <w:pPr>
        <w:spacing w:after="0" w:line="62" w:lineRule="exact"/>
        <w:rPr>
          <w:rFonts w:ascii="Arial" w:cs="Arial" w:eastAsia="Arial" w:hAnsi="Arial"/>
          <w:sz w:val="18"/>
          <w:szCs w:val="18"/>
          <w:color w:val="auto"/>
        </w:rPr>
      </w:pPr>
    </w:p>
    <w:p>
      <w:pPr>
        <w:jc w:val="both"/>
        <w:ind w:left="4" w:right="20" w:firstLine="419"/>
        <w:spacing w:after="0" w:line="263" w:lineRule="auto"/>
        <w:tabs>
          <w:tab w:leader="none" w:pos="1005" w:val="left"/>
        </w:tabs>
        <w:numPr>
          <w:ilvl w:val="1"/>
          <w:numId w:val="219"/>
        </w:numPr>
        <w:rPr>
          <w:rFonts w:ascii="Arial" w:cs="Arial" w:eastAsia="Arial" w:hAnsi="Arial"/>
          <w:sz w:val="18"/>
          <w:szCs w:val="18"/>
          <w:color w:val="auto"/>
        </w:rPr>
      </w:pPr>
      <w:r>
        <w:rPr>
          <w:rFonts w:ascii="Arial" w:cs="Arial" w:eastAsia="Arial" w:hAnsi="Arial"/>
          <w:sz w:val="18"/>
          <w:szCs w:val="18"/>
          <w:color w:val="auto"/>
        </w:rPr>
        <w:t xml:space="preserve">Liens on cash or Cash Equivalents securing Swap Agreements in the ordinary course of business submitted for clearing in accordance with applicable Requirements of Law and that are not entered into for speculative purposes and Liens securing Indebtedness permitted under </w:t>
      </w:r>
      <w:r>
        <w:rPr>
          <w:rFonts w:ascii="Arial" w:cs="Arial" w:eastAsia="Arial" w:hAnsi="Arial"/>
          <w:sz w:val="18"/>
          <w:szCs w:val="18"/>
          <w:u w:val="single" w:color="auto"/>
          <w:color w:val="auto"/>
        </w:rPr>
        <w:t>Section 6.01(a)(xiii)</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04" w:hanging="581"/>
        <w:spacing w:after="0"/>
        <w:tabs>
          <w:tab w:leader="none" w:pos="100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with respect to any Foreign Subsidiary, other Liens and privileges arising mandatorily by Requirements of Law;</w:t>
      </w:r>
    </w:p>
    <w:p>
      <w:pPr>
        <w:spacing w:after="0" w:line="117" w:lineRule="exact"/>
        <w:rPr>
          <w:rFonts w:ascii="Arial" w:cs="Arial" w:eastAsia="Arial" w:hAnsi="Arial"/>
          <w:sz w:val="18"/>
          <w:szCs w:val="18"/>
          <w:color w:val="auto"/>
        </w:rPr>
      </w:pPr>
    </w:p>
    <w:p>
      <w:pPr>
        <w:ind w:left="904" w:hanging="481"/>
        <w:spacing w:after="0"/>
        <w:tabs>
          <w:tab w:leader="none" w:pos="90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Liens on real property that are not Mortgaged Properties (and not required to become Mortgaged Properties);</w:t>
      </w:r>
    </w:p>
    <w:p>
      <w:pPr>
        <w:spacing w:after="0" w:line="117" w:lineRule="exact"/>
        <w:rPr>
          <w:rFonts w:ascii="Arial" w:cs="Arial" w:eastAsia="Arial" w:hAnsi="Arial"/>
          <w:sz w:val="18"/>
          <w:szCs w:val="18"/>
          <w:color w:val="auto"/>
        </w:rPr>
      </w:pPr>
    </w:p>
    <w:p>
      <w:pPr>
        <w:ind w:left="864" w:hanging="441"/>
        <w:spacing w:after="0"/>
        <w:tabs>
          <w:tab w:leader="none" w:pos="864" w:val="left"/>
        </w:tabs>
        <w:numPr>
          <w:ilvl w:val="1"/>
          <w:numId w:val="219"/>
        </w:numPr>
        <w:rPr>
          <w:rFonts w:ascii="Arial" w:cs="Arial" w:eastAsia="Arial" w:hAnsi="Arial"/>
          <w:sz w:val="16"/>
          <w:szCs w:val="16"/>
          <w:color w:val="auto"/>
        </w:rPr>
      </w:pPr>
      <w:r>
        <w:rPr>
          <w:rFonts w:ascii="Arial" w:cs="Arial" w:eastAsia="Arial" w:hAnsi="Arial"/>
          <w:sz w:val="16"/>
          <w:szCs w:val="16"/>
          <w:color w:val="auto"/>
        </w:rPr>
        <w:t xml:space="preserve">Liens securing Ratio Indebtedness permitted under </w:t>
      </w:r>
      <w:r>
        <w:rPr>
          <w:rFonts w:ascii="Arial" w:cs="Arial" w:eastAsia="Arial" w:hAnsi="Arial"/>
          <w:sz w:val="16"/>
          <w:szCs w:val="16"/>
          <w:u w:val="single" w:color="auto"/>
          <w:color w:val="auto"/>
        </w:rPr>
        <w:t>Section 6.01(a)(xix)</w:t>
      </w:r>
      <w:r>
        <w:rPr>
          <w:rFonts w:ascii="Arial" w:cs="Arial" w:eastAsia="Arial" w:hAnsi="Arial"/>
          <w:sz w:val="16"/>
          <w:szCs w:val="16"/>
          <w:color w:val="auto"/>
        </w:rPr>
        <w:t xml:space="preserve">, Incremental Equivalent Debt permitted under </w:t>
      </w:r>
      <w:r>
        <w:rPr>
          <w:rFonts w:ascii="Arial" w:cs="Arial" w:eastAsia="Arial" w:hAnsi="Arial"/>
          <w:sz w:val="16"/>
          <w:szCs w:val="16"/>
          <w:u w:val="single" w:color="auto"/>
          <w:color w:val="auto"/>
        </w:rPr>
        <w:t>Section 6.01(a)</w:t>
      </w:r>
    </w:p>
    <w:p>
      <w:pPr>
        <w:spacing w:after="0" w:line="46" w:lineRule="exact"/>
        <w:rPr>
          <w:rFonts w:ascii="Arial" w:cs="Arial" w:eastAsia="Arial" w:hAnsi="Arial"/>
          <w:sz w:val="16"/>
          <w:szCs w:val="16"/>
          <w:color w:val="auto"/>
        </w:rPr>
      </w:pPr>
    </w:p>
    <w:p>
      <w:pPr>
        <w:jc w:val="both"/>
        <w:ind w:left="4" w:right="20" w:hanging="4"/>
        <w:spacing w:after="0" w:line="285" w:lineRule="auto"/>
        <w:tabs>
          <w:tab w:leader="none" w:pos="519" w:val="left"/>
        </w:tabs>
        <w:numPr>
          <w:ilvl w:val="0"/>
          <w:numId w:val="220"/>
        </w:numPr>
        <w:rPr>
          <w:rFonts w:ascii="Arial" w:cs="Arial" w:eastAsia="Arial" w:hAnsi="Arial"/>
          <w:sz w:val="16"/>
          <w:szCs w:val="16"/>
          <w:u w:val="single" w:color="auto"/>
          <w:color w:val="auto"/>
        </w:rPr>
      </w:pPr>
      <w:r>
        <w:rPr>
          <w:rFonts w:ascii="Arial" w:cs="Arial" w:eastAsia="Arial" w:hAnsi="Arial"/>
          <w:sz w:val="16"/>
          <w:szCs w:val="16"/>
          <w:color w:val="auto"/>
        </w:rPr>
        <w:t xml:space="preserve">and Acquisition Debt permitted under </w:t>
      </w:r>
      <w:r>
        <w:rPr>
          <w:rFonts w:ascii="Arial" w:cs="Arial" w:eastAsia="Arial" w:hAnsi="Arial"/>
          <w:sz w:val="16"/>
          <w:szCs w:val="16"/>
          <w:u w:val="single" w:color="auto"/>
          <w:color w:val="auto"/>
        </w:rPr>
        <w:t>Section 6.01(a)(xxvi)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holders of the Indebtedness or other obligations secured thereby (or a representative or trustee on their behalf) shall enter into an Intercreditor Agreement providing that the Liens on the Collateral securing such Indebtedness or other obligations shall rank junior to the Liens on the Collateral securing the Obligations;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w:t>
      </w:r>
      <w:r>
        <w:rPr>
          <w:rFonts w:ascii="Arial" w:cs="Arial" w:eastAsia="Arial" w:hAnsi="Arial"/>
          <w:sz w:val="16"/>
          <w:szCs w:val="16"/>
          <w:u w:val="single" w:color="auto"/>
          <w:color w:val="auto"/>
        </w:rPr>
        <w:t>Section 6.02(xxx)</w:t>
      </w:r>
      <w:r>
        <w:rPr>
          <w:rFonts w:ascii="Arial" w:cs="Arial" w:eastAsia="Arial" w:hAnsi="Arial"/>
          <w:sz w:val="16"/>
          <w:szCs w:val="16"/>
          <w:color w:val="auto"/>
        </w:rPr>
        <w:t>;</w:t>
      </w:r>
    </w:p>
    <w:p>
      <w:pPr>
        <w:spacing w:after="0" w:line="66" w:lineRule="exact"/>
        <w:rPr>
          <w:rFonts w:ascii="Arial" w:cs="Arial" w:eastAsia="Arial" w:hAnsi="Arial"/>
          <w:sz w:val="16"/>
          <w:szCs w:val="16"/>
          <w:u w:val="single" w:color="auto"/>
          <w:color w:val="auto"/>
        </w:rPr>
      </w:pPr>
    </w:p>
    <w:p>
      <w:pPr>
        <w:ind w:left="4" w:firstLine="419"/>
        <w:spacing w:after="0" w:line="277" w:lineRule="auto"/>
        <w:tabs>
          <w:tab w:leader="none" w:pos="925" w:val="left"/>
        </w:tabs>
        <w:numPr>
          <w:ilvl w:val="1"/>
          <w:numId w:val="220"/>
        </w:numPr>
        <w:rPr>
          <w:rFonts w:ascii="Arial" w:cs="Arial" w:eastAsia="Arial" w:hAnsi="Arial"/>
          <w:sz w:val="18"/>
          <w:szCs w:val="18"/>
          <w:color w:val="auto"/>
        </w:rPr>
      </w:pPr>
      <w:r>
        <w:rPr>
          <w:rFonts w:ascii="Arial" w:cs="Arial" w:eastAsia="Arial" w:hAnsi="Arial"/>
          <w:sz w:val="18"/>
          <w:szCs w:val="18"/>
          <w:color w:val="0000FF"/>
        </w:rPr>
        <w:t xml:space="preserve">after the Suspension Period has ended, </w:t>
      </w:r>
      <w:r>
        <w:rPr>
          <w:rFonts w:ascii="Arial" w:cs="Arial" w:eastAsia="Arial" w:hAnsi="Arial"/>
          <w:sz w:val="18"/>
          <w:szCs w:val="18"/>
          <w:color w:val="000000"/>
        </w:rPr>
        <w:t>Liens on Equity Interests of Unrestricted Subsidiaries</w:t>
      </w:r>
      <w:r>
        <w:rPr>
          <w:rFonts w:ascii="Arial" w:cs="Arial" w:eastAsia="Arial" w:hAnsi="Arial"/>
          <w:sz w:val="18"/>
          <w:szCs w:val="18"/>
          <w:color w:val="0000FF"/>
        </w:rPr>
        <w:t xml:space="preserve"> (for the avoidance of doubt, no such </w:t>
      </w:r>
      <w:r>
        <w:rPr>
          <w:rFonts w:ascii="Arial" w:cs="Arial" w:eastAsia="Arial" w:hAnsi="Arial"/>
          <w:sz w:val="18"/>
          <w:szCs w:val="18"/>
          <w:u w:val="single" w:color="auto"/>
          <w:color w:val="0000FF"/>
        </w:rPr>
        <w:t>Liens may be incurred during the Suspension Period)</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4" w:right="20" w:firstLine="419"/>
        <w:spacing w:after="0" w:line="277" w:lineRule="auto"/>
        <w:tabs>
          <w:tab w:leader="none" w:pos="96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Liens on Cash Collateral granted in favor of any Lender and/or Issuing Bank created as a result of any requirement or option to Cash Collateralize pursuant to this Agreement or any other Loan Document;</w:t>
      </w:r>
    </w:p>
    <w:p>
      <w:pPr>
        <w:spacing w:after="0" w:line="62" w:lineRule="exact"/>
        <w:rPr>
          <w:rFonts w:ascii="Arial" w:cs="Arial" w:eastAsia="Arial" w:hAnsi="Arial"/>
          <w:sz w:val="18"/>
          <w:szCs w:val="18"/>
          <w:color w:val="auto"/>
        </w:rPr>
      </w:pPr>
    </w:p>
    <w:p>
      <w:pPr>
        <w:ind w:left="1004" w:hanging="581"/>
        <w:spacing w:after="0"/>
        <w:tabs>
          <w:tab w:leader="none" w:pos="100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Settlement Liens;</w:t>
      </w:r>
    </w:p>
    <w:p>
      <w:pPr>
        <w:spacing w:after="0" w:line="117" w:lineRule="exact"/>
        <w:rPr>
          <w:rFonts w:ascii="Arial" w:cs="Arial" w:eastAsia="Arial" w:hAnsi="Arial"/>
          <w:sz w:val="18"/>
          <w:szCs w:val="18"/>
          <w:color w:val="auto"/>
        </w:rPr>
      </w:pPr>
    </w:p>
    <w:p>
      <w:pPr>
        <w:ind w:left="1004" w:hanging="581"/>
        <w:spacing w:after="0"/>
        <w:tabs>
          <w:tab w:leader="none" w:pos="100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Liens securing any Indebtedness incurred pursuant to Section 6.01(xxvii);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-867410</wp:posOffset>
            </wp:positionV>
            <wp:extent cx="18516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851660" cy="8255"/>
                    </a:xfrm>
                    <a:prstGeom prst="rect">
                      <a:avLst/>
                    </a:prstGeom>
                    <a:noFill/>
                  </pic:spPr>
                </pic:pic>
              </a:graphicData>
            </a:graphic>
          </wp:anchor>
        </w:drawing>
        <w:drawing>
          <wp:anchor simplePos="0" relativeHeight="251657728" behindDoc="1" locked="0" layoutInCell="0" allowOverlap="1">
            <wp:simplePos x="0" y="0"/>
            <wp:positionH relativeFrom="column">
              <wp:posOffset>548005</wp:posOffset>
            </wp:positionH>
            <wp:positionV relativeFrom="paragraph">
              <wp:posOffset>-901700</wp:posOffset>
            </wp:positionV>
            <wp:extent cx="185229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852295" cy="8890"/>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-867410</wp:posOffset>
            </wp:positionV>
            <wp:extent cx="175704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57045" cy="825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-901700</wp:posOffset>
            </wp:positionV>
            <wp:extent cx="175895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7589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-730250</wp:posOffset>
            </wp:positionV>
            <wp:extent cx="24345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38"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584"/>
          </w:cols>
          <w:pgMar w:left="876" w:top="274" w:right="439" w:bottom="1440" w:gutter="0" w:footer="0" w:header="0"/>
        </w:sectPr>
      </w:pPr>
    </w:p>
    <w:bookmarkStart w:id="198" w:name="page199"/>
    <w:bookmarkEnd w:id="198"/>
    <w:p>
      <w:pPr>
        <w:ind w:left="444" w:firstLine="419"/>
        <w:spacing w:after="0" w:line="277" w:lineRule="auto"/>
        <w:tabs>
          <w:tab w:leader="none" w:pos="14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on cash or Cash Equivalents securing Indebtedness permitted under </w:t>
      </w:r>
      <w:r>
        <w:rPr>
          <w:rFonts w:ascii="Arial" w:cs="Arial" w:eastAsia="Arial" w:hAnsi="Arial"/>
          <w:sz w:val="18"/>
          <w:szCs w:val="18"/>
          <w:u w:val="single" w:color="auto"/>
          <w:color w:val="auto"/>
        </w:rPr>
        <w:t>Section 6.01(a)(xx)</w:t>
      </w:r>
      <w:r>
        <w:rPr>
          <w:rFonts w:ascii="Arial" w:cs="Arial" w:eastAsia="Arial" w:hAnsi="Arial"/>
          <w:sz w:val="18"/>
          <w:szCs w:val="18"/>
          <w:color w:val="auto"/>
        </w:rPr>
        <w:t xml:space="preserve"> in an aggregate outstanding face amount not exceeding $5,000,000 at any time.</w:t>
      </w:r>
    </w:p>
    <w:p>
      <w:pPr>
        <w:spacing w:after="0" w:line="170" w:lineRule="exact"/>
        <w:rPr>
          <w:sz w:val="20"/>
          <w:szCs w:val="20"/>
          <w:color w:val="auto"/>
        </w:rPr>
      </w:pPr>
    </w:p>
    <w:p>
      <w:pPr>
        <w:jc w:val="both"/>
        <w:ind w:left="4" w:firstLine="440"/>
        <w:spacing w:after="0" w:line="254" w:lineRule="auto"/>
        <w:rPr>
          <w:sz w:val="20"/>
          <w:szCs w:val="20"/>
          <w:color w:val="auto"/>
        </w:rPr>
      </w:pPr>
      <w:r>
        <w:rPr>
          <w:rFonts w:ascii="Arial" w:cs="Arial" w:eastAsia="Arial" w:hAnsi="Arial"/>
          <w:sz w:val="18"/>
          <w:szCs w:val="18"/>
          <w:color w:val="auto"/>
        </w:rPr>
        <w:t xml:space="preserve">Notwithstanding anything to the contrary herein, for purposes of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if any Lien (or a portion thereof) would be permitted pursuant to one or more provisions described herein, the Borrower may divide and classify such Liens (or a portion thereof) in any manner that complies with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may later divide and reclassify any such Lien (it being understood that any reclassification of a Lien from a non-incurrence based exception to an incurrence based exception shall require concurrent notice to the Administrative Agent), so long as the Lien (as so divided and/or reclassified) would be permitted to be made in reliance on the applicable exception as of the date of such reclassification;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 securing Indebtedness outstanding under the Loan Documents (including any Lien securing any Indebtedness incurred under an Incremental Refinancing Facility to Refinance (in whole or in part) such Indebtedness will be deemed to have been incurred in reliance only on the exception set forth in </w:t>
      </w:r>
      <w:r>
        <w:rPr>
          <w:rFonts w:ascii="Arial" w:cs="Arial" w:eastAsia="Arial" w:hAnsi="Arial"/>
          <w:sz w:val="18"/>
          <w:szCs w:val="18"/>
          <w:u w:val="single" w:color="auto"/>
          <w:color w:val="auto"/>
        </w:rPr>
        <w:t>Section 6.02(i)</w:t>
      </w:r>
      <w:r>
        <w:rPr>
          <w:rFonts w:ascii="Arial" w:cs="Arial" w:eastAsia="Arial" w:hAnsi="Arial"/>
          <w:sz w:val="18"/>
          <w:szCs w:val="18"/>
          <w:color w:val="auto"/>
        </w:rPr>
        <w:t>.</w:t>
      </w:r>
    </w:p>
    <w:p>
      <w:pPr>
        <w:spacing w:after="0" w:line="192" w:lineRule="exact"/>
        <w:rPr>
          <w:sz w:val="20"/>
          <w:szCs w:val="20"/>
          <w:color w:val="auto"/>
        </w:rPr>
      </w:pPr>
    </w:p>
    <w:p>
      <w:pPr>
        <w:jc w:val="both"/>
        <w:ind w:left="4" w:right="20" w:firstLine="440"/>
        <w:spacing w:after="0" w:line="25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(x) The Borrower will not, nor will it permit any Restricted Subsidiary to, merge into or consolidate or amalgamate with any other Person, or permit any Person to merge into or consolidate or amalgamate with it, or liquidate or dissolve, and (y) the Borrower and the Restricted Subsidiaries, taken as a whole, will not Dispose of (whether in one transaction or in a series of transactions) all or substantially all of the assets (whether now owned or hereafter acquired) of the Borrower and the Restricted Subsidiaries, taken as a whole, to or in favor of any Person (other than as part of the Transactions), except that:</w:t>
      </w:r>
    </w:p>
    <w:p>
      <w:pPr>
        <w:spacing w:after="0" w:line="80" w:lineRule="exact"/>
        <w:rPr>
          <w:sz w:val="20"/>
          <w:szCs w:val="20"/>
          <w:color w:val="auto"/>
        </w:rPr>
      </w:pPr>
    </w:p>
    <w:p>
      <w:pPr>
        <w:jc w:val="both"/>
        <w:ind w:left="4" w:firstLine="436"/>
        <w:spacing w:after="0" w:line="257" w:lineRule="auto"/>
        <w:tabs>
          <w:tab w:leader="none" w:pos="69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any Restricted Subsidiary of the Borrower may merge, consolidate or amalgamate with (A)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 (B) one or more other Restricted Subsidiaries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any Subsidiary Loan Party is merging, consolidating or amalgamating with any other Restricted Subsidiary either (1) the continuing or surviving Person shall be a Subsidiary Loan Party or (2) if the continuing or surviving Person is not a Subsidiary Loan Party, the acquisition of such Subsidiary Loan Party by such surviving Restricted Subsidiary is permitted under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4" w:firstLine="436"/>
        <w:spacing w:after="0" w:line="277" w:lineRule="auto"/>
        <w:tabs>
          <w:tab w:leader="none" w:pos="71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Restricted Subsidiary may liquidate or dissolve if the Borrower determines in good faith that such action is in the best interests of the Borrower and the Restricted Subsidiaries, taken as a whole, and is not materially disadvantageous to the Lenders;</w:t>
      </w:r>
    </w:p>
    <w:p>
      <w:pPr>
        <w:spacing w:after="0" w:line="62" w:lineRule="exact"/>
        <w:rPr>
          <w:rFonts w:ascii="Arial" w:cs="Arial" w:eastAsia="Arial" w:hAnsi="Arial"/>
          <w:sz w:val="18"/>
          <w:szCs w:val="18"/>
          <w:color w:val="auto"/>
        </w:rPr>
      </w:pPr>
    </w:p>
    <w:p>
      <w:pPr>
        <w:jc w:val="both"/>
        <w:ind w:left="4" w:firstLine="436"/>
        <w:spacing w:after="0" w:line="274" w:lineRule="auto"/>
        <w:tabs>
          <w:tab w:leader="none" w:pos="714" w:val="left"/>
        </w:tabs>
        <w:numPr>
          <w:ilvl w:val="1"/>
          <w:numId w:val="222"/>
        </w:numPr>
        <w:rPr>
          <w:rFonts w:ascii="Arial" w:cs="Arial" w:eastAsia="Arial" w:hAnsi="Arial"/>
          <w:sz w:val="17"/>
          <w:szCs w:val="17"/>
          <w:color w:val="auto"/>
        </w:rPr>
      </w:pPr>
      <w:r>
        <w:rPr>
          <w:rFonts w:ascii="Arial" w:cs="Arial" w:eastAsia="Arial" w:hAnsi="Arial"/>
          <w:sz w:val="17"/>
          <w:szCs w:val="17"/>
          <w:color w:val="auto"/>
        </w:rPr>
        <w:t xml:space="preserve">any Restricted Subsidiary may make a Disposition of all or substantially all of its assets (upon voluntary liquidation or otherwise) to the Borrower or any 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transferor in such a transaction is a Loan Party (other than Holdings), then either</w:t>
      </w:r>
    </w:p>
    <w:p>
      <w:pPr>
        <w:jc w:val="both"/>
        <w:ind w:left="4" w:hanging="4"/>
        <w:spacing w:after="0" w:line="253" w:lineRule="auto"/>
        <w:tabs>
          <w:tab w:leader="none" w:pos="30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the transferee must be a Loan Party (other than Holdings), (B) to the extent constituting an Investment, such Investment must be an Investment in a Restricted Subsidiary that is not a Loan Party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or (C)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jc w:val="both"/>
        <w:ind w:left="4" w:firstLine="436"/>
        <w:spacing w:after="0" w:line="259" w:lineRule="auto"/>
        <w:tabs>
          <w:tab w:leader="none" w:pos="71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the Borrower may merge, amalgamate or consolidate with any other Person (including any Subsidiary, but excluding Initial Holdings unless there is a Successor Holdings);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either (A) the Borrower shall be the continuing or surviving Person or (B) if the Person formed by or surviving any such merger, amalgamation or consolidation is not the Borrower (any such Person, the “</w:t>
      </w:r>
      <w:r>
        <w:rPr>
          <w:rFonts w:ascii="Arial" w:cs="Arial" w:eastAsia="Arial" w:hAnsi="Arial"/>
          <w:sz w:val="18"/>
          <w:szCs w:val="18"/>
          <w:u w:val="single" w:color="auto"/>
          <w:color w:val="auto"/>
        </w:rPr>
        <w:t>Successor Borrower</w:t>
      </w:r>
      <w:r>
        <w:rPr>
          <w:rFonts w:ascii="Arial" w:cs="Arial" w:eastAsia="Arial" w:hAnsi="Arial"/>
          <w:sz w:val="18"/>
          <w:szCs w:val="18"/>
          <w:color w:val="auto"/>
        </w:rPr>
        <w:t>”), (1) the Successor Borrower shall be an entity organized or existing under the laws of the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24"/>
          </w:cols>
          <w:pgMar w:left="436" w:top="274" w:right="439" w:bottom="1440" w:gutter="0" w:footer="0" w:header="0"/>
        </w:sectPr>
      </w:pPr>
    </w:p>
    <w:bookmarkStart w:id="199" w:name="page200"/>
    <w:bookmarkEnd w:id="199"/>
    <w:p>
      <w:pPr>
        <w:jc w:val="both"/>
        <w:ind w:left="4"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United States, any State thereof or the District of Columbia, (2) the Successor Borrower shall expressly assume all the obligations of the Borrower under this Agreement and the other Loan Documents to which the Borrower is a party pursuant to a supplement hereto and thereto in form and substance reasonably satisfactory to the Administrative Agent, (3) each Loan Party other than the Borrower, unless it is the other party to such merger, amalgamation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(4) the Borrower shall have delivered to the Administrative Agent (for further distribution by the Administrative Agent to the Lenders) a certificate of a Responsible Officer and, if reasonably requested by the Administrative Agent, an opinion of counsel, each stating that such merger, amalgamation or consolidation complies with this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(x) if such merger, consolidation or amalgamation is with a Person that prior to such transaction is not a Loan Party or another Restricted Subsidiary, subject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there is no continuing Event of Default that exists after giving effect to such merger, amalgamation or consolidation and (y) if the foregoing requirements are satisfied, the Successor Borrower will succeed to, and be substituted for, the Borrower under this Agreement and the other Loan Documents;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agrees to provide any documentation and other information about the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w:t>
      </w:r>
    </w:p>
    <w:p>
      <w:pPr>
        <w:spacing w:after="0" w:line="63" w:lineRule="exact"/>
        <w:rPr>
          <w:sz w:val="20"/>
          <w:szCs w:val="20"/>
          <w:color w:val="auto"/>
        </w:rPr>
      </w:pPr>
    </w:p>
    <w:p>
      <w:pPr>
        <w:ind w:left="4" w:right="20" w:firstLine="436"/>
        <w:spacing w:after="0" w:line="308" w:lineRule="auto"/>
        <w:tabs>
          <w:tab w:leader="none" w:pos="723" w:val="left"/>
        </w:tabs>
        <w:numPr>
          <w:ilvl w:val="1"/>
          <w:numId w:val="224"/>
        </w:numPr>
        <w:rPr>
          <w:rFonts w:ascii="Arial" w:cs="Arial" w:eastAsia="Arial" w:hAnsi="Arial"/>
          <w:sz w:val="17"/>
          <w:szCs w:val="17"/>
          <w:color w:val="auto"/>
        </w:rPr>
      </w:pPr>
      <w:r>
        <w:rPr>
          <w:rFonts w:ascii="Arial" w:cs="Arial" w:eastAsia="Arial" w:hAnsi="Arial"/>
          <w:sz w:val="17"/>
          <w:szCs w:val="17"/>
          <w:color w:val="auto"/>
        </w:rPr>
        <w:t>The Borrower and its Subsidiaries may effect the formation, dissolution, liquidation or Disposition of any Subsidiary that is a Divided Delaware LLC, provided that upon formation of such Divided Delaware LLC, the Borrower has complied with Section 5.11, as applicable;</w:t>
      </w:r>
    </w:p>
    <w:p>
      <w:pPr>
        <w:spacing w:after="0" w:line="38" w:lineRule="exact"/>
        <w:rPr>
          <w:rFonts w:ascii="Arial" w:cs="Arial" w:eastAsia="Arial" w:hAnsi="Arial"/>
          <w:sz w:val="17"/>
          <w:szCs w:val="17"/>
          <w:color w:val="auto"/>
        </w:rPr>
      </w:pPr>
    </w:p>
    <w:p>
      <w:pPr>
        <w:jc w:val="both"/>
        <w:ind w:left="4" w:right="20" w:firstLine="436"/>
        <w:spacing w:after="0" w:line="263" w:lineRule="auto"/>
        <w:tabs>
          <w:tab w:leader="none" w:pos="675"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consolidate or amalgamate with any other Person in order to effect an Investment permitted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continuing or surviving Person shall be (or shall become) a Restricted Subsidiary, and shall have complied with the requirements of </w:t>
      </w:r>
      <w:r>
        <w:rPr>
          <w:rFonts w:ascii="Arial" w:cs="Arial" w:eastAsia="Arial" w:hAnsi="Arial"/>
          <w:sz w:val="18"/>
          <w:szCs w:val="18"/>
          <w:u w:val="single" w:color="auto"/>
          <w:color w:val="auto"/>
        </w:rPr>
        <w:t>Sections 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 w:firstLine="436"/>
        <w:spacing w:after="0" w:line="258" w:lineRule="auto"/>
        <w:tabs>
          <w:tab w:leader="none" w:pos="731"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Borrower and its Restricted Subsidiaries may consummate the Acquisition and the Merger, related transactions contemplated by the Merger Agreement (and documents related thereto) and the Transactions; and</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Borrower and its Subsidiaries may undertake or consummate a Tax Restructuring; and</w:t>
      </w:r>
    </w:p>
    <w:p>
      <w:pPr>
        <w:spacing w:after="0" w:line="102" w:lineRule="exact"/>
        <w:rPr>
          <w:rFonts w:ascii="Arial" w:cs="Arial" w:eastAsia="Arial" w:hAnsi="Arial"/>
          <w:sz w:val="18"/>
          <w:szCs w:val="18"/>
          <w:color w:val="auto"/>
        </w:rPr>
      </w:pPr>
    </w:p>
    <w:p>
      <w:pPr>
        <w:jc w:val="both"/>
        <w:ind w:left="4" w:right="20" w:firstLine="436"/>
        <w:spacing w:after="0" w:line="263" w:lineRule="auto"/>
        <w:tabs>
          <w:tab w:leader="none" w:pos="6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any Restricted Subsidiary may effect a merger, dissolution, liquidation consolidation or amalgamation to (1) effect a Disposition permitted pursuant to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(2) make an Investment permitted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(other than clause (t) thereof) or (3) make a Restricted Payment permitted pursuant to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(other than clause (a)(ii) thereof).</w:t>
      </w:r>
    </w:p>
    <w:p>
      <w:pPr>
        <w:spacing w:after="0" w:line="18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 The Borrower will not, nor will it permit any of its Restricted Subsidiaries to, make or hold any Investment, except:</w:t>
      </w:r>
    </w:p>
    <w:p>
      <w:pPr>
        <w:spacing w:after="0" w:line="62" w:lineRule="exact"/>
        <w:rPr>
          <w:sz w:val="20"/>
          <w:szCs w:val="20"/>
          <w:color w:val="auto"/>
        </w:rPr>
      </w:pPr>
    </w:p>
    <w:p>
      <w:pPr>
        <w:ind w:left="684" w:hanging="244"/>
        <w:spacing w:after="0"/>
        <w:tabs>
          <w:tab w:leader="none" w:pos="68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Investments in cash and Investments that are, at the time such Investment is made, Investments in Cash Equivalents;</w:t>
      </w:r>
    </w:p>
    <w:p>
      <w:pPr>
        <w:spacing w:after="0" w:line="117" w:lineRule="exact"/>
        <w:rPr>
          <w:rFonts w:ascii="Arial" w:cs="Arial" w:eastAsia="Arial" w:hAnsi="Arial"/>
          <w:sz w:val="18"/>
          <w:szCs w:val="18"/>
          <w:color w:val="auto"/>
        </w:rPr>
      </w:pPr>
    </w:p>
    <w:p>
      <w:pPr>
        <w:ind w:left="4" w:right="20" w:firstLine="436"/>
        <w:spacing w:after="0" w:line="342" w:lineRule="auto"/>
        <w:tabs>
          <w:tab w:leader="none" w:pos="731" w:val="left"/>
        </w:tabs>
        <w:numPr>
          <w:ilvl w:val="0"/>
          <w:numId w:val="226"/>
        </w:numPr>
        <w:rPr>
          <w:rFonts w:ascii="Arial" w:cs="Arial" w:eastAsia="Arial" w:hAnsi="Arial"/>
          <w:sz w:val="16"/>
          <w:szCs w:val="16"/>
          <w:color w:val="auto"/>
        </w:rPr>
      </w:pPr>
      <w:r>
        <w:rPr>
          <w:rFonts w:ascii="Arial" w:cs="Arial" w:eastAsia="Arial" w:hAnsi="Arial"/>
          <w:sz w:val="16"/>
          <w:szCs w:val="16"/>
          <w:color w:val="auto"/>
        </w:rPr>
        <w:t>loans or advances to present or former officers, directors, managers, members of management, consultants, independent contractors and employees of any Parent Entity, the Borrower and the Restricted Subsidiaries (i) for reasonable and customary business-related travel, entertainment,</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24"/>
          </w:cols>
          <w:pgMar w:left="436" w:top="274" w:right="439" w:bottom="1440" w:gutter="0" w:footer="0" w:header="0"/>
        </w:sectPr>
      </w:pPr>
    </w:p>
    <w:bookmarkStart w:id="200" w:name="page201"/>
    <w:bookmarkEnd w:id="200"/>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relocation and analogous ordinary business purposes, (ii) in connection with such Person’s purchase of Equity Interests in Holdings (or any other Parent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loans and advances made in cash to such Person shall be substantially contemporaneously used to purchase such Equity Interests and the proceeds of such loans and advances shall be substantially contemporaneously contributed to the Borrower in cash as common equity or Qualified Equity Interests as consideration for the purchase of such Equity Interests) and (iii) for purposes not described in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incurrence thereof and after giving pro forma effect thereto, the aggregate principal amount of all loans and advances then outstanding and made in reliance on thi</w:t>
      </w:r>
      <w:r>
        <w:rPr>
          <w:rFonts w:ascii="Arial" w:cs="Arial" w:eastAsia="Arial" w:hAnsi="Arial"/>
          <w:sz w:val="16"/>
          <w:szCs w:val="16"/>
          <w:u w:val="single" w:color="auto"/>
          <w:color w:val="auto"/>
        </w:rPr>
        <w:t>s clause (iii)</w:t>
      </w:r>
      <w:r>
        <w:rPr>
          <w:rFonts w:ascii="Arial" w:cs="Arial" w:eastAsia="Arial" w:hAnsi="Arial"/>
          <w:sz w:val="16"/>
          <w:szCs w:val="16"/>
          <w:color w:val="auto"/>
        </w:rPr>
        <w:t xml:space="preserve"> shall not exceed the greater of (x) $5,000,000 and (y) 7.5% of Consolidated Cash EBITDA for the Test Period most recently ended on or prior to such date of incurrence (measured as of the date such incurrence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0000FF"/>
        </w:rPr>
        <w:t>b)</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provided further that, during the Suspension Period, at the time of incurrence thereof and after giving pro forma effect thereto, the aggregate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principal amount of all loans and advances then outstanding and made in reliance on clause (i) or (iii), in the aggregate, shall not exceed $2,500,000;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-149225</wp:posOffset>
            </wp:positionV>
            <wp:extent cx="69519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67894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40" w:lineRule="exact"/>
        <w:rPr>
          <w:sz w:val="20"/>
          <w:szCs w:val="20"/>
          <w:color w:val="auto"/>
        </w:rPr>
      </w:pPr>
    </w:p>
    <w:p>
      <w:pPr>
        <w:jc w:val="both"/>
        <w:ind w:firstLine="436"/>
        <w:spacing w:after="0" w:line="267" w:lineRule="auto"/>
        <w:tabs>
          <w:tab w:leader="none" w:pos="689"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Investments (i) by the Borrower or any Restricted Subsidiary in any Loan Party (other than Holdings), (ii) by any Restricted Subsidiary that is not a Loan Party in any other Restricted Subsidiary that is not a Loan Party and (iii) by the Borrower or any Restricted Subsidiary that is a Loan Party in any Restricted Subsidiary that is not a Loan Party (A) in connection with any series of substantially concurrent transactions that result in the proceeds of the intercompany Investments ultimately being invested in (or distributed to) the Borrower or a Restricted Subsidiary that is a Loan Party, (B) in connection with reorganizations and related activities related to tax planning; provided that either (1) such reorganizations or related activities are contemplated as of the Effective Date or (2) after giving pro forma effect to any such reorganization and related activities, the value of the Collateral, taken as a whole, and the value of the guarantees, taken as a whole, are not materially impaired (it being understood that the contribution of Equity Interests of any Foreign Subsidiary or FSHCO to a newly created Foreign Subsidiary or FSHCO shall be permitted without restriction), and (C) in addition to Investments made pursuant to the foregoing clauses (A) and (B), Investments (valued at the Fair Market Value of such Investments at the time such Investment is made) in an aggregate amount, measured at the time such Investment is made and after giving pro forma effect to such Investment, equal to the sum of (I) the greater of (x) $10,000,000 and (y) 10.0%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(b)), (II) the Available Equity Amount at such time that is Not Otherwise Applied and (III) the Available Amount at such time that is Not Otherwise Applied;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this clause (III),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 Total Net Cash Leverage Ratio is less than or equal to </w:t>
      </w:r>
      <w:r>
        <w:rPr>
          <w:rFonts w:ascii="Arial" w:cs="Arial" w:eastAsia="Arial" w:hAnsi="Arial"/>
          <w:sz w:val="17"/>
          <w:szCs w:val="17"/>
          <w:u w:val="single" w:color="auto"/>
          <w:color w:val="0000FF"/>
        </w:rPr>
        <w:t>(1) during the Suspension Period, 4.00:1.00, and (2) after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the Suspension Period has ended,</w:t>
      </w:r>
      <w:r>
        <w:rPr>
          <w:rFonts w:ascii="Arial" w:cs="Arial" w:eastAsia="Arial" w:hAnsi="Arial"/>
          <w:sz w:val="17"/>
          <w:szCs w:val="17"/>
          <w:color w:val="0000FF"/>
        </w:rPr>
        <w:t xml:space="preserve"> </w:t>
      </w:r>
      <w:r>
        <w:rPr>
          <w:rFonts w:ascii="Arial" w:cs="Arial" w:eastAsia="Arial" w:hAnsi="Arial"/>
          <w:sz w:val="17"/>
          <w:szCs w:val="17"/>
          <w:color w:val="000000"/>
        </w:rPr>
        <w:t>7.00:1.00;</w:t>
      </w:r>
    </w:p>
    <w:p>
      <w:pPr>
        <w:spacing w:after="0" w:line="80" w:lineRule="exact"/>
        <w:rPr>
          <w:rFonts w:ascii="Arial" w:cs="Arial" w:eastAsia="Arial" w:hAnsi="Arial"/>
          <w:sz w:val="17"/>
          <w:szCs w:val="17"/>
          <w:color w:val="auto"/>
        </w:rPr>
      </w:pPr>
    </w:p>
    <w:p>
      <w:pPr>
        <w:ind w:left="700" w:hanging="264"/>
        <w:spacing w:after="0"/>
        <w:tabs>
          <w:tab w:leader="none" w:pos="7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Investments consisting of deposits, prepayments and/or other credits to suppliers in the ordinary course of business;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Investments consisting of extensions of trade credit and accommodation guarantees in the ordinary course of business or consistent with past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-670560</wp:posOffset>
            </wp:positionV>
            <wp:extent cx="265747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-533400</wp:posOffset>
            </wp:positionV>
            <wp:extent cx="152590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20"/>
          </w:cols>
          <w:pgMar w:left="440" w:top="274" w:right="439" w:bottom="1440" w:gutter="0" w:footer="0" w:header="0"/>
        </w:sectPr>
      </w:pPr>
    </w:p>
    <w:bookmarkStart w:id="201" w:name="page202"/>
    <w:bookmarkEnd w:id="201"/>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Investments  (i)  existing  on  the  Effective  Date  and  any  modification,  replacement,  renewal,  reinvestment  or  extension  thereof  or</w:t>
      </w:r>
    </w:p>
    <w:p>
      <w:pPr>
        <w:spacing w:after="0" w:line="35" w:lineRule="exact"/>
        <w:rPr>
          <w:sz w:val="20"/>
          <w:szCs w:val="20"/>
          <w:color w:val="auto"/>
        </w:rPr>
      </w:pPr>
    </w:p>
    <w:p>
      <w:pPr>
        <w:jc w:val="both"/>
        <w:ind w:left="4" w:right="20" w:hanging="4"/>
        <w:spacing w:after="0" w:line="281" w:lineRule="auto"/>
        <w:tabs>
          <w:tab w:leader="none" w:pos="276"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contemplated on the Effective Date and any modification, replacement, renewal, reinvestment or extension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the original Investment permitted under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is not increased except by the terms of such Investment to the extent, if applicable, set forth on </w:t>
      </w:r>
      <w:r>
        <w:rPr>
          <w:rFonts w:ascii="Arial" w:cs="Arial" w:eastAsia="Arial" w:hAnsi="Arial"/>
          <w:sz w:val="16"/>
          <w:szCs w:val="16"/>
          <w:u w:val="single" w:color="auto"/>
          <w:color w:val="auto"/>
        </w:rPr>
        <w:t>Schedule 6.04(f)</w:t>
      </w:r>
      <w:r>
        <w:rPr>
          <w:rFonts w:ascii="Arial" w:cs="Arial" w:eastAsia="Arial" w:hAnsi="Arial"/>
          <w:sz w:val="16"/>
          <w:szCs w:val="16"/>
          <w:color w:val="auto"/>
        </w:rPr>
        <w:t xml:space="preserve"> or as otherwise permitted by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Investments in an amount in excess of $2,500,000 shall only be permitted under </w:t>
      </w:r>
      <w:r>
        <w:rPr>
          <w:rFonts w:ascii="Arial" w:cs="Arial" w:eastAsia="Arial" w:hAnsi="Arial"/>
          <w:sz w:val="16"/>
          <w:szCs w:val="16"/>
          <w:u w:val="single" w:color="auto"/>
          <w:color w:val="auto"/>
        </w:rPr>
        <w:t>clause (f)(ii)</w:t>
      </w:r>
      <w:r>
        <w:rPr>
          <w:rFonts w:ascii="Arial" w:cs="Arial" w:eastAsia="Arial" w:hAnsi="Arial"/>
          <w:sz w:val="16"/>
          <w:szCs w:val="16"/>
          <w:color w:val="auto"/>
        </w:rPr>
        <w:t xml:space="preserve"> if set forth on </w:t>
      </w:r>
      <w:r>
        <w:rPr>
          <w:rFonts w:ascii="Arial" w:cs="Arial" w:eastAsia="Arial" w:hAnsi="Arial"/>
          <w:sz w:val="16"/>
          <w:szCs w:val="16"/>
          <w:u w:val="single" w:color="auto"/>
          <w:color w:val="auto"/>
        </w:rPr>
        <w:t>Schedule 6.04(f)</w:t>
      </w:r>
      <w:r>
        <w:rPr>
          <w:rFonts w:ascii="Arial" w:cs="Arial" w:eastAsia="Arial" w:hAnsi="Arial"/>
          <w:sz w:val="16"/>
          <w:szCs w:val="16"/>
          <w:color w:val="auto"/>
        </w:rPr>
        <w:t xml:space="preserve"> and (y) the amount of the original Investment permitted under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is not increased except by the terms of such Investment to the extent, if applicable, set forth on </w:t>
      </w:r>
      <w:r>
        <w:rPr>
          <w:rFonts w:ascii="Arial" w:cs="Arial" w:eastAsia="Arial" w:hAnsi="Arial"/>
          <w:sz w:val="16"/>
          <w:szCs w:val="16"/>
          <w:u w:val="single" w:color="auto"/>
          <w:color w:val="auto"/>
        </w:rPr>
        <w:t>Schedule 6.04(f)</w:t>
      </w:r>
      <w:r>
        <w:rPr>
          <w:rFonts w:ascii="Arial" w:cs="Arial" w:eastAsia="Arial" w:hAnsi="Arial"/>
          <w:sz w:val="16"/>
          <w:szCs w:val="16"/>
          <w:color w:val="auto"/>
        </w:rPr>
        <w:t xml:space="preserve"> or as otherwise permitted by this </w:t>
      </w:r>
      <w:r>
        <w:rPr>
          <w:rFonts w:ascii="Arial" w:cs="Arial" w:eastAsia="Arial" w:hAnsi="Arial"/>
          <w:sz w:val="16"/>
          <w:szCs w:val="16"/>
          <w:u w:val="single" w:color="auto"/>
          <w:color w:val="auto"/>
        </w:rPr>
        <w:t>Section 6.04</w:t>
      </w:r>
      <w:r>
        <w:rPr>
          <w:rFonts w:ascii="Arial" w:cs="Arial" w:eastAsia="Arial" w:hAnsi="Arial"/>
          <w:sz w:val="16"/>
          <w:szCs w:val="16"/>
          <w:color w:val="auto"/>
        </w:rPr>
        <w:t>;</w:t>
      </w:r>
    </w:p>
    <w:p>
      <w:pPr>
        <w:spacing w:after="0" w:line="3" w:lineRule="exact"/>
        <w:rPr>
          <w:sz w:val="20"/>
          <w:szCs w:val="20"/>
          <w:color w:val="auto"/>
        </w:rPr>
      </w:pPr>
    </w:p>
    <w:p>
      <w:pPr>
        <w:ind w:left="424" w:hanging="424"/>
        <w:spacing w:after="0"/>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Investments in Swap Agreements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 w:right="20" w:firstLine="436"/>
        <w:spacing w:after="0" w:line="277" w:lineRule="auto"/>
        <w:tabs>
          <w:tab w:leader="none" w:pos="76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promissory notes and other Investments (including non-cash consideration) received in connection with Dispositions permitted by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4" w:firstLine="436"/>
        <w:spacing w:after="0" w:line="268" w:lineRule="auto"/>
        <w:tabs>
          <w:tab w:leader="none" w:pos="668" w:val="left"/>
        </w:tabs>
        <w:numPr>
          <w:ilvl w:val="1"/>
          <w:numId w:val="229"/>
        </w:numPr>
        <w:rPr>
          <w:rFonts w:ascii="Arial" w:cs="Arial" w:eastAsia="Arial" w:hAnsi="Arial"/>
          <w:sz w:val="17"/>
          <w:szCs w:val="17"/>
          <w:color w:val="auto"/>
        </w:rPr>
      </w:pPr>
      <w:r>
        <w:rPr>
          <w:rFonts w:ascii="Arial" w:cs="Arial" w:eastAsia="Arial" w:hAnsi="Arial"/>
          <w:sz w:val="17"/>
          <w:szCs w:val="17"/>
          <w:color w:val="auto"/>
        </w:rPr>
        <w:t xml:space="preserve">Permitted Acquisitions;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Acquisition Consideration relating to all such Permitted Acquisitions made or provided by the Borrower or any Loan Party to acquire any Restricted Subsidiary that does not become a Loan Party or merge, consolidate or amalgamate into the Borrower or a Loan Party or any assets that shall not, immediately after giving pro forma effect to such Permitted Acquisition, be owned by the Borrower or a Loan Party, shall not exceed an aggregate amount, measured at the time such Investment is made and after giving pro forma effect to such Investment, equal to the sum of (i) </w:t>
      </w:r>
      <w:r>
        <w:rPr>
          <w:rFonts w:ascii="Arial" w:cs="Arial" w:eastAsia="Arial" w:hAnsi="Arial"/>
          <w:sz w:val="17"/>
          <w:szCs w:val="17"/>
          <w:u w:val="single" w:color="auto"/>
          <w:color w:val="0000FF"/>
        </w:rPr>
        <w:t>(x) during the Suspension Period, $5,000,000, and (y) after the Suspension Period has ended,</w:t>
      </w:r>
      <w:r>
        <w:rPr>
          <w:rFonts w:ascii="Arial" w:cs="Arial" w:eastAsia="Arial" w:hAnsi="Arial"/>
          <w:sz w:val="17"/>
          <w:szCs w:val="17"/>
          <w:color w:val="auto"/>
        </w:rPr>
        <w:t xml:space="preserve"> the greater of (</w:t>
      </w:r>
      <w:r>
        <w:rPr>
          <w:rFonts w:ascii="Arial" w:cs="Arial" w:eastAsia="Arial" w:hAnsi="Arial"/>
          <w:sz w:val="17"/>
          <w:szCs w:val="17"/>
          <w:color w:val="FF4338"/>
          <w:strike w:val="1"/>
        </w:rPr>
        <w:t>x</w:t>
      </w:r>
      <w:r>
        <w:rPr>
          <w:rFonts w:ascii="Arial" w:cs="Arial" w:eastAsia="Arial" w:hAnsi="Arial"/>
          <w:sz w:val="17"/>
          <w:szCs w:val="17"/>
          <w:u w:val="single" w:color="auto"/>
          <w:color w:val="0000FF"/>
        </w:rPr>
        <w:t>I</w:t>
      </w:r>
      <w:r>
        <w:rPr>
          <w:rFonts w:ascii="Arial" w:cs="Arial" w:eastAsia="Arial" w:hAnsi="Arial"/>
          <w:sz w:val="17"/>
          <w:szCs w:val="17"/>
          <w:color w:val="auto"/>
        </w:rPr>
        <w:t>) $12,500,000 and (</w:t>
      </w:r>
      <w:r>
        <w:rPr>
          <w:rFonts w:ascii="Arial" w:cs="Arial" w:eastAsia="Arial" w:hAnsi="Arial"/>
          <w:sz w:val="17"/>
          <w:szCs w:val="17"/>
          <w:color w:val="FF4338"/>
          <w:strike w:val="1"/>
        </w:rPr>
        <w:t>y</w:t>
      </w:r>
      <w:r>
        <w:rPr>
          <w:rFonts w:ascii="Arial" w:cs="Arial" w:eastAsia="Arial" w:hAnsi="Arial"/>
          <w:sz w:val="17"/>
          <w:szCs w:val="17"/>
          <w:u w:val="single" w:color="auto"/>
          <w:color w:val="0000FF"/>
        </w:rPr>
        <w:t>II</w:t>
      </w:r>
      <w:r>
        <w:rPr>
          <w:rFonts w:ascii="Arial" w:cs="Arial" w:eastAsia="Arial" w:hAnsi="Arial"/>
          <w:sz w:val="17"/>
          <w:szCs w:val="17"/>
          <w:color w:val="auto"/>
        </w:rPr>
        <w:t xml:space="preserve">) 25.0% of Consolidated Cash EBITDA for the Test Period most recently ended on or prior to the date of such Investment or acquisition (measured as of the date such Investment or acquisition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(ii) the Available Equity Amount at such time that is Not Otherwise Applied and (iii) the Available Amount at such time that is Not Otherwise Applied;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this clause (iii),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 Total Net Cash Leverage Ratio is less than or equal to </w:t>
      </w:r>
      <w:r>
        <w:rPr>
          <w:rFonts w:ascii="Arial" w:cs="Arial" w:eastAsia="Arial" w:hAnsi="Arial"/>
          <w:sz w:val="17"/>
          <w:szCs w:val="17"/>
          <w:u w:val="single" w:color="auto"/>
          <w:color w:val="0000FF"/>
        </w:rPr>
        <w:t>(x) during the Suspension Period, 4.00:1.00, and (y) after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the Suspension Period has ended,</w:t>
      </w:r>
      <w:r>
        <w:rPr>
          <w:rFonts w:ascii="Arial" w:cs="Arial" w:eastAsia="Arial" w:hAnsi="Arial"/>
          <w:sz w:val="17"/>
          <w:szCs w:val="17"/>
          <w:color w:val="0000FF"/>
        </w:rPr>
        <w:t xml:space="preserve"> </w:t>
      </w:r>
      <w:r>
        <w:rPr>
          <w:rFonts w:ascii="Arial" w:cs="Arial" w:eastAsia="Arial" w:hAnsi="Arial"/>
          <w:sz w:val="17"/>
          <w:szCs w:val="17"/>
          <w:color w:val="000000"/>
        </w:rPr>
        <w:t>7.00:1.00;</w:t>
      </w:r>
    </w:p>
    <w:p>
      <w:pPr>
        <w:spacing w:after="0" w:line="76" w:lineRule="exact"/>
        <w:rPr>
          <w:rFonts w:ascii="Arial" w:cs="Arial" w:eastAsia="Arial" w:hAnsi="Arial"/>
          <w:sz w:val="17"/>
          <w:szCs w:val="17"/>
          <w:color w:val="auto"/>
        </w:rPr>
      </w:pPr>
    </w:p>
    <w:p>
      <w:pPr>
        <w:jc w:val="both"/>
        <w:ind w:left="4" w:right="20" w:firstLine="436"/>
        <w:spacing w:after="0" w:line="263" w:lineRule="auto"/>
        <w:tabs>
          <w:tab w:leader="none" w:pos="69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obligations with respect to Guarantees provided by Holdings, the Borrower or any Restricted Subsidiary in respect of leases (other than Financing Lease Obligations) or of other obligations that do not constitute Indebtedness, in each case entered into in the ordinary course of business or consistent with past practice;</w:t>
      </w:r>
    </w:p>
    <w:p>
      <w:pPr>
        <w:spacing w:after="0" w:line="75" w:lineRule="exact"/>
        <w:rPr>
          <w:rFonts w:ascii="Arial" w:cs="Arial" w:eastAsia="Arial" w:hAnsi="Arial"/>
          <w:sz w:val="18"/>
          <w:szCs w:val="18"/>
          <w:color w:val="auto"/>
        </w:rPr>
      </w:pPr>
    </w:p>
    <w:p>
      <w:pPr>
        <w:ind w:left="4" w:right="20" w:firstLine="436"/>
        <w:spacing w:after="0" w:line="277" w:lineRule="auto"/>
        <w:tabs>
          <w:tab w:leader="none" w:pos="73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Investments in the ordinary course of business or consistent with past practice consisting of endorsements for collection or deposit and customary trade arrangements with customers;</w:t>
      </w:r>
    </w:p>
    <w:p>
      <w:pPr>
        <w:spacing w:after="0" w:line="62" w:lineRule="exact"/>
        <w:rPr>
          <w:rFonts w:ascii="Arial" w:cs="Arial" w:eastAsia="Arial" w:hAnsi="Arial"/>
          <w:sz w:val="18"/>
          <w:szCs w:val="18"/>
          <w:color w:val="auto"/>
        </w:rPr>
      </w:pPr>
    </w:p>
    <w:p>
      <w:pPr>
        <w:jc w:val="both"/>
        <w:ind w:left="4" w:firstLine="436"/>
        <w:spacing w:after="0" w:line="275" w:lineRule="auto"/>
        <w:tabs>
          <w:tab w:leader="none" w:pos="665" w:val="left"/>
        </w:tabs>
        <w:numPr>
          <w:ilvl w:val="1"/>
          <w:numId w:val="229"/>
        </w:numPr>
        <w:rPr>
          <w:rFonts w:ascii="Arial" w:cs="Arial" w:eastAsia="Arial" w:hAnsi="Arial"/>
          <w:sz w:val="17"/>
          <w:szCs w:val="17"/>
          <w:color w:val="auto"/>
        </w:rPr>
      </w:pPr>
      <w:r>
        <w:rPr>
          <w:rFonts w:ascii="Arial" w:cs="Arial" w:eastAsia="Arial" w:hAnsi="Arial"/>
          <w:sz w:val="17"/>
          <w:szCs w:val="17"/>
          <w:color w:val="auto"/>
        </w:rPr>
        <w:t>Investments (including debt obligations and Equity Interests) (i) received in connection with the bankruptcy or reorganization of suppliers and customers, from financially troubled account debtors or in settlement of delinquent obligations of, or other disputes with, customers and suppliers or upon the foreclosure with respect to any secured Investment or other transfer of title with respect to any secured Investment, (ii) in satisfaction of judgments against other Persons, (iii) as a result of a foreclosure by the Borrower or any Restricted Subsidiary with respect to any secured Investment or other transfer of title with respect to any secured Investment in default and (iv) as a result of the settlement, compromise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-2818765</wp:posOffset>
            </wp:positionV>
            <wp:extent cx="443166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-2681605</wp:posOffset>
            </wp:positionV>
            <wp:extent cx="342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-2681605</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-1721485</wp:posOffset>
            </wp:positionV>
            <wp:extent cx="265747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-1584325</wp:posOffset>
            </wp:positionV>
            <wp:extent cx="152590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8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24"/>
          </w:cols>
          <w:pgMar w:left="436" w:top="274" w:right="439" w:bottom="1440" w:gutter="0" w:footer="0" w:header="0"/>
        </w:sectPr>
      </w:pPr>
    </w:p>
    <w:bookmarkStart w:id="202" w:name="page203"/>
    <w:bookmarkEnd w:id="202"/>
    <w:p>
      <w:pPr>
        <w:jc w:val="both"/>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resolution of (a) litigation, arbitration or other disputes or (b) obligations of trade creditors or customers that were incurred in the ordinary course of business or consistent with industry practice of the Borrower or any Restricted Subsidiary, including pursuant to any plan of reorganization or similar arrangement upon the bankruptcy or insolvency of any trade creditor or customer;</w:t>
      </w:r>
    </w:p>
    <w:p>
      <w:pPr>
        <w:spacing w:after="0" w:line="76" w:lineRule="exact"/>
        <w:rPr>
          <w:sz w:val="20"/>
          <w:szCs w:val="20"/>
          <w:color w:val="auto"/>
        </w:rPr>
      </w:pPr>
    </w:p>
    <w:p>
      <w:pPr>
        <w:jc w:val="both"/>
        <w:ind w:left="4" w:right="20" w:firstLine="436"/>
        <w:spacing w:after="0" w:line="296" w:lineRule="auto"/>
        <w:tabs>
          <w:tab w:leader="none" w:pos="764" w:val="left"/>
        </w:tabs>
        <w:numPr>
          <w:ilvl w:val="1"/>
          <w:numId w:val="230"/>
        </w:numPr>
        <w:rPr>
          <w:rFonts w:ascii="Arial" w:cs="Arial" w:eastAsia="Arial" w:hAnsi="Arial"/>
          <w:sz w:val="16"/>
          <w:szCs w:val="16"/>
          <w:color w:val="auto"/>
        </w:rPr>
      </w:pPr>
      <w:r>
        <w:rPr>
          <w:rFonts w:ascii="Arial" w:cs="Arial" w:eastAsia="Arial" w:hAnsi="Arial"/>
          <w:sz w:val="16"/>
          <w:szCs w:val="16"/>
          <w:color w:val="auto"/>
        </w:rPr>
        <w:t xml:space="preserve">loans and advances to Holdings (or any other Parent Entity) in lieu of, and not in excess of the amount of (after giving effect to any other loans, advances or Restricted Payments in respect thereof), Restricted Payments to the extent permitted to be made to Holdings (or such other Parent Entity) in accordance with </w:t>
      </w:r>
      <w:r>
        <w:rPr>
          <w:rFonts w:ascii="Arial" w:cs="Arial" w:eastAsia="Arial" w:hAnsi="Arial"/>
          <w:sz w:val="16"/>
          <w:szCs w:val="16"/>
          <w:u w:val="single" w:color="auto"/>
          <w:color w:val="auto"/>
        </w:rPr>
        <w:t>Section 6.08(a)</w:t>
      </w:r>
      <w:r>
        <w:rPr>
          <w:rFonts w:ascii="Arial" w:cs="Arial" w:eastAsia="Arial" w:hAnsi="Arial"/>
          <w:sz w:val="16"/>
          <w:szCs w:val="16"/>
          <w:color w:val="auto"/>
        </w:rPr>
        <w:t xml:space="preserve"> (other than clause (ii)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loan or advance shall reduce the amount of such applicable Restricted Payments thereafter permitted under </w:t>
      </w:r>
      <w:r>
        <w:rPr>
          <w:rFonts w:ascii="Arial" w:cs="Arial" w:eastAsia="Arial" w:hAnsi="Arial"/>
          <w:sz w:val="16"/>
          <w:szCs w:val="16"/>
          <w:u w:val="single" w:color="auto"/>
          <w:color w:val="auto"/>
        </w:rPr>
        <w:t>Section 6.08(a)</w:t>
      </w:r>
      <w:r>
        <w:rPr>
          <w:rFonts w:ascii="Arial" w:cs="Arial" w:eastAsia="Arial" w:hAnsi="Arial"/>
          <w:sz w:val="16"/>
          <w:szCs w:val="16"/>
          <w:color w:val="auto"/>
        </w:rPr>
        <w:t xml:space="preserve"> by a corresponding amount (if the applicable provision of </w:t>
      </w:r>
      <w:r>
        <w:rPr>
          <w:rFonts w:ascii="Arial" w:cs="Arial" w:eastAsia="Arial" w:hAnsi="Arial"/>
          <w:sz w:val="16"/>
          <w:szCs w:val="16"/>
          <w:u w:val="single" w:color="auto"/>
          <w:color w:val="auto"/>
        </w:rPr>
        <w:t>Section 6.08(a)</w:t>
      </w:r>
      <w:r>
        <w:rPr>
          <w:rFonts w:ascii="Arial" w:cs="Arial" w:eastAsia="Arial" w:hAnsi="Arial"/>
          <w:sz w:val="16"/>
          <w:szCs w:val="16"/>
          <w:color w:val="auto"/>
        </w:rPr>
        <w:t xml:space="preserve"> contains a maximum amount);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conditions, if any, to the making of such Restricted Payment shall be satisfied;</w:t>
      </w:r>
    </w:p>
    <w:p>
      <w:pPr>
        <w:spacing w:after="0" w:line="53" w:lineRule="exact"/>
        <w:rPr>
          <w:rFonts w:ascii="Arial" w:cs="Arial" w:eastAsia="Arial" w:hAnsi="Arial"/>
          <w:sz w:val="16"/>
          <w:szCs w:val="16"/>
          <w:color w:val="auto"/>
        </w:rPr>
      </w:pPr>
    </w:p>
    <w:p>
      <w:pPr>
        <w:jc w:val="both"/>
        <w:ind w:left="4" w:firstLine="436"/>
        <w:spacing w:after="0" w:line="284" w:lineRule="auto"/>
        <w:tabs>
          <w:tab w:leader="none" w:pos="706" w:val="left"/>
        </w:tabs>
        <w:numPr>
          <w:ilvl w:val="1"/>
          <w:numId w:val="230"/>
        </w:numPr>
        <w:rPr>
          <w:rFonts w:ascii="Arial" w:cs="Arial" w:eastAsia="Arial" w:hAnsi="Arial"/>
          <w:sz w:val="16"/>
          <w:szCs w:val="16"/>
          <w:color w:val="auto"/>
        </w:rPr>
      </w:pPr>
      <w:r>
        <w:rPr>
          <w:rFonts w:ascii="Arial" w:cs="Arial" w:eastAsia="Arial" w:hAnsi="Arial"/>
          <w:sz w:val="16"/>
          <w:szCs w:val="16"/>
          <w:color w:val="auto"/>
        </w:rPr>
        <w:t xml:space="preserve">additional Investments and other acquisitions;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any such Investment or other acquisition is made and after giving pro forma effect thereto, the aggregate amount of such Investment or acquisition made in reliance on this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(including the aggregate amount of all consideration paid in connection with all other Investments and acquisitions made in reliance on this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whether in the form of Indebtedness assumed or otherwise), shall not exceed </w:t>
      </w:r>
      <w:r>
        <w:rPr>
          <w:rFonts w:ascii="Arial" w:cs="Arial" w:eastAsia="Arial" w:hAnsi="Arial"/>
          <w:sz w:val="16"/>
          <w:szCs w:val="16"/>
          <w:color w:val="FF4338"/>
          <w:strike w:val="1"/>
        </w:rPr>
        <w:t>the</w:t>
      </w:r>
      <w:r>
        <w:rPr>
          <w:rFonts w:ascii="Arial" w:cs="Arial" w:eastAsia="Arial" w:hAnsi="Arial"/>
          <w:sz w:val="16"/>
          <w:szCs w:val="16"/>
          <w:color w:val="auto"/>
        </w:rPr>
        <w:t xml:space="preserve"> sum of (A) (i) the greater of (x) $12,500,000 and (y) 25.0% of Consolidated Cash EBITDA for the Test Period most recently ended on or prior to the date of such Investment or acquisition (measured as of the date such Investment or acquisition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p>
    <w:p>
      <w:pPr>
        <w:spacing w:after="0" w:line="4" w:lineRule="exact"/>
        <w:rPr>
          <w:rFonts w:ascii="Arial" w:cs="Arial" w:eastAsia="Arial" w:hAnsi="Arial"/>
          <w:sz w:val="16"/>
          <w:szCs w:val="16"/>
          <w:color w:val="auto"/>
        </w:rPr>
      </w:pPr>
    </w:p>
    <w:p>
      <w:pPr>
        <w:jc w:val="both"/>
        <w:ind w:left="4" w:right="20" w:hanging="4"/>
        <w:spacing w:after="0" w:line="281" w:lineRule="auto"/>
        <w:tabs>
          <w:tab w:leader="none" w:pos="269"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0000FF"/>
        </w:rPr>
        <w:t>after the Suspension Period has ended,</w:t>
      </w:r>
      <w:r>
        <w:rPr>
          <w:rFonts w:ascii="Arial" w:cs="Arial" w:eastAsia="Arial" w:hAnsi="Arial"/>
          <w:sz w:val="16"/>
          <w:szCs w:val="16"/>
          <w:color w:val="0000FF"/>
        </w:rPr>
        <w:t xml:space="preserve"> </w:t>
      </w:r>
      <w:r>
        <w:rPr>
          <w:rFonts w:ascii="Arial" w:cs="Arial" w:eastAsia="Arial" w:hAnsi="Arial"/>
          <w:sz w:val="16"/>
          <w:szCs w:val="16"/>
          <w:color w:val="000000"/>
        </w:rPr>
        <w:t>Investments in an aggregate amount not to exceed the portion, if any, of the Restricted Payment Amount, on</w:t>
      </w:r>
      <w:r>
        <w:rPr>
          <w:rFonts w:ascii="Arial" w:cs="Arial" w:eastAsia="Arial" w:hAnsi="Arial"/>
          <w:sz w:val="16"/>
          <w:szCs w:val="16"/>
          <w:color w:val="0000FF"/>
        </w:rPr>
        <w:t xml:space="preserve"> </w:t>
      </w:r>
      <w:r>
        <w:rPr>
          <w:rFonts w:ascii="Arial" w:cs="Arial" w:eastAsia="Arial" w:hAnsi="Arial"/>
          <w:sz w:val="16"/>
          <w:szCs w:val="16"/>
          <w:color w:val="000000"/>
        </w:rPr>
        <w:t xml:space="preserve">the relevant date of determination that the Borrower elects to apply pursuant to this </w:t>
      </w:r>
      <w:r>
        <w:rPr>
          <w:rFonts w:ascii="Arial" w:cs="Arial" w:eastAsia="Arial" w:hAnsi="Arial"/>
          <w:sz w:val="16"/>
          <w:szCs w:val="16"/>
          <w:u w:val="single" w:color="auto"/>
          <w:color w:val="000000"/>
        </w:rPr>
        <w:t>clause (ii)</w:t>
      </w:r>
      <w:r>
        <w:rPr>
          <w:rFonts w:ascii="Arial" w:cs="Arial" w:eastAsia="Arial" w:hAnsi="Arial"/>
          <w:sz w:val="16"/>
          <w:szCs w:val="16"/>
          <w:color w:val="000000"/>
        </w:rPr>
        <w:t xml:space="preserve"> </w:t>
      </w:r>
      <w:r>
        <w:rPr>
          <w:rFonts w:ascii="Arial" w:cs="Arial" w:eastAsia="Arial" w:hAnsi="Arial"/>
          <w:sz w:val="16"/>
          <w:szCs w:val="16"/>
          <w:color w:val="0000FF"/>
        </w:rPr>
        <w:t>(for the avoidance of doubt, no Investment shall be made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in reliance on this clause (ii) during the Suspension Period)</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plus</w:t>
      </w:r>
      <w:r>
        <w:rPr>
          <w:rFonts w:ascii="Arial" w:cs="Arial" w:eastAsia="Arial" w:hAnsi="Arial"/>
          <w:sz w:val="16"/>
          <w:szCs w:val="16"/>
          <w:color w:val="0000FF"/>
        </w:rPr>
        <w:t xml:space="preserve"> </w:t>
      </w:r>
      <w:r>
        <w:rPr>
          <w:rFonts w:ascii="Arial" w:cs="Arial" w:eastAsia="Arial" w:hAnsi="Arial"/>
          <w:sz w:val="16"/>
          <w:szCs w:val="16"/>
          <w:color w:val="000000"/>
        </w:rPr>
        <w:t>(iii)</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after the Suspension Period has ended,</w:t>
      </w:r>
      <w:r>
        <w:rPr>
          <w:rFonts w:ascii="Arial" w:cs="Arial" w:eastAsia="Arial" w:hAnsi="Arial"/>
          <w:sz w:val="16"/>
          <w:szCs w:val="16"/>
          <w:color w:val="0000FF"/>
        </w:rPr>
        <w:t xml:space="preserve"> </w:t>
      </w:r>
      <w:r>
        <w:rPr>
          <w:rFonts w:ascii="Arial" w:cs="Arial" w:eastAsia="Arial" w:hAnsi="Arial"/>
          <w:sz w:val="16"/>
          <w:szCs w:val="16"/>
          <w:color w:val="000000"/>
        </w:rPr>
        <w:t>Investments in an aggregate outstanding</w:t>
      </w:r>
      <w:r>
        <w:rPr>
          <w:rFonts w:ascii="Arial" w:cs="Arial" w:eastAsia="Arial" w:hAnsi="Arial"/>
          <w:sz w:val="16"/>
          <w:szCs w:val="16"/>
          <w:color w:val="0000FF"/>
        </w:rPr>
        <w:t xml:space="preserve"> </w:t>
      </w:r>
      <w:r>
        <w:rPr>
          <w:rFonts w:ascii="Arial" w:cs="Arial" w:eastAsia="Arial" w:hAnsi="Arial"/>
          <w:sz w:val="16"/>
          <w:szCs w:val="16"/>
          <w:color w:val="000000"/>
        </w:rPr>
        <w:t xml:space="preserve">amount not to exceed the portion, if any, of the Restricted Debt Payment Amount, on the relevant date of determination that the Borrower elects to apply pursuant to this </w:t>
      </w:r>
      <w:r>
        <w:rPr>
          <w:rFonts w:ascii="Arial" w:cs="Arial" w:eastAsia="Arial" w:hAnsi="Arial"/>
          <w:sz w:val="16"/>
          <w:szCs w:val="16"/>
          <w:u w:val="single" w:color="auto"/>
          <w:color w:val="000000"/>
        </w:rPr>
        <w:t>clause (iii)</w:t>
      </w:r>
      <w:r>
        <w:rPr>
          <w:rFonts w:ascii="Arial" w:cs="Arial" w:eastAsia="Arial" w:hAnsi="Arial"/>
          <w:sz w:val="16"/>
          <w:szCs w:val="16"/>
          <w:color w:val="000000"/>
        </w:rPr>
        <w:t xml:space="preserve"> </w:t>
      </w:r>
      <w:r>
        <w:rPr>
          <w:rFonts w:ascii="Arial" w:cs="Arial" w:eastAsia="Arial" w:hAnsi="Arial"/>
          <w:sz w:val="16"/>
          <w:szCs w:val="16"/>
          <w:color w:val="0000FF"/>
        </w:rPr>
        <w:t>(for the avoidance of doubt, no Investment shall be made in reliance on this clause (iii) during the Suspension Period)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plus</w:t>
      </w:r>
    </w:p>
    <w:p>
      <w:pPr>
        <w:spacing w:after="0" w:line="2" w:lineRule="exact"/>
        <w:rPr>
          <w:rFonts w:ascii="Arial" w:cs="Arial" w:eastAsia="Arial" w:hAnsi="Arial"/>
          <w:sz w:val="16"/>
          <w:szCs w:val="16"/>
          <w:color w:val="auto"/>
        </w:rPr>
      </w:pPr>
    </w:p>
    <w:p>
      <w:pPr>
        <w:jc w:val="both"/>
        <w:ind w:left="4" w:right="2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(B) the Available Amount that is Not Otherwise Applied as in effect immediately prior to the time of making of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(B),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-1086485</wp:posOffset>
            </wp:positionV>
            <wp:extent cx="17741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77419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-949325</wp:posOffset>
            </wp:positionV>
            <wp:extent cx="26746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-983615</wp:posOffset>
            </wp:positionV>
            <wp:extent cx="267081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708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-812165</wp:posOffset>
            </wp:positionV>
            <wp:extent cx="50749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074920" cy="8255"/>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-537845</wp:posOffset>
            </wp:positionV>
            <wp:extent cx="55118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51180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-572135</wp:posOffset>
            </wp:positionV>
            <wp:extent cx="551497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514975" cy="8255"/>
                    </a:xfrm>
                    <a:prstGeom prst="rect">
                      <a:avLst/>
                    </a:prstGeom>
                    <a:noFill/>
                  </pic:spPr>
                </pic:pic>
              </a:graphicData>
            </a:graphic>
          </wp:anchor>
        </w:drawing>
      </w:r>
    </w:p>
    <w:p>
      <w:pPr>
        <w:jc w:val="both"/>
        <w:ind w:left="4" w:right="20"/>
        <w:spacing w:after="0" w:line="250" w:lineRule="auto"/>
        <w:rPr>
          <w:sz w:val="20"/>
          <w:szCs w:val="20"/>
          <w:color w:val="auto"/>
        </w:rPr>
      </w:pPr>
      <w:r>
        <w:rPr>
          <w:rFonts w:ascii="Arial" w:cs="Arial" w:eastAsia="Arial" w:hAnsi="Arial"/>
          <w:sz w:val="18"/>
          <w:szCs w:val="18"/>
          <w:color w:val="auto"/>
        </w:rPr>
        <w:t xml:space="preserve">delivered) on or prior to such date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Total Net Cash Leverage Ratio is less than or equal to </w:t>
      </w:r>
      <w:r>
        <w:rPr>
          <w:rFonts w:ascii="Arial" w:cs="Arial" w:eastAsia="Arial" w:hAnsi="Arial"/>
          <w:sz w:val="18"/>
          <w:szCs w:val="18"/>
          <w:u w:val="single" w:color="auto"/>
          <w:color w:val="0000FF"/>
        </w:rPr>
        <w:t>(I) during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Suspension Period, 4.00:1.00, and (II) after the Suspension Period has ended,</w:t>
      </w:r>
      <w:r>
        <w:rPr>
          <w:rFonts w:ascii="Arial" w:cs="Arial" w:eastAsia="Arial" w:hAnsi="Arial"/>
          <w:sz w:val="18"/>
          <w:szCs w:val="18"/>
          <w:color w:val="0000FF"/>
        </w:rPr>
        <w:t xml:space="preserve"> </w:t>
      </w:r>
      <w:r>
        <w:rPr>
          <w:rFonts w:ascii="Arial" w:cs="Arial" w:eastAsia="Arial" w:hAnsi="Arial"/>
          <w:sz w:val="18"/>
          <w:szCs w:val="18"/>
          <w:color w:val="000000"/>
        </w:rPr>
        <w:t>7.00:1.00,</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plus</w:t>
      </w:r>
      <w:r>
        <w:rPr>
          <w:rFonts w:ascii="Arial" w:cs="Arial" w:eastAsia="Arial" w:hAnsi="Arial"/>
          <w:sz w:val="18"/>
          <w:szCs w:val="18"/>
          <w:color w:val="0000FF"/>
        </w:rPr>
        <w:t xml:space="preserve"> </w:t>
      </w:r>
      <w:r>
        <w:rPr>
          <w:rFonts w:ascii="Arial" w:cs="Arial" w:eastAsia="Arial" w:hAnsi="Arial"/>
          <w:sz w:val="18"/>
          <w:szCs w:val="18"/>
          <w:color w:val="000000"/>
        </w:rPr>
        <w:t>(C) the Available Equity Amount that is Not Otherwise</w:t>
      </w:r>
      <w:r>
        <w:rPr>
          <w:rFonts w:ascii="Arial" w:cs="Arial" w:eastAsia="Arial" w:hAnsi="Arial"/>
          <w:sz w:val="18"/>
          <w:szCs w:val="18"/>
          <w:color w:val="0000FF"/>
        </w:rPr>
        <w:t xml:space="preserve"> </w:t>
      </w:r>
      <w:r>
        <w:rPr>
          <w:rFonts w:ascii="Arial" w:cs="Arial" w:eastAsia="Arial" w:hAnsi="Arial"/>
          <w:sz w:val="18"/>
          <w:szCs w:val="18"/>
          <w:color w:val="000000"/>
        </w:rPr>
        <w:t>Applied as in effect immediately prior to the time of making of such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6334760</wp:posOffset>
            </wp:positionH>
            <wp:positionV relativeFrom="paragraph">
              <wp:posOffset>-264160</wp:posOffset>
            </wp:positionV>
            <wp:extent cx="65151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wp:posOffset>
            </wp:positionV>
            <wp:extent cx="362585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ind w:left="424" w:hanging="424"/>
        <w:spacing w:after="0"/>
        <w:tabs>
          <w:tab w:leader="none" w:pos="42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[reserved];</w:t>
      </w:r>
    </w:p>
    <w:p>
      <w:pPr>
        <w:spacing w:after="0" w:line="102" w:lineRule="exact"/>
        <w:rPr>
          <w:rFonts w:ascii="Arial" w:cs="Arial" w:eastAsia="Arial" w:hAnsi="Arial"/>
          <w:sz w:val="18"/>
          <w:szCs w:val="18"/>
          <w:color w:val="auto"/>
        </w:rPr>
      </w:pPr>
    </w:p>
    <w:p>
      <w:pPr>
        <w:ind w:left="4" w:right="20" w:firstLine="436"/>
        <w:spacing w:after="0" w:line="342" w:lineRule="auto"/>
        <w:tabs>
          <w:tab w:leader="none" w:pos="707" w:val="left"/>
        </w:tabs>
        <w:numPr>
          <w:ilvl w:val="1"/>
          <w:numId w:val="232"/>
        </w:numPr>
        <w:rPr>
          <w:rFonts w:ascii="Arial" w:cs="Arial" w:eastAsia="Arial" w:hAnsi="Arial"/>
          <w:sz w:val="16"/>
          <w:szCs w:val="16"/>
          <w:color w:val="auto"/>
        </w:rPr>
      </w:pPr>
      <w:r>
        <w:rPr>
          <w:rFonts w:ascii="Arial" w:cs="Arial" w:eastAsia="Arial" w:hAnsi="Arial"/>
          <w:sz w:val="16"/>
          <w:szCs w:val="16"/>
          <w:color w:val="auto"/>
        </w:rPr>
        <w:t>advances of payroll payments to employees, consultants or independent contractors or other advances of salaries or compensation to officers, managers, employees, consultants or independent contractors, in each case in the ordinary course of business or consistent with past practice;</w:t>
      </w:r>
    </w:p>
    <w:p>
      <w:pPr>
        <w:spacing w:after="0" w:line="15" w:lineRule="exact"/>
        <w:rPr>
          <w:rFonts w:ascii="Arial" w:cs="Arial" w:eastAsia="Arial" w:hAnsi="Arial"/>
          <w:sz w:val="16"/>
          <w:szCs w:val="16"/>
          <w:color w:val="auto"/>
        </w:rPr>
      </w:pPr>
    </w:p>
    <w:p>
      <w:pPr>
        <w:jc w:val="both"/>
        <w:ind w:left="4" w:firstLine="436"/>
        <w:spacing w:after="0" w:line="263" w:lineRule="auto"/>
        <w:tabs>
          <w:tab w:leader="none" w:pos="713"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Investments and other acquisitions to the extent that payment for such Investments is made with Qualified Equity Interests (excluding Cure Amounts) of Holdings or the Borrower (or any Parent Entity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used pursuant to this </w:t>
      </w:r>
      <w:r>
        <w:rPr>
          <w:rFonts w:ascii="Arial" w:cs="Arial" w:eastAsia="Arial" w:hAnsi="Arial"/>
          <w:sz w:val="18"/>
          <w:szCs w:val="18"/>
          <w:u w:val="single" w:color="auto"/>
          <w:color w:val="auto"/>
        </w:rPr>
        <w:t>clause (q)</w:t>
      </w:r>
      <w:r>
        <w:rPr>
          <w:rFonts w:ascii="Arial" w:cs="Arial" w:eastAsia="Arial" w:hAnsi="Arial"/>
          <w:sz w:val="18"/>
          <w:szCs w:val="18"/>
          <w:color w:val="auto"/>
        </w:rPr>
        <w:t xml:space="preserve"> shall not increase the Available Equity Amount;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24"/>
          </w:cols>
          <w:pgMar w:left="436" w:top="274" w:right="439" w:bottom="1440" w:gutter="0" w:footer="0" w:header="0"/>
        </w:sectPr>
      </w:pPr>
    </w:p>
    <w:bookmarkStart w:id="203" w:name="page204"/>
    <w:bookmarkEnd w:id="203"/>
    <w:p>
      <w:pPr>
        <w:jc w:val="both"/>
        <w:ind w:left="4" w:firstLine="436"/>
        <w:spacing w:after="0" w:line="275" w:lineRule="auto"/>
        <w:tabs>
          <w:tab w:leader="none" w:pos="833" w:val="left"/>
        </w:tabs>
        <w:numPr>
          <w:ilvl w:val="1"/>
          <w:numId w:val="2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Investments of a Restricted Subsidiary acquired after the Effective Date or of a Person merged or consolidated with the Borrower or any Restricted Subsidiary in accordance with this Section and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after the Effective Date and (ii) Investments of an Unrestricted Subsidiary prior to the date on which such Unrestricted Subsidiary is designated a “Restricted Subsidiary”, in each case, to the extent that such Investments were not made in contemplation of or in connection with such acquisition, merger, amalgamation or consolidation or such designation and were in existence on the date of such acquisition, merger, amalgamation or consolidation or such designation;</w:t>
      </w:r>
    </w:p>
    <w:p>
      <w:pPr>
        <w:spacing w:after="0" w:line="68" w:lineRule="exact"/>
        <w:rPr>
          <w:rFonts w:ascii="Arial" w:cs="Arial" w:eastAsia="Arial" w:hAnsi="Arial"/>
          <w:sz w:val="17"/>
          <w:szCs w:val="17"/>
          <w:color w:val="auto"/>
        </w:rPr>
      </w:pPr>
    </w:p>
    <w:p>
      <w:pPr>
        <w:jc w:val="both"/>
        <w:ind w:left="4" w:firstLine="436"/>
        <w:spacing w:after="0" w:line="263" w:lineRule="auto"/>
        <w:tabs>
          <w:tab w:leader="none" w:pos="691"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Investments in the Borrower or any Restricted Subsidiary in connection with any Tax Restructuring;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such activities, the Guarantees of the Loans and the security interests of the Lenders in the Collateral, taken as a whole, would not be adversely impaired in any material respect;</w:t>
      </w:r>
    </w:p>
    <w:p>
      <w:pPr>
        <w:spacing w:after="0" w:line="75" w:lineRule="exact"/>
        <w:rPr>
          <w:rFonts w:ascii="Arial" w:cs="Arial" w:eastAsia="Arial" w:hAnsi="Arial"/>
          <w:sz w:val="18"/>
          <w:szCs w:val="18"/>
          <w:color w:val="auto"/>
        </w:rPr>
      </w:pPr>
    </w:p>
    <w:p>
      <w:pPr>
        <w:jc w:val="both"/>
        <w:ind w:left="4" w:firstLine="436"/>
        <w:spacing w:after="0" w:line="291" w:lineRule="auto"/>
        <w:tabs>
          <w:tab w:leader="none" w:pos="666" w:val="left"/>
        </w:tabs>
        <w:numPr>
          <w:ilvl w:val="1"/>
          <w:numId w:val="233"/>
        </w:numPr>
        <w:rPr>
          <w:rFonts w:ascii="Arial" w:cs="Arial" w:eastAsia="Arial" w:hAnsi="Arial"/>
          <w:sz w:val="16"/>
          <w:szCs w:val="16"/>
          <w:color w:val="auto"/>
        </w:rPr>
      </w:pPr>
      <w:r>
        <w:rPr>
          <w:rFonts w:ascii="Arial" w:cs="Arial" w:eastAsia="Arial" w:hAnsi="Arial"/>
          <w:sz w:val="16"/>
          <w:szCs w:val="16"/>
          <w:color w:val="auto"/>
        </w:rPr>
        <w:t xml:space="preserve">Investments consisting of Indebtedness, Liens, fundamental changes, Dispositions and Restricted Payments permitted (other than by reference to this </w:t>
      </w:r>
      <w:r>
        <w:rPr>
          <w:rFonts w:ascii="Arial" w:cs="Arial" w:eastAsia="Arial" w:hAnsi="Arial"/>
          <w:sz w:val="16"/>
          <w:szCs w:val="16"/>
          <w:u w:val="single" w:color="auto"/>
          <w:color w:val="auto"/>
        </w:rPr>
        <w:t>Section 6.04(t)</w:t>
      </w:r>
      <w:r>
        <w:rPr>
          <w:rFonts w:ascii="Arial" w:cs="Arial" w:eastAsia="Arial" w:hAnsi="Arial"/>
          <w:sz w:val="16"/>
          <w:szCs w:val="16"/>
          <w:color w:val="auto"/>
        </w:rPr>
        <w:t xml:space="preserve">) under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 (a)(iii)</w:t>
      </w:r>
      <w:r>
        <w:rPr>
          <w:rFonts w:ascii="Arial" w:cs="Arial" w:eastAsia="Arial" w:hAnsi="Arial"/>
          <w:sz w:val="16"/>
          <w:szCs w:val="16"/>
          <w:color w:val="auto"/>
        </w:rPr>
        <w:t xml:space="preserve"> thereof),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6.03</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thereof), </w:t>
      </w:r>
      <w:r>
        <w:rPr>
          <w:rFonts w:ascii="Arial" w:cs="Arial" w:eastAsia="Arial" w:hAnsi="Arial"/>
          <w:sz w:val="16"/>
          <w:szCs w:val="16"/>
          <w:u w:val="single" w:color="auto"/>
          <w:color w:val="auto"/>
        </w:rPr>
        <w:t>6.05</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w:t>
      </w:r>
    </w:p>
    <w:p>
      <w:pPr>
        <w:ind w:left="244" w:hanging="244"/>
        <w:spacing w:after="0"/>
        <w:tabs>
          <w:tab w:leader="none" w:pos="244" w:val="left"/>
        </w:tabs>
        <w:numPr>
          <w:ilvl w:val="0"/>
          <w:numId w:val="234"/>
        </w:numPr>
        <w:rPr>
          <w:rFonts w:ascii="Arial" w:cs="Arial" w:eastAsia="Arial" w:hAnsi="Arial"/>
          <w:sz w:val="18"/>
          <w:szCs w:val="18"/>
          <w:u w:val="single" w:color="auto"/>
          <w:color w:val="auto"/>
        </w:rPr>
      </w:pPr>
      <w:r>
        <w:rPr>
          <w:rFonts w:ascii="Arial" w:cs="Arial" w:eastAsia="Arial" w:hAnsi="Arial"/>
          <w:sz w:val="18"/>
          <w:szCs w:val="18"/>
          <w:color w:val="auto"/>
        </w:rPr>
        <w:t xml:space="preserve">thereof) and </w:t>
      </w:r>
      <w:r>
        <w:rPr>
          <w:rFonts w:ascii="Arial" w:cs="Arial" w:eastAsia="Arial" w:hAnsi="Arial"/>
          <w:sz w:val="18"/>
          <w:szCs w:val="18"/>
          <w:u w:val="single" w:color="auto"/>
          <w:color w:val="auto"/>
        </w:rPr>
        <w:t>6.08</w:t>
      </w:r>
      <w:r>
        <w:rPr>
          <w:rFonts w:ascii="Arial" w:cs="Arial" w:eastAsia="Arial" w:hAnsi="Arial"/>
          <w:sz w:val="18"/>
          <w:szCs w:val="18"/>
          <w:color w:val="auto"/>
        </w:rPr>
        <w:t>, respectively;</w:t>
      </w:r>
    </w:p>
    <w:p>
      <w:pPr>
        <w:spacing w:after="0" w:line="9" w:lineRule="exact"/>
        <w:rPr>
          <w:sz w:val="20"/>
          <w:szCs w:val="20"/>
          <w:color w:val="auto"/>
        </w:rPr>
      </w:pPr>
    </w:p>
    <w:p>
      <w:pPr>
        <w:ind w:left="424" w:hanging="424"/>
        <w:spacing w:after="0"/>
        <w:tabs>
          <w:tab w:leader="none" w:pos="42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[reserved];</w:t>
      </w:r>
    </w:p>
    <w:p>
      <w:pPr>
        <w:spacing w:after="0" w:line="102" w:lineRule="exact"/>
        <w:rPr>
          <w:rFonts w:ascii="Arial" w:cs="Arial" w:eastAsia="Arial" w:hAnsi="Arial"/>
          <w:sz w:val="18"/>
          <w:szCs w:val="18"/>
          <w:color w:val="auto"/>
        </w:rPr>
      </w:pPr>
    </w:p>
    <w:p>
      <w:pPr>
        <w:jc w:val="both"/>
        <w:ind w:left="4" w:right="20" w:firstLine="436"/>
        <w:spacing w:after="0" w:line="263" w:lineRule="auto"/>
        <w:tabs>
          <w:tab w:leader="none" w:pos="72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employees, directors, consultants, independent contractors or other service providers of Holdings (or any other Parent Entity), the Borrower or any Restricted Subsidiary or other grantor trust subject to claims of creditors in the case of a bankruptcy of Holdings or the Borrower;</w:t>
      </w:r>
    </w:p>
    <w:p>
      <w:pPr>
        <w:spacing w:after="0" w:line="75" w:lineRule="exact"/>
        <w:rPr>
          <w:rFonts w:ascii="Arial" w:cs="Arial" w:eastAsia="Arial" w:hAnsi="Arial"/>
          <w:sz w:val="18"/>
          <w:szCs w:val="18"/>
          <w:color w:val="auto"/>
        </w:rPr>
      </w:pPr>
    </w:p>
    <w:p>
      <w:pPr>
        <w:jc w:val="both"/>
        <w:ind w:left="4" w:right="20" w:firstLine="436"/>
        <w:spacing w:after="0" w:line="263" w:lineRule="auto"/>
        <w:tabs>
          <w:tab w:leader="none" w:pos="77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 or consistent with past practice;</w:t>
      </w:r>
    </w:p>
    <w:p>
      <w:pPr>
        <w:spacing w:after="0" w:line="75" w:lineRule="exact"/>
        <w:rPr>
          <w:rFonts w:ascii="Arial" w:cs="Arial" w:eastAsia="Arial" w:hAnsi="Arial"/>
          <w:sz w:val="18"/>
          <w:szCs w:val="18"/>
          <w:color w:val="auto"/>
        </w:rPr>
      </w:pPr>
    </w:p>
    <w:p>
      <w:pPr>
        <w:ind w:left="4" w:right="20" w:firstLine="436"/>
        <w:spacing w:after="0" w:line="274" w:lineRule="auto"/>
        <w:tabs>
          <w:tab w:leader="none" w:pos="741" w:val="left"/>
        </w:tabs>
        <w:numPr>
          <w:ilvl w:val="1"/>
          <w:numId w:val="235"/>
        </w:numPr>
        <w:rPr>
          <w:rFonts w:ascii="Arial" w:cs="Arial" w:eastAsia="Arial" w:hAnsi="Arial"/>
          <w:sz w:val="17"/>
          <w:szCs w:val="17"/>
          <w:color w:val="auto"/>
        </w:rPr>
      </w:pPr>
      <w:r>
        <w:rPr>
          <w:rFonts w:ascii="Arial" w:cs="Arial" w:eastAsia="Arial" w:hAnsi="Arial"/>
          <w:sz w:val="17"/>
          <w:szCs w:val="17"/>
          <w:color w:val="auto"/>
        </w:rPr>
        <w:t xml:space="preserve">Investments in the form of debt or Equity Interests obtained in connection with the contribution, sale, or other transfer of Permitted Receivables Financing Assets made in connection with a Permitted Receivables Financing to the extent permitted by </w:t>
      </w:r>
      <w:r>
        <w:rPr>
          <w:rFonts w:ascii="Arial" w:cs="Arial" w:eastAsia="Arial" w:hAnsi="Arial"/>
          <w:sz w:val="17"/>
          <w:szCs w:val="17"/>
          <w:u w:val="single" w:color="auto"/>
          <w:color w:val="auto"/>
        </w:rPr>
        <w:t>Section 6.05(g)(B)</w:t>
      </w:r>
      <w:r>
        <w:rPr>
          <w:rFonts w:ascii="Arial" w:cs="Arial" w:eastAsia="Arial" w:hAnsi="Arial"/>
          <w:sz w:val="17"/>
          <w:szCs w:val="17"/>
          <w:color w:val="auto"/>
        </w:rPr>
        <w:t>;</w:t>
      </w:r>
    </w:p>
    <w:p>
      <w:pPr>
        <w:ind w:left="424" w:hanging="424"/>
        <w:spacing w:after="0"/>
        <w:tabs>
          <w:tab w:leader="none" w:pos="42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Investments made in connection with the Transactions;</w:t>
      </w:r>
    </w:p>
    <w:p>
      <w:pPr>
        <w:spacing w:after="0" w:line="102" w:lineRule="exact"/>
        <w:rPr>
          <w:rFonts w:ascii="Arial" w:cs="Arial" w:eastAsia="Arial" w:hAnsi="Arial"/>
          <w:sz w:val="18"/>
          <w:szCs w:val="18"/>
          <w:color w:val="auto"/>
        </w:rPr>
      </w:pPr>
    </w:p>
    <w:p>
      <w:pPr>
        <w:jc w:val="both"/>
        <w:ind w:left="4" w:right="20" w:firstLine="436"/>
        <w:spacing w:after="0" w:line="272" w:lineRule="auto"/>
        <w:tabs>
          <w:tab w:leader="none" w:pos="696" w:val="left"/>
        </w:tabs>
        <w:numPr>
          <w:ilvl w:val="1"/>
          <w:numId w:val="236"/>
        </w:numPr>
        <w:rPr>
          <w:rFonts w:ascii="Arial" w:cs="Arial" w:eastAsia="Arial" w:hAnsi="Arial"/>
          <w:sz w:val="17"/>
          <w:szCs w:val="17"/>
          <w:color w:val="auto"/>
        </w:rPr>
      </w:pPr>
      <w:r>
        <w:rPr>
          <w:rFonts w:ascii="Arial" w:cs="Arial" w:eastAsia="Arial" w:hAnsi="Arial"/>
          <w:sz w:val="17"/>
          <w:szCs w:val="17"/>
          <w:color w:val="0000FF"/>
        </w:rPr>
        <w:t xml:space="preserve">after the Suspension Period has ended, </w:t>
      </w:r>
      <w:r>
        <w:rPr>
          <w:rFonts w:ascii="Arial" w:cs="Arial" w:eastAsia="Arial" w:hAnsi="Arial"/>
          <w:sz w:val="17"/>
          <w:szCs w:val="17"/>
          <w:color w:val="000000"/>
        </w:rPr>
        <w:t>Investments (i) in Joint Ventures and Unrestricted Subsidiaries, or (ii) in any Restricted Subsidiary to</w:t>
      </w:r>
      <w:r>
        <w:rPr>
          <w:rFonts w:ascii="Arial" w:cs="Arial" w:eastAsia="Arial" w:hAnsi="Arial"/>
          <w:sz w:val="17"/>
          <w:szCs w:val="17"/>
          <w:color w:val="0000FF"/>
        </w:rPr>
        <w:t xml:space="preserve"> </w:t>
      </w:r>
      <w:r>
        <w:rPr>
          <w:rFonts w:ascii="Arial" w:cs="Arial" w:eastAsia="Arial" w:hAnsi="Arial"/>
          <w:sz w:val="17"/>
          <w:szCs w:val="17"/>
          <w:color w:val="000000"/>
        </w:rPr>
        <w:t xml:space="preserve">enable such Restricted Subsidiary to make substantially concurrent Investments in Joint Ventures and Unrestricted Subsidiaries;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at the time any such Investment is made and after giving pro forma effect thereto, the aggregate outstanding amount of such Investments made in reliance on this clause (z) shall not exceed the sum of the greater of (x) $10,000,000 and (y) 20.0%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w:t>
      </w:r>
      <w:r>
        <w:rPr>
          <w:rFonts w:ascii="Arial" w:cs="Arial" w:eastAsia="Arial" w:hAnsi="Arial"/>
          <w:sz w:val="17"/>
          <w:szCs w:val="17"/>
          <w:u w:val="single" w:color="auto"/>
          <w:color w:val="000000"/>
        </w:rPr>
        <w:t>Section 5.01(a)</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(b)</w:t>
      </w:r>
      <w:r>
        <w:rPr>
          <w:rFonts w:ascii="Arial" w:cs="Arial" w:eastAsia="Arial" w:hAnsi="Arial"/>
          <w:sz w:val="17"/>
          <w:szCs w:val="17"/>
          <w:color w:val="000000"/>
        </w:rPr>
        <w:t xml:space="preserve">) </w:t>
      </w:r>
      <w:r>
        <w:rPr>
          <w:rFonts w:ascii="Arial" w:cs="Arial" w:eastAsia="Arial" w:hAnsi="Arial"/>
          <w:sz w:val="17"/>
          <w:szCs w:val="17"/>
          <w:color w:val="0000FF"/>
        </w:rPr>
        <w:t>(for the avoidance of doubt, no Investment shall be made</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in reliance on this clause (z) during the Suspension Period)</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-829310</wp:posOffset>
            </wp:positionV>
            <wp:extent cx="18345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834515" cy="825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-863600</wp:posOffset>
            </wp:positionV>
            <wp:extent cx="182689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-143510</wp:posOffset>
            </wp:positionV>
            <wp:extent cx="265747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-177800</wp:posOffset>
            </wp:positionV>
            <wp:extent cx="265366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6536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wp:posOffset>
            </wp:positionV>
            <wp:extent cx="269176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49" w:lineRule="exact"/>
        <w:rPr>
          <w:sz w:val="20"/>
          <w:szCs w:val="20"/>
          <w:color w:val="auto"/>
        </w:rPr>
      </w:pPr>
    </w:p>
    <w:p>
      <w:pPr>
        <w:ind w:left="4" w:right="20" w:firstLine="436"/>
        <w:spacing w:after="0" w:line="277" w:lineRule="auto"/>
        <w:tabs>
          <w:tab w:leader="none" w:pos="79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Investments in any Restricted Subsidiary or any Joint Venture in connection with intercompany cash management arrangement or related activities arising in the ordinary course of business;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24"/>
          </w:cols>
          <w:pgMar w:left="436" w:top="274" w:right="439" w:bottom="1440" w:gutter="0" w:footer="0" w:header="0"/>
        </w:sectPr>
      </w:pPr>
    </w:p>
    <w:bookmarkStart w:id="204" w:name="page205"/>
    <w:bookmarkEnd w:id="204"/>
    <w:p>
      <w:pPr>
        <w:ind w:left="4" w:right="20" w:firstLine="436"/>
        <w:spacing w:after="0" w:line="277" w:lineRule="auto"/>
        <w:tabs>
          <w:tab w:leader="none" w:pos="821"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unfunded pension fund and other employee benefit plan obligations and liabilities to the extent that the same are permitted to remain unfunded under applicable Requirements of Law;</w:t>
      </w:r>
    </w:p>
    <w:p>
      <w:pPr>
        <w:spacing w:after="0" w:line="62" w:lineRule="exact"/>
        <w:rPr>
          <w:rFonts w:ascii="Arial" w:cs="Arial" w:eastAsia="Arial" w:hAnsi="Arial"/>
          <w:sz w:val="18"/>
          <w:szCs w:val="18"/>
          <w:color w:val="auto"/>
        </w:rPr>
      </w:pPr>
    </w:p>
    <w:p>
      <w:pPr>
        <w:jc w:val="both"/>
        <w:ind w:left="4" w:firstLine="436"/>
        <w:spacing w:after="0" w:line="275" w:lineRule="auto"/>
        <w:tabs>
          <w:tab w:leader="none" w:pos="799"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Investments in Similar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any such Investment is made and after giving pro forma effect thereto, the aggregate outstanding amount of such Investments made in reliance on this clause (cc) shall not exceed </w:t>
      </w:r>
      <w:r>
        <w:rPr>
          <w:rFonts w:ascii="Arial" w:cs="Arial" w:eastAsia="Arial" w:hAnsi="Arial"/>
          <w:sz w:val="17"/>
          <w:szCs w:val="17"/>
          <w:u w:val="single" w:color="auto"/>
          <w:color w:val="0000FF"/>
        </w:rPr>
        <w:t>(x) during the Suspension Period, $5,000,000,</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and (y) after the Suspension Period has ended,</w:t>
      </w:r>
      <w:r>
        <w:rPr>
          <w:rFonts w:ascii="Arial" w:cs="Arial" w:eastAsia="Arial" w:hAnsi="Arial"/>
          <w:sz w:val="17"/>
          <w:szCs w:val="17"/>
          <w:color w:val="0000FF"/>
        </w:rPr>
        <w:t xml:space="preserve"> </w:t>
      </w:r>
      <w:r>
        <w:rPr>
          <w:rFonts w:ascii="Arial" w:cs="Arial" w:eastAsia="Arial" w:hAnsi="Arial"/>
          <w:sz w:val="17"/>
          <w:szCs w:val="17"/>
          <w:color w:val="000000"/>
        </w:rPr>
        <w:t>the greater of (</w:t>
      </w:r>
      <w:r>
        <w:rPr>
          <w:rFonts w:ascii="Arial" w:cs="Arial" w:eastAsia="Arial" w:hAnsi="Arial"/>
          <w:sz w:val="17"/>
          <w:szCs w:val="17"/>
          <w:color w:val="FF4338"/>
          <w:strike w:val="1"/>
        </w:rPr>
        <w:t>x</w:t>
      </w:r>
      <w:r>
        <w:rPr>
          <w:rFonts w:ascii="Arial" w:cs="Arial" w:eastAsia="Arial" w:hAnsi="Arial"/>
          <w:sz w:val="17"/>
          <w:szCs w:val="17"/>
          <w:u w:val="single" w:color="auto"/>
          <w:color w:val="0000FF"/>
        </w:rPr>
        <w:t>I</w:t>
      </w:r>
      <w:r>
        <w:rPr>
          <w:rFonts w:ascii="Arial" w:cs="Arial" w:eastAsia="Arial" w:hAnsi="Arial"/>
          <w:sz w:val="17"/>
          <w:szCs w:val="17"/>
          <w:color w:val="000000"/>
        </w:rPr>
        <w:t>) $10,000,000 and (</w:t>
      </w:r>
      <w:r>
        <w:rPr>
          <w:rFonts w:ascii="Arial" w:cs="Arial" w:eastAsia="Arial" w:hAnsi="Arial"/>
          <w:sz w:val="17"/>
          <w:szCs w:val="17"/>
          <w:color w:val="FF4338"/>
          <w:strike w:val="1"/>
        </w:rPr>
        <w:t>y</w:t>
      </w:r>
      <w:r>
        <w:rPr>
          <w:rFonts w:ascii="Arial" w:cs="Arial" w:eastAsia="Arial" w:hAnsi="Arial"/>
          <w:sz w:val="17"/>
          <w:szCs w:val="17"/>
          <w:u w:val="single" w:color="auto"/>
          <w:color w:val="0000FF"/>
        </w:rPr>
        <w:t>II</w:t>
      </w:r>
      <w:r>
        <w:rPr>
          <w:rFonts w:ascii="Arial" w:cs="Arial" w:eastAsia="Arial" w:hAnsi="Arial"/>
          <w:sz w:val="17"/>
          <w:szCs w:val="17"/>
          <w:color w:val="0000FF"/>
        </w:rPr>
        <w:t xml:space="preserve"> </w:t>
      </w:r>
      <w:r>
        <w:rPr>
          <w:rFonts w:ascii="Arial" w:cs="Arial" w:eastAsia="Arial" w:hAnsi="Arial"/>
          <w:sz w:val="17"/>
          <w:szCs w:val="17"/>
          <w:color w:val="000000"/>
        </w:rPr>
        <w:t>) 20.0% of Consolidated Cash EBITDA for the Test Period most</w:t>
      </w:r>
      <w:r>
        <w:rPr>
          <w:rFonts w:ascii="Arial" w:cs="Arial" w:eastAsia="Arial" w:hAnsi="Arial"/>
          <w:sz w:val="17"/>
          <w:szCs w:val="17"/>
          <w:color w:val="0000FF"/>
        </w:rPr>
        <w:t xml:space="preserve"> </w:t>
      </w:r>
      <w:r>
        <w:rPr>
          <w:rFonts w:ascii="Arial" w:cs="Arial" w:eastAsia="Arial" w:hAnsi="Arial"/>
          <w:sz w:val="17"/>
          <w:szCs w:val="17"/>
          <w:color w:val="000000"/>
        </w:rPr>
        <w:t xml:space="preserve">recently ended on or prior to the date of such Investment (measured as of the date such Investment based upon the financial statements most recently delivered (or required to have been delivered) on or prior to such date pursuant to </w:t>
      </w:r>
      <w:r>
        <w:rPr>
          <w:rFonts w:ascii="Arial" w:cs="Arial" w:eastAsia="Arial" w:hAnsi="Arial"/>
          <w:sz w:val="17"/>
          <w:szCs w:val="17"/>
          <w:u w:val="single" w:color="auto"/>
          <w:color w:val="000000"/>
        </w:rPr>
        <w:t>Section 5.01(a)</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(b)</w:t>
      </w:r>
      <w:r>
        <w:rPr>
          <w:rFonts w:ascii="Arial" w:cs="Arial" w:eastAsia="Arial" w:hAnsi="Arial"/>
          <w:sz w:val="17"/>
          <w:szCs w:val="17"/>
          <w:color w:val="000000"/>
        </w:rPr>
        <w:t>);</w:t>
      </w:r>
    </w:p>
    <w:p>
      <w:pPr>
        <w:spacing w:after="0" w:line="68" w:lineRule="exact"/>
        <w:rPr>
          <w:rFonts w:ascii="Arial" w:cs="Arial" w:eastAsia="Arial" w:hAnsi="Arial"/>
          <w:sz w:val="17"/>
          <w:szCs w:val="17"/>
          <w:color w:val="auto"/>
        </w:rPr>
      </w:pPr>
    </w:p>
    <w:p>
      <w:pPr>
        <w:ind w:left="784" w:hanging="344"/>
        <w:spacing w:after="0"/>
        <w:tabs>
          <w:tab w:leader="none" w:pos="78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20" w:firstLine="436"/>
        <w:spacing w:after="0" w:line="277" w:lineRule="auto"/>
        <w:tabs>
          <w:tab w:leader="none" w:pos="78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receivables owing to the Borrower or any Restricted Subsidiary, if created or acquired in the ordinary course of business or consistent with past practice;</w:t>
      </w:r>
    </w:p>
    <w:p>
      <w:pPr>
        <w:spacing w:after="0" w:line="62" w:lineRule="exact"/>
        <w:rPr>
          <w:rFonts w:ascii="Arial" w:cs="Arial" w:eastAsia="Arial" w:hAnsi="Arial"/>
          <w:sz w:val="18"/>
          <w:szCs w:val="18"/>
          <w:color w:val="auto"/>
        </w:rPr>
      </w:pPr>
    </w:p>
    <w:p>
      <w:pPr>
        <w:ind w:left="4" w:right="20" w:firstLine="436"/>
        <w:spacing w:after="0" w:line="277" w:lineRule="auto"/>
        <w:tabs>
          <w:tab w:leader="none" w:pos="73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Investments (A) for utilities, security deposits, leases and similar prepaid expenses incurred in the ordinary course of business or consistent with past practice and (B) trade accounts created, or prepaid expenses accrued, in the ordinary course of business;</w:t>
      </w:r>
    </w:p>
    <w:p>
      <w:pPr>
        <w:spacing w:after="0" w:line="62" w:lineRule="exact"/>
        <w:rPr>
          <w:rFonts w:ascii="Arial" w:cs="Arial" w:eastAsia="Arial" w:hAnsi="Arial"/>
          <w:sz w:val="18"/>
          <w:szCs w:val="18"/>
          <w:color w:val="auto"/>
        </w:rPr>
      </w:pPr>
    </w:p>
    <w:p>
      <w:pPr>
        <w:ind w:left="784" w:hanging="344"/>
        <w:spacing w:after="0"/>
        <w:tabs>
          <w:tab w:leader="none" w:pos="78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Investments in the ordinary course of business in connection with Settlements; and</w:t>
      </w:r>
    </w:p>
    <w:p>
      <w:pPr>
        <w:spacing w:after="0" w:line="117" w:lineRule="exact"/>
        <w:rPr>
          <w:rFonts w:ascii="Arial" w:cs="Arial" w:eastAsia="Arial" w:hAnsi="Arial"/>
          <w:sz w:val="18"/>
          <w:szCs w:val="18"/>
          <w:color w:val="auto"/>
        </w:rPr>
      </w:pPr>
    </w:p>
    <w:p>
      <w:pPr>
        <w:jc w:val="both"/>
        <w:ind w:left="4" w:right="20" w:firstLine="436"/>
        <w:spacing w:after="0" w:line="259" w:lineRule="auto"/>
        <w:tabs>
          <w:tab w:leader="none" w:pos="79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Investment made in GoHealth s.r.o. in an aggregate amount not exceeding in any fiscal year the following amounts corresponding to such fiscal year: $5,000,000 during the 2019 fiscal year, $10,000,000 during the 2020 fiscal year, $10,000,000 during the 2021 fiscal year, $10,000,000 during the 2022 fiscal year, $15,000,000 during the 2023 fiscal year, $15,000,000 during the 2024 fiscal year and $10,000,000 during the 2025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-2126615</wp:posOffset>
            </wp:positionV>
            <wp:extent cx="214312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43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-1989455</wp:posOffset>
            </wp:positionV>
            <wp:extent cx="21342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-1989455</wp:posOffset>
            </wp:positionV>
            <wp:extent cx="342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-1989455</wp:posOffset>
            </wp:positionV>
            <wp:extent cx="768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59"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Asset Sales</w:t>
      </w:r>
      <w:r>
        <w:rPr>
          <w:rFonts w:ascii="Arial" w:cs="Arial" w:eastAsia="Arial" w:hAnsi="Arial"/>
          <w:sz w:val="16"/>
          <w:szCs w:val="16"/>
          <w:color w:val="auto"/>
        </w:rPr>
        <w:t>. The Borrower will not, nor will it permit any of its Restricted Subsidiaries to (i) sell, transfer, lease, license or otherwise dispose (including any disposition of property or assets to a Divided Delaware LLC pursuant to a Delaware LLC Division) of any asset, including any Equity Interest owned by it, or (ii) permit any Restricted Subsidiary to issue any additional Equity Interest in such Restricted Subsidiary (other than (A) issuing directors’ qualifying shares, nominal shares issued to foreign nationals to the extent required by applicable Requirements of Law,</w:t>
      </w:r>
    </w:p>
    <w:p>
      <w:pPr>
        <w:spacing w:after="0" w:line="1" w:lineRule="exact"/>
        <w:rPr>
          <w:sz w:val="20"/>
          <w:szCs w:val="20"/>
          <w:color w:val="auto"/>
        </w:rPr>
      </w:pPr>
    </w:p>
    <w:p>
      <w:pPr>
        <w:jc w:val="both"/>
        <w:ind w:left="4" w:hanging="4"/>
        <w:spacing w:after="0" w:line="273" w:lineRule="auto"/>
        <w:tabs>
          <w:tab w:leader="none" w:pos="29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issuing Equity Interests to the Borrower or any Restricted Subsidiary in compliance with </w:t>
      </w:r>
      <w:r>
        <w:rPr>
          <w:rFonts w:ascii="Arial" w:cs="Arial" w:eastAsia="Arial" w:hAnsi="Arial"/>
          <w:sz w:val="17"/>
          <w:szCs w:val="17"/>
          <w:u w:val="single" w:color="auto"/>
          <w:color w:val="auto"/>
        </w:rPr>
        <w:t>Section 6.04(c)</w:t>
      </w:r>
      <w:r>
        <w:rPr>
          <w:rFonts w:ascii="Arial" w:cs="Arial" w:eastAsia="Arial" w:hAnsi="Arial"/>
          <w:sz w:val="17"/>
          <w:szCs w:val="17"/>
          <w:color w:val="auto"/>
        </w:rPr>
        <w:t xml:space="preserve"> and (C) any non-wholly-owned Restricted Subsidiary issuing Equity Interests of such Subsidiary to each owner of Equity Interests of such Subsidiary ratably based on their relative ownership interests), in each case, having a Fair Market Value, in a single transaction or a series of related transactions, as of the date of such transaction(s) exceeding (x) $1,000,000, individually or (y) $2,500,000, in the aggregate in any fiscal year (each, a “</w:t>
      </w:r>
      <w:r>
        <w:rPr>
          <w:rFonts w:ascii="Arial" w:cs="Arial" w:eastAsia="Arial" w:hAnsi="Arial"/>
          <w:sz w:val="17"/>
          <w:szCs w:val="17"/>
          <w:u w:val="single" w:color="auto"/>
          <w:color w:val="auto"/>
        </w:rPr>
        <w:t>Disposition</w:t>
      </w:r>
      <w:r>
        <w:rPr>
          <w:rFonts w:ascii="Arial" w:cs="Arial" w:eastAsia="Arial" w:hAnsi="Arial"/>
          <w:sz w:val="17"/>
          <w:szCs w:val="17"/>
          <w:color w:val="auto"/>
        </w:rPr>
        <w:t>”), except:</w:t>
      </w:r>
    </w:p>
    <w:p>
      <w:pPr>
        <w:spacing w:after="0" w:line="68" w:lineRule="exact"/>
        <w:rPr>
          <w:rFonts w:ascii="Arial" w:cs="Arial" w:eastAsia="Arial" w:hAnsi="Arial"/>
          <w:sz w:val="17"/>
          <w:szCs w:val="17"/>
          <w:color w:val="auto"/>
        </w:rPr>
      </w:pPr>
    </w:p>
    <w:p>
      <w:pPr>
        <w:jc w:val="both"/>
        <w:ind w:left="4" w:right="20" w:firstLine="436"/>
        <w:spacing w:after="0" w:line="254" w:lineRule="auto"/>
        <w:tabs>
          <w:tab w:leader="none" w:pos="699"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Dispositions of obsolete or worn out property, whether now owned or hereafter acquired, if made in good faith determination of the board of directors of the Borrower and/or in the ordinary course of business or consistent with past practice and Dispositions of property no longer used or useful, or economically practicable to maintain, in the conduct of the business of the Borrower and the Restricted Subsidiaries (including (i) allowing any registration or application for registration of any Intellectual Property that is no longer used or useful, or economically practicable to maintain, to lapse, go abandoned, or be invalidated or (ii) disposing of, discontinuing the use or maintenance of, abandoning, failing to pursue or otherwise allowing to lapse, expire, terminate or put into the public domain any of its Intellectual Property) if the Borrower determines in its reasonable business judgment that such</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24"/>
          </w:cols>
          <w:pgMar w:left="436" w:top="274" w:right="439" w:bottom="1440" w:gutter="0" w:footer="0" w:header="0"/>
        </w:sectPr>
      </w:pPr>
    </w:p>
    <w:bookmarkStart w:id="205" w:name="page206"/>
    <w:bookmarkEnd w:id="205"/>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discontinuance is desirable in the conduct of its business and does not materially interfere with the business of the Borrower and the Restricted Subsidiaries, taken as a whole;</w:t>
      </w:r>
    </w:p>
    <w:p>
      <w:pPr>
        <w:spacing w:after="0" w:line="62" w:lineRule="exact"/>
        <w:rPr>
          <w:sz w:val="20"/>
          <w:szCs w:val="20"/>
          <w:color w:val="auto"/>
        </w:rPr>
      </w:pPr>
    </w:p>
    <w:p>
      <w:pPr>
        <w:ind w:left="704" w:hanging="264"/>
        <w:spacing w:after="0"/>
        <w:tabs>
          <w:tab w:leader="none" w:pos="704" w:val="left"/>
        </w:tabs>
        <w:numPr>
          <w:ilvl w:val="1"/>
          <w:numId w:val="240"/>
        </w:numPr>
        <w:rPr>
          <w:rFonts w:ascii="Arial" w:cs="Arial" w:eastAsia="Arial" w:hAnsi="Arial"/>
          <w:sz w:val="16"/>
          <w:szCs w:val="16"/>
          <w:color w:val="auto"/>
        </w:rPr>
      </w:pPr>
      <w:r>
        <w:rPr>
          <w:rFonts w:ascii="Arial" w:cs="Arial" w:eastAsia="Arial" w:hAnsi="Arial"/>
          <w:sz w:val="16"/>
          <w:szCs w:val="16"/>
          <w:color w:val="auto"/>
        </w:rPr>
        <w:t>Dispositions of inventory and other assets in the ordinary course of business or consistent with past practice (including on an intercompany</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basis);</w:t>
      </w:r>
    </w:p>
    <w:p>
      <w:pPr>
        <w:spacing w:after="0" w:line="102" w:lineRule="exact"/>
        <w:rPr>
          <w:rFonts w:ascii="Arial" w:cs="Arial" w:eastAsia="Arial" w:hAnsi="Arial"/>
          <w:sz w:val="16"/>
          <w:szCs w:val="16"/>
          <w:color w:val="auto"/>
        </w:rPr>
      </w:pPr>
    </w:p>
    <w:p>
      <w:pPr>
        <w:jc w:val="both"/>
        <w:ind w:left="4" w:right="20" w:firstLine="436"/>
        <w:spacing w:after="0" w:line="263" w:lineRule="auto"/>
        <w:tabs>
          <w:tab w:leader="none" w:pos="695"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Dispositions of property to the extent that (i) such property is exchanged for credit against the purchase price of similar replacement property, or other assets of comparable or greater value or usefulness to the business or (ii) an amount equal to the Net Proceeds of such Disposition are promptly applied to the purchase price of such replacement property;</w:t>
      </w:r>
    </w:p>
    <w:p>
      <w:pPr>
        <w:spacing w:after="0" w:line="75" w:lineRule="exact"/>
        <w:rPr>
          <w:rFonts w:ascii="Arial" w:cs="Arial" w:eastAsia="Arial" w:hAnsi="Arial"/>
          <w:sz w:val="18"/>
          <w:szCs w:val="18"/>
          <w:color w:val="auto"/>
        </w:rPr>
      </w:pPr>
    </w:p>
    <w:p>
      <w:pPr>
        <w:jc w:val="both"/>
        <w:ind w:left="4" w:right="20" w:firstLine="436"/>
        <w:spacing w:after="0" w:line="275" w:lineRule="auto"/>
        <w:tabs>
          <w:tab w:leader="none" w:pos="700" w:val="left"/>
        </w:tabs>
        <w:numPr>
          <w:ilvl w:val="1"/>
          <w:numId w:val="240"/>
        </w:numPr>
        <w:rPr>
          <w:rFonts w:ascii="Arial" w:cs="Arial" w:eastAsia="Arial" w:hAnsi="Arial"/>
          <w:sz w:val="17"/>
          <w:szCs w:val="17"/>
          <w:color w:val="auto"/>
        </w:rPr>
      </w:pPr>
      <w:r>
        <w:rPr>
          <w:rFonts w:ascii="Arial" w:cs="Arial" w:eastAsia="Arial" w:hAnsi="Arial"/>
          <w:sz w:val="17"/>
          <w:szCs w:val="17"/>
          <w:color w:val="auto"/>
        </w:rPr>
        <w:t xml:space="preserve">Dispositions of property to the Borrower 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transferor in such a transaction is a Loan Party, then either (i) the transferee must be a Loan Party (other than Holdings), (ii) to the extent constituting an Investment, such Investment must be an Investment in a Restricted Subsidiary that is not a Loan Party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or (iii)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w:t>
      </w:r>
      <w:r>
        <w:rPr>
          <w:rFonts w:ascii="Arial" w:cs="Arial" w:eastAsia="Arial" w:hAnsi="Arial"/>
          <w:sz w:val="17"/>
          <w:szCs w:val="17"/>
          <w:u w:val="single" w:color="auto"/>
          <w:color w:val="auto"/>
        </w:rPr>
        <w:t>Section 6.04</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 w:right="20" w:firstLine="436"/>
        <w:spacing w:after="0" w:line="277" w:lineRule="auto"/>
        <w:tabs>
          <w:tab w:leader="none" w:pos="69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Investments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(other than clause (x) thereof), Restricted Payments permitted by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and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in each case, other than by reference to this </w:t>
      </w:r>
      <w:r>
        <w:rPr>
          <w:rFonts w:ascii="Arial" w:cs="Arial" w:eastAsia="Arial" w:hAnsi="Arial"/>
          <w:sz w:val="18"/>
          <w:szCs w:val="18"/>
          <w:u w:val="single" w:color="auto"/>
          <w:color w:val="auto"/>
        </w:rPr>
        <w:t>Section 6.05(e)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64" w:hanging="224"/>
        <w:spacing w:after="0"/>
        <w:tabs>
          <w:tab w:leader="none" w:pos="664" w:val="left"/>
        </w:tabs>
        <w:numPr>
          <w:ilvl w:val="1"/>
          <w:numId w:val="240"/>
        </w:numPr>
        <w:rPr>
          <w:rFonts w:ascii="Arial" w:cs="Arial" w:eastAsia="Arial" w:hAnsi="Arial"/>
          <w:sz w:val="16"/>
          <w:szCs w:val="16"/>
          <w:color w:val="auto"/>
        </w:rPr>
      </w:pPr>
      <w:r>
        <w:rPr>
          <w:rFonts w:ascii="Arial" w:cs="Arial" w:eastAsia="Arial" w:hAnsi="Arial"/>
          <w:sz w:val="16"/>
          <w:szCs w:val="16"/>
          <w:color w:val="auto"/>
        </w:rPr>
        <w:t>Dispositions of cash and/or Cash Equivalents and/or other assets that were Cash Equivalents when the relevant original Investment was made;</w:t>
      </w:r>
    </w:p>
    <w:p>
      <w:pPr>
        <w:spacing w:after="0" w:line="140" w:lineRule="exact"/>
        <w:rPr>
          <w:rFonts w:ascii="Arial" w:cs="Arial" w:eastAsia="Arial" w:hAnsi="Arial"/>
          <w:sz w:val="16"/>
          <w:szCs w:val="16"/>
          <w:color w:val="auto"/>
        </w:rPr>
      </w:pPr>
    </w:p>
    <w:p>
      <w:pPr>
        <w:jc w:val="both"/>
        <w:ind w:left="4" w:firstLine="436"/>
        <w:spacing w:after="0" w:line="285" w:lineRule="auto"/>
        <w:tabs>
          <w:tab w:leader="none" w:pos="708" w:val="left"/>
        </w:tabs>
        <w:numPr>
          <w:ilvl w:val="1"/>
          <w:numId w:val="240"/>
        </w:numPr>
        <w:rPr>
          <w:rFonts w:ascii="Arial" w:cs="Arial" w:eastAsia="Arial" w:hAnsi="Arial"/>
          <w:sz w:val="16"/>
          <w:szCs w:val="16"/>
          <w:color w:val="auto"/>
        </w:rPr>
      </w:pPr>
      <w:r>
        <w:rPr>
          <w:rFonts w:ascii="Arial" w:cs="Arial" w:eastAsia="Arial" w:hAnsi="Arial"/>
          <w:sz w:val="16"/>
          <w:szCs w:val="16"/>
          <w:color w:val="auto"/>
        </w:rPr>
        <w:t xml:space="preserve">(A) sales, discounts of or forgiveness of customer delinquent notes or delinquent accounts receivable, notes receivable or other current assets in the ordinary course of business or consistent with industry practice or the conversion of delinquent accounts receivable to notes receivable or other dispositions of delinquent accounts receivable in connection with settlement, collection or compromise thereof and (B) Dispositions of Permitted Receivables Financing Assets pursuant to any Permitted Receivables 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aggregate face amount of Permitted Receivables Financing Assets subject to a Disposition for a Permitted Receivables Financing shall not exceed, at the time of any such Disposition, $100,000,000 and</w:t>
      </w:r>
    </w:p>
    <w:p>
      <w:pPr>
        <w:spacing w:after="0" w:line="1" w:lineRule="exact"/>
        <w:rPr>
          <w:rFonts w:ascii="Arial" w:cs="Arial" w:eastAsia="Arial" w:hAnsi="Arial"/>
          <w:sz w:val="16"/>
          <w:szCs w:val="16"/>
          <w:color w:val="auto"/>
        </w:rPr>
      </w:pPr>
    </w:p>
    <w:p>
      <w:pPr>
        <w:jc w:val="both"/>
        <w:ind w:left="4" w:hanging="4"/>
        <w:spacing w:after="0" w:line="292" w:lineRule="auto"/>
        <w:tabs>
          <w:tab w:leader="none" w:pos="263"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at the time of any such Disposition of Permitted Receivables Financing Assets, the Borrower and the Restricted Subsidiaries shall be in compliance, after giving pro forma effect to such Disposition or the use of proceeds thereof, with a Contract Asset Balance Coverage Ratio (determined excluding from the Contract Asset Balance Coverage Ratio, the Permitted Receivables Financing Assets so Disposed) that is no less than 2.00:1.00 as of the last day of the Test Period most recently ended on or prior to such date of such Disposition (measured as of the date such Disposition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4" w:right="20" w:firstLine="436"/>
        <w:spacing w:after="0" w:line="277" w:lineRule="auto"/>
        <w:tabs>
          <w:tab w:leader="none" w:pos="729" w:val="left"/>
        </w:tabs>
        <w:numPr>
          <w:ilvl w:val="1"/>
          <w:numId w:val="241"/>
        </w:numPr>
        <w:rPr>
          <w:rFonts w:ascii="Arial" w:cs="Arial" w:eastAsia="Arial" w:hAnsi="Arial"/>
          <w:sz w:val="18"/>
          <w:szCs w:val="18"/>
          <w:color w:val="auto"/>
        </w:rPr>
      </w:pPr>
      <w:r>
        <w:rPr>
          <w:rFonts w:ascii="Arial" w:cs="Arial" w:eastAsia="Arial" w:hAnsi="Arial"/>
          <w:sz w:val="18"/>
          <w:szCs w:val="18"/>
          <w:color w:val="auto"/>
        </w:rPr>
        <w:t>leases, subleases, licenses or sublicenses, in each case in the ordinary course of business or consistent with past practice or that do not materially interfere with the business of the Borrower and the Restricted Subsidiaries, taken as a whole;</w:t>
      </w:r>
    </w:p>
    <w:p>
      <w:pPr>
        <w:spacing w:after="0" w:line="62" w:lineRule="exact"/>
        <w:rPr>
          <w:rFonts w:ascii="Arial" w:cs="Arial" w:eastAsia="Arial" w:hAnsi="Arial"/>
          <w:sz w:val="18"/>
          <w:szCs w:val="18"/>
          <w:color w:val="auto"/>
        </w:rPr>
      </w:pPr>
    </w:p>
    <w:p>
      <w:pPr>
        <w:ind w:left="664" w:hanging="224"/>
        <w:spacing w:after="0"/>
        <w:tabs>
          <w:tab w:leader="none" w:pos="664"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transfers or other Dispositions of property subject to Casualty Events upon receipt of the Net Proceeds of such Casualty Event;</w:t>
      </w:r>
    </w:p>
    <w:p>
      <w:pPr>
        <w:spacing w:after="0" w:line="117" w:lineRule="exact"/>
        <w:rPr>
          <w:rFonts w:ascii="Arial" w:cs="Arial" w:eastAsia="Arial" w:hAnsi="Arial"/>
          <w:sz w:val="18"/>
          <w:szCs w:val="18"/>
          <w:color w:val="auto"/>
        </w:rPr>
      </w:pPr>
    </w:p>
    <w:p>
      <w:pPr>
        <w:ind w:left="4" w:right="20" w:firstLine="436"/>
        <w:spacing w:after="0" w:line="277" w:lineRule="auto"/>
        <w:tabs>
          <w:tab w:leader="none" w:pos="67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 xml:space="preserve">Dispositions of other assets or property (including the sale or issuance of Equity Interests in a Restricted Subsidiary) not otherwise permitted under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24"/>
          </w:cols>
          <w:pgMar w:left="436" w:top="274" w:right="439" w:bottom="1440" w:gutter="0" w:footer="0" w:header="0"/>
        </w:sectPr>
      </w:pPr>
    </w:p>
    <w:bookmarkStart w:id="206" w:name="page207"/>
    <w:bookmarkEnd w:id="206"/>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Disposition is made for Fair Market Value, (ii) with respect to any Disposition pursuant to this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for a purchase price in excess of the greater of</w:t>
      </w:r>
    </w:p>
    <w:p>
      <w:pPr>
        <w:spacing w:after="0" w:line="46" w:lineRule="exact"/>
        <w:rPr>
          <w:sz w:val="20"/>
          <w:szCs w:val="20"/>
          <w:color w:val="auto"/>
        </w:rPr>
      </w:pPr>
    </w:p>
    <w:p>
      <w:pPr>
        <w:jc w:val="both"/>
        <w:ind w:left="4" w:hanging="4"/>
        <w:spacing w:after="0" w:line="284" w:lineRule="auto"/>
        <w:tabs>
          <w:tab w:leader="none" w:pos="27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$1,000,000 and (y) 2.5% of Consolidated Cash EBITDA for the Test Period most recently ended on or prior to the date of such Disposition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for any transaction or series of related transactions the Borrower or any Restricted Subsidiary shall receive not less than 75.0% of such consideration in the form of cash or Cash Equivalents;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the purposes of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 any liabilities (as shown on the most recent balance sheet of the Borrower provided hereunder or in the footnotes thereto) of the Borrower or such Restricted Subsidiary, other than liabilities that are by their terms subordinated in right of payment to the Loan Document Obligations, that (1) are assumed by the transferee with respect to the applicable Disposition or (2) are otherwise cancelled or terminated in connection with the transaction with such transferee, and for which the Borrower and its Restricted Subsidiaries shall have been validly released by all applicable creditors in writing, shall be deemed to be cash, (B) any securities received by the Borrower or such Restricted Subsidiary from such transferee that are converted by the Borrower or such Restricted Subsidiary into cash or Cash Equivalents (to the extent of the cash or Cash Equivalents received) within 180 days following the closing of the applicable Disposition, shall be deemed to be cash and (C) any Designated Non-Cash Consideration received by the Borrower or such Restricted Subsidiary in respect of such Disposition having an aggregate Fair Market Value, taken together with all other Designated Non-Cash Consideration received pursuant to this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that is at that time outstanding, not in excess (at the time of receipt of such Designated Non-Cash Consideration) of the greater of (x) $1,000,000 and (y) 2.5% of Consolidated Total Assets for the Test Period most recently ended on or prior to the date of such Disposition (measured as of the date such Disposition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(net of any Designated Non-Cash Consideration converted into cash or Cash Equivalents), with the Fair Market Value of each item of Designated Non-Cash Consideration being measured at the time received and without giving effect to subsequent changes in value, shall be deemed to be cash, and (iii) the Net Proceeds of such Disposition shall be applied and/or reinvested as (and to the extent) required by </w:t>
      </w:r>
      <w:r>
        <w:rPr>
          <w:rFonts w:ascii="Arial" w:cs="Arial" w:eastAsia="Arial" w:hAnsi="Arial"/>
          <w:sz w:val="16"/>
          <w:szCs w:val="16"/>
          <w:u w:val="single" w:color="auto"/>
          <w:color w:val="auto"/>
        </w:rPr>
        <w:t>Section 2.11(c)</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4" w:firstLine="436"/>
        <w:spacing w:after="0" w:line="277" w:lineRule="auto"/>
        <w:tabs>
          <w:tab w:leader="none" w:pos="70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agreements and similar binding arrangements;</w:t>
      </w:r>
    </w:p>
    <w:p>
      <w:pPr>
        <w:spacing w:after="0" w:line="62" w:lineRule="exact"/>
        <w:rPr>
          <w:rFonts w:ascii="Arial" w:cs="Arial" w:eastAsia="Arial" w:hAnsi="Arial"/>
          <w:sz w:val="18"/>
          <w:szCs w:val="18"/>
          <w:color w:val="auto"/>
        </w:rPr>
      </w:pPr>
    </w:p>
    <w:p>
      <w:pPr>
        <w:jc w:val="both"/>
        <w:ind w:left="4" w:firstLine="436"/>
        <w:spacing w:after="0" w:line="259" w:lineRule="auto"/>
        <w:tabs>
          <w:tab w:leader="none" w:pos="65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Dispositions of any assets (including Equity Interests) (A) acquired in connection with any Permitted Acquisition or other Investment permitted hereunder, which assets are not core or principal to the business of the Borrower and the Restricted Subsidiaries and do not exceed 30% of the assets acquired pursuant to such Permitted Acquisition or other Investment or (B) made to obtain the approval of any applicable antitrust authority in connection with a Permitted Acquisition;</w:t>
      </w:r>
    </w:p>
    <w:p>
      <w:pPr>
        <w:spacing w:after="0" w:line="78" w:lineRule="exact"/>
        <w:rPr>
          <w:rFonts w:ascii="Arial" w:cs="Arial" w:eastAsia="Arial" w:hAnsi="Arial"/>
          <w:sz w:val="18"/>
          <w:szCs w:val="18"/>
          <w:color w:val="auto"/>
        </w:rPr>
      </w:pPr>
    </w:p>
    <w:p>
      <w:pPr>
        <w:jc w:val="both"/>
        <w:ind w:left="4" w:firstLine="436"/>
        <w:spacing w:after="0" w:line="311" w:lineRule="auto"/>
        <w:tabs>
          <w:tab w:leader="none" w:pos="772"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transfers of condemned property as a result of the exercise of “eminent domain” or other similar powers to the respective Governmental Authority or agency that has condemned the same (whether by deed in lieu of condemnation or otherwise), and transfers of property arising from foreclosure or similar action or that have been subject to a casualty to the respective insurer of such real property as part of an insurance settlement;</w:t>
      </w:r>
    </w:p>
    <w:p>
      <w:pPr>
        <w:spacing w:after="0" w:line="40" w:lineRule="exact"/>
        <w:rPr>
          <w:rFonts w:ascii="Arial" w:cs="Arial" w:eastAsia="Arial" w:hAnsi="Arial"/>
          <w:sz w:val="16"/>
          <w:szCs w:val="16"/>
          <w:color w:val="auto"/>
        </w:rPr>
      </w:pPr>
    </w:p>
    <w:p>
      <w:pPr>
        <w:jc w:val="both"/>
        <w:ind w:left="4" w:right="20" w:firstLine="436"/>
        <w:spacing w:after="0" w:line="301" w:lineRule="auto"/>
        <w:tabs>
          <w:tab w:leader="none" w:pos="732" w:val="left"/>
        </w:tabs>
        <w:numPr>
          <w:ilvl w:val="1"/>
          <w:numId w:val="242"/>
        </w:numPr>
        <w:rPr>
          <w:rFonts w:ascii="Arial" w:cs="Arial" w:eastAsia="Arial" w:hAnsi="Arial"/>
          <w:sz w:val="16"/>
          <w:szCs w:val="16"/>
          <w:color w:val="auto"/>
        </w:rPr>
      </w:pPr>
      <w:r>
        <w:rPr>
          <w:rFonts w:ascii="Arial" w:cs="Arial" w:eastAsia="Arial" w:hAnsi="Arial"/>
          <w:sz w:val="16"/>
          <w:szCs w:val="16"/>
          <w:color w:val="auto"/>
        </w:rPr>
        <w:t xml:space="preserve">Dispositions of assets that do not constitute Collateral (including Dispositions or issuance of Equity Interests in, Indebtedness of, other securities issued by, Unrestricted Subsidiaries) for Fair Market Value not in excess of the greater of (x) $3,000,000 and (y) 10.0% of Consolidated Total Assets for the Test Period most recently ended on or prior to the date of such Disposition (measured as of the date such Disposition is made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24"/>
          </w:cols>
          <w:pgMar w:left="436" w:top="274" w:right="439" w:bottom="1440" w:gutter="0" w:footer="0" w:header="0"/>
        </w:sectPr>
      </w:pPr>
    </w:p>
    <w:bookmarkStart w:id="207" w:name="page208"/>
    <w:bookmarkEnd w:id="207"/>
    <w:p>
      <w:pPr>
        <w:jc w:val="both"/>
        <w:ind w:left="4" w:right="20" w:firstLine="436"/>
        <w:spacing w:after="0" w:line="263" w:lineRule="auto"/>
        <w:tabs>
          <w:tab w:leader="none" w:pos="730" w:val="left"/>
        </w:tabs>
        <w:numPr>
          <w:ilvl w:val="1"/>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Dispositions in connection with the Transactions or any Tax Restructuring;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such Disposition in connection with any Tax Restructuring, the Guarantees of the Loans and the security interests of the Lenders in the Collateral, taken as a whole, would not be adversely impaired in any material respect;</w:t>
      </w:r>
    </w:p>
    <w:p>
      <w:pPr>
        <w:spacing w:after="0" w:line="75" w:lineRule="exact"/>
        <w:rPr>
          <w:rFonts w:ascii="Arial" w:cs="Arial" w:eastAsia="Arial" w:hAnsi="Arial"/>
          <w:sz w:val="18"/>
          <w:szCs w:val="18"/>
          <w:color w:val="auto"/>
        </w:rPr>
      </w:pPr>
    </w:p>
    <w:p>
      <w:pPr>
        <w:jc w:val="both"/>
        <w:ind w:left="4" w:firstLine="436"/>
        <w:spacing w:after="0" w:line="259" w:lineRule="auto"/>
        <w:tabs>
          <w:tab w:leader="none" w:pos="709"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any Disposition of a Sale Leaseback; </w:t>
      </w:r>
      <w:r>
        <w:rPr>
          <w:rFonts w:ascii="Arial" w:cs="Arial" w:eastAsia="Arial" w:hAnsi="Arial"/>
          <w:sz w:val="18"/>
          <w:szCs w:val="18"/>
          <w:u w:val="single" w:color="auto"/>
          <w:color w:val="0000FF"/>
        </w:rPr>
        <w:t>provided that, during the Suspension Period,</w:t>
      </w:r>
      <w:r>
        <w:rPr>
          <w:rFonts w:ascii="Arial" w:cs="Arial" w:eastAsia="Arial" w:hAnsi="Arial"/>
          <w:sz w:val="18"/>
          <w:szCs w:val="18"/>
          <w:color w:val="auto"/>
        </w:rPr>
        <w:t xml:space="preserve"> </w:t>
      </w:r>
      <w:r>
        <w:rPr>
          <w:rFonts w:ascii="Arial" w:cs="Arial" w:eastAsia="Arial" w:hAnsi="Arial"/>
          <w:sz w:val="18"/>
          <w:szCs w:val="18"/>
          <w:color w:val="007F00"/>
        </w:rPr>
        <w:t>after giving effect to such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Disposition,</w:t>
      </w:r>
      <w:r>
        <w:rPr>
          <w:rFonts w:ascii="Arial" w:cs="Arial" w:eastAsia="Arial" w:hAnsi="Arial"/>
          <w:sz w:val="18"/>
          <w:szCs w:val="18"/>
          <w:color w:val="auto"/>
        </w:rPr>
        <w:t xml:space="preserve"> </w:t>
      </w:r>
      <w:r>
        <w:rPr>
          <w:rFonts w:ascii="Arial" w:cs="Arial" w:eastAsia="Arial" w:hAnsi="Arial"/>
          <w:sz w:val="18"/>
          <w:szCs w:val="18"/>
          <w:color w:val="007F00"/>
        </w:rPr>
        <w:t>the Total Net Cash</w:t>
      </w:r>
      <w:r>
        <w:rPr>
          <w:rFonts w:ascii="Arial" w:cs="Arial" w:eastAsia="Arial" w:hAnsi="Arial"/>
          <w:sz w:val="18"/>
          <w:szCs w:val="18"/>
          <w:color w:val="auto"/>
        </w:rPr>
        <w:t xml:space="preserve"> </w:t>
      </w:r>
      <w:r>
        <w:rPr>
          <w:rFonts w:ascii="Arial" w:cs="Arial" w:eastAsia="Arial" w:hAnsi="Arial"/>
          <w:sz w:val="18"/>
          <w:szCs w:val="18"/>
          <w:u w:val="single" w:color="auto"/>
          <w:color w:val="007F00"/>
        </w:rPr>
        <w:t>Leverage Ratio</w:t>
      </w:r>
      <w:r>
        <w:rPr>
          <w:rFonts w:ascii="Arial" w:cs="Arial" w:eastAsia="Arial" w:hAnsi="Arial"/>
          <w:sz w:val="18"/>
          <w:szCs w:val="18"/>
          <w:color w:val="007F00"/>
        </w:rPr>
        <w:t xml:space="preserve"> </w:t>
      </w:r>
      <w:r>
        <w:rPr>
          <w:rFonts w:ascii="Arial" w:cs="Arial" w:eastAsia="Arial" w:hAnsi="Arial"/>
          <w:sz w:val="18"/>
          <w:szCs w:val="18"/>
          <w:u w:val="single" w:color="auto"/>
          <w:color w:val="0000FF"/>
        </w:rPr>
        <w:t>would not exceed 4.00:1.00, calculated</w:t>
      </w:r>
      <w:r>
        <w:rPr>
          <w:rFonts w:ascii="Arial" w:cs="Arial" w:eastAsia="Arial" w:hAnsi="Arial"/>
          <w:sz w:val="18"/>
          <w:szCs w:val="18"/>
          <w:color w:val="007F00"/>
        </w:rPr>
        <w:t xml:space="preserve"> on a pro forma basis as of the Test Period most recently ended on or prior to </w:t>
      </w:r>
      <w:r>
        <w:rPr>
          <w:rFonts w:ascii="Arial" w:cs="Arial" w:eastAsia="Arial" w:hAnsi="Arial"/>
          <w:sz w:val="18"/>
          <w:szCs w:val="18"/>
          <w:u w:val="single" w:color="auto"/>
          <w:color w:val="0000FF"/>
        </w:rPr>
        <w:t>such date of</w:t>
      </w:r>
      <w:r>
        <w:rPr>
          <w:rFonts w:ascii="Arial" w:cs="Arial" w:eastAsia="Arial" w:hAnsi="Arial"/>
          <w:sz w:val="18"/>
          <w:szCs w:val="18"/>
          <w:color w:val="007F00"/>
        </w:rPr>
        <w:t xml:space="preserve"> </w:t>
      </w:r>
      <w:r>
        <w:rPr>
          <w:rFonts w:ascii="Arial" w:cs="Arial" w:eastAsia="Arial" w:hAnsi="Arial"/>
          <w:sz w:val="18"/>
          <w:szCs w:val="18"/>
          <w:u w:val="single" w:color="auto"/>
          <w:color w:val="0000FF"/>
        </w:rPr>
        <w:t>incurrence</w:t>
      </w:r>
      <w:r>
        <w:rPr>
          <w:rFonts w:ascii="Arial" w:cs="Arial" w:eastAsia="Arial" w:hAnsi="Arial"/>
          <w:sz w:val="18"/>
          <w:szCs w:val="18"/>
          <w:color w:val="0000FF"/>
        </w:rPr>
        <w:t xml:space="preserve"> </w:t>
      </w:r>
      <w:r>
        <w:rPr>
          <w:rFonts w:ascii="Arial" w:cs="Arial" w:eastAsia="Arial" w:hAnsi="Arial"/>
          <w:sz w:val="18"/>
          <w:szCs w:val="18"/>
          <w:u w:val="single" w:color="auto"/>
          <w:color w:val="007F00"/>
        </w:rPr>
        <w:t>(measured as of the date such</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Disposition</w:t>
      </w:r>
      <w:r>
        <w:rPr>
          <w:rFonts w:ascii="Arial" w:cs="Arial" w:eastAsia="Arial" w:hAnsi="Arial"/>
          <w:sz w:val="18"/>
          <w:szCs w:val="18"/>
          <w:color w:val="0000FF"/>
        </w:rPr>
        <w:t xml:space="preserve"> </w:t>
      </w:r>
      <w:r>
        <w:rPr>
          <w:rFonts w:ascii="Arial" w:cs="Arial" w:eastAsia="Arial" w:hAnsi="Arial"/>
          <w:sz w:val="18"/>
          <w:szCs w:val="18"/>
          <w:color w:val="007F00"/>
        </w:rPr>
        <w:t>is made based upon the financial statements most recently delivered (or required to have been</w:t>
      </w:r>
      <w:r>
        <w:rPr>
          <w:rFonts w:ascii="Arial" w:cs="Arial" w:eastAsia="Arial" w:hAnsi="Arial"/>
          <w:sz w:val="18"/>
          <w:szCs w:val="18"/>
          <w:color w:val="0000FF"/>
        </w:rPr>
        <w:t xml:space="preserve"> </w:t>
      </w:r>
      <w:r>
        <w:rPr>
          <w:rFonts w:ascii="Arial" w:cs="Arial" w:eastAsia="Arial" w:hAnsi="Arial"/>
          <w:sz w:val="18"/>
          <w:szCs w:val="18"/>
          <w:u w:val="single" w:color="auto"/>
          <w:color w:val="007F00"/>
        </w:rPr>
        <w:t>delivered) on or prior to such date pursuant to Section 5.01(a) or (b))</w:t>
      </w:r>
      <w:r>
        <w:rPr>
          <w:rFonts w:ascii="Arial" w:cs="Arial" w:eastAsia="Arial" w:hAnsi="Arial"/>
          <w:sz w:val="18"/>
          <w:szCs w:val="18"/>
          <w:u w:val="single" w:color="auto"/>
          <w:color w:val="0000FF"/>
        </w:rPr>
        <w:t>;</w:t>
      </w:r>
    </w:p>
    <w:p>
      <w:pPr>
        <w:spacing w:after="0" w:line="78" w:lineRule="exact"/>
        <w:rPr>
          <w:rFonts w:ascii="Arial" w:cs="Arial" w:eastAsia="Arial" w:hAnsi="Arial"/>
          <w:sz w:val="18"/>
          <w:szCs w:val="18"/>
          <w:color w:val="auto"/>
        </w:rPr>
      </w:pPr>
    </w:p>
    <w:p>
      <w:pPr>
        <w:ind w:left="4" w:right="20" w:firstLine="436"/>
        <w:spacing w:after="0" w:line="258" w:lineRule="auto"/>
        <w:tabs>
          <w:tab w:leader="none" w:pos="729"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any merger, consolidation, amalgamation, Disposition or conveyance the sole purpose of which is to reincorporate or reorganize (i) any Domestic Subsidiary in another jurisdiction in the U.S. and/or (ii) any Foreign Subsidiary in the U.S. or any other jurisdiction;</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[reserved];</w:t>
      </w:r>
    </w:p>
    <w:p>
      <w:pPr>
        <w:spacing w:after="0" w:line="102" w:lineRule="exact"/>
        <w:rPr>
          <w:rFonts w:ascii="Arial" w:cs="Arial" w:eastAsia="Arial" w:hAnsi="Arial"/>
          <w:sz w:val="18"/>
          <w:szCs w:val="18"/>
          <w:color w:val="auto"/>
        </w:rPr>
      </w:pPr>
    </w:p>
    <w:p>
      <w:pPr>
        <w:ind w:left="4" w:firstLine="436"/>
        <w:spacing w:after="0" w:line="258" w:lineRule="auto"/>
        <w:tabs>
          <w:tab w:leader="none" w:pos="68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each Loan Party and each of its Restricted Subsidiaries may surrender or waive contractual rights and settle or waive contractual or litigation claims in the ordinary course of business or consistent with past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-1258570</wp:posOffset>
            </wp:positionV>
            <wp:extent cx="4785360" cy="4318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78536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-1121410</wp:posOffset>
            </wp:positionV>
            <wp:extent cx="6995160" cy="431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516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-949960</wp:posOffset>
            </wp:positionV>
            <wp:extent cx="69951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-984250</wp:posOffset>
            </wp:positionV>
            <wp:extent cx="449135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4913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-812800</wp:posOffset>
            </wp:positionV>
            <wp:extent cx="31718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ind w:left="424" w:hanging="424"/>
        <w:spacing w:after="0"/>
        <w:tabs>
          <w:tab w:leader="none" w:pos="42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unwinding of any Swap Agreement pursuant to its terms;</w:t>
      </w:r>
    </w:p>
    <w:p>
      <w:pPr>
        <w:spacing w:after="0" w:line="102" w:lineRule="exact"/>
        <w:rPr>
          <w:rFonts w:ascii="Arial" w:cs="Arial" w:eastAsia="Arial" w:hAnsi="Arial"/>
          <w:sz w:val="18"/>
          <w:szCs w:val="18"/>
          <w:color w:val="auto"/>
        </w:rPr>
      </w:pPr>
    </w:p>
    <w:p>
      <w:pPr>
        <w:ind w:left="4" w:right="20" w:firstLine="436"/>
        <w:spacing w:after="0" w:line="277" w:lineRule="auto"/>
        <w:tabs>
          <w:tab w:leader="none" w:pos="71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nominal issuances of Equity Interests of Foreign Subsidiaries in an aggregate amount not to exceed 2.0% of all issued and outstanding Equity Interests of such Foreign Subsidiary on a fully-diluted basis; and</w:t>
      </w:r>
    </w:p>
    <w:p>
      <w:pPr>
        <w:spacing w:after="0" w:line="62" w:lineRule="exact"/>
        <w:rPr>
          <w:rFonts w:ascii="Arial" w:cs="Arial" w:eastAsia="Arial" w:hAnsi="Arial"/>
          <w:sz w:val="18"/>
          <w:szCs w:val="18"/>
          <w:color w:val="auto"/>
        </w:rPr>
      </w:pPr>
    </w:p>
    <w:p>
      <w:pPr>
        <w:ind w:left="4" w:right="20" w:firstLine="436"/>
        <w:spacing w:after="0" w:line="277" w:lineRule="auto"/>
        <w:tabs>
          <w:tab w:leader="none" w:pos="733" w:val="left"/>
        </w:tabs>
        <w:numPr>
          <w:ilvl w:val="1"/>
          <w:numId w:val="245"/>
        </w:numPr>
        <w:rPr>
          <w:rFonts w:ascii="Arial" w:cs="Arial" w:eastAsia="Arial" w:hAnsi="Arial"/>
          <w:sz w:val="18"/>
          <w:szCs w:val="18"/>
          <w:color w:val="auto"/>
        </w:rPr>
      </w:pPr>
      <w:r>
        <w:rPr>
          <w:rFonts w:ascii="Arial" w:cs="Arial" w:eastAsia="Arial" w:hAnsi="Arial"/>
          <w:sz w:val="18"/>
          <w:szCs w:val="18"/>
          <w:color w:val="auto"/>
        </w:rPr>
        <w:t xml:space="preserve">Dispositions to effect the formation of any Subsidiary that is a Divided Delaware LLC;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formation of such Divided Delaware LLC, the Borrower has complied with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to the extent applicable.</w:t>
      </w:r>
    </w:p>
    <w:p>
      <w:pPr>
        <w:spacing w:after="0" w:line="170" w:lineRule="exact"/>
        <w:rPr>
          <w:sz w:val="20"/>
          <w:szCs w:val="20"/>
          <w:color w:val="auto"/>
        </w:rPr>
      </w:pPr>
    </w:p>
    <w:p>
      <w:pPr>
        <w:jc w:val="both"/>
        <w:ind w:left="4" w:firstLine="440"/>
        <w:spacing w:after="0" w:line="253" w:lineRule="auto"/>
        <w:rPr>
          <w:sz w:val="20"/>
          <w:szCs w:val="20"/>
          <w:color w:val="auto"/>
        </w:rPr>
      </w:pPr>
      <w:r>
        <w:rPr>
          <w:rFonts w:ascii="Arial" w:cs="Arial" w:eastAsia="Arial" w:hAnsi="Arial"/>
          <w:sz w:val="18"/>
          <w:szCs w:val="18"/>
          <w:color w:val="auto"/>
        </w:rPr>
        <w:t xml:space="preserve">Notwithstanding anything herein to the contrary, in no event shall any Loan Party or any of its Restricted Subsidiaries contribute, sell, assign, transfer or otherwise dispose of any Permitted Receivables Facility Assets, including in connection with any factoring transaction, any receivables transaction, securitization transaction, any facilities or programs or other similar transactions relating to Permitted Receivables Facility Assets, other than pursuant to clause (g) above and any Permitted Receivables Facility Assets may not be disposed of and such disposal shall not otherwise be permitted pursuant to any other clause in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bona fide Disposition of any Subsidiary, other minority investment, business unit or line of business by the Borrower or any Restricted Subsidiary to a third party (including to any Unrestricted Subsidiary or Joint Venture) and not made to effectuate any Permitted Receivables Financing shall be permitted under and subject to the terms of any applicable exception to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notwithstanding that any such Subsidiary, other minority investment, business unit or line of Business may own Permitted Receivables Financing Assets.</w:t>
      </w:r>
    </w:p>
    <w:p>
      <w:pPr>
        <w:spacing w:after="0" w:line="196"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 xml:space="preserve">To the extent that any Collateral is Disposed of as expressly permitted by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to any Person other than a Loan Party, such Collateral shall be sold free and clear of the Liens created by the Loan Documents, which Liens shall be automatically released upon the consummation of such Disposition; it being understood and agreed that the Administrative Agent shall be authorized to take, and shall take, any actions deemed appropriate in order to effect the foregoing.</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24"/>
          </w:cols>
          <w:pgMar w:left="436" w:top="274" w:right="439" w:bottom="1440" w:gutter="0" w:footer="0" w:header="0"/>
        </w:sectPr>
      </w:pPr>
    </w:p>
    <w:bookmarkStart w:id="208" w:name="page209"/>
    <w:bookmarkEnd w:id="208"/>
    <w:p>
      <w:pPr>
        <w:jc w:val="both"/>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6.06 </w:t>
      </w:r>
      <w:r>
        <w:rPr>
          <w:rFonts w:ascii="Arial" w:cs="Arial" w:eastAsia="Arial" w:hAnsi="Arial"/>
          <w:sz w:val="18"/>
          <w:szCs w:val="18"/>
          <w:u w:val="single" w:color="auto"/>
          <w:color w:val="auto"/>
        </w:rPr>
        <w:t>Holdings Covenant</w:t>
      </w:r>
      <w:r>
        <w:rPr>
          <w:rFonts w:ascii="Arial" w:cs="Arial" w:eastAsia="Arial" w:hAnsi="Arial"/>
          <w:sz w:val="18"/>
          <w:szCs w:val="18"/>
          <w:color w:val="auto"/>
        </w:rPr>
        <w:t>. Holdings will not incur any Indebtedness or Liens or engage in any material activities or consummate any material transactions (including, without limitation, any Investments (unless any such Investment will be concurrently contributed by Holdings to the Borrower or a Loan Party) or Dispositions) and will not conduct, transact or otherwise engage in any material business or material operations, in each case, other than:</w:t>
      </w:r>
    </w:p>
    <w:p>
      <w:pPr>
        <w:spacing w:after="0" w:line="79" w:lineRule="exact"/>
        <w:rPr>
          <w:sz w:val="20"/>
          <w:szCs w:val="20"/>
          <w:color w:val="auto"/>
        </w:rPr>
      </w:pPr>
    </w:p>
    <w:p>
      <w:pPr>
        <w:ind w:right="20" w:firstLine="436"/>
        <w:spacing w:after="0" w:line="277" w:lineRule="auto"/>
        <w:tabs>
          <w:tab w:leader="none" w:pos="69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ownership and/or acquisition of the Equity Interests of the Borrower, including payment of dividends and other amounts in respect of its Equity Interests,</w:t>
      </w:r>
    </w:p>
    <w:p>
      <w:pPr>
        <w:spacing w:after="0" w:line="62" w:lineRule="exact"/>
        <w:rPr>
          <w:rFonts w:ascii="Arial" w:cs="Arial" w:eastAsia="Arial" w:hAnsi="Arial"/>
          <w:sz w:val="18"/>
          <w:szCs w:val="18"/>
          <w:color w:val="auto"/>
        </w:rPr>
      </w:pPr>
    </w:p>
    <w:p>
      <w:pPr>
        <w:jc w:val="both"/>
        <w:ind w:firstLine="436"/>
        <w:spacing w:after="0" w:line="286" w:lineRule="auto"/>
        <w:tabs>
          <w:tab w:leader="none" w:pos="733"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performance of obligations under and compliance with its Organizational Documents, or other Requirement of Law (including the maintenance of its legal existence, including the ability to incur fees, costs and expenses relating to such maintenance), ordinance, regulation, rule, order, judgment, decree or permit, including without limitation as a result of or in connection with the activities of the Restricted Subsidiaries,</w:t>
      </w:r>
    </w:p>
    <w:p>
      <w:pPr>
        <w:spacing w:after="0" w:line="57" w:lineRule="exact"/>
        <w:rPr>
          <w:rFonts w:ascii="Arial" w:cs="Arial" w:eastAsia="Arial" w:hAnsi="Arial"/>
          <w:sz w:val="17"/>
          <w:szCs w:val="17"/>
          <w:color w:val="auto"/>
        </w:rPr>
      </w:pPr>
    </w:p>
    <w:p>
      <w:pPr>
        <w:jc w:val="both"/>
        <w:ind w:right="20" w:firstLine="436"/>
        <w:spacing w:after="0" w:line="263" w:lineRule="auto"/>
        <w:tabs>
          <w:tab w:leader="none" w:pos="69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repurchases of Indebtedness to the extent permitted hereunder, the making of any loan to any officers or directors constituting an Investment permitted under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the making of any Investment in the Borrower or any Restricted Subsidiary that is a Guarantor or, to the extent otherwise not prohibited under </w:t>
      </w:r>
      <w:r>
        <w:rPr>
          <w:rFonts w:ascii="Arial" w:cs="Arial" w:eastAsia="Arial" w:hAnsi="Arial"/>
          <w:sz w:val="18"/>
          <w:szCs w:val="18"/>
          <w:u w:val="single" w:color="auto"/>
          <w:color w:val="auto"/>
        </w:rPr>
        <w:t>Section 6.04</w:t>
      </w:r>
      <w:r>
        <w:rPr>
          <w:rFonts w:ascii="Arial" w:cs="Arial" w:eastAsia="Arial" w:hAnsi="Arial"/>
          <w:sz w:val="18"/>
          <w:szCs w:val="18"/>
          <w:color w:val="auto"/>
        </w:rPr>
        <w:t>, a Subsidiary thereof,</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participating in tax, accounting and other administrative matters related to any Parent Entity and the Borrower or any of their Subsidiaries,</w:t>
      </w:r>
    </w:p>
    <w:p>
      <w:pPr>
        <w:spacing w:after="0" w:line="128" w:lineRule="exact"/>
        <w:rPr>
          <w:rFonts w:ascii="Arial" w:cs="Arial" w:eastAsia="Arial" w:hAnsi="Arial"/>
          <w:sz w:val="17"/>
          <w:szCs w:val="17"/>
          <w:color w:val="auto"/>
        </w:rPr>
      </w:pPr>
    </w:p>
    <w:p>
      <w:pPr>
        <w:ind w:firstLine="436"/>
        <w:spacing w:after="0" w:line="277" w:lineRule="auto"/>
        <w:tabs>
          <w:tab w:leader="none" w:pos="71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entry into, and exercise rights and performance of its obligations under and in connection with the Loan Documents, and any other Indebtedness of the Borrower and the Restricted Subsidiaries permitted under Section 6.01,</w:t>
      </w:r>
    </w:p>
    <w:p>
      <w:pPr>
        <w:spacing w:after="0" w:line="62" w:lineRule="exact"/>
        <w:rPr>
          <w:rFonts w:ascii="Arial" w:cs="Arial" w:eastAsia="Arial" w:hAnsi="Arial"/>
          <w:sz w:val="18"/>
          <w:szCs w:val="18"/>
          <w:color w:val="auto"/>
        </w:rPr>
      </w:pPr>
    </w:p>
    <w:p>
      <w:pPr>
        <w:jc w:val="both"/>
        <w:ind w:firstLine="436"/>
        <w:spacing w:after="0" w:line="311" w:lineRule="auto"/>
        <w:tabs>
          <w:tab w:leader="none" w:pos="67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any public offering of its common stock or any other issuance or registration of its Qualified Equity Interests for sale or resale (including, for the avoidance of doubt, the making of any dividend or distribution on account of, or any redemption, retirement, sinking fund or similar payment, purchase or other acquisition for value of, any shares of any class of Qualified Equity Interests), including the costs, fees and expenses related thereto,</w:t>
      </w:r>
    </w:p>
    <w:p>
      <w:pPr>
        <w:spacing w:after="0" w:line="40" w:lineRule="exact"/>
        <w:rPr>
          <w:rFonts w:ascii="Arial" w:cs="Arial" w:eastAsia="Arial" w:hAnsi="Arial"/>
          <w:sz w:val="16"/>
          <w:szCs w:val="16"/>
          <w:color w:val="auto"/>
        </w:rPr>
      </w:pPr>
    </w:p>
    <w:p>
      <w:pPr>
        <w:jc w:val="both"/>
        <w:ind w:right="20" w:firstLine="436"/>
        <w:spacing w:after="0" w:line="296" w:lineRule="auto"/>
        <w:tabs>
          <w:tab w:leader="none" w:pos="70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(1) holding of any cash, Cash Equivalents and other assets received from, or Investments made by, the Borrower or any Restricted Subsidiary or contributions to the capital of, or proceeds from the issuance of, Equity Interests of the Parent Entities, in each case, pending prompt application thereof in a manner permitted by the terms of this Agreement (including by way of Restricted Payments to any Parent Entity) and (2) the payment of dividends or making of distributions, making of loans and contributions to the capital of its Subsidiaries and guaranteeing the obligations of its Subsidiaries (other than Indebtedness) and making Investments expressly permitted to be made by Holdings under this Agreement,</w:t>
      </w:r>
    </w:p>
    <w:p>
      <w:pPr>
        <w:spacing w:after="0" w:line="53" w:lineRule="exact"/>
        <w:rPr>
          <w:rFonts w:ascii="Arial" w:cs="Arial" w:eastAsia="Arial" w:hAnsi="Arial"/>
          <w:sz w:val="16"/>
          <w:szCs w:val="16"/>
          <w:color w:val="auto"/>
        </w:rPr>
      </w:pPr>
    </w:p>
    <w:p>
      <w:pPr>
        <w:ind w:right="20" w:firstLine="436"/>
        <w:spacing w:after="0" w:line="277" w:lineRule="auto"/>
        <w:tabs>
          <w:tab w:leader="none" w:pos="70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incurring fees, costs and expenses relating to overhead and general operating including professional fees for legal, tax and accounting issues and paying taxes,</w:t>
      </w:r>
    </w:p>
    <w:p>
      <w:pPr>
        <w:spacing w:after="0" w:line="62" w:lineRule="exact"/>
        <w:rPr>
          <w:rFonts w:ascii="Arial" w:cs="Arial" w:eastAsia="Arial" w:hAnsi="Arial"/>
          <w:sz w:val="18"/>
          <w:szCs w:val="18"/>
          <w:color w:val="auto"/>
        </w:rPr>
      </w:pPr>
    </w:p>
    <w:p>
      <w:pPr>
        <w:ind w:right="20" w:firstLine="436"/>
        <w:spacing w:after="0" w:line="277" w:lineRule="auto"/>
        <w:tabs>
          <w:tab w:leader="none" w:pos="69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providing indemnification for its current and former officers, directors, members of management, managers, employees and advisors or consultants,</w:t>
      </w:r>
    </w:p>
    <w:p>
      <w:pPr>
        <w:spacing w:after="0" w:line="62" w:lineRule="exact"/>
        <w:rPr>
          <w:rFonts w:ascii="Arial" w:cs="Arial" w:eastAsia="Arial" w:hAnsi="Arial"/>
          <w:sz w:val="18"/>
          <w:szCs w:val="18"/>
          <w:color w:val="auto"/>
        </w:rPr>
      </w:pPr>
    </w:p>
    <w:p>
      <w:pPr>
        <w:ind w:right="20" w:firstLine="436"/>
        <w:spacing w:after="0" w:line="277" w:lineRule="auto"/>
        <w:tabs>
          <w:tab w:leader="none" w:pos="66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performing of its obligations under the Merger Agreement and the other documents and agreement related thereto, Investments contemplated by the Transactions and transactions that are otherwise specifically permitted or expressly contemplated 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20"/>
          </w:cols>
          <w:pgMar w:left="440" w:top="274" w:right="439" w:bottom="1440" w:gutter="0" w:footer="0" w:header="0"/>
        </w:sectPr>
      </w:pPr>
    </w:p>
    <w:bookmarkStart w:id="209" w:name="page210"/>
    <w:bookmarkEnd w:id="209"/>
    <w:p>
      <w:pPr>
        <w:ind w:left="700" w:hanging="264"/>
        <w:spacing w:after="0"/>
        <w:tabs>
          <w:tab w:leader="none" w:pos="7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activities reasonably incidental to the consummation of an IPO, including payment of Public Company Costs,</w:t>
      </w:r>
    </w:p>
    <w:p>
      <w:pPr>
        <w:spacing w:after="0" w:line="117" w:lineRule="exact"/>
        <w:rPr>
          <w:rFonts w:ascii="Arial" w:cs="Arial" w:eastAsia="Arial" w:hAnsi="Arial"/>
          <w:sz w:val="18"/>
          <w:szCs w:val="18"/>
          <w:color w:val="auto"/>
        </w:rPr>
      </w:pPr>
    </w:p>
    <w:p>
      <w:pPr>
        <w:ind w:left="740" w:hanging="304"/>
        <w:spacing w:after="0"/>
        <w:tabs>
          <w:tab w:leader="none" w:pos="7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activities reasonably incidental to the consummation of a Tax Restructuring,</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the foregoing clauses, and</w:t>
      </w:r>
    </w:p>
    <w:p>
      <w:pPr>
        <w:spacing w:after="0" w:line="117" w:lineRule="exact"/>
        <w:rPr>
          <w:rFonts w:ascii="Arial" w:cs="Arial" w:eastAsia="Arial" w:hAnsi="Arial"/>
          <w:sz w:val="18"/>
          <w:szCs w:val="18"/>
          <w:color w:val="auto"/>
        </w:rPr>
      </w:pPr>
    </w:p>
    <w:p>
      <w:pPr>
        <w:jc w:val="both"/>
        <w:ind w:firstLine="436"/>
        <w:spacing w:after="0" w:line="267" w:lineRule="auto"/>
        <w:tabs>
          <w:tab w:leader="none" w:pos="70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merging, amalgamating or consolidating with any other Person, so long as, solely in the case of a merger, amalgamation or consolidation with a Person that is not a Loan Party, there is no continuing Event of Default after giving effect to such merger, amalgamation or consolidation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Holdings shall be the continuing or surviving Person or (ii) if the Person formed by or surviving any such merger, amalgamation or consolidation is not Holdings or is a Person into which Holdings has been liquidated (any such Person, the “</w:t>
      </w:r>
      <w:r>
        <w:rPr>
          <w:rFonts w:ascii="Arial" w:cs="Arial" w:eastAsia="Arial" w:hAnsi="Arial"/>
          <w:sz w:val="17"/>
          <w:szCs w:val="17"/>
          <w:u w:val="single" w:color="auto"/>
          <w:color w:val="auto"/>
        </w:rPr>
        <w:t>Successor Holdings</w:t>
      </w:r>
      <w:r>
        <w:rPr>
          <w:rFonts w:ascii="Arial" w:cs="Arial" w:eastAsia="Arial" w:hAnsi="Arial"/>
          <w:sz w:val="17"/>
          <w:szCs w:val="17"/>
          <w:color w:val="auto"/>
        </w:rPr>
        <w:t xml:space="preserve">”), (A) the Successor Holdings shall be an entity organized or existing under the laws of the United States, any State thereof or the District of Columbia, (B) the Successor Holdings shall expressly assume all the obligations of Holdings under this Agreement and the other Loan Documents to which Holdings is a party pursuant to a supplement hereto and thereto in form and substance reasonably satisfactory to the Administrative Agent, (C) each Loan Party other than Holdings, unless it is the other party to such merger, amalgamation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Agreement, (D) the Successor Holdings shall, immediately following such merger, amalgamation or consolidation, directly or indirectly own all Subsidiaries owned by Holdings immediately prior to such transaction, (E) Holdings shall have delivered to the Administrative Agent a certificate of a Responsible Officer stating that such merger, amalgamation or consolidation complies with this Agreement and (F) Successor Holdings shall have no assets, liabilities, liens or operations other than those permitted by this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foregoing requirements are satisfied, the Successor Holdings will succeed to, and be substituted for, Holdings under this Agreement and the other Loan Documents;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Holdings agrees to provide any documentation and other information about the Successor Holdings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w:t>
      </w:r>
    </w:p>
    <w:p>
      <w:pPr>
        <w:spacing w:after="0" w:line="190" w:lineRule="exact"/>
        <w:rPr>
          <w:sz w:val="20"/>
          <w:szCs w:val="20"/>
          <w:color w:val="auto"/>
        </w:rPr>
      </w:pPr>
    </w:p>
    <w:p>
      <w:pPr>
        <w:jc w:val="both"/>
        <w:ind w:right="20" w:firstLine="440"/>
        <w:spacing w:after="0" w:line="255"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Negative Pledge; Subsidiary Distributions</w:t>
      </w:r>
      <w:r>
        <w:rPr>
          <w:rFonts w:ascii="Arial" w:cs="Arial" w:eastAsia="Arial" w:hAnsi="Arial"/>
          <w:sz w:val="18"/>
          <w:szCs w:val="18"/>
          <w:color w:val="auto"/>
        </w:rPr>
        <w:t xml:space="preserve">. The Borrower will not, and will not permit any Restricted Subsidiary to, enter into any agreement, instrument, deed or lease that (x)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or (y) prohibits or limits the ability of any Restricted Subsidiary of the Borrower that is not a Loan Party from making Restricted Payments to any Loan Party or from making or repaying intercompany loans to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w:t>
      </w:r>
    </w:p>
    <w:p>
      <w:pPr>
        <w:spacing w:after="0" w:line="84" w:lineRule="exact"/>
        <w:rPr>
          <w:sz w:val="20"/>
          <w:szCs w:val="20"/>
          <w:color w:val="auto"/>
        </w:rPr>
      </w:pPr>
    </w:p>
    <w:p>
      <w:pPr>
        <w:jc w:val="both"/>
        <w:ind w:firstLine="436"/>
        <w:spacing w:after="0" w:line="301" w:lineRule="auto"/>
        <w:tabs>
          <w:tab w:leader="none" w:pos="701"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restrictions and conditions imposed by (i) Requirements of Law, (ii) any Loan Document, (iii) any documentation relating to any Permitted Receivables Financing, (iv) any documentation governing Incremental Equivalent Debt, (v) any documentation governing Permitted Unsecured Refinancing Debt, Permitted Equal Priority Refinancing Debt or Permitted Junior Priority Refinancing Debt, (vi) any documentation governing Indebtedness incurred pursuant to </w:t>
      </w:r>
      <w:r>
        <w:rPr>
          <w:rFonts w:ascii="Arial" w:cs="Arial" w:eastAsia="Arial" w:hAnsi="Arial"/>
          <w:sz w:val="16"/>
          <w:szCs w:val="16"/>
          <w:u w:val="single" w:color="auto"/>
          <w:color w:val="auto"/>
        </w:rPr>
        <w:t>Sections 6.01(a)(vii)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6.01(a)(xiv)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6.01(a)(xix)</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6.01(a)(xxv)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6.01(a)(xxvi)</w:t>
      </w:r>
      <w:r>
        <w:rPr>
          <w:rFonts w:ascii="Arial" w:cs="Arial" w:eastAsia="Arial" w:hAnsi="Arial"/>
          <w:sz w:val="16"/>
          <w:szCs w:val="16"/>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20"/>
          </w:cols>
          <w:pgMar w:left="440" w:top="274" w:right="439" w:bottom="1440" w:gutter="0" w:footer="0" w:header="0"/>
        </w:sectPr>
      </w:pPr>
    </w:p>
    <w:bookmarkStart w:id="210" w:name="page211"/>
    <w:bookmarkEnd w:id="210"/>
    <w:p>
      <w:pPr>
        <w:jc w:val="both"/>
        <w:spacing w:after="0" w:line="27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6.01(a)(xxvii)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6.01(a)(xxviii)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6.01(a)(xxix)</w:t>
      </w:r>
      <w:r>
        <w:rPr>
          <w:rFonts w:ascii="Arial" w:cs="Arial" w:eastAsia="Arial" w:hAnsi="Arial"/>
          <w:sz w:val="17"/>
          <w:szCs w:val="17"/>
          <w:color w:val="auto"/>
        </w:rPr>
        <w:t xml:space="preserve">, (viii) any documentation governing any Permitted Refinancing incurred to refinance any such Indebtedness referenced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Indebtedness referenced in (A) </w:t>
      </w:r>
      <w:r>
        <w:rPr>
          <w:rFonts w:ascii="Arial" w:cs="Arial" w:eastAsia="Arial" w:hAnsi="Arial"/>
          <w:sz w:val="17"/>
          <w:szCs w:val="17"/>
          <w:u w:val="single" w:color="auto"/>
          <w:color w:val="auto"/>
        </w:rPr>
        <w:t>clauses (v)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above, such restrictions shall be no more restrictive in any material respect, taken as a whole, than the restrictions and conditions in the Loan Documents, taken as a whole, or, in the case of other Indebtedness permitted under Section 6.01, such encumbrances and restrictions contained in any agreement or instrument taken as a whole are not materially less favorable to the Lenders than the encumbrances and restrictions contained in this Agreement, taken as a whole (as determined by the Borrower in good faith) and (B)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above, such restrictions shall not expand the scope in any material respect of any such restriction or condition contained in the Indebtedness being refinanced;</w:t>
      </w:r>
    </w:p>
    <w:p>
      <w:pPr>
        <w:spacing w:after="0" w:line="69" w:lineRule="exact"/>
        <w:rPr>
          <w:sz w:val="20"/>
          <w:szCs w:val="20"/>
          <w:color w:val="auto"/>
        </w:rPr>
      </w:pPr>
    </w:p>
    <w:p>
      <w:pPr>
        <w:ind w:right="20" w:firstLine="436"/>
        <w:spacing w:after="0" w:line="342" w:lineRule="auto"/>
        <w:tabs>
          <w:tab w:leader="none" w:pos="71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15" w:lineRule="exact"/>
        <w:rPr>
          <w:rFonts w:ascii="Arial" w:cs="Arial" w:eastAsia="Arial" w:hAnsi="Arial"/>
          <w:sz w:val="16"/>
          <w:szCs w:val="16"/>
          <w:color w:val="auto"/>
        </w:rPr>
      </w:pPr>
    </w:p>
    <w:p>
      <w:pPr>
        <w:jc w:val="both"/>
        <w:ind w:right="20" w:firstLine="436"/>
        <w:spacing w:after="0" w:line="263" w:lineRule="auto"/>
        <w:tabs>
          <w:tab w:leader="none" w:pos="68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restrictions and conditions contained in agreements relating to the Disposition of a Subsidiary or any assets pending such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and conditions apply only to the Subsidiary or assets that is or are subject of such Disposition and such Disposition is permitted hereunder;</w:t>
      </w:r>
    </w:p>
    <w:p>
      <w:pPr>
        <w:spacing w:after="0" w:line="75" w:lineRule="exact"/>
        <w:rPr>
          <w:rFonts w:ascii="Arial" w:cs="Arial" w:eastAsia="Arial" w:hAnsi="Arial"/>
          <w:sz w:val="18"/>
          <w:szCs w:val="18"/>
          <w:color w:val="auto"/>
        </w:rPr>
      </w:pPr>
    </w:p>
    <w:p>
      <w:pPr>
        <w:jc w:val="both"/>
        <w:ind w:firstLine="436"/>
        <w:spacing w:after="0" w:line="263" w:lineRule="auto"/>
        <w:tabs>
          <w:tab w:leader="none" w:pos="71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customary provisions in leases, subleases, licenses, cross-licenses or sublicenses and other contracts restricting the assignment thereof and restrictions that include customary provisions restricting assignment of any agreement entered into in the ordinary course of business or consistent with past practice;</w:t>
      </w:r>
    </w:p>
    <w:p>
      <w:pPr>
        <w:spacing w:after="0" w:line="75" w:lineRule="exact"/>
        <w:rPr>
          <w:rFonts w:ascii="Arial" w:cs="Arial" w:eastAsia="Arial" w:hAnsi="Arial"/>
          <w:sz w:val="18"/>
          <w:szCs w:val="18"/>
          <w:color w:val="auto"/>
        </w:rPr>
      </w:pPr>
    </w:p>
    <w:p>
      <w:pPr>
        <w:ind w:firstLine="436"/>
        <w:spacing w:after="0" w:line="277" w:lineRule="auto"/>
        <w:tabs>
          <w:tab w:leader="none" w:pos="68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restrictions imposed by any agreement relating to secured Indebtedness permitted by this Agreement to the extent such restriction applies only to the property securing by such Indebtedness;</w:t>
      </w:r>
    </w:p>
    <w:p>
      <w:pPr>
        <w:spacing w:after="0" w:line="62" w:lineRule="exact"/>
        <w:rPr>
          <w:rFonts w:ascii="Arial" w:cs="Arial" w:eastAsia="Arial" w:hAnsi="Arial"/>
          <w:sz w:val="18"/>
          <w:szCs w:val="18"/>
          <w:color w:val="auto"/>
        </w:rPr>
      </w:pPr>
    </w:p>
    <w:p>
      <w:pPr>
        <w:jc w:val="both"/>
        <w:ind w:firstLine="436"/>
        <w:spacing w:after="0" w:line="259" w:lineRule="auto"/>
        <w:tabs>
          <w:tab w:leader="none" w:pos="69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was not entered into in contemplation of such Person becoming a Restricted Subsidiary and the restriction or condition set forth in such agreement does not apply to the Borrower or any Restricted Subsidiary;</w:t>
      </w:r>
    </w:p>
    <w:p>
      <w:pPr>
        <w:spacing w:after="0" w:line="78" w:lineRule="exact"/>
        <w:rPr>
          <w:rFonts w:ascii="Arial" w:cs="Arial" w:eastAsia="Arial" w:hAnsi="Arial"/>
          <w:sz w:val="18"/>
          <w:szCs w:val="18"/>
          <w:color w:val="auto"/>
        </w:rPr>
      </w:pPr>
    </w:p>
    <w:p>
      <w:pPr>
        <w:jc w:val="both"/>
        <w:ind w:firstLine="436"/>
        <w:spacing w:after="0" w:line="275" w:lineRule="auto"/>
        <w:tabs>
          <w:tab w:leader="none" w:pos="697"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restrictions or conditions in any Indebtedness permitted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that is incurred or assumed by Restricted Subsidiaries that are not Loan Parties to the extent such restrictions or conditions are no more restrictive in any material respect, when taken as a whole, than the restrictions and conditions in the Loan Documents, when taken as a whole, or, in the case of other Indebtedness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such encumbrances and restrictions contained in any agreement or instrument taken as a whole are not materially less favorable to the Lenders than the encumbrances and restrictions contained in this Agreement (as determined by the Borrower in good faith);</w:t>
      </w:r>
    </w:p>
    <w:p>
      <w:pPr>
        <w:spacing w:after="0" w:line="68" w:lineRule="exact"/>
        <w:rPr>
          <w:rFonts w:ascii="Arial" w:cs="Arial" w:eastAsia="Arial" w:hAnsi="Arial"/>
          <w:sz w:val="17"/>
          <w:szCs w:val="17"/>
          <w:color w:val="auto"/>
        </w:rPr>
      </w:pPr>
    </w:p>
    <w:p>
      <w:pPr>
        <w:ind w:right="20" w:firstLine="436"/>
        <w:spacing w:after="0" w:line="277" w:lineRule="auto"/>
        <w:tabs>
          <w:tab w:leader="none" w:pos="70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restrictions on cash (or Cash Equivalents) or other deposits imposed by agreements entered into in the ordinary course of business (or other restrictions on cash or deposits constituting Permitted Encumbrances);</w:t>
      </w:r>
    </w:p>
    <w:p>
      <w:pPr>
        <w:spacing w:after="0" w:line="62" w:lineRule="exact"/>
        <w:rPr>
          <w:rFonts w:ascii="Arial" w:cs="Arial" w:eastAsia="Arial" w:hAnsi="Arial"/>
          <w:sz w:val="18"/>
          <w:szCs w:val="18"/>
          <w:color w:val="auto"/>
        </w:rPr>
      </w:pPr>
    </w:p>
    <w:p>
      <w:pPr>
        <w:ind w:right="20" w:firstLine="436"/>
        <w:spacing w:after="0" w:line="277" w:lineRule="auto"/>
        <w:tabs>
          <w:tab w:leader="none" w:pos="66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restrictions set forth on </w:t>
      </w:r>
      <w:r>
        <w:rPr>
          <w:rFonts w:ascii="Arial" w:cs="Arial" w:eastAsia="Arial" w:hAnsi="Arial"/>
          <w:sz w:val="18"/>
          <w:szCs w:val="18"/>
          <w:u w:val="single" w:color="auto"/>
          <w:color w:val="auto"/>
        </w:rPr>
        <w:t>Schedule 6.07</w:t>
      </w:r>
      <w:r>
        <w:rPr>
          <w:rFonts w:ascii="Arial" w:cs="Arial" w:eastAsia="Arial" w:hAnsi="Arial"/>
          <w:sz w:val="18"/>
          <w:szCs w:val="18"/>
          <w:color w:val="auto"/>
        </w:rPr>
        <w:t xml:space="preserve"> and any extension, renewal, amendment, modification or replacement thereof, except to the extent any such amendment, modification or replacement expands the scope of any such restriction or condition;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20"/>
          </w:cols>
          <w:pgMar w:left="440" w:top="274" w:right="439" w:bottom="1440" w:gutter="0" w:footer="0" w:header="0"/>
        </w:sectPr>
      </w:pPr>
    </w:p>
    <w:bookmarkStart w:id="211" w:name="page212"/>
    <w:bookmarkEnd w:id="211"/>
    <w:p>
      <w:pPr>
        <w:ind w:left="4" w:right="20" w:firstLine="436"/>
        <w:spacing w:after="0" w:line="342" w:lineRule="auto"/>
        <w:tabs>
          <w:tab w:leader="none" w:pos="674" w:val="left"/>
        </w:tabs>
        <w:numPr>
          <w:ilvl w:val="1"/>
          <w:numId w:val="2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customary provisions in partnership agreements, limited liability company organizational governance documents, sale leaseback agreements, Joint Venture agreements and other similar agreements, in each case, entered into in the ordinary course of business or consistent with past practice;</w:t>
      </w:r>
    </w:p>
    <w:p>
      <w:pPr>
        <w:spacing w:after="0" w:line="15" w:lineRule="exact"/>
        <w:rPr>
          <w:rFonts w:ascii="Arial" w:cs="Arial" w:eastAsia="Arial" w:hAnsi="Arial"/>
          <w:sz w:val="16"/>
          <w:szCs w:val="16"/>
          <w:color w:val="auto"/>
        </w:rPr>
      </w:pPr>
    </w:p>
    <w:p>
      <w:pPr>
        <w:jc w:val="both"/>
        <w:ind w:left="4" w:right="20" w:firstLine="436"/>
        <w:spacing w:after="0" w:line="255" w:lineRule="auto"/>
        <w:tabs>
          <w:tab w:leader="none" w:pos="703" w:val="left"/>
        </w:tabs>
        <w:numPr>
          <w:ilvl w:val="1"/>
          <w:numId w:val="250"/>
        </w:numPr>
        <w:rPr>
          <w:rFonts w:ascii="Arial" w:cs="Arial" w:eastAsia="Arial" w:hAnsi="Arial"/>
          <w:sz w:val="18"/>
          <w:szCs w:val="18"/>
          <w:color w:val="auto"/>
        </w:rPr>
      </w:pPr>
      <w:r>
        <w:rPr>
          <w:rFonts w:ascii="Arial" w:cs="Arial" w:eastAsia="Arial" w:hAnsi="Arial"/>
          <w:sz w:val="18"/>
          <w:szCs w:val="18"/>
          <w:color w:val="auto"/>
        </w:rPr>
        <w:t>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restrictions arising in any Swap Agreement and/or any agreement relating to any Cash Management Obligation; and</w:t>
      </w:r>
    </w:p>
    <w:p>
      <w:pPr>
        <w:spacing w:after="0" w:line="102" w:lineRule="exact"/>
        <w:rPr>
          <w:rFonts w:ascii="Arial" w:cs="Arial" w:eastAsia="Arial" w:hAnsi="Arial"/>
          <w:sz w:val="18"/>
          <w:szCs w:val="18"/>
          <w:color w:val="auto"/>
        </w:rPr>
      </w:pPr>
    </w:p>
    <w:p>
      <w:pPr>
        <w:jc w:val="both"/>
        <w:ind w:left="4" w:firstLine="436"/>
        <w:spacing w:after="0" w:line="257" w:lineRule="auto"/>
        <w:tabs>
          <w:tab w:leader="none" w:pos="75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 xml:space="preserve">restrictions or conditions contained in any trading, netting, operating, construction, service, supply, purchase, sale or other agreement to which the Borrower or any Restricted Subsidiary is a party, entered into in the ordinary course of business or consistent with past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prohibits the encumbrance of solely the property or assets of the Borrower or such Restricted Subsidiary that are the subject of such agreement, the payment rights arising thereunder or the proceeds thereof and does not extend to any other asset or property of the Borrower or such Restricted Subsidiary or the assets or property of another Restricted Subsidiary.</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Restricted Payments; Certain Payments of Indebtedness</w:t>
      </w:r>
      <w:r>
        <w:rPr>
          <w:rFonts w:ascii="Arial" w:cs="Arial" w:eastAsia="Arial" w:hAnsi="Arial"/>
          <w:sz w:val="18"/>
          <w:szCs w:val="18"/>
          <w:color w:val="auto"/>
        </w:rPr>
        <w:t>.</w:t>
      </w:r>
    </w:p>
    <w:p>
      <w:pPr>
        <w:spacing w:after="0" w:line="117" w:lineRule="exact"/>
        <w:rPr>
          <w:sz w:val="20"/>
          <w:szCs w:val="20"/>
          <w:color w:val="auto"/>
        </w:rPr>
      </w:pPr>
    </w:p>
    <w:p>
      <w:pPr>
        <w:ind w:left="684" w:hanging="244"/>
        <w:spacing w:after="0"/>
        <w:tabs>
          <w:tab w:leader="none" w:pos="68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Borrower will not, and will not permit any Restricted Subsidiary to, pay or make, directly or indirectly, any Restricted Payment, except:</w:t>
      </w:r>
    </w:p>
    <w:p>
      <w:pPr>
        <w:spacing w:after="0" w:line="46" w:lineRule="exact"/>
        <w:rPr>
          <w:rFonts w:ascii="Arial" w:cs="Arial" w:eastAsia="Arial" w:hAnsi="Arial"/>
          <w:sz w:val="16"/>
          <w:szCs w:val="16"/>
          <w:color w:val="auto"/>
        </w:rPr>
      </w:pPr>
    </w:p>
    <w:p>
      <w:pPr>
        <w:jc w:val="both"/>
        <w:ind w:left="444" w:right="20" w:firstLine="419"/>
        <w:spacing w:after="0" w:line="255" w:lineRule="auto"/>
        <w:tabs>
          <w:tab w:leader="none" w:pos="109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each Restricted Subsidiary may make Restricted Payments to the Borrower or any Restricted Subsidiary (and, in the case of any such Subsidiary that is not a wholly-owned Subsidiary, to each other owner of Equity Interests of such Subsidiary ratably based on their relative ownership interests of the relevant class of Equity Interests);</w:t>
      </w:r>
    </w:p>
    <w:p>
      <w:pPr>
        <w:spacing w:after="0" w:line="81" w:lineRule="exact"/>
        <w:rPr>
          <w:rFonts w:ascii="Arial" w:cs="Arial" w:eastAsia="Arial" w:hAnsi="Arial"/>
          <w:sz w:val="18"/>
          <w:szCs w:val="18"/>
          <w:color w:val="auto"/>
        </w:rPr>
      </w:pPr>
    </w:p>
    <w:p>
      <w:pPr>
        <w:ind w:left="444" w:right="20" w:firstLine="419"/>
        <w:spacing w:after="0" w:line="277" w:lineRule="auto"/>
        <w:tabs>
          <w:tab w:leader="none" w:pos="1147"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to the extent constituting a Restricted Payment, the Borrower may consummate any transaction permitted by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(other than clause (i) thereof) and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6.04(m), (n)</w:t>
      </w:r>
      <w:r>
        <w:rPr>
          <w:rFonts w:ascii="Arial" w:cs="Arial" w:eastAsia="Arial" w:hAnsi="Arial"/>
          <w:sz w:val="18"/>
          <w:szCs w:val="18"/>
          <w:color w:val="auto"/>
        </w:rPr>
        <w:t xml:space="preserve">, </w:t>
      </w:r>
      <w:r>
        <w:rPr>
          <w:rFonts w:ascii="Arial" w:cs="Arial" w:eastAsia="Arial" w:hAnsi="Arial"/>
          <w:sz w:val="18"/>
          <w:szCs w:val="18"/>
          <w:u w:val="single" w:color="auto"/>
          <w:color w:val="auto"/>
        </w:rPr>
        <w:t>(q)</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84" w:hanging="321"/>
        <w:spacing w:after="0"/>
        <w:tabs>
          <w:tab w:leader="none" w:pos="118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Restricted Payments made in connection with any Permitted Receivables Financing;</w:t>
      </w:r>
    </w:p>
    <w:p>
      <w:pPr>
        <w:spacing w:after="0" w:line="117" w:lineRule="exact"/>
        <w:rPr>
          <w:rFonts w:ascii="Arial" w:cs="Arial" w:eastAsia="Arial" w:hAnsi="Arial"/>
          <w:sz w:val="18"/>
          <w:szCs w:val="18"/>
          <w:color w:val="auto"/>
        </w:rPr>
      </w:pPr>
    </w:p>
    <w:p>
      <w:pPr>
        <w:jc w:val="both"/>
        <w:ind w:left="444" w:firstLine="419"/>
        <w:spacing w:after="0" w:line="253" w:lineRule="auto"/>
        <w:tabs>
          <w:tab w:leader="none" w:pos="117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Holdings and the Borrower may (or may pay Restricted Payments to permit any Parent Entity thereof or any Equityholding Vehicle to) redeem, repurchase, retire or otherwise acquire in whole or in part any Equity Interests of Holdings, the Borrower or any Restricted Subsidiary or any Equity Interests of any Parent Entity or Equityholding Vehicle, in exchange for another class of Equity Interests or rights to acquire its Equity Interests or with proceeds from equity contributions or sales or issuances (other than to Holdings, the Borrower or a Restricted Subsidiary) of new shares of such Equity Interests to the extent contributed to Holdings or the Borrower (in each case other than Disqualified Equity Interests, “</w:t>
      </w:r>
      <w:r>
        <w:rPr>
          <w:rFonts w:ascii="Arial" w:cs="Arial" w:eastAsia="Arial" w:hAnsi="Arial"/>
          <w:sz w:val="18"/>
          <w:szCs w:val="18"/>
          <w:u w:val="single" w:color="auto"/>
          <w:color w:val="auto"/>
        </w:rPr>
        <w:t>Refunding Equity Interests</w:t>
      </w:r>
      <w:r>
        <w:rPr>
          <w:rFonts w:ascii="Arial" w:cs="Arial" w:eastAsia="Arial" w:hAnsi="Arial"/>
          <w:sz w:val="18"/>
          <w:szCs w:val="18"/>
          <w:color w:val="auto"/>
        </w:rPr>
        <w:t xml:space="preserve">”) substantially concurrently with such contribution or sale or issuance;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terms and provisions material to the interests of the Lenders, when taken as a whole, contained in such Refunding Equity Interests are at least as advantageous to the Lenders as those contained in the Equity Interests redeemed thereby and (ii) Holdings, the Borrower, and any Restricted Subsidiary may pay Restricted Payments payable solely in the Equity Interests (other than Disqualified Equity Interests not otherwise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of such Person;</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24"/>
          </w:cols>
          <w:pgMar w:left="436" w:top="274" w:right="439" w:bottom="1440" w:gutter="0" w:footer="0" w:header="0"/>
        </w:sectPr>
      </w:pPr>
    </w:p>
    <w:bookmarkStart w:id="212" w:name="page213"/>
    <w:bookmarkEnd w:id="212"/>
    <w:p>
      <w:pPr>
        <w:jc w:val="both"/>
        <w:ind w:right="20" w:firstLine="419"/>
        <w:spacing w:after="0" w:line="263" w:lineRule="auto"/>
        <w:tabs>
          <w:tab w:leader="none" w:pos="685"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repurchases of Equity Interests in any Parent Entity (or make Restricted Payments to allow repurchases of Equity Interest in any Parent Entity) deemed to occur upon exercise of stock options or warrants or other incentive interests if such Equity Interests represent a portion of the exercise price of such stock options or warrants or other incentive interests;</w:t>
      </w:r>
    </w:p>
    <w:p>
      <w:pPr>
        <w:spacing w:after="0" w:line="75" w:lineRule="exact"/>
        <w:rPr>
          <w:rFonts w:ascii="Arial" w:cs="Arial" w:eastAsia="Arial" w:hAnsi="Arial"/>
          <w:sz w:val="18"/>
          <w:szCs w:val="18"/>
          <w:color w:val="auto"/>
        </w:rPr>
      </w:pPr>
    </w:p>
    <w:p>
      <w:pPr>
        <w:jc w:val="both"/>
        <w:ind w:firstLine="419"/>
        <w:spacing w:after="0" w:line="285" w:lineRule="auto"/>
        <w:tabs>
          <w:tab w:leader="none" w:pos="72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the Borrower may redeem, acquire, retire or repurchase its Equity Interests (or any options, warrants, restricted stock, stock appreciation rights or other equity-linked interests issued with respect to any of such Equity Interests) or make Restricted Payments to allow any of its Parent Entities to so redeem, retire, acquire or repurchase their Equity Interests (or any options, warrants, restricted stock, stock appreciation rights or other equity-linked interests issued with respect to any of such Equity Interests), in each case, held by current or former officers, managers, consultants, directors, employees, independent contractors or other service providers (or their respective Immediate Family Members) of the Borrower or any Parent Entity thereof and the Restricted Subsidiaries, upon the death, disability, retirement or termination of employment or service of, or breach of restrictive covenants by, any such Person or otherwise in accordance with any stock option or stock appreciation rights plan, any management, director and/or employee stock ownership or incentive plan, stock subscription plan, stock subscription or equity incentive award agreement, employment termination agreement or any other employment agreements or equity holders’ agreement or similar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Restricted Payments permitted by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after the Effective Date, together with the aggregate amount of loans and advances to Holdings (or any other Parent Entity) previously made pursuant to </w:t>
      </w:r>
      <w:r>
        <w:rPr>
          <w:rFonts w:ascii="Arial" w:cs="Arial" w:eastAsia="Arial" w:hAnsi="Arial"/>
          <w:sz w:val="16"/>
          <w:szCs w:val="16"/>
          <w:u w:val="single" w:color="auto"/>
          <w:color w:val="auto"/>
        </w:rPr>
        <w:t>Section 6.04(m)</w:t>
      </w:r>
      <w:r>
        <w:rPr>
          <w:rFonts w:ascii="Arial" w:cs="Arial" w:eastAsia="Arial" w:hAnsi="Arial"/>
          <w:sz w:val="16"/>
          <w:szCs w:val="16"/>
          <w:color w:val="auto"/>
        </w:rPr>
        <w:t xml:space="preserve"> in lieu of Restricted Payments permitted by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not exceed </w:t>
      </w:r>
      <w:r>
        <w:rPr>
          <w:rFonts w:ascii="Arial" w:cs="Arial" w:eastAsia="Arial" w:hAnsi="Arial"/>
          <w:sz w:val="16"/>
          <w:szCs w:val="16"/>
          <w:color w:val="FF4338"/>
          <w:strike w:val="1"/>
        </w:rPr>
        <w:t>$5,000,000</w:t>
      </w:r>
      <w:r>
        <w:rPr>
          <w:rFonts w:ascii="Arial" w:cs="Arial" w:eastAsia="Arial" w:hAnsi="Arial"/>
          <w:sz w:val="16"/>
          <w:szCs w:val="16"/>
          <w:u w:val="single" w:color="auto"/>
          <w:color w:val="0000FF"/>
        </w:rPr>
        <w:t>(x) during the Suspension Period, $1,000,000</w:t>
      </w:r>
      <w:r>
        <w:rPr>
          <w:rFonts w:ascii="Arial" w:cs="Arial" w:eastAsia="Arial" w:hAnsi="Arial"/>
          <w:sz w:val="16"/>
          <w:szCs w:val="16"/>
          <w:color w:val="auto"/>
        </w:rPr>
        <w:t xml:space="preserve"> in any fiscal year (</w:t>
      </w:r>
      <w:r>
        <w:rPr>
          <w:rFonts w:ascii="Arial" w:cs="Arial" w:eastAsia="Arial" w:hAnsi="Arial"/>
          <w:sz w:val="16"/>
          <w:szCs w:val="16"/>
          <w:color w:val="FF4338"/>
          <w:strike w:val="1"/>
        </w:rPr>
        <w:t>which shall</w:t>
      </w:r>
      <w:r>
        <w:rPr>
          <w:rFonts w:ascii="Arial" w:cs="Arial" w:eastAsia="Arial" w:hAnsi="Arial"/>
          <w:sz w:val="16"/>
          <w:szCs w:val="16"/>
          <w:color w:val="auto"/>
        </w:rPr>
        <w:t xml:space="preserve"> </w:t>
      </w:r>
      <w:r>
        <w:rPr>
          <w:rFonts w:ascii="Arial" w:cs="Arial" w:eastAsia="Arial" w:hAnsi="Arial"/>
          <w:sz w:val="16"/>
          <w:szCs w:val="16"/>
          <w:color w:val="FF4338"/>
          <w:strike w:val="1"/>
        </w:rPr>
        <w:t>increase to $10,000,000 following the consummation of an IPO)</w:t>
      </w:r>
      <w:r>
        <w:rPr>
          <w:rFonts w:ascii="Arial" w:cs="Arial" w:eastAsia="Arial" w:hAnsi="Arial"/>
          <w:sz w:val="16"/>
          <w:szCs w:val="16"/>
          <w:u w:val="single" w:color="auto"/>
          <w:color w:val="0000FF"/>
          <w:strike w:val="1"/>
        </w:rPr>
        <w:t>and any unused amounts in any fiscal year shall not be permitted to be carried</w:t>
      </w:r>
      <w:r>
        <w:rPr>
          <w:rFonts w:ascii="Arial" w:cs="Arial" w:eastAsia="Arial" w:hAnsi="Arial"/>
          <w:sz w:val="16"/>
          <w:szCs w:val="16"/>
          <w:color w:val="FF4338"/>
          <w:strike w:val="1"/>
        </w:rPr>
        <w:t xml:space="preserve"> </w:t>
      </w:r>
      <w:r>
        <w:rPr>
          <w:rFonts w:ascii="Arial" w:cs="Arial" w:eastAsia="Arial" w:hAnsi="Arial"/>
          <w:sz w:val="16"/>
          <w:szCs w:val="16"/>
          <w:u w:val="single" w:color="auto"/>
          <w:color w:val="0000FF"/>
          <w:strike w:val="1"/>
        </w:rPr>
        <w:t>over to succeeding fiscal years), and (y) after the Suspension Period has ended, $10,000,000 in any fiscal year (</w:t>
      </w:r>
      <w:r>
        <w:rPr>
          <w:rFonts w:ascii="Arial" w:cs="Arial" w:eastAsia="Arial" w:hAnsi="Arial"/>
          <w:sz w:val="16"/>
          <w:szCs w:val="16"/>
          <w:color w:val="000000"/>
          <w:strike w:val="1"/>
        </w:rPr>
        <w:t>with unused amounts in any fiscal</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year being carried over for no more than two succeeding fiscal years</w:t>
      </w:r>
      <w:r>
        <w:rPr>
          <w:rFonts w:ascii="Arial" w:cs="Arial" w:eastAsia="Arial" w:hAnsi="Arial"/>
          <w:sz w:val="16"/>
          <w:szCs w:val="16"/>
          <w:u w:val="single" w:color="auto"/>
          <w:color w:val="0000FF"/>
          <w:strike w:val="1"/>
        </w:rPr>
        <w:t>),</w:t>
      </w:r>
      <w:r>
        <w:rPr>
          <w:rFonts w:ascii="Arial" w:cs="Arial" w:eastAsia="Arial" w:hAnsi="Arial"/>
          <w:sz w:val="16"/>
          <w:szCs w:val="16"/>
          <w:color w:val="000000"/>
          <w:strike w:val="1"/>
        </w:rPr>
        <w:t xml:space="preserve"> plus all net cash proceeds obtained from any key-man life insurance policies received during such fiscal year (without giving effect to the following proviso) </w:t>
      </w:r>
      <w:r>
        <w:rPr>
          <w:rFonts w:ascii="Arial" w:cs="Arial" w:eastAsia="Arial" w:hAnsi="Arial"/>
          <w:sz w:val="16"/>
          <w:szCs w:val="16"/>
          <w:u w:val="single" w:color="auto"/>
          <w:color w:val="000000"/>
          <w:strike w:val="1"/>
        </w:rPr>
        <w:t>plus</w:t>
      </w:r>
      <w:r>
        <w:rPr>
          <w:rFonts w:ascii="Arial" w:cs="Arial" w:eastAsia="Arial" w:hAnsi="Arial"/>
          <w:sz w:val="16"/>
          <w:szCs w:val="16"/>
          <w:color w:val="000000"/>
          <w:strike w:val="1"/>
        </w:rPr>
        <w:t xml:space="preserve"> all proceeds obtained by the Borrower or any Parent Entity (and contributed to the Borrower) after the Effective Date from the sale of such Equity Interests to other future, current or former officers, managers, consultants, employees, directors and independent contractors (or their respective Immediate Family Members) in connection with any plan or agreement referred to above in this </w:t>
      </w:r>
      <w:r>
        <w:rPr>
          <w:rFonts w:ascii="Arial" w:cs="Arial" w:eastAsia="Arial" w:hAnsi="Arial"/>
          <w:sz w:val="16"/>
          <w:szCs w:val="16"/>
          <w:u w:val="single" w:color="auto"/>
          <w:color w:val="000000"/>
          <w:strike w:val="1"/>
        </w:rPr>
        <w:t>clause (a)(vi)</w:t>
      </w:r>
      <w:r>
        <w:rPr>
          <w:rFonts w:ascii="Arial" w:cs="Arial" w:eastAsia="Arial" w:hAnsi="Arial"/>
          <w:sz w:val="16"/>
          <w:szCs w:val="16"/>
          <w:color w:val="000000"/>
          <w:strike w:val="1"/>
        </w:rPr>
        <w:t>;</w:t>
      </w:r>
    </w:p>
    <w:p>
      <w:pPr>
        <w:spacing w:after="0" w:line="60" w:lineRule="exact"/>
        <w:rPr>
          <w:rFonts w:ascii="Arial" w:cs="Arial" w:eastAsia="Arial" w:hAnsi="Arial"/>
          <w:sz w:val="16"/>
          <w:szCs w:val="16"/>
          <w:color w:val="auto"/>
        </w:rPr>
      </w:pPr>
    </w:p>
    <w:p>
      <w:pPr>
        <w:ind w:left="780" w:hanging="361"/>
        <w:spacing w:after="0"/>
        <w:tabs>
          <w:tab w:leader="none" w:pos="7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Borrower may make Restricted Payments in cash to Holdings or any other Parent Entity:</w:t>
      </w:r>
    </w:p>
    <w:p>
      <w:pPr>
        <w:spacing w:after="0" w:line="117" w:lineRule="exact"/>
        <w:rPr>
          <w:rFonts w:ascii="Arial" w:cs="Arial" w:eastAsia="Arial" w:hAnsi="Arial"/>
          <w:sz w:val="18"/>
          <w:szCs w:val="18"/>
          <w:color w:val="auto"/>
        </w:rPr>
      </w:pPr>
    </w:p>
    <w:p>
      <w:pPr>
        <w:jc w:val="both"/>
        <w:ind w:left="540" w:firstLine="408"/>
        <w:spacing w:after="0" w:line="289" w:lineRule="auto"/>
        <w:tabs>
          <w:tab w:leader="none" w:pos="1242" w:val="left"/>
        </w:tabs>
        <w:numPr>
          <w:ilvl w:val="1"/>
          <w:numId w:val="253"/>
        </w:numPr>
        <w:rPr>
          <w:rFonts w:ascii="Arial" w:cs="Arial" w:eastAsia="Arial" w:hAnsi="Arial"/>
          <w:sz w:val="16"/>
          <w:szCs w:val="16"/>
          <w:color w:val="auto"/>
        </w:rPr>
      </w:pPr>
      <w:r>
        <w:rPr>
          <w:rFonts w:ascii="Arial" w:cs="Arial" w:eastAsia="Arial" w:hAnsi="Arial"/>
          <w:sz w:val="16"/>
          <w:szCs w:val="16"/>
          <w:color w:val="auto"/>
        </w:rPr>
        <w:t>so long as the Borrower is properly treated as a flow-through entity for U.S. federal income tax purposes, to enable Holdings or such Parent Entity to make tax distributions to its direct or indirect equity owners to pay their respective tax liabilities (including estimated payments thereof) attributable to the income of the Borrower and its subsidiaries in any taxable period; provided that such tax liabilities shall be calculated for each taxable year by multiplying (I) the excess of each such equity owner’s allocated share of taxable income over taxable losses of the Borrower for such taxable year (or if the Borrower is a disregarded entity, the excess of taxable income over taxable losses of the Borrower that would exist if such excess were calculated assuming that the Borrower is a partnership for U.S. federal income tax purposes), taking into account such losses only to the extent usable against such income, determined taking into account any step-up attributable to a direct or indirect member of the Borrower under section 743(b) or 734(b) of the Code, reduced by any losses, deductions, credits and other attributes of the Borrower (or if the Borrower is a disregarded entity, such losses, deductions, credits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3138170</wp:posOffset>
            </wp:positionH>
            <wp:positionV relativeFrom="paragraph">
              <wp:posOffset>-2482215</wp:posOffset>
            </wp:positionV>
            <wp:extent cx="21170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17090" cy="825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-2345055</wp:posOffset>
            </wp:positionV>
            <wp:extent cx="369443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6944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-2207895</wp:posOffset>
            </wp:positionV>
            <wp:extent cx="513461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34610"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-2070735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-2105025</wp:posOffset>
            </wp:positionV>
            <wp:extent cx="2362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36220" cy="8890"/>
                    </a:xfrm>
                    <a:prstGeom prst="rect">
                      <a:avLst/>
                    </a:prstGeom>
                    <a:noFill/>
                  </pic:spPr>
                </pic:pic>
              </a:graphicData>
            </a:graphic>
          </wp:anchor>
        </w:drawing>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580"/>
          </w:cols>
          <w:pgMar w:left="880" w:top="274" w:right="439" w:bottom="1440" w:gutter="0" w:footer="0" w:header="0"/>
        </w:sectPr>
      </w:pPr>
    </w:p>
    <w:bookmarkStart w:id="213" w:name="page214"/>
    <w:bookmarkEnd w:id="213"/>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attributes of the Borrower that would exist if the Borrower is a partnership for U.S. federal income tax purposes) arising from and after the Closing Date to the extent such amounts can be used to offset such taxable income and have not previously been taken into account as an offset hereunder, by (II) the highest combined marginal U.S. federal, state and local tax rate then applicable to a natural person or corporation residing in New York City, New York or San Francisco, California (taking into account the application of the Medicare contribution tax, the character of the taxable income in question, and the alternative minimum tax rules, taking into account the character of income (long-term capital gain, qualified dividend income, etc.) and determined after giving effect to the maximum allowable deduction for state and local income taxes for U.S. federal income tax purposes) for the relevant taxable period; provided further that the amount of any distribution permitted under this subclause (A) shall be reduced by the amount of any income taxes that are paid directly by the Borrower and attributable to such equity owner; provided, further, that to the extent a portion of the net taxable income of the Borrower is attributable to an Unrestricted Subsidiary, the tax distributions with respect to such portion shall be allowed only to the extent actual cash is received by the Borrower or its Restricted Subsidiary from such Unrestricted Subsidiary;</w:t>
      </w:r>
    </w:p>
    <w:p>
      <w:pPr>
        <w:spacing w:after="0" w:line="74" w:lineRule="exact"/>
        <w:rPr>
          <w:sz w:val="20"/>
          <w:szCs w:val="20"/>
          <w:color w:val="auto"/>
        </w:rPr>
      </w:pPr>
    </w:p>
    <w:p>
      <w:pPr>
        <w:jc w:val="both"/>
        <w:ind w:firstLine="408"/>
        <w:spacing w:after="0" w:line="271" w:lineRule="auto"/>
        <w:tabs>
          <w:tab w:leader="none" w:pos="701"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the proceeds of which shall be used by such Parent Entity to pay (1) its operating expenses incurred in the ordinary course of business and other corporate overhead costs and expenses (including administrative, legal, accounting, tax reporting and similar expenses payable to third parties), that are reasonable and customary and incurred in the ordinary course of business, (2) any reasonable and customary indemnification claims made by directors, officers, members of management, managers, employees or consultants of Holdings (or any other Parent Entity) attributable to the ownership or operations of any Parent Entity, the Borrower and the respective Restricted Subsidiaries, (3) fees and expenses (x) due and payable by the Borrower or any Restricted Subsidiary and (y) otherwise permitted to be paid by the Borrower and the Restricted Subsidiaries under this Agreement and (4) payments that would otherwise be permitted to be paid directly by the Borrower or the Restricted Subsidiaries pursuant to </w:t>
      </w:r>
      <w:r>
        <w:rPr>
          <w:rFonts w:ascii="Arial" w:cs="Arial" w:eastAsia="Arial" w:hAnsi="Arial"/>
          <w:sz w:val="17"/>
          <w:szCs w:val="17"/>
          <w:u w:val="single" w:color="auto"/>
          <w:color w:val="auto"/>
        </w:rPr>
        <w:t>Section 6.09(iii)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(x)</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20" w:firstLine="408"/>
        <w:spacing w:after="0" w:line="277" w:lineRule="auto"/>
        <w:tabs>
          <w:tab w:leader="none" w:pos="69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proceeds of which shall be used by Holdings (or any other Parent Entity) to pay franchise and similar Taxes, and other fees and expenses, required to maintain its organizational existence;</w:t>
      </w:r>
    </w:p>
    <w:p>
      <w:pPr>
        <w:spacing w:after="0" w:line="62" w:lineRule="exact"/>
        <w:rPr>
          <w:rFonts w:ascii="Arial" w:cs="Arial" w:eastAsia="Arial" w:hAnsi="Arial"/>
          <w:sz w:val="18"/>
          <w:szCs w:val="18"/>
          <w:color w:val="auto"/>
        </w:rPr>
      </w:pPr>
    </w:p>
    <w:p>
      <w:pPr>
        <w:ind w:left="700" w:hanging="292"/>
        <w:spacing w:after="0"/>
        <w:tabs>
          <w:tab w:leader="none" w:pos="7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the proceeds of which will be applied to make any payments permitted by </w:t>
      </w:r>
      <w:r>
        <w:rPr>
          <w:rFonts w:ascii="Arial" w:cs="Arial" w:eastAsia="Arial" w:hAnsi="Arial"/>
          <w:sz w:val="18"/>
          <w:szCs w:val="18"/>
          <w:u w:val="single" w:color="auto"/>
          <w:color w:val="auto"/>
        </w:rPr>
        <w:t>Section 6.09(vii)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6.09(x)</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408"/>
        <w:spacing w:after="0" w:line="271" w:lineRule="auto"/>
        <w:tabs>
          <w:tab w:leader="none" w:pos="68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the proceeds of which shall be used by any Parent Entity to finance any Investment that would be permitted to be made by the Borrower or any Restricted Subsidiary pursuant to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6.04(m)</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such Restricted Payment shall be made substantially concurrently with the closing of such Investment and (2) such Parent Entity shall, immediately following the closing thereof, cause (x) all property acquired (whether assets or Equity Interests but not including any loans or advances made pursuant to </w:t>
      </w:r>
      <w:r>
        <w:rPr>
          <w:rFonts w:ascii="Arial" w:cs="Arial" w:eastAsia="Arial" w:hAnsi="Arial"/>
          <w:sz w:val="17"/>
          <w:szCs w:val="17"/>
          <w:u w:val="single" w:color="auto"/>
          <w:color w:val="auto"/>
        </w:rPr>
        <w:t>Section 6.04(b)</w:t>
      </w:r>
      <w:r>
        <w:rPr>
          <w:rFonts w:ascii="Arial" w:cs="Arial" w:eastAsia="Arial" w:hAnsi="Arial"/>
          <w:sz w:val="17"/>
          <w:szCs w:val="17"/>
          <w:color w:val="auto"/>
        </w:rPr>
        <w:t xml:space="preserve">) to be contributed to the Borrower or any Restricted Subsidiary (and in no event shall any such contribution increase the Available Equity Amount) or (y) the Person formed or acquired to merge into or consolidate or amalgamate with the Borrower or any Restricted Subsidiary to the extent such merger or consolidation is permitted by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in order to consummate such Investment, in each case in accordance with the requirements of </w:t>
      </w:r>
      <w:r>
        <w:rPr>
          <w:rFonts w:ascii="Arial" w:cs="Arial" w:eastAsia="Arial" w:hAnsi="Arial"/>
          <w:sz w:val="17"/>
          <w:szCs w:val="17"/>
          <w:u w:val="single" w:color="auto"/>
          <w:color w:val="auto"/>
        </w:rPr>
        <w:t>Sections 5.11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5.12</w:t>
      </w:r>
      <w:r>
        <w:rPr>
          <w:rFonts w:ascii="Arial" w:cs="Arial" w:eastAsia="Arial" w:hAnsi="Arial"/>
          <w:sz w:val="17"/>
          <w:szCs w:val="17"/>
          <w:color w:val="auto"/>
        </w:rPr>
        <w:t>;</w:t>
      </w:r>
    </w:p>
    <w:p>
      <w:pPr>
        <w:spacing w:after="0" w:line="1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0040"/>
          </w:cols>
          <w:pgMar w:left="1420" w:top="274" w:right="439" w:bottom="1440" w:gutter="0" w:footer="0" w:header="0"/>
        </w:sectPr>
      </w:pPr>
    </w:p>
    <w:bookmarkStart w:id="214" w:name="page215"/>
    <w:bookmarkEnd w:id="214"/>
    <w:p>
      <w:pPr>
        <w:jc w:val="both"/>
        <w:ind w:left="544" w:right="20" w:firstLine="408"/>
        <w:spacing w:after="0" w:line="259" w:lineRule="auto"/>
        <w:tabs>
          <w:tab w:leader="none" w:pos="1225" w:val="left"/>
        </w:tabs>
        <w:numPr>
          <w:ilvl w:val="2"/>
          <w:numId w:val="2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proceeds of which shall be used to pay customary salary, bonus, severance and other benefits payable to current or former directors, officers, members of management, managers, consultants, independent contractors or employees of Holdings or any other Parent Entity to the extent such salaries, bonuses and other benefits are attributable to the ownership or operation of the Borrower and the Restricted Subsidiaries;</w:t>
      </w:r>
    </w:p>
    <w:p>
      <w:pPr>
        <w:spacing w:after="0" w:line="78" w:lineRule="exact"/>
        <w:rPr>
          <w:rFonts w:ascii="Arial" w:cs="Arial" w:eastAsia="Arial" w:hAnsi="Arial"/>
          <w:sz w:val="18"/>
          <w:szCs w:val="18"/>
          <w:color w:val="auto"/>
        </w:rPr>
      </w:pPr>
    </w:p>
    <w:p>
      <w:pPr>
        <w:jc w:val="both"/>
        <w:ind w:left="544" w:firstLine="408"/>
        <w:spacing w:after="0" w:line="259" w:lineRule="auto"/>
        <w:tabs>
          <w:tab w:leader="none" w:pos="1271" w:val="left"/>
        </w:tabs>
        <w:numPr>
          <w:ilvl w:val="2"/>
          <w:numId w:val="255"/>
        </w:numPr>
        <w:rPr>
          <w:rFonts w:ascii="Arial" w:cs="Arial" w:eastAsia="Arial" w:hAnsi="Arial"/>
          <w:sz w:val="18"/>
          <w:szCs w:val="18"/>
          <w:color w:val="auto"/>
        </w:rPr>
      </w:pPr>
      <w:r>
        <w:rPr>
          <w:rFonts w:ascii="Arial" w:cs="Arial" w:eastAsia="Arial" w:hAnsi="Arial"/>
          <w:sz w:val="18"/>
          <w:szCs w:val="18"/>
          <w:color w:val="auto"/>
        </w:rPr>
        <w:t>the proceeds of which shall be used by Holdings (or any other Parent Entity) to pay (i) fees and expenses related to any successful or unsuccessful equity issuance or offering or debt issuance, incurrence or offering, disposition or acquisition, Investment or other transaction permitted by this Agreement and (ii) after the consummation of an IPO described in clause (a) of the definition thereof or issuance of public debt securities, Public Company Costs; and</w:t>
      </w:r>
    </w:p>
    <w:p>
      <w:pPr>
        <w:spacing w:after="0" w:line="78" w:lineRule="exact"/>
        <w:rPr>
          <w:rFonts w:ascii="Arial" w:cs="Arial" w:eastAsia="Arial" w:hAnsi="Arial"/>
          <w:sz w:val="18"/>
          <w:szCs w:val="18"/>
          <w:color w:val="auto"/>
        </w:rPr>
      </w:pPr>
    </w:p>
    <w:p>
      <w:pPr>
        <w:ind w:left="544" w:right="20" w:firstLine="408"/>
        <w:spacing w:after="0" w:line="277" w:lineRule="auto"/>
        <w:tabs>
          <w:tab w:leader="none" w:pos="1253" w:val="left"/>
        </w:tabs>
        <w:numPr>
          <w:ilvl w:val="2"/>
          <w:numId w:val="255"/>
        </w:numPr>
        <w:rPr>
          <w:rFonts w:ascii="Arial" w:cs="Arial" w:eastAsia="Arial" w:hAnsi="Arial"/>
          <w:sz w:val="18"/>
          <w:szCs w:val="18"/>
          <w:color w:val="auto"/>
        </w:rPr>
      </w:pPr>
      <w:r>
        <w:rPr>
          <w:rFonts w:ascii="Arial" w:cs="Arial" w:eastAsia="Arial" w:hAnsi="Arial"/>
          <w:sz w:val="18"/>
          <w:szCs w:val="18"/>
          <w:color w:val="auto"/>
        </w:rPr>
        <w:t>the proceeds of which shall be used for the payment of insurance premiums to the extent attributable to any Parent Entity, the Borrower and their subsidiaries;</w:t>
      </w:r>
    </w:p>
    <w:p>
      <w:pPr>
        <w:spacing w:after="0" w:line="62" w:lineRule="exact"/>
        <w:rPr>
          <w:rFonts w:ascii="Arial" w:cs="Arial" w:eastAsia="Arial" w:hAnsi="Arial"/>
          <w:sz w:val="18"/>
          <w:szCs w:val="18"/>
          <w:color w:val="auto"/>
        </w:rPr>
      </w:pPr>
    </w:p>
    <w:p>
      <w:pPr>
        <w:jc w:val="both"/>
        <w:ind w:left="4" w:right="20" w:firstLine="419"/>
        <w:spacing w:after="0" w:line="283" w:lineRule="auto"/>
        <w:tabs>
          <w:tab w:leader="none" w:pos="834" w:val="left"/>
        </w:tabs>
        <w:numPr>
          <w:ilvl w:val="1"/>
          <w:numId w:val="256"/>
        </w:numPr>
        <w:rPr>
          <w:rFonts w:ascii="Arial" w:cs="Arial" w:eastAsia="Arial" w:hAnsi="Arial"/>
          <w:sz w:val="16"/>
          <w:szCs w:val="16"/>
          <w:color w:val="auto"/>
        </w:rPr>
      </w:pPr>
      <w:r>
        <w:rPr>
          <w:rFonts w:ascii="Arial" w:cs="Arial" w:eastAsia="Arial" w:hAnsi="Arial"/>
          <w:sz w:val="16"/>
          <w:szCs w:val="16"/>
          <w:color w:val="auto"/>
        </w:rPr>
        <w:t xml:space="preserve">in addition to the foregoing Restricted Payments, the Borrower may make additional Restricted Payments to Holdings, in an aggregate amount, not to exceed the sum of (A) </w:t>
      </w:r>
      <w:r>
        <w:rPr>
          <w:rFonts w:ascii="Arial" w:cs="Arial" w:eastAsia="Arial" w:hAnsi="Arial"/>
          <w:sz w:val="16"/>
          <w:szCs w:val="16"/>
          <w:u w:val="single" w:color="auto"/>
          <w:color w:val="0000FF"/>
        </w:rPr>
        <w:t>after the Suspension Period has ended,</w:t>
      </w:r>
      <w:r>
        <w:rPr>
          <w:rFonts w:ascii="Arial" w:cs="Arial" w:eastAsia="Arial" w:hAnsi="Arial"/>
          <w:sz w:val="16"/>
          <w:szCs w:val="16"/>
          <w:color w:val="auto"/>
        </w:rPr>
        <w:t xml:space="preserve"> the Restricted Payment Amount at such time so long as no Event of Default has occurred and is continuing (or would occur after giving pro forma effect to such action</w:t>
      </w:r>
      <w:r>
        <w:rPr>
          <w:rFonts w:ascii="Arial" w:cs="Arial" w:eastAsia="Arial" w:hAnsi="Arial"/>
          <w:sz w:val="16"/>
          <w:szCs w:val="16"/>
          <w:u w:val="single" w:color="auto"/>
          <w:color w:val="0000FF"/>
        </w:rPr>
        <w:t>) (for the avoidance of doubt, no Restricted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Payment shall be made in reliance on this clause (A) during the Suspension Period</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plus</w:t>
      </w:r>
      <w:r>
        <w:rPr>
          <w:rFonts w:ascii="Arial" w:cs="Arial" w:eastAsia="Arial" w:hAnsi="Arial"/>
          <w:sz w:val="16"/>
          <w:szCs w:val="16"/>
          <w:color w:val="0000FF"/>
        </w:rPr>
        <w:t xml:space="preserve"> </w:t>
      </w:r>
      <w:r>
        <w:rPr>
          <w:rFonts w:ascii="Arial" w:cs="Arial" w:eastAsia="Arial" w:hAnsi="Arial"/>
          <w:sz w:val="16"/>
          <w:szCs w:val="16"/>
          <w:color w:val="000000"/>
        </w:rPr>
        <w:t>(B) the Available Amount that is Not Otherwise Applied</w:t>
      </w:r>
      <w:r>
        <w:rPr>
          <w:rFonts w:ascii="Arial" w:cs="Arial" w:eastAsia="Arial" w:hAnsi="Arial"/>
          <w:sz w:val="16"/>
          <w:szCs w:val="16"/>
          <w:color w:val="0000FF"/>
        </w:rPr>
        <w:t xml:space="preserve"> </w:t>
      </w:r>
      <w:r>
        <w:rPr>
          <w:rFonts w:ascii="Arial" w:cs="Arial" w:eastAsia="Arial" w:hAnsi="Arial"/>
          <w:sz w:val="16"/>
          <w:szCs w:val="16"/>
          <w:color w:val="000000"/>
        </w:rPr>
        <w:t xml:space="preserve">as in effect immediately prior to the time of making of such Restricted Payment;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in the case of this clause (B), (x) no Event of Default has occurred and is continuing (or would occur after giving pro forma effect to such action) and (y) after giving pro forma effect to such Restricted Payment on a pro forma basis as of the last day of the Test Period most recently ended on or prior to such date of such Restricted Payment (measured as of the date such Restricted Payment is made based upon the financial statements most recently delivered (or required to have been delivered) on or prior to such date pursuant to </w:t>
      </w:r>
      <w:r>
        <w:rPr>
          <w:rFonts w:ascii="Arial" w:cs="Arial" w:eastAsia="Arial" w:hAnsi="Arial"/>
          <w:sz w:val="16"/>
          <w:szCs w:val="16"/>
          <w:u w:val="single" w:color="auto"/>
          <w:color w:val="000000"/>
        </w:rPr>
        <w:t>Section 5.01(a)</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(b)</w:t>
      </w:r>
      <w:r>
        <w:rPr>
          <w:rFonts w:ascii="Arial" w:cs="Arial" w:eastAsia="Arial" w:hAnsi="Arial"/>
          <w:sz w:val="16"/>
          <w:szCs w:val="16"/>
          <w:color w:val="000000"/>
        </w:rPr>
        <w:t>), the Total Net Cash Leverage Ratio is less than or equal to</w:t>
      </w:r>
    </w:p>
    <w:p>
      <w:pPr>
        <w:spacing w:after="0" w:line="5" w:lineRule="exact"/>
        <w:rPr>
          <w:rFonts w:ascii="Arial" w:cs="Arial" w:eastAsia="Arial" w:hAnsi="Arial"/>
          <w:sz w:val="16"/>
          <w:szCs w:val="16"/>
          <w:color w:val="auto"/>
        </w:rPr>
      </w:pPr>
    </w:p>
    <w:p>
      <w:pPr>
        <w:ind w:left="4" w:right="20" w:hanging="4"/>
        <w:spacing w:after="0" w:line="260" w:lineRule="auto"/>
        <w:tabs>
          <w:tab w:leader="none" w:pos="235" w:val="left"/>
        </w:tabs>
        <w:numPr>
          <w:ilvl w:val="0"/>
          <w:numId w:val="25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during the Suspension Period, 4.00:1.00, and (II) after the Suspension Period has ended,</w:t>
      </w:r>
      <w:r>
        <w:rPr>
          <w:rFonts w:ascii="Arial" w:cs="Arial" w:eastAsia="Arial" w:hAnsi="Arial"/>
          <w:sz w:val="18"/>
          <w:szCs w:val="18"/>
          <w:color w:val="0000FF"/>
        </w:rPr>
        <w:t xml:space="preserve"> </w:t>
      </w:r>
      <w:r>
        <w:rPr>
          <w:rFonts w:ascii="Arial" w:cs="Arial" w:eastAsia="Arial" w:hAnsi="Arial"/>
          <w:sz w:val="18"/>
          <w:szCs w:val="18"/>
          <w:color w:val="000000"/>
        </w:rPr>
        <w:t>5.50:1.00,</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plus</w:t>
      </w:r>
      <w:r>
        <w:rPr>
          <w:rFonts w:ascii="Arial" w:cs="Arial" w:eastAsia="Arial" w:hAnsi="Arial"/>
          <w:sz w:val="18"/>
          <w:szCs w:val="18"/>
          <w:color w:val="0000FF"/>
        </w:rPr>
        <w:t xml:space="preserve"> </w:t>
      </w:r>
      <w:r>
        <w:rPr>
          <w:rFonts w:ascii="Arial" w:cs="Arial" w:eastAsia="Arial" w:hAnsi="Arial"/>
          <w:sz w:val="18"/>
          <w:szCs w:val="18"/>
          <w:color w:val="000000"/>
        </w:rPr>
        <w:t>(C) the Available Equity Amount that</w:t>
      </w:r>
      <w:r>
        <w:rPr>
          <w:rFonts w:ascii="Arial" w:cs="Arial" w:eastAsia="Arial" w:hAnsi="Arial"/>
          <w:sz w:val="18"/>
          <w:szCs w:val="18"/>
          <w:color w:val="0000FF"/>
        </w:rPr>
        <w:t xml:space="preserve"> </w:t>
      </w:r>
      <w:r>
        <w:rPr>
          <w:rFonts w:ascii="Arial" w:cs="Arial" w:eastAsia="Arial" w:hAnsi="Arial"/>
          <w:sz w:val="18"/>
          <w:szCs w:val="18"/>
          <w:color w:val="000000"/>
        </w:rPr>
        <w:t>is Not Otherwise Applied as in effect immediately prior to the time of making of such Restricted Payment;</w:t>
      </w:r>
    </w:p>
    <w:p>
      <w:pPr>
        <w:spacing w:after="0" w:line="77" w:lineRule="exact"/>
        <w:rPr>
          <w:rFonts w:ascii="Arial" w:cs="Arial" w:eastAsia="Arial" w:hAnsi="Arial"/>
          <w:sz w:val="18"/>
          <w:szCs w:val="18"/>
          <w:u w:val="single" w:color="auto"/>
          <w:color w:val="0000FF"/>
        </w:rPr>
      </w:pPr>
    </w:p>
    <w:p>
      <w:pPr>
        <w:jc w:val="both"/>
        <w:ind w:left="4" w:firstLine="419"/>
        <w:spacing w:after="0" w:line="301" w:lineRule="auto"/>
        <w:tabs>
          <w:tab w:leader="none" w:pos="734" w:val="left"/>
        </w:tabs>
        <w:numPr>
          <w:ilvl w:val="1"/>
          <w:numId w:val="257"/>
        </w:numPr>
        <w:rPr>
          <w:rFonts w:ascii="Arial" w:cs="Arial" w:eastAsia="Arial" w:hAnsi="Arial"/>
          <w:sz w:val="16"/>
          <w:szCs w:val="16"/>
          <w:color w:val="auto"/>
        </w:rPr>
      </w:pPr>
      <w:r>
        <w:rPr>
          <w:rFonts w:ascii="Arial" w:cs="Arial" w:eastAsia="Arial" w:hAnsi="Arial"/>
          <w:sz w:val="16"/>
          <w:szCs w:val="16"/>
          <w:color w:val="auto"/>
        </w:rPr>
        <w:t xml:space="preserve">redemptions in whole or in part of any of its Equity Interests for another class of its Equity Interests or with proceeds from substantially concurrent equity contributions or issuances of new Equity Interests (and in no event shall such contribution or issuance so utilized increase the Available Equity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new Equity Interests contain terms and provisions at least as advantageous, taken as a whole, to the Lenders in all respects material to their interests as those contained in the Equity Interests redeemed thereby;</w:t>
      </w:r>
    </w:p>
    <w:p>
      <w:pPr>
        <w:spacing w:after="0" w:line="49" w:lineRule="exact"/>
        <w:rPr>
          <w:rFonts w:ascii="Arial" w:cs="Arial" w:eastAsia="Arial" w:hAnsi="Arial"/>
          <w:sz w:val="16"/>
          <w:szCs w:val="16"/>
          <w:color w:val="auto"/>
        </w:rPr>
      </w:pPr>
    </w:p>
    <w:p>
      <w:pPr>
        <w:jc w:val="both"/>
        <w:ind w:left="4" w:firstLine="419"/>
        <w:spacing w:after="0" w:line="263" w:lineRule="auto"/>
        <w:tabs>
          <w:tab w:leader="none" w:pos="704" w:val="left"/>
        </w:tabs>
        <w:numPr>
          <w:ilvl w:val="1"/>
          <w:numId w:val="257"/>
        </w:numPr>
        <w:rPr>
          <w:rFonts w:ascii="Arial" w:cs="Arial" w:eastAsia="Arial" w:hAnsi="Arial"/>
          <w:sz w:val="18"/>
          <w:szCs w:val="18"/>
          <w:color w:val="auto"/>
        </w:rPr>
      </w:pPr>
      <w:r>
        <w:rPr>
          <w:rFonts w:ascii="Arial" w:cs="Arial" w:eastAsia="Arial" w:hAnsi="Arial"/>
          <w:sz w:val="18"/>
          <w:szCs w:val="18"/>
          <w:color w:val="auto"/>
        </w:rPr>
        <w:t>payments made or expected to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75" w:lineRule="exact"/>
        <w:rPr>
          <w:rFonts w:ascii="Arial" w:cs="Arial" w:eastAsia="Arial" w:hAnsi="Arial"/>
          <w:sz w:val="18"/>
          <w:szCs w:val="18"/>
          <w:color w:val="auto"/>
        </w:rPr>
      </w:pPr>
    </w:p>
    <w:p>
      <w:pPr>
        <w:ind w:left="4" w:right="20" w:firstLine="419"/>
        <w:spacing w:after="0" w:line="277" w:lineRule="auto"/>
        <w:tabs>
          <w:tab w:leader="none" w:pos="751"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Borrower may make Restricted Payments to any Parent Entity to enable such Parent Entity to (A) pay cash in lieu of fractional Equity Interests in connection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-2685415</wp:posOffset>
            </wp:positionV>
            <wp:extent cx="17830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-2548255</wp:posOffset>
            </wp:positionV>
            <wp:extent cx="204851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-2411095</wp:posOffset>
            </wp:positionV>
            <wp:extent cx="378904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7890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-1588135</wp:posOffset>
            </wp:positionV>
            <wp:extent cx="42176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83"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584"/>
          </w:cols>
          <w:pgMar w:left="876" w:top="274" w:right="439" w:bottom="1440" w:gutter="0" w:footer="0" w:header="0"/>
        </w:sectPr>
      </w:pPr>
    </w:p>
    <w:bookmarkStart w:id="215" w:name="page216"/>
    <w:bookmarkEnd w:id="215"/>
    <w:p>
      <w:pPr>
        <w:jc w:val="both"/>
        <w:ind w:left="4"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 split or combination thereof or any Permitted Acquisition (or other similar Investment) and (B) honor any conversion request by a holder of convertible Indebtedness by delivering or issuing Equity Interests and making cash payments in lieu of fractional shares in connection with any such conversion and may make required cash interest payments on convertible Indebtedness in accordance with its terms;</w:t>
      </w:r>
    </w:p>
    <w:p>
      <w:pPr>
        <w:spacing w:after="0" w:line="41" w:lineRule="exact"/>
        <w:rPr>
          <w:sz w:val="20"/>
          <w:szCs w:val="20"/>
          <w:color w:val="auto"/>
        </w:rPr>
      </w:pPr>
    </w:p>
    <w:p>
      <w:pPr>
        <w:jc w:val="both"/>
        <w:ind w:left="4" w:firstLine="419"/>
        <w:spacing w:after="0" w:line="285" w:lineRule="auto"/>
        <w:tabs>
          <w:tab w:leader="none" w:pos="785" w:val="left"/>
        </w:tabs>
        <w:numPr>
          <w:ilvl w:val="1"/>
          <w:numId w:val="258"/>
        </w:numPr>
        <w:rPr>
          <w:rFonts w:ascii="Arial" w:cs="Arial" w:eastAsia="Arial" w:hAnsi="Arial"/>
          <w:sz w:val="16"/>
          <w:szCs w:val="16"/>
          <w:color w:val="auto"/>
        </w:rPr>
      </w:pPr>
      <w:r>
        <w:rPr>
          <w:rFonts w:ascii="Arial" w:cs="Arial" w:eastAsia="Arial" w:hAnsi="Arial"/>
          <w:sz w:val="16"/>
          <w:szCs w:val="16"/>
          <w:color w:val="auto"/>
        </w:rPr>
        <w:t xml:space="preserve">following the consummation of an IPO, </w:t>
      </w:r>
      <w:r>
        <w:rPr>
          <w:rFonts w:ascii="Arial" w:cs="Arial" w:eastAsia="Arial" w:hAnsi="Arial"/>
          <w:sz w:val="16"/>
          <w:szCs w:val="16"/>
          <w:u w:val="single" w:color="auto"/>
          <w:color w:val="0000FF"/>
        </w:rPr>
        <w:t>and after the Suspension Period has ended,</w:t>
      </w:r>
      <w:r>
        <w:rPr>
          <w:rFonts w:ascii="Arial" w:cs="Arial" w:eastAsia="Arial" w:hAnsi="Arial"/>
          <w:sz w:val="16"/>
          <w:szCs w:val="16"/>
          <w:color w:val="auto"/>
        </w:rPr>
        <w:t xml:space="preserve"> the payment of Restricted Payments to Holdings or any direct Parent Entity of Holdings to fund the payment of regular dividends on such company’s Equity Interests, in an aggregate amount per annum not to exceed 6.0% per annum of the aggregate amount of proceeds from such IPO received by, or contributed to, the Borrower or any Restricted Subsidiary; provided that, on the date of declaration of any such dividend, after giving effect to such dividend, there is no continuing Event of Default before or after giving effect thereto </w:t>
      </w:r>
      <w:r>
        <w:rPr>
          <w:rFonts w:ascii="Arial" w:cs="Arial" w:eastAsia="Arial" w:hAnsi="Arial"/>
          <w:sz w:val="16"/>
          <w:szCs w:val="16"/>
          <w:color w:val="0000FF"/>
        </w:rPr>
        <w:t>(</w:t>
      </w:r>
      <w:r>
        <w:rPr>
          <w:rFonts w:ascii="Arial" w:cs="Arial" w:eastAsia="Arial" w:hAnsi="Arial"/>
          <w:sz w:val="16"/>
          <w:szCs w:val="16"/>
          <w:u w:val="single" w:color="auto"/>
          <w:color w:val="007F00"/>
        </w:rPr>
        <w:t>for the avoidance of doubt,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Restricted Payments shall not be made in reliance on this clause</w:t>
      </w:r>
    </w:p>
    <w:p>
      <w:pPr>
        <w:spacing w:after="0" w:line="1" w:lineRule="exact"/>
        <w:rPr>
          <w:rFonts w:ascii="Arial" w:cs="Arial" w:eastAsia="Arial" w:hAnsi="Arial"/>
          <w:sz w:val="16"/>
          <w:szCs w:val="16"/>
          <w:color w:val="auto"/>
        </w:rPr>
      </w:pPr>
    </w:p>
    <w:p>
      <w:pPr>
        <w:ind w:left="364" w:hanging="364"/>
        <w:spacing w:after="0"/>
        <w:tabs>
          <w:tab w:leader="none" w:pos="364" w:val="left"/>
        </w:tabs>
        <w:numPr>
          <w:ilvl w:val="0"/>
          <w:numId w:val="25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during the Suspension Period)</w:t>
      </w:r>
      <w:r>
        <w:rPr>
          <w:rFonts w:ascii="Arial" w:cs="Arial" w:eastAsia="Arial" w:hAnsi="Arial"/>
          <w:sz w:val="18"/>
          <w:szCs w:val="18"/>
          <w:color w:val="000000"/>
        </w:rPr>
        <w:t>;</w:t>
      </w:r>
    </w:p>
    <w:p>
      <w:pPr>
        <w:spacing w:after="0" w:line="102" w:lineRule="exact"/>
        <w:rPr>
          <w:rFonts w:ascii="Arial" w:cs="Arial" w:eastAsia="Arial" w:hAnsi="Arial"/>
          <w:sz w:val="18"/>
          <w:szCs w:val="18"/>
          <w:u w:val="single" w:color="auto"/>
          <w:color w:val="0000FF"/>
        </w:rPr>
      </w:pPr>
    </w:p>
    <w:p>
      <w:pPr>
        <w:jc w:val="both"/>
        <w:ind w:left="4" w:right="20" w:firstLine="419"/>
        <w:spacing w:after="0" w:line="279" w:lineRule="auto"/>
        <w:tabs>
          <w:tab w:leader="none" w:pos="854" w:val="left"/>
        </w:tabs>
        <w:numPr>
          <w:ilvl w:val="1"/>
          <w:numId w:val="259"/>
        </w:numPr>
        <w:rPr>
          <w:rFonts w:ascii="Arial" w:cs="Arial" w:eastAsia="Arial" w:hAnsi="Arial"/>
          <w:sz w:val="17"/>
          <w:szCs w:val="17"/>
          <w:color w:val="auto"/>
        </w:rPr>
      </w:pPr>
      <w:r>
        <w:rPr>
          <w:rFonts w:ascii="Arial" w:cs="Arial" w:eastAsia="Arial" w:hAnsi="Arial"/>
          <w:sz w:val="17"/>
          <w:szCs w:val="17"/>
          <w:color w:val="auto"/>
        </w:rPr>
        <w:t>payments made by the Borrower or any Restricted Subsidiary in respect of withholding or similar taxes payable upon exercise of Equity Interests by any future, present or former employee, director, officer, manager or consultant (or their respective controlled Affiliates or Immediate Family Members) and any repurchases of Equity Interests deemed to occur upon exercise of stock options or warrants if such Equity Interests represent a portion of the exercise price of such options or warrants or required withholding or similar taxes;</w:t>
      </w:r>
    </w:p>
    <w:p>
      <w:pPr>
        <w:spacing w:after="0" w:line="63" w:lineRule="exact"/>
        <w:rPr>
          <w:rFonts w:ascii="Arial" w:cs="Arial" w:eastAsia="Arial" w:hAnsi="Arial"/>
          <w:sz w:val="17"/>
          <w:szCs w:val="17"/>
          <w:color w:val="auto"/>
        </w:rPr>
      </w:pPr>
    </w:p>
    <w:p>
      <w:pPr>
        <w:jc w:val="both"/>
        <w:ind w:left="4" w:right="20" w:firstLine="419"/>
        <w:spacing w:after="0" w:line="275" w:lineRule="auto"/>
        <w:tabs>
          <w:tab w:leader="none" w:pos="832" w:val="left"/>
        </w:tabs>
        <w:numPr>
          <w:ilvl w:val="1"/>
          <w:numId w:val="259"/>
        </w:numPr>
        <w:rPr>
          <w:rFonts w:ascii="Arial" w:cs="Arial" w:eastAsia="Arial" w:hAnsi="Arial"/>
          <w:sz w:val="17"/>
          <w:szCs w:val="17"/>
          <w:color w:val="auto"/>
        </w:rPr>
      </w:pPr>
      <w:r>
        <w:rPr>
          <w:rFonts w:ascii="Arial" w:cs="Arial" w:eastAsia="Arial" w:hAnsi="Arial"/>
          <w:sz w:val="17"/>
          <w:szCs w:val="17"/>
          <w:color w:val="FF4338"/>
        </w:rPr>
        <w:t xml:space="preserve">a Restricted Payment in an amount not to exceed $50,000,000; </w:t>
      </w:r>
      <w:r>
        <w:rPr>
          <w:rFonts w:ascii="Arial" w:cs="Arial" w:eastAsia="Arial" w:hAnsi="Arial"/>
          <w:sz w:val="17"/>
          <w:szCs w:val="17"/>
          <w:u w:val="single" w:color="auto"/>
          <w:color w:val="FF4338"/>
        </w:rPr>
        <w:t>provided</w:t>
      </w:r>
      <w:r>
        <w:rPr>
          <w:rFonts w:ascii="Arial" w:cs="Arial" w:eastAsia="Arial" w:hAnsi="Arial"/>
          <w:sz w:val="17"/>
          <w:szCs w:val="17"/>
          <w:color w:val="FF4338"/>
        </w:rPr>
        <w:t xml:space="preserve"> that </w:t>
      </w:r>
      <w:r>
        <w:rPr>
          <w:rFonts w:ascii="Arial" w:cs="Arial" w:eastAsia="Arial" w:hAnsi="Arial"/>
          <w:sz w:val="17"/>
          <w:szCs w:val="17"/>
          <w:color w:val="007F00"/>
          <w:strike w:val="1"/>
        </w:rPr>
        <w:t>after giving effect to such</w:t>
      </w:r>
      <w:r>
        <w:rPr>
          <w:rFonts w:ascii="Arial" w:cs="Arial" w:eastAsia="Arial" w:hAnsi="Arial"/>
          <w:sz w:val="17"/>
          <w:szCs w:val="17"/>
          <w:color w:val="FF4338"/>
        </w:rPr>
        <w:t xml:space="preserve"> </w:t>
      </w:r>
      <w:r>
        <w:rPr>
          <w:rFonts w:ascii="Arial" w:cs="Arial" w:eastAsia="Arial" w:hAnsi="Arial"/>
          <w:sz w:val="17"/>
          <w:szCs w:val="17"/>
          <w:color w:val="FF4338"/>
          <w:strike w:val="1"/>
        </w:rPr>
        <w:t>Restricted Payment (A)</w:t>
      </w:r>
      <w:r>
        <w:rPr>
          <w:rFonts w:ascii="Arial" w:cs="Arial" w:eastAsia="Arial" w:hAnsi="Arial"/>
          <w:sz w:val="17"/>
          <w:szCs w:val="17"/>
          <w:color w:val="FF4338"/>
        </w:rPr>
        <w:t xml:space="preserve"> </w:t>
      </w:r>
      <w:r>
        <w:rPr>
          <w:rFonts w:ascii="Arial" w:cs="Arial" w:eastAsia="Arial" w:hAnsi="Arial"/>
          <w:sz w:val="17"/>
          <w:szCs w:val="17"/>
          <w:color w:val="007F00"/>
          <w:strike w:val="1"/>
        </w:rPr>
        <w:t>on a</w:t>
      </w:r>
      <w:r>
        <w:rPr>
          <w:rFonts w:ascii="Arial" w:cs="Arial" w:eastAsia="Arial" w:hAnsi="Arial"/>
          <w:sz w:val="17"/>
          <w:szCs w:val="17"/>
          <w:color w:val="FF4338"/>
        </w:rPr>
        <w:t xml:space="preserve"> </w:t>
      </w:r>
      <w:r>
        <w:rPr>
          <w:rFonts w:ascii="Arial" w:cs="Arial" w:eastAsia="Arial" w:hAnsi="Arial"/>
          <w:sz w:val="17"/>
          <w:szCs w:val="17"/>
          <w:color w:val="007F00"/>
          <w:strike w:val="1"/>
        </w:rPr>
        <w:t xml:space="preserve">pro forma basis as of the Test Period most recently ended on or prior to </w:t>
      </w:r>
      <w:r>
        <w:rPr>
          <w:rFonts w:ascii="Arial" w:cs="Arial" w:eastAsia="Arial" w:hAnsi="Arial"/>
          <w:sz w:val="17"/>
          <w:szCs w:val="17"/>
          <w:color w:val="FF4338"/>
          <w:strike w:val="1"/>
        </w:rPr>
        <w:t>the date of such Restricted Payment</w:t>
      </w:r>
      <w:r>
        <w:rPr>
          <w:rFonts w:ascii="Arial" w:cs="Arial" w:eastAsia="Arial" w:hAnsi="Arial"/>
          <w:sz w:val="17"/>
          <w:szCs w:val="17"/>
          <w:color w:val="007F00"/>
          <w:strike w:val="1"/>
        </w:rPr>
        <w:t xml:space="preserve"> (measured as of the date such </w:t>
      </w:r>
      <w:r>
        <w:rPr>
          <w:rFonts w:ascii="Arial" w:cs="Arial" w:eastAsia="Arial" w:hAnsi="Arial"/>
          <w:sz w:val="17"/>
          <w:szCs w:val="17"/>
          <w:color w:val="FF4338"/>
          <w:strike w:val="1"/>
        </w:rPr>
        <w:t xml:space="preserve">Restricted Payment </w:t>
      </w:r>
      <w:r>
        <w:rPr>
          <w:rFonts w:ascii="Arial" w:cs="Arial" w:eastAsia="Arial" w:hAnsi="Arial"/>
          <w:sz w:val="17"/>
          <w:szCs w:val="17"/>
          <w:color w:val="007F00"/>
          <w:strike w:val="1"/>
        </w:rPr>
        <w:t>is made based upon the financial statements most recently delivered (or required to have been delivered) on or prior to such</w:t>
      </w:r>
      <w:r>
        <w:rPr>
          <w:rFonts w:ascii="Arial" w:cs="Arial" w:eastAsia="Arial" w:hAnsi="Arial"/>
          <w:sz w:val="17"/>
          <w:szCs w:val="17"/>
          <w:color w:val="FF4338"/>
          <w:strike w:val="1"/>
        </w:rPr>
        <w:t xml:space="preserve"> </w:t>
      </w:r>
      <w:r>
        <w:rPr>
          <w:rFonts w:ascii="Arial" w:cs="Arial" w:eastAsia="Arial" w:hAnsi="Arial"/>
          <w:sz w:val="17"/>
          <w:szCs w:val="17"/>
          <w:color w:val="007F00"/>
          <w:strike w:val="1"/>
        </w:rPr>
        <w:t xml:space="preserve">date pursuant to </w:t>
      </w:r>
      <w:r>
        <w:rPr>
          <w:rFonts w:ascii="Arial" w:cs="Arial" w:eastAsia="Arial" w:hAnsi="Arial"/>
          <w:sz w:val="17"/>
          <w:szCs w:val="17"/>
          <w:u w:val="single" w:color="auto"/>
          <w:color w:val="007F00"/>
          <w:strike w:val="1"/>
        </w:rPr>
        <w:t>Section 5.01(a)</w:t>
      </w:r>
      <w:r>
        <w:rPr>
          <w:rFonts w:ascii="Arial" w:cs="Arial" w:eastAsia="Arial" w:hAnsi="Arial"/>
          <w:sz w:val="17"/>
          <w:szCs w:val="17"/>
          <w:color w:val="007F00"/>
          <w:strike w:val="1"/>
        </w:rPr>
        <w:t xml:space="preserve"> or </w:t>
      </w:r>
      <w:r>
        <w:rPr>
          <w:rFonts w:ascii="Arial" w:cs="Arial" w:eastAsia="Arial" w:hAnsi="Arial"/>
          <w:sz w:val="17"/>
          <w:szCs w:val="17"/>
          <w:u w:val="single" w:color="auto"/>
          <w:color w:val="007F00"/>
          <w:strike w:val="1"/>
        </w:rPr>
        <w:t>(b))</w:t>
      </w:r>
      <w:r>
        <w:rPr>
          <w:rFonts w:ascii="Arial" w:cs="Arial" w:eastAsia="Arial" w:hAnsi="Arial"/>
          <w:sz w:val="17"/>
          <w:szCs w:val="17"/>
          <w:color w:val="FF4338"/>
          <w:strike w:val="1"/>
        </w:rPr>
        <w:t>,</w:t>
      </w:r>
      <w:r>
        <w:rPr>
          <w:rFonts w:ascii="Arial" w:cs="Arial" w:eastAsia="Arial" w:hAnsi="Arial"/>
          <w:sz w:val="17"/>
          <w:szCs w:val="17"/>
          <w:color w:val="007F00"/>
          <w:strike w:val="1"/>
        </w:rPr>
        <w:t xml:space="preserve"> the Total Net Cash Leverage </w:t>
      </w:r>
      <w:r>
        <w:rPr>
          <w:rFonts w:ascii="Arial" w:cs="Arial" w:eastAsia="Arial" w:hAnsi="Arial"/>
          <w:sz w:val="17"/>
          <w:szCs w:val="17"/>
          <w:color w:val="FF4338"/>
          <w:strike w:val="1"/>
        </w:rPr>
        <w:t>Ratio is less than or equal to 6.00:1.00 and (B) no</w:t>
      </w:r>
      <w:r>
        <w:rPr>
          <w:rFonts w:ascii="Arial" w:cs="Arial" w:eastAsia="Arial" w:hAnsi="Arial"/>
          <w:sz w:val="17"/>
          <w:szCs w:val="17"/>
          <w:color w:val="007F00"/>
          <w:strike w:val="1"/>
        </w:rPr>
        <w:t xml:space="preserve"> Event of Default has occurred and is continuing </w:t>
      </w:r>
      <w:r>
        <w:rPr>
          <w:rFonts w:ascii="Arial" w:cs="Arial" w:eastAsia="Arial" w:hAnsi="Arial"/>
          <w:sz w:val="17"/>
          <w:szCs w:val="17"/>
          <w:color w:val="FF4338"/>
          <w:strike w:val="1"/>
        </w:rPr>
        <w:t>(or would occur after giving pro forma effect to such Restricted Payment);</w:t>
      </w:r>
      <w:r>
        <w:rPr>
          <w:rFonts w:ascii="Arial" w:cs="Arial" w:eastAsia="Arial" w:hAnsi="Arial"/>
          <w:sz w:val="17"/>
          <w:szCs w:val="17"/>
          <w:u w:val="single" w:color="auto"/>
          <w:color w:val="0000FF"/>
          <w:strike w:val="1"/>
        </w:rPr>
        <w:t>[reserved];</w:t>
      </w:r>
    </w:p>
    <w:p>
      <w:pPr>
        <w:spacing w:after="0" w:line="68" w:lineRule="exact"/>
        <w:rPr>
          <w:rFonts w:ascii="Arial" w:cs="Arial" w:eastAsia="Arial" w:hAnsi="Arial"/>
          <w:sz w:val="17"/>
          <w:szCs w:val="17"/>
          <w:color w:val="auto"/>
        </w:rPr>
      </w:pPr>
    </w:p>
    <w:p>
      <w:pPr>
        <w:ind w:left="764" w:hanging="341"/>
        <w:spacing w:after="0"/>
        <w:tabs>
          <w:tab w:leader="none" w:pos="76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Restricted Payments constituting or otherwise made in connection with or relating to any Tax Restructuring;</w:t>
      </w:r>
    </w:p>
    <w:p>
      <w:pPr>
        <w:spacing w:after="0" w:line="117" w:lineRule="exact"/>
        <w:rPr>
          <w:rFonts w:ascii="Arial" w:cs="Arial" w:eastAsia="Arial" w:hAnsi="Arial"/>
          <w:sz w:val="18"/>
          <w:szCs w:val="18"/>
          <w:color w:val="auto"/>
        </w:rPr>
      </w:pPr>
    </w:p>
    <w:p>
      <w:pPr>
        <w:jc w:val="both"/>
        <w:ind w:left="4" w:right="20" w:firstLine="419"/>
        <w:spacing w:after="0" w:line="255" w:lineRule="auto"/>
        <w:tabs>
          <w:tab w:leader="none" w:pos="843" w:val="left"/>
        </w:tabs>
        <w:numPr>
          <w:ilvl w:val="1"/>
          <w:numId w:val="259"/>
        </w:numPr>
        <w:rPr>
          <w:rFonts w:ascii="Arial" w:cs="Arial" w:eastAsia="Arial" w:hAnsi="Arial"/>
          <w:sz w:val="18"/>
          <w:szCs w:val="18"/>
          <w:color w:val="auto"/>
        </w:rPr>
      </w:pPr>
      <w:r>
        <w:rPr>
          <w:rFonts w:ascii="Arial" w:cs="Arial" w:eastAsia="Arial" w:hAnsi="Arial"/>
          <w:sz w:val="18"/>
          <w:szCs w:val="18"/>
          <w:color w:val="auto"/>
        </w:rPr>
        <w:t xml:space="preserve">the Borrower may make Restricted Payments, the proceeds of which are applied (A) (i) on the Effective Date, solely to effect the consummation of the Transactions and (ii) on and after the Effective Date, to satisfy any payment obligations owing under the Merger Agreement (including in respect of any payments required to be made after the Effective Date in connection with, or necessary to consummate, the Transactions and the other transactions set forth in the Merger Agreement) and (B) to payments or distributions to satisfy dissenters’ rights pursuant to or in connection with an acquisition, merger, consolidation, amalgamation or transfer of assets that is a Permitted Acquisition or similar Investment, or is otherwise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 and</w:t>
      </w:r>
    </w:p>
    <w:p>
      <w:pPr>
        <w:spacing w:after="0" w:line="84" w:lineRule="exact"/>
        <w:rPr>
          <w:rFonts w:ascii="Arial" w:cs="Arial" w:eastAsia="Arial" w:hAnsi="Arial"/>
          <w:sz w:val="18"/>
          <w:szCs w:val="18"/>
          <w:color w:val="auto"/>
        </w:rPr>
      </w:pPr>
    </w:p>
    <w:p>
      <w:pPr>
        <w:jc w:val="both"/>
        <w:ind w:left="4" w:right="20" w:firstLine="419"/>
        <w:spacing w:after="0" w:line="263" w:lineRule="auto"/>
        <w:tabs>
          <w:tab w:leader="none" w:pos="887"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distribution, by dividend or otherwise, of shares of Equity Interests of, or Indebtedness owed to Holdings, the Borrower or any Restricted Subsidiary by, Unrestricted Subsidiaries (other than Unrestricted Subsidiaries, the primary assets of which are cash or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-3637280</wp:posOffset>
            </wp:positionV>
            <wp:extent cx="197167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-3122930</wp:posOffset>
            </wp:positionV>
            <wp:extent cx="4294505" cy="4318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294505"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-2951480</wp:posOffset>
            </wp:positionV>
            <wp:extent cx="160274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60274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-2205355</wp:posOffset>
            </wp:positionV>
            <wp:extent cx="364236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642360" cy="8890"/>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-1579880</wp:posOffset>
            </wp:positionV>
            <wp:extent cx="48895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96"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584"/>
          </w:cols>
          <w:pgMar w:left="876" w:top="274" w:right="439" w:bottom="1440" w:gutter="0" w:footer="0" w:header="0"/>
        </w:sectPr>
      </w:pPr>
    </w:p>
    <w:bookmarkStart w:id="216" w:name="page217"/>
    <w:bookmarkEnd w:id="216"/>
    <w:p>
      <w:pPr>
        <w:jc w:val="both"/>
        <w:ind w:right="20" w:firstLine="436"/>
        <w:spacing w:after="0" w:line="296" w:lineRule="auto"/>
        <w:tabs>
          <w:tab w:leader="none" w:pos="708" w:val="left"/>
        </w:tabs>
        <w:numPr>
          <w:ilvl w:val="0"/>
          <w:numId w:val="2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will not, nor will it permit any Restricted Subsidiary to, make or pay, directly or indirectly, any payment or other distribution (whether in cash, securities or other property) of or in respect of principal of any Subordinated Indebtedness, any Junior Indebtedness or any Unsecured Material Indebtedness (collectively, “</w:t>
      </w:r>
      <w:r>
        <w:rPr>
          <w:rFonts w:ascii="Arial" w:cs="Arial" w:eastAsia="Arial" w:hAnsi="Arial"/>
          <w:sz w:val="16"/>
          <w:szCs w:val="16"/>
          <w:u w:val="single" w:color="auto"/>
          <w:color w:val="auto"/>
        </w:rPr>
        <w:t>Restricted Junior Debt</w:t>
      </w:r>
      <w:r>
        <w:rPr>
          <w:rFonts w:ascii="Arial" w:cs="Arial" w:eastAsia="Arial" w:hAnsi="Arial"/>
          <w:sz w:val="16"/>
          <w:szCs w:val="16"/>
          <w:color w:val="auto"/>
        </w:rPr>
        <w:t>”), or any payment or other distribution (whether in cash, securities or other property), including any sinking fund or similar deposit, on account of the purchase, redemption, retirement, acquisition, cancellation or termination of any such Restricted Junior Debt, in each case, on or prior to the scheduled maturity date thereof (collectively, “</w:t>
      </w:r>
      <w:r>
        <w:rPr>
          <w:rFonts w:ascii="Arial" w:cs="Arial" w:eastAsia="Arial" w:hAnsi="Arial"/>
          <w:sz w:val="16"/>
          <w:szCs w:val="16"/>
          <w:u w:val="single" w:color="auto"/>
          <w:color w:val="auto"/>
        </w:rPr>
        <w:t>Restricted Debt Payments</w:t>
      </w:r>
      <w:r>
        <w:rPr>
          <w:rFonts w:ascii="Arial" w:cs="Arial" w:eastAsia="Arial" w:hAnsi="Arial"/>
          <w:sz w:val="16"/>
          <w:szCs w:val="16"/>
          <w:color w:val="auto"/>
        </w:rPr>
        <w:t>”), except:</w:t>
      </w:r>
    </w:p>
    <w:p>
      <w:pPr>
        <w:spacing w:after="0" w:line="53" w:lineRule="exact"/>
        <w:rPr>
          <w:rFonts w:ascii="Arial" w:cs="Arial" w:eastAsia="Arial" w:hAnsi="Arial"/>
          <w:sz w:val="16"/>
          <w:szCs w:val="16"/>
          <w:color w:val="auto"/>
        </w:rPr>
      </w:pPr>
    </w:p>
    <w:p>
      <w:pPr>
        <w:jc w:val="both"/>
        <w:ind w:left="440" w:right="20" w:firstLine="419"/>
        <w:spacing w:after="0" w:line="263" w:lineRule="auto"/>
        <w:tabs>
          <w:tab w:leader="none" w:pos="1081" w:val="left"/>
        </w:tabs>
        <w:numPr>
          <w:ilvl w:val="1"/>
          <w:numId w:val="260"/>
        </w:numPr>
        <w:rPr>
          <w:rFonts w:ascii="Arial" w:cs="Arial" w:eastAsia="Arial" w:hAnsi="Arial"/>
          <w:sz w:val="18"/>
          <w:szCs w:val="18"/>
          <w:color w:val="auto"/>
        </w:rPr>
      </w:pPr>
      <w:r>
        <w:rPr>
          <w:rFonts w:ascii="Arial" w:cs="Arial" w:eastAsia="Arial" w:hAnsi="Arial"/>
          <w:sz w:val="18"/>
          <w:szCs w:val="18"/>
          <w:color w:val="auto"/>
        </w:rPr>
        <w:t>payment of regularly scheduled interest and principal payments, payments of fees, expenses and indemnification obligations when due in respect of any Indebtedness, other than payments in respect of any Restricted Junior Debt prohibited by the subordination provisions thereof or any applicable subordination agreement or Junior Priority Intercreditor Agreement;</w:t>
      </w:r>
    </w:p>
    <w:p>
      <w:pPr>
        <w:spacing w:after="0" w:line="75" w:lineRule="exact"/>
        <w:rPr>
          <w:rFonts w:ascii="Arial" w:cs="Arial" w:eastAsia="Arial" w:hAnsi="Arial"/>
          <w:sz w:val="18"/>
          <w:szCs w:val="18"/>
          <w:color w:val="auto"/>
        </w:rPr>
      </w:pPr>
    </w:p>
    <w:p>
      <w:pPr>
        <w:jc w:val="both"/>
        <w:ind w:left="440" w:right="20" w:firstLine="419"/>
        <w:spacing w:after="0" w:line="259" w:lineRule="auto"/>
        <w:tabs>
          <w:tab w:leader="none" w:pos="1134"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(1) refinancings or exchanges of Restricted Junior Debt with proceeds of Permitted Refinancing Indebtedness or other Restricted Junior Debt, in each case, to the extent such Indebtedness is permitted to be incurred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(2) Refinancings of Restricted Junior Debt assumed in accordance with </w:t>
      </w:r>
      <w:r>
        <w:rPr>
          <w:rFonts w:ascii="Arial" w:cs="Arial" w:eastAsia="Arial" w:hAnsi="Arial"/>
          <w:sz w:val="18"/>
          <w:szCs w:val="18"/>
          <w:u w:val="single" w:color="auto"/>
          <w:color w:val="auto"/>
        </w:rPr>
        <w:t>Section 6.01(a)(vii)</w:t>
      </w:r>
      <w:r>
        <w:rPr>
          <w:rFonts w:ascii="Arial" w:cs="Arial" w:eastAsia="Arial" w:hAnsi="Arial"/>
          <w:sz w:val="18"/>
          <w:szCs w:val="18"/>
          <w:color w:val="auto"/>
        </w:rPr>
        <w:t xml:space="preserve"> in connection with a Permitted Acquisition or similar Investment permitted under this Agreement;</w:t>
      </w:r>
    </w:p>
    <w:p>
      <w:pPr>
        <w:spacing w:after="0" w:line="78" w:lineRule="exact"/>
        <w:rPr>
          <w:rFonts w:ascii="Arial" w:cs="Arial" w:eastAsia="Arial" w:hAnsi="Arial"/>
          <w:sz w:val="18"/>
          <w:szCs w:val="18"/>
          <w:color w:val="auto"/>
        </w:rPr>
      </w:pPr>
    </w:p>
    <w:p>
      <w:pPr>
        <w:ind w:left="440" w:right="20" w:firstLine="419"/>
        <w:spacing w:after="0" w:line="277" w:lineRule="auto"/>
        <w:tabs>
          <w:tab w:leader="none" w:pos="120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(1) the conversion of any Restricted Junior Debt to or payments with Equity Interests (other than Disqualified Equity Interests) of Holdings, the Borrower or any Parent Entity and (2) mandatory redemptions of Disqualified Equity Interests;</w:t>
      </w:r>
    </w:p>
    <w:p>
      <w:pPr>
        <w:spacing w:after="0" w:line="62" w:lineRule="exact"/>
        <w:rPr>
          <w:rFonts w:ascii="Arial" w:cs="Arial" w:eastAsia="Arial" w:hAnsi="Arial"/>
          <w:sz w:val="18"/>
          <w:szCs w:val="18"/>
          <w:color w:val="auto"/>
        </w:rPr>
      </w:pPr>
    </w:p>
    <w:p>
      <w:pPr>
        <w:jc w:val="both"/>
        <w:ind w:left="440" w:right="20" w:firstLine="419"/>
        <w:spacing w:after="0" w:line="284" w:lineRule="auto"/>
        <w:tabs>
          <w:tab w:leader="none" w:pos="117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 xml:space="preserve">Restricted Debt Payments in an aggregate amount not to exceed the sum of (A) (i) </w:t>
      </w:r>
      <w:r>
        <w:rPr>
          <w:rFonts w:ascii="Arial" w:cs="Arial" w:eastAsia="Arial" w:hAnsi="Arial"/>
          <w:sz w:val="16"/>
          <w:szCs w:val="16"/>
          <w:u w:val="single" w:color="auto"/>
          <w:color w:val="0000FF"/>
        </w:rPr>
        <w:t>after the Suspension Period has ended,</w:t>
      </w:r>
      <w:r>
        <w:rPr>
          <w:rFonts w:ascii="Arial" w:cs="Arial" w:eastAsia="Arial" w:hAnsi="Arial"/>
          <w:sz w:val="16"/>
          <w:szCs w:val="16"/>
          <w:color w:val="auto"/>
        </w:rPr>
        <w:t xml:space="preserve"> the Restricted Debt Payment Amount that the Borrower elects to apply pursuant to this clause (i), plus (ii) </w:t>
      </w:r>
      <w:r>
        <w:rPr>
          <w:rFonts w:ascii="Arial" w:cs="Arial" w:eastAsia="Arial" w:hAnsi="Arial"/>
          <w:sz w:val="16"/>
          <w:szCs w:val="16"/>
          <w:u w:val="single" w:color="auto"/>
          <w:color w:val="0000FF"/>
        </w:rPr>
        <w:t>after the Suspension Period has ended, an amount</w:t>
      </w:r>
      <w:r>
        <w:rPr>
          <w:rFonts w:ascii="Arial" w:cs="Arial" w:eastAsia="Arial" w:hAnsi="Arial"/>
          <w:sz w:val="16"/>
          <w:szCs w:val="16"/>
          <w:color w:val="auto"/>
        </w:rPr>
        <w:t xml:space="preserve"> not to exceed the portion, if any, of the Restricted Payment Amount that the Borrower elects to apply pursuant to this clause (ii), in the case of this clause (A), so long as no Event of Default has occurred and is continuing (or would occur after giving pro forma effect to such action) </w:t>
      </w:r>
      <w:r>
        <w:rPr>
          <w:rFonts w:ascii="Arial" w:cs="Arial" w:eastAsia="Arial" w:hAnsi="Arial"/>
          <w:sz w:val="16"/>
          <w:szCs w:val="16"/>
          <w:color w:val="0000FF"/>
        </w:rPr>
        <w:t>(for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avoidance of doubt, no Restricted Debt Payment may be made in reliance on this clause (A) during the Suspension Period)</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plus</w:t>
      </w:r>
      <w:r>
        <w:rPr>
          <w:rFonts w:ascii="Arial" w:cs="Arial" w:eastAsia="Arial" w:hAnsi="Arial"/>
          <w:sz w:val="16"/>
          <w:szCs w:val="16"/>
          <w:color w:val="0000FF"/>
        </w:rPr>
        <w:t xml:space="preserve"> </w:t>
      </w:r>
      <w:r>
        <w:rPr>
          <w:rFonts w:ascii="Arial" w:cs="Arial" w:eastAsia="Arial" w:hAnsi="Arial"/>
          <w:sz w:val="16"/>
          <w:szCs w:val="16"/>
          <w:color w:val="000000"/>
        </w:rPr>
        <w:t>(B) the Available</w:t>
      </w:r>
      <w:r>
        <w:rPr>
          <w:rFonts w:ascii="Arial" w:cs="Arial" w:eastAsia="Arial" w:hAnsi="Arial"/>
          <w:sz w:val="16"/>
          <w:szCs w:val="16"/>
          <w:color w:val="0000FF"/>
        </w:rPr>
        <w:t xml:space="preserve"> </w:t>
      </w:r>
      <w:r>
        <w:rPr>
          <w:rFonts w:ascii="Arial" w:cs="Arial" w:eastAsia="Arial" w:hAnsi="Arial"/>
          <w:sz w:val="16"/>
          <w:szCs w:val="16"/>
          <w:color w:val="000000"/>
        </w:rPr>
        <w:t xml:space="preserve">Amount that is Not Otherwise Applied as in effect immediately prior to the time of making of such Restricted Debt Payment;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in the case of this clause (B), (x) no Event of Default has occurred and is continuing (or would occur after giving pro forma effect to such action) and</w:t>
      </w:r>
    </w:p>
    <w:p>
      <w:pPr>
        <w:spacing w:after="0" w:line="2" w:lineRule="exact"/>
        <w:rPr>
          <w:rFonts w:ascii="Arial" w:cs="Arial" w:eastAsia="Arial" w:hAnsi="Arial"/>
          <w:sz w:val="16"/>
          <w:szCs w:val="16"/>
          <w:color w:val="auto"/>
        </w:rPr>
      </w:pPr>
    </w:p>
    <w:p>
      <w:pPr>
        <w:jc w:val="both"/>
        <w:ind w:left="440" w:hanging="4"/>
        <w:spacing w:after="0" w:line="252" w:lineRule="auto"/>
        <w:tabs>
          <w:tab w:leader="none" w:pos="69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after giving pro forma effect to such Restricted Debt Payment on a pro forma basis as of the last day of the Test Period most recently ended on or prior to such date of such Restricted Debt Payment (measured as of the date such Restricted Debt Payment is made based upon the financial statements most recently delivered (or required to have been delivered) on or prior to such date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Total Net Cash Leverage Ratio is less than or equal to </w:t>
      </w:r>
      <w:r>
        <w:rPr>
          <w:rFonts w:ascii="Arial" w:cs="Arial" w:eastAsia="Arial" w:hAnsi="Arial"/>
          <w:sz w:val="18"/>
          <w:szCs w:val="18"/>
          <w:u w:val="single" w:color="auto"/>
          <w:color w:val="0000FF"/>
        </w:rPr>
        <w:t>(I) during the Suspension Period, 4.00:1.00, and (II) after the Suspension Period has ended,</w:t>
      </w:r>
      <w:r>
        <w:rPr>
          <w:rFonts w:ascii="Arial" w:cs="Arial" w:eastAsia="Arial" w:hAnsi="Arial"/>
          <w:sz w:val="18"/>
          <w:szCs w:val="18"/>
          <w:color w:val="auto"/>
        </w:rPr>
        <w:t xml:space="preserve"> 5.50:1.00,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Available Equity Amount that is Not Otherwise Applied as in effect immediately prior to the time of making of such Restricted Debt Payment;</w:t>
      </w:r>
    </w:p>
    <w:p>
      <w:pPr>
        <w:spacing w:after="0" w:line="85" w:lineRule="exact"/>
        <w:rPr>
          <w:rFonts w:ascii="Arial" w:cs="Arial" w:eastAsia="Arial" w:hAnsi="Arial"/>
          <w:sz w:val="18"/>
          <w:szCs w:val="18"/>
          <w:color w:val="auto"/>
        </w:rPr>
      </w:pPr>
    </w:p>
    <w:p>
      <w:pPr>
        <w:ind w:left="1120" w:hanging="261"/>
        <w:spacing w:after="0"/>
        <w:tabs>
          <w:tab w:leader="none" w:pos="11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440" w:firstLine="419"/>
        <w:spacing w:after="0" w:line="259" w:lineRule="auto"/>
        <w:tabs>
          <w:tab w:leader="none" w:pos="1204"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Restricted Debt Payments in respect of Restricted Junior Debt incurred pursuant to </w:t>
      </w:r>
      <w:r>
        <w:rPr>
          <w:rFonts w:ascii="Arial" w:cs="Arial" w:eastAsia="Arial" w:hAnsi="Arial"/>
          <w:sz w:val="18"/>
          <w:szCs w:val="18"/>
          <w:u w:val="single" w:color="auto"/>
          <w:color w:val="auto"/>
        </w:rPr>
        <w:t>Section 6.01(a)(vii)</w:t>
      </w:r>
      <w:r>
        <w:rPr>
          <w:rFonts w:ascii="Arial" w:cs="Arial" w:eastAsia="Arial" w:hAnsi="Arial"/>
          <w:sz w:val="18"/>
          <w:szCs w:val="18"/>
          <w:color w:val="auto"/>
        </w:rPr>
        <w:t xml:space="preserve"> (other than Indebtedness incurred (I) to provide all or any portion of the funds utilized to consummate the transaction or series of related transactions pursuant to which such Person became a Restricted Subsidiary or was otherwise acquired by Holdings, the Borrower or a Restricted Subsidiary or (II) otherwise in connection with or contemplation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-2469515</wp:posOffset>
            </wp:positionV>
            <wp:extent cx="17748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774825" cy="825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-2332355</wp:posOffset>
            </wp:positionV>
            <wp:extent cx="228854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-2058035</wp:posOffset>
            </wp:positionV>
            <wp:extent cx="3860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6605270</wp:posOffset>
            </wp:positionH>
            <wp:positionV relativeFrom="paragraph">
              <wp:posOffset>-2092325</wp:posOffset>
            </wp:positionV>
            <wp:extent cx="38481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8481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-1920875</wp:posOffset>
            </wp:positionV>
            <wp:extent cx="56407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640705"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-1097915</wp:posOffset>
            </wp:positionV>
            <wp:extent cx="41744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174490" cy="8890"/>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20"/>
          </w:cols>
          <w:pgMar w:left="440" w:top="274" w:right="439" w:bottom="1440" w:gutter="0" w:footer="0" w:header="0"/>
        </w:sectPr>
      </w:pPr>
    </w:p>
    <w:bookmarkStart w:id="217" w:name="page218"/>
    <w:bookmarkEnd w:id="217"/>
    <w:p>
      <w:pPr>
        <w:jc w:val="both"/>
        <w:ind w:left="44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 so long as such Restricted Debt Payments is made or deposited with a trustee or other similar representative of the holders of such Restricted Junior Debt contemporaneously with, or substantially simultaneously with, the closing of the Acquisition Transaction under which such Restricted Junior Debt is incurred;</w:t>
      </w:r>
    </w:p>
    <w:p>
      <w:pPr>
        <w:spacing w:after="0" w:line="76" w:lineRule="exact"/>
        <w:rPr>
          <w:sz w:val="20"/>
          <w:szCs w:val="20"/>
          <w:color w:val="auto"/>
        </w:rPr>
      </w:pPr>
    </w:p>
    <w:p>
      <w:pPr>
        <w:ind w:left="440" w:right="20" w:firstLine="419"/>
        <w:spacing w:after="0" w:line="277" w:lineRule="auto"/>
        <w:tabs>
          <w:tab w:leader="none" w:pos="1223"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to the extent constituting a Restricted Debt Payment, payment-in-kind interest with respect to any Indebtedness that is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260" w:hanging="401"/>
        <w:spacing w:after="0"/>
        <w:tabs>
          <w:tab w:leader="none" w:pos="12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payments as part of an applicable high yield discount obligation or AHYDO Catch-Up Payment.</w:t>
      </w:r>
    </w:p>
    <w:p>
      <w:pPr>
        <w:spacing w:after="0" w:line="117" w:lineRule="exact"/>
        <w:rPr>
          <w:rFonts w:ascii="Arial" w:cs="Arial" w:eastAsia="Arial" w:hAnsi="Arial"/>
          <w:sz w:val="18"/>
          <w:szCs w:val="18"/>
          <w:color w:val="auto"/>
        </w:rPr>
      </w:pPr>
    </w:p>
    <w:p>
      <w:pPr>
        <w:jc w:val="both"/>
        <w:ind w:firstLine="436"/>
        <w:spacing w:after="0" w:line="259" w:lineRule="auto"/>
        <w:tabs>
          <w:tab w:leader="none" w:pos="69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Borrower will not, nor will it permit any Restricted Subsidiary to, amend or modify any documentation governing any Restricted Junior Debt, in each case (i) if the effect of such amendment or modification (when taken as a whole) is materially adverse to the Lenders or (ii) in the case of any Subordinated Indebtedness or Junior Indebtedness, such amendment or modification is in contravention with any applicable subordination agreement or Junior Priority Intercreditor Agreement.</w:t>
      </w:r>
    </w:p>
    <w:p>
      <w:pPr>
        <w:spacing w:after="0" w:line="187"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 xml:space="preserve">Notwithstanding anything herein to the contrary, the foregoing provisions of this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will not prohibit the payment of any Restricted Payment or the consummation of any irrevocable redemption, retirement, termination, cancellation, purchase or repurchase, defeasance, or other payment or Restricted Debt Payment within 60 days after the date of declaration of such Restricted Payment or the giving of irrevocable notice of such redemption, purchase, defeasance or other payment, as applicable, if at the date of declaration or the giving of such notice such payment would have complied with the provisions of this Agreement.</w:t>
      </w:r>
    </w:p>
    <w:p>
      <w:pPr>
        <w:spacing w:after="0" w:line="188"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Transactions with Affiliate</w:t>
      </w:r>
      <w:r>
        <w:rPr>
          <w:rFonts w:ascii="Arial" w:cs="Arial" w:eastAsia="Arial" w:hAnsi="Arial"/>
          <w:sz w:val="16"/>
          <w:szCs w:val="16"/>
          <w:color w:val="auto"/>
        </w:rPr>
        <w:t xml:space="preserve">s. The Borrower will not, nor will it permit any of its respective Restricted Subsidiaries to, sell, lease or otherwise transfer any property or assets to, or purchase, lease or otherwise acquire any property or assets from, or otherwise engage in any other transactions with, any of its Affiliates in a transaction in excess of the greater of (x) $2,000,000 and (y) 5.0% of Consolidated Cash EBITDA for the Test Period most recently ended on or prior to the date of such transaction (measured as of the date of such transaction based upon the financial statements most recently delivered (or required to have been delivered) on or prior to such date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except:</w:t>
      </w:r>
    </w:p>
    <w:p>
      <w:pPr>
        <w:spacing w:after="0" w:line="53" w:lineRule="exact"/>
        <w:rPr>
          <w:sz w:val="20"/>
          <w:szCs w:val="20"/>
          <w:color w:val="auto"/>
        </w:rPr>
      </w:pPr>
    </w:p>
    <w:p>
      <w:pPr>
        <w:ind w:left="440" w:right="20" w:firstLine="419"/>
        <w:spacing w:after="0" w:line="277" w:lineRule="auto"/>
        <w:tabs>
          <w:tab w:leader="none" w:pos="108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transactions with Holdings, the Borrower or any Restricted Subsidiary (or any entity that becomes a Restricted Subsidiary as a result of such transaction);</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3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on terms substantially as favorable to the Borrower or such Restricted Subsidiary as would be obtainable by such Person at the time in a comparable arm’s-length transaction with a Person other than an Affiliate;</w:t>
      </w:r>
    </w:p>
    <w:p>
      <w:pPr>
        <w:spacing w:after="0" w:line="62" w:lineRule="exact"/>
        <w:rPr>
          <w:rFonts w:ascii="Arial" w:cs="Arial" w:eastAsia="Arial" w:hAnsi="Arial"/>
          <w:sz w:val="18"/>
          <w:szCs w:val="18"/>
          <w:color w:val="auto"/>
        </w:rPr>
      </w:pPr>
    </w:p>
    <w:p>
      <w:pPr>
        <w:ind w:left="1180" w:hanging="321"/>
        <w:spacing w:after="0"/>
        <w:tabs>
          <w:tab w:leader="none" w:pos="11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Transactions, the payment of fees and expenses related to the Transactions and payments required under the Merger Agreement;</w:t>
      </w:r>
    </w:p>
    <w:p>
      <w:pPr>
        <w:spacing w:after="0" w:line="140" w:lineRule="exact"/>
        <w:rPr>
          <w:rFonts w:ascii="Arial" w:cs="Arial" w:eastAsia="Arial" w:hAnsi="Arial"/>
          <w:sz w:val="16"/>
          <w:szCs w:val="16"/>
          <w:color w:val="auto"/>
        </w:rPr>
      </w:pPr>
    </w:p>
    <w:p>
      <w:pPr>
        <w:ind w:left="1160" w:hanging="301"/>
        <w:spacing w:after="0"/>
        <w:tabs>
          <w:tab w:leader="none" w:pos="11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issuances of Equity Interests of Holdings or the Borrower to the extent not otherwise prohibited by this Agreement;</w:t>
      </w:r>
    </w:p>
    <w:p>
      <w:pPr>
        <w:spacing w:after="0" w:line="117" w:lineRule="exact"/>
        <w:rPr>
          <w:rFonts w:ascii="Arial" w:cs="Arial" w:eastAsia="Arial" w:hAnsi="Arial"/>
          <w:sz w:val="18"/>
          <w:szCs w:val="18"/>
          <w:color w:val="auto"/>
        </w:rPr>
      </w:pPr>
    </w:p>
    <w:p>
      <w:pPr>
        <w:jc w:val="both"/>
        <w:ind w:left="440" w:firstLine="419"/>
        <w:spacing w:after="0" w:line="263" w:lineRule="auto"/>
        <w:tabs>
          <w:tab w:leader="none" w:pos="155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(1) employment, consulting, severance and other service or benefit related arrangements between Holdings, the Borrower and the Restricted Subsidiaries and their respective officers, directors and employees in the ordinary course of business (including loans and advances pursuant to </w:t>
      </w:r>
      <w:r>
        <w:rPr>
          <w:rFonts w:ascii="Arial" w:cs="Arial" w:eastAsia="Arial" w:hAnsi="Arial"/>
          <w:sz w:val="18"/>
          <w:szCs w:val="18"/>
          <w:u w:val="single" w:color="auto"/>
          <w:color w:val="auto"/>
        </w:rPr>
        <w:t>Sections 6.04(b)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6.04(p)</w:t>
      </w:r>
      <w:r>
        <w:rPr>
          <w:rFonts w:ascii="Arial" w:cs="Arial" w:eastAsia="Arial" w:hAnsi="Arial"/>
          <w:sz w:val="18"/>
          <w:szCs w:val="18"/>
          <w:color w:val="auto"/>
        </w:rPr>
        <w:t>, salary or guaranteed payments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20"/>
          </w:cols>
          <w:pgMar w:left="440" w:top="274" w:right="439" w:bottom="1440" w:gutter="0" w:footer="0" w:header="0"/>
        </w:sectPr>
      </w:pPr>
    </w:p>
    <w:bookmarkStart w:id="218" w:name="page219"/>
    <w:bookmarkEnd w:id="218"/>
    <w:p>
      <w:pPr>
        <w:jc w:val="both"/>
        <w:ind w:left="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bonuses) and transactions pursuant to stock option and other equity award plans and employee benefit plans and similar arrangements in the ordinary course of business or consistent with past practice and (2) transactions in existence on the Effective Date and set forth on </w:t>
      </w:r>
      <w:r>
        <w:rPr>
          <w:rFonts w:ascii="Arial" w:cs="Arial" w:eastAsia="Arial" w:hAnsi="Arial"/>
          <w:sz w:val="16"/>
          <w:szCs w:val="16"/>
          <w:u w:val="single" w:color="auto"/>
          <w:color w:val="auto"/>
        </w:rPr>
        <w:t>Schedule 6.09</w:t>
      </w:r>
      <w:r>
        <w:rPr>
          <w:rFonts w:ascii="Arial" w:cs="Arial" w:eastAsia="Arial" w:hAnsi="Arial"/>
          <w:sz w:val="16"/>
          <w:szCs w:val="16"/>
          <w:color w:val="auto"/>
        </w:rPr>
        <w:t xml:space="preserve"> and any amendment, modification or extension thereof to the extent such amendment, modification or extension, taken as a whole, is not</w:t>
      </w:r>
    </w:p>
    <w:p>
      <w:pPr>
        <w:spacing w:after="0" w:line="2" w:lineRule="exact"/>
        <w:rPr>
          <w:sz w:val="20"/>
          <w:szCs w:val="20"/>
          <w:color w:val="auto"/>
        </w:rPr>
      </w:pPr>
    </w:p>
    <w:p>
      <w:pPr>
        <w:ind w:left="224" w:hanging="224"/>
        <w:spacing w:after="0"/>
        <w:tabs>
          <w:tab w:leader="none" w:pos="22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materially adverse to the Lenders or (ii) more disadvantageous to the Lenders than the relevant transaction in existence on the Effective Date;</w:t>
      </w:r>
    </w:p>
    <w:p>
      <w:pPr>
        <w:spacing w:after="0" w:line="125" w:lineRule="exact"/>
        <w:rPr>
          <w:rFonts w:ascii="Arial" w:cs="Arial" w:eastAsia="Arial" w:hAnsi="Arial"/>
          <w:sz w:val="16"/>
          <w:szCs w:val="16"/>
          <w:color w:val="auto"/>
        </w:rPr>
      </w:pPr>
    </w:p>
    <w:p>
      <w:pPr>
        <w:jc w:val="both"/>
        <w:ind w:left="4" w:firstLine="419"/>
        <w:spacing w:after="0" w:line="263" w:lineRule="auto"/>
        <w:tabs>
          <w:tab w:leader="none" w:pos="74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 xml:space="preserve">payments by the Borrower and the Restricted Subsidiaries pursuant to tax sharing agreements among Holdings (and any other Parent Entity), the Borrower and the Restricted Subsidiaries on customary terms to the extent attributable to the ownership or operation of the Borrower and the Restricted Subsidiaries, to the extent payments are permitted by </w:t>
      </w:r>
      <w:r>
        <w:rPr>
          <w:rFonts w:ascii="Arial" w:cs="Arial" w:eastAsia="Arial" w:hAnsi="Arial"/>
          <w:sz w:val="18"/>
          <w:szCs w:val="18"/>
          <w:u w:val="single" w:color="auto"/>
          <w:color w:val="auto"/>
        </w:rPr>
        <w:t>Section 6.08</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4" w:firstLine="419"/>
        <w:spacing w:after="0" w:line="263" w:lineRule="auto"/>
        <w:tabs>
          <w:tab w:leader="none" w:pos="81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payment of customary fees and reasonable out-of-pocket costs to, and indemnities provided on behalf of, directors, officers, consultants and employees of Holdings (or any other Parent Entity), the Borrower and the Restricted Subsidiaries in the ordinary course of business to the extent attributable to the ownership or operation of the Borrower and the Restricted Subsidiaries;</w:t>
      </w:r>
    </w:p>
    <w:p>
      <w:pPr>
        <w:spacing w:after="0" w:line="75" w:lineRule="exact"/>
        <w:rPr>
          <w:rFonts w:ascii="Arial" w:cs="Arial" w:eastAsia="Arial" w:hAnsi="Arial"/>
          <w:sz w:val="18"/>
          <w:szCs w:val="18"/>
          <w:color w:val="auto"/>
        </w:rPr>
      </w:pPr>
    </w:p>
    <w:p>
      <w:pPr>
        <w:ind w:left="4" w:right="20" w:firstLine="419"/>
        <w:spacing w:after="0" w:line="277" w:lineRule="auto"/>
        <w:tabs>
          <w:tab w:leader="none" w:pos="83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 xml:space="preserve">transactions pursuant to permitted agreements in existence or contemplated on the Effective Date and set forth on </w:t>
      </w:r>
      <w:r>
        <w:rPr>
          <w:rFonts w:ascii="Arial" w:cs="Arial" w:eastAsia="Arial" w:hAnsi="Arial"/>
          <w:sz w:val="18"/>
          <w:szCs w:val="18"/>
          <w:u w:val="single" w:color="auto"/>
          <w:color w:val="auto"/>
        </w:rPr>
        <w:t>Schedule 6.09</w:t>
      </w:r>
      <w:r>
        <w:rPr>
          <w:rFonts w:ascii="Arial" w:cs="Arial" w:eastAsia="Arial" w:hAnsi="Arial"/>
          <w:sz w:val="18"/>
          <w:szCs w:val="18"/>
          <w:color w:val="auto"/>
        </w:rPr>
        <w:t xml:space="preserve"> or any amendment thereto to the extent such an amendment is not adverse to the Lenders in any material respect;</w:t>
      </w:r>
    </w:p>
    <w:p>
      <w:pPr>
        <w:spacing w:after="0" w:line="62" w:lineRule="exact"/>
        <w:rPr>
          <w:rFonts w:ascii="Arial" w:cs="Arial" w:eastAsia="Arial" w:hAnsi="Arial"/>
          <w:sz w:val="18"/>
          <w:szCs w:val="18"/>
          <w:color w:val="auto"/>
        </w:rPr>
      </w:pPr>
    </w:p>
    <w:p>
      <w:pPr>
        <w:ind w:left="724" w:hanging="301"/>
        <w:spacing w:after="0"/>
        <w:tabs>
          <w:tab w:leader="none" w:pos="724" w:val="left"/>
        </w:tabs>
        <w:numPr>
          <w:ilvl w:val="1"/>
          <w:numId w:val="265"/>
        </w:numPr>
        <w:rPr>
          <w:rFonts w:ascii="Arial" w:cs="Arial" w:eastAsia="Arial" w:hAnsi="Arial"/>
          <w:sz w:val="18"/>
          <w:szCs w:val="18"/>
          <w:color w:val="auto"/>
        </w:rPr>
      </w:pPr>
      <w:r>
        <w:rPr>
          <w:rFonts w:ascii="Arial" w:cs="Arial" w:eastAsia="Arial" w:hAnsi="Arial"/>
          <w:sz w:val="18"/>
          <w:szCs w:val="18"/>
          <w:color w:val="auto"/>
        </w:rPr>
        <w:t xml:space="preserve">Restricted Payments permitted under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and loans and advances in lieu thereof pursuant to </w:t>
      </w:r>
      <w:r>
        <w:rPr>
          <w:rFonts w:ascii="Arial" w:cs="Arial" w:eastAsia="Arial" w:hAnsi="Arial"/>
          <w:sz w:val="18"/>
          <w:szCs w:val="18"/>
          <w:u w:val="single" w:color="auto"/>
          <w:color w:val="auto"/>
        </w:rPr>
        <w:t>Section 6.04(m)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firstLine="419"/>
        <w:spacing w:after="0" w:line="273" w:lineRule="auto"/>
        <w:tabs>
          <w:tab w:leader="none" w:pos="705" w:val="left"/>
        </w:tabs>
        <w:numPr>
          <w:ilvl w:val="1"/>
          <w:numId w:val="265"/>
        </w:numPr>
        <w:rPr>
          <w:rFonts w:ascii="Arial" w:cs="Arial" w:eastAsia="Arial" w:hAnsi="Arial"/>
          <w:sz w:val="17"/>
          <w:szCs w:val="17"/>
          <w:color w:val="auto"/>
        </w:rPr>
      </w:pPr>
      <w:r>
        <w:rPr>
          <w:rFonts w:ascii="Arial" w:cs="Arial" w:eastAsia="Arial" w:hAnsi="Arial"/>
          <w:sz w:val="17"/>
          <w:szCs w:val="17"/>
          <w:color w:val="auto"/>
        </w:rPr>
        <w:t xml:space="preserve">payments by the Borrower and any Restricted Subsidiary (A) to reimburse the Investors, their Affiliates and any of their respective designees for any out of pocket costs and expenses incurred, (B) for indemnification and other expenses payable to the Investors, their Affiliates and other related parties and (C) customary compensation to Affiliates in connection with financial advisory, financing, underwriting or placement services or in respect of other investment banking activities and other transaction fees, which payments are approved by the majority of the Board of Directors or a majority of the disinterested members of the Board of Directors of Holdings in good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fees paid pursuant to this </w:t>
      </w:r>
      <w:r>
        <w:rPr>
          <w:rFonts w:ascii="Arial" w:cs="Arial" w:eastAsia="Arial" w:hAnsi="Arial"/>
          <w:sz w:val="17"/>
          <w:szCs w:val="17"/>
          <w:u w:val="single" w:color="auto"/>
          <w:color w:val="auto"/>
        </w:rPr>
        <w:t>clause 6.09(x)(C)</w:t>
      </w:r>
      <w:r>
        <w:rPr>
          <w:rFonts w:ascii="Arial" w:cs="Arial" w:eastAsia="Arial" w:hAnsi="Arial"/>
          <w:sz w:val="17"/>
          <w:szCs w:val="17"/>
          <w:color w:val="auto"/>
        </w:rPr>
        <w:t xml:space="preserve"> shall not exceed $1,000,000.</w:t>
      </w:r>
    </w:p>
    <w:p>
      <w:pPr>
        <w:spacing w:after="0" w:line="69" w:lineRule="exact"/>
        <w:rPr>
          <w:rFonts w:ascii="Arial" w:cs="Arial" w:eastAsia="Arial" w:hAnsi="Arial"/>
          <w:sz w:val="17"/>
          <w:szCs w:val="17"/>
          <w:color w:val="auto"/>
        </w:rPr>
      </w:pPr>
    </w:p>
    <w:p>
      <w:pPr>
        <w:jc w:val="both"/>
        <w:ind w:left="4" w:right="20" w:firstLine="419"/>
        <w:spacing w:after="0" w:line="263" w:lineRule="auto"/>
        <w:tabs>
          <w:tab w:leader="none" w:pos="75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issuance or transfer of Equity Interests (other than Disqualified Equity Interests) of Holdings to any Permitted Holder or to any former, current or future director, manager, officer, employee or consultant (Immediate Family Members or Affiliates of the foregoing) of the Borrower, any of the Subsidiaries or any direct or indirect parent of any of the foregoing;</w:t>
      </w:r>
    </w:p>
    <w:p>
      <w:pPr>
        <w:spacing w:after="0" w:line="75" w:lineRule="exact"/>
        <w:rPr>
          <w:rFonts w:ascii="Arial" w:cs="Arial" w:eastAsia="Arial" w:hAnsi="Arial"/>
          <w:sz w:val="18"/>
          <w:szCs w:val="18"/>
          <w:color w:val="auto"/>
        </w:rPr>
      </w:pPr>
    </w:p>
    <w:p>
      <w:pPr>
        <w:ind w:left="784" w:hanging="361"/>
        <w:spacing w:after="0"/>
        <w:tabs>
          <w:tab w:leader="none" w:pos="784" w:val="left"/>
        </w:tabs>
        <w:numPr>
          <w:ilvl w:val="1"/>
          <w:numId w:val="265"/>
        </w:numPr>
        <w:rPr>
          <w:rFonts w:ascii="Arial" w:cs="Arial" w:eastAsia="Arial" w:hAnsi="Arial"/>
          <w:sz w:val="18"/>
          <w:szCs w:val="18"/>
          <w:color w:val="auto"/>
        </w:rPr>
      </w:pPr>
      <w:r>
        <w:rPr>
          <w:rFonts w:ascii="Arial" w:cs="Arial" w:eastAsia="Arial" w:hAnsi="Arial"/>
          <w:sz w:val="18"/>
          <w:szCs w:val="18"/>
          <w:color w:val="auto"/>
        </w:rPr>
        <w:t>Holdings and its Subsidiaries may undertake or consummate or otherwise be subject to any Tax Restructuring;</w:t>
      </w:r>
    </w:p>
    <w:p>
      <w:pPr>
        <w:spacing w:after="0" w:line="117" w:lineRule="exact"/>
        <w:rPr>
          <w:rFonts w:ascii="Arial" w:cs="Arial" w:eastAsia="Arial" w:hAnsi="Arial"/>
          <w:sz w:val="18"/>
          <w:szCs w:val="18"/>
          <w:color w:val="auto"/>
        </w:rPr>
      </w:pPr>
    </w:p>
    <w:p>
      <w:pPr>
        <w:ind w:left="824" w:hanging="401"/>
        <w:spacing w:after="0"/>
        <w:tabs>
          <w:tab w:leader="none" w:pos="824"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transactions in connection with any Permitted Receivables Financing;</w:t>
      </w:r>
    </w:p>
    <w:p>
      <w:pPr>
        <w:spacing w:after="0" w:line="117" w:lineRule="exact"/>
        <w:rPr>
          <w:rFonts w:ascii="Arial" w:cs="Arial" w:eastAsia="Arial" w:hAnsi="Arial"/>
          <w:sz w:val="18"/>
          <w:szCs w:val="18"/>
          <w:color w:val="auto"/>
        </w:rPr>
      </w:pPr>
    </w:p>
    <w:p>
      <w:pPr>
        <w:jc w:val="both"/>
        <w:ind w:left="4" w:right="20" w:firstLine="419"/>
        <w:spacing w:after="0" w:line="263" w:lineRule="auto"/>
        <w:tabs>
          <w:tab w:leader="none" w:pos="83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transaction in respect of which Holdings or the Borrower delivers to the Administrative Agent a letter addressed to the Board of Directors of Holdings or the Borrower from an accounting, appraisal or investment banking firm of nationally recognized standing stating that such transaction is on terms that are no less favorable to Holdings, the Borrower or</w:t>
      </w:r>
    </w:p>
    <w:p>
      <w:pPr>
        <w:spacing w:after="0" w:line="238"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0584"/>
          </w:cols>
          <w:pgMar w:left="876" w:top="274" w:right="439" w:bottom="1440" w:gutter="0" w:footer="0" w:header="0"/>
        </w:sectPr>
      </w:pPr>
    </w:p>
    <w:bookmarkStart w:id="219" w:name="page220"/>
    <w:bookmarkEnd w:id="219"/>
    <w:p>
      <w:pPr>
        <w:ind w:lef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Restricted Subsidiary than might be obtained at the time in a comparable arm’s length transaction from a Person who is not an Affiliate;</w:t>
      </w:r>
    </w:p>
    <w:p>
      <w:pPr>
        <w:spacing w:after="0" w:line="62" w:lineRule="exact"/>
        <w:rPr>
          <w:sz w:val="20"/>
          <w:szCs w:val="20"/>
          <w:color w:val="auto"/>
        </w:rPr>
      </w:pPr>
    </w:p>
    <w:p>
      <w:pPr>
        <w:ind w:left="1200" w:hanging="341"/>
        <w:spacing w:after="0"/>
        <w:tabs>
          <w:tab w:leader="none" w:pos="12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(A) Guarantees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and (B) Investments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0" w:right="20" w:firstLine="419"/>
        <w:spacing w:after="0" w:line="259" w:lineRule="auto"/>
        <w:tabs>
          <w:tab w:leader="none" w:pos="126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transactions with customers, clients, Joint Venture partners, suppliers or purchasers or sellers of goods or services, in each case in the ordinary course of business and otherwise in compliance with the terms of this Agreement that are fair to the Borrower and the Restricted Subsidiaries, in the reasonable determination of the Board of Directors or the senior management of the Borrower, or are on terms at least as favorable as might reasonably have been obtained at such time from an unaffiliated party; and</w:t>
      </w:r>
    </w:p>
    <w:p>
      <w:pPr>
        <w:spacing w:after="0" w:line="78" w:lineRule="exact"/>
        <w:rPr>
          <w:rFonts w:ascii="Arial" w:cs="Arial" w:eastAsia="Arial" w:hAnsi="Arial"/>
          <w:sz w:val="18"/>
          <w:szCs w:val="18"/>
          <w:color w:val="auto"/>
        </w:rPr>
      </w:pPr>
    </w:p>
    <w:p>
      <w:pPr>
        <w:ind w:left="440" w:firstLine="419"/>
        <w:spacing w:after="0" w:line="277" w:lineRule="auto"/>
        <w:tabs>
          <w:tab w:leader="none" w:pos="133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payment of reasonable out-of-pocket costs and expenses and indemnities to equity holders of any Parent Entity of Holdings pursuant to any stockholders’ agreement.</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The Borrower shall not, and shall cause its Restricted Subsidiaries to not, engage in a line of business that is not substantially the same as those lines of business conducted by the Borrower and the Restricted Subsidiaries on the Effective Date or any Similar Business.</w:t>
      </w:r>
    </w:p>
    <w:p>
      <w:pPr>
        <w:spacing w:after="0" w:line="184" w:lineRule="exact"/>
        <w:rPr>
          <w:sz w:val="20"/>
          <w:szCs w:val="20"/>
          <w:color w:val="auto"/>
        </w:rPr>
      </w:pPr>
    </w:p>
    <w:p>
      <w:pPr>
        <w:jc w:val="both"/>
        <w:ind w:right="20" w:firstLine="440"/>
        <w:spacing w:after="0" w:line="301"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Accounting Changes</w:t>
      </w:r>
      <w:r>
        <w:rPr>
          <w:rFonts w:ascii="Arial" w:cs="Arial" w:eastAsia="Arial" w:hAnsi="Arial"/>
          <w:sz w:val="16"/>
          <w:szCs w:val="16"/>
          <w:color w:val="auto"/>
        </w:rPr>
        <w:t xml:space="preserve">. The Borrower shall not, and shall cause its Restricted Subsidiaries to not, change their fiscal year from their fiscal year as in effect on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pacing w:after="0" w:line="15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Changes to Organizational Documents</w:t>
      </w:r>
      <w:r>
        <w:rPr>
          <w:rFonts w:ascii="Arial" w:cs="Arial" w:eastAsia="Arial" w:hAnsi="Arial"/>
          <w:sz w:val="18"/>
          <w:szCs w:val="18"/>
          <w:color w:val="auto"/>
        </w:rPr>
        <w:t>. The Borrower will not, and will cause each Restricted Subsidiary to not, amend its Organizational Documents, except where the failure to do so, individually or in the aggregate, could not reasonably be expected to result in a Material Adverse Effect.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Financial Maintenance Covenant</w:t>
      </w:r>
      <w:r>
        <w:rPr>
          <w:rFonts w:ascii="Arial" w:cs="Arial" w:eastAsia="Arial" w:hAnsi="Arial"/>
          <w:sz w:val="18"/>
          <w:szCs w:val="18"/>
          <w:color w:val="auto"/>
        </w:rPr>
        <w:t>.</w:t>
      </w:r>
    </w:p>
    <w:p>
      <w:pPr>
        <w:spacing w:after="0" w:line="117" w:lineRule="exact"/>
        <w:rPr>
          <w:sz w:val="20"/>
          <w:szCs w:val="20"/>
          <w:color w:val="auto"/>
        </w:rPr>
      </w:pPr>
    </w:p>
    <w:p>
      <w:pPr>
        <w:jc w:val="both"/>
        <w:ind w:right="20" w:firstLine="987"/>
        <w:spacing w:after="0" w:line="301" w:lineRule="auto"/>
        <w:tabs>
          <w:tab w:leader="none" w:pos="124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Commencing with the Test Period ending March 31, 2020, </w:t>
      </w:r>
      <w:r>
        <w:rPr>
          <w:rFonts w:ascii="Arial" w:cs="Arial" w:eastAsia="Arial" w:hAnsi="Arial"/>
          <w:sz w:val="16"/>
          <w:szCs w:val="16"/>
          <w:color w:val="FF4338"/>
          <w:strike w:val="1"/>
        </w:rPr>
        <w:t>but only to be tested for any Test Period to the extent that as of the last day</w:t>
      </w:r>
      <w:r>
        <w:rPr>
          <w:rFonts w:ascii="Arial" w:cs="Arial" w:eastAsia="Arial" w:hAnsi="Arial"/>
          <w:sz w:val="16"/>
          <w:szCs w:val="16"/>
          <w:color w:val="auto"/>
        </w:rPr>
        <w:t xml:space="preserve"> </w:t>
      </w:r>
      <w:r>
        <w:rPr>
          <w:rFonts w:ascii="Arial" w:cs="Arial" w:eastAsia="Arial" w:hAnsi="Arial"/>
          <w:sz w:val="16"/>
          <w:szCs w:val="16"/>
          <w:color w:val="FF4338"/>
          <w:strike w:val="1"/>
        </w:rPr>
        <w:t>of such Test Period, the Borrower’s Total Net Cash Leverage Ratio is greater than 5.50:1.00 (including</w:t>
      </w:r>
      <w:r>
        <w:rPr>
          <w:rFonts w:ascii="Arial" w:cs="Arial" w:eastAsia="Arial" w:hAnsi="Arial"/>
          <w:sz w:val="16"/>
          <w:szCs w:val="16"/>
          <w:color w:val="007F00"/>
          <w:strike w:val="1"/>
        </w:rPr>
        <w:t>, for the avoidance of doubt,</w:t>
      </w:r>
      <w:r>
        <w:rPr>
          <w:rFonts w:ascii="Arial" w:cs="Arial" w:eastAsia="Arial" w:hAnsi="Arial"/>
          <w:sz w:val="16"/>
          <w:szCs w:val="16"/>
          <w:color w:val="FF4338"/>
          <w:strike w:val="1"/>
        </w:rPr>
        <w:t xml:space="preserve"> if Consolidated Cash EBITDA is less than zero in the determination of </w:t>
      </w:r>
      <w:r>
        <w:rPr>
          <w:rFonts w:ascii="Arial" w:cs="Arial" w:eastAsia="Arial" w:hAnsi="Arial"/>
          <w:sz w:val="16"/>
          <w:szCs w:val="16"/>
          <w:color w:val="007F00"/>
          <w:strike w:val="1"/>
        </w:rPr>
        <w:t>the Total Net Cash Leverage Ratio</w:t>
      </w:r>
      <w:r>
        <w:rPr>
          <w:rFonts w:ascii="Arial" w:cs="Arial" w:eastAsia="Arial" w:hAnsi="Arial"/>
          <w:sz w:val="16"/>
          <w:szCs w:val="16"/>
          <w:color w:val="FF4338"/>
          <w:strike w:val="1"/>
        </w:rPr>
        <w:t xml:space="preserve">), </w:t>
      </w:r>
      <w:r>
        <w:rPr>
          <w:rFonts w:ascii="Arial" w:cs="Arial" w:eastAsia="Arial" w:hAnsi="Arial"/>
          <w:sz w:val="16"/>
          <w:szCs w:val="16"/>
          <w:color w:val="000000"/>
          <w:strike w:val="1"/>
        </w:rPr>
        <w:t>the Borrower shall not permit the Total Net Leverage Ratio as of</w:t>
      </w:r>
      <w:r>
        <w:rPr>
          <w:rFonts w:ascii="Arial" w:cs="Arial" w:eastAsia="Arial" w:hAnsi="Arial"/>
          <w:sz w:val="16"/>
          <w:szCs w:val="16"/>
          <w:color w:val="FF4338"/>
          <w:strike w:val="1"/>
        </w:rPr>
        <w:t xml:space="preserve"> </w:t>
      </w:r>
      <w:r>
        <w:rPr>
          <w:rFonts w:ascii="Arial" w:cs="Arial" w:eastAsia="Arial" w:hAnsi="Arial"/>
          <w:sz w:val="16"/>
          <w:szCs w:val="16"/>
          <w:color w:val="000000"/>
          <w:strike w:val="1"/>
        </w:rPr>
        <w:t xml:space="preserve">the last day of any such Test Period to be greater than the levels in the table below (this </w:t>
      </w:r>
      <w:r>
        <w:rPr>
          <w:rFonts w:ascii="Arial" w:cs="Arial" w:eastAsia="Arial" w:hAnsi="Arial"/>
          <w:sz w:val="16"/>
          <w:szCs w:val="16"/>
          <w:u w:val="single" w:color="auto"/>
          <w:color w:val="000000"/>
          <w:strike w:val="1"/>
        </w:rPr>
        <w:t>Section 6.13(a)</w:t>
      </w:r>
      <w:r>
        <w:rPr>
          <w:rFonts w:ascii="Arial" w:cs="Arial" w:eastAsia="Arial" w:hAnsi="Arial"/>
          <w:sz w:val="16"/>
          <w:szCs w:val="16"/>
          <w:color w:val="000000"/>
          <w:strike w:val="1"/>
        </w:rPr>
        <w:t>, the “</w:t>
      </w:r>
      <w:r>
        <w:rPr>
          <w:rFonts w:ascii="Arial" w:cs="Arial" w:eastAsia="Arial" w:hAnsi="Arial"/>
          <w:sz w:val="16"/>
          <w:szCs w:val="16"/>
          <w:u w:val="single" w:color="auto"/>
          <w:color w:val="000000"/>
          <w:strike w:val="1"/>
        </w:rPr>
        <w:t>Total Leverage Covenant</w:t>
      </w:r>
      <w:r>
        <w:rPr>
          <w:rFonts w:ascii="Arial" w:cs="Arial" w:eastAsia="Arial" w:hAnsi="Arial"/>
          <w:sz w:val="16"/>
          <w:szCs w:val="16"/>
          <w:color w:val="000000"/>
          <w:strike w:val="1"/>
        </w:rPr>
        <w:t>”):</w:t>
      </w:r>
    </w:p>
    <w:p>
      <w:pPr>
        <w:spacing w:after="0" w:line="54" w:lineRule="exact"/>
        <w:rPr>
          <w:sz w:val="20"/>
          <w:szCs w:val="20"/>
          <w:color w:val="auto"/>
        </w:rPr>
      </w:pPr>
    </w:p>
    <w:p>
      <w:pPr>
        <w:spacing w:after="0"/>
        <w:tabs>
          <w:tab w:leader="none" w:pos="8360" w:val="left"/>
        </w:tabs>
        <w:rPr>
          <w:sz w:val="20"/>
          <w:szCs w:val="20"/>
          <w:color w:val="auto"/>
        </w:rPr>
      </w:pPr>
      <w:r>
        <w:rPr>
          <w:rFonts w:ascii="Arial" w:cs="Arial" w:eastAsia="Arial" w:hAnsi="Arial"/>
          <w:sz w:val="14"/>
          <w:szCs w:val="14"/>
          <w:b w:val="1"/>
          <w:bCs w:val="1"/>
          <w:color w:val="auto"/>
        </w:rPr>
        <w:t>Period</w:t>
      </w:r>
      <w:r>
        <w:rPr>
          <w:sz w:val="20"/>
          <w:szCs w:val="20"/>
          <w:color w:val="auto"/>
        </w:rPr>
        <w:tab/>
      </w:r>
      <w:r>
        <w:rPr>
          <w:rFonts w:ascii="Arial" w:cs="Arial" w:eastAsia="Arial" w:hAnsi="Arial"/>
          <w:sz w:val="14"/>
          <w:szCs w:val="14"/>
          <w:b w:val="1"/>
          <w:bCs w:val="1"/>
          <w:color w:val="auto"/>
        </w:rPr>
        <w:t>Total Net Leverage Ratio</w:t>
      </w:r>
    </w:p>
    <w:p>
      <w:pPr>
        <w:spacing w:after="0" w:line="104" w:lineRule="exact"/>
        <w:rPr>
          <w:sz w:val="20"/>
          <w:szCs w:val="20"/>
          <w:color w:val="auto"/>
        </w:rPr>
      </w:pPr>
    </w:p>
    <w:p>
      <w:pPr>
        <w:ind w:right="1960"/>
        <w:spacing w:after="0" w:line="277" w:lineRule="auto"/>
        <w:rPr>
          <w:sz w:val="20"/>
          <w:szCs w:val="20"/>
          <w:color w:val="auto"/>
        </w:rPr>
      </w:pPr>
      <w:r>
        <w:rPr>
          <w:rFonts w:ascii="Arial" w:cs="Arial" w:eastAsia="Arial" w:hAnsi="Arial"/>
          <w:sz w:val="18"/>
          <w:szCs w:val="18"/>
          <w:color w:val="auto"/>
        </w:rPr>
        <w:t>Commencing with the Test Period ending on March 31, 2020 through and including the Test Period ending on 4.50:1.00 June 30, 2020</w:t>
      </w:r>
    </w:p>
    <w:p>
      <w:pPr>
        <w:spacing w:after="0" w:line="62" w:lineRule="exact"/>
        <w:rPr>
          <w:sz w:val="20"/>
          <w:szCs w:val="20"/>
          <w:color w:val="auto"/>
        </w:rPr>
      </w:pPr>
    </w:p>
    <w:p>
      <w:pPr>
        <w:spacing w:after="0"/>
        <w:tabs>
          <w:tab w:leader="none" w:pos="8360" w:val="left"/>
        </w:tabs>
        <w:rPr>
          <w:sz w:val="20"/>
          <w:szCs w:val="20"/>
          <w:color w:val="auto"/>
        </w:rPr>
      </w:pPr>
      <w:r>
        <w:rPr>
          <w:rFonts w:ascii="Arial" w:cs="Arial" w:eastAsia="Arial" w:hAnsi="Arial"/>
          <w:sz w:val="17"/>
          <w:szCs w:val="17"/>
          <w:color w:val="auto"/>
        </w:rPr>
        <w:t>Commencing with the Test Period ending on September 30, 2020 through and including the Test Period ending on</w:t>
      </w:r>
      <w:r>
        <w:rPr>
          <w:sz w:val="20"/>
          <w:szCs w:val="20"/>
          <w:color w:val="auto"/>
        </w:rPr>
        <w:tab/>
      </w:r>
      <w:r>
        <w:rPr>
          <w:rFonts w:ascii="Arial" w:cs="Arial" w:eastAsia="Arial" w:hAnsi="Arial"/>
          <w:sz w:val="16"/>
          <w:szCs w:val="16"/>
          <w:color w:val="auto"/>
        </w:rPr>
        <w:t>4.00:1.00</w:t>
      </w:r>
    </w:p>
    <w:p>
      <w:pPr>
        <w:spacing w:after="0" w:line="16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20"/>
          </w:cols>
          <w:pgMar w:left="440" w:top="274" w:right="4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December 31, 2020</w:t>
      </w:r>
    </w:p>
    <w:p>
      <w:pPr>
        <w:spacing w:after="0" w:line="117" w:lineRule="exact"/>
        <w:rPr>
          <w:sz w:val="20"/>
          <w:szCs w:val="20"/>
          <w:color w:val="auto"/>
        </w:rPr>
      </w:pPr>
    </w:p>
    <w:p>
      <w:pPr>
        <w:ind w:right="1940"/>
        <w:spacing w:after="0" w:line="277" w:lineRule="auto"/>
        <w:rPr>
          <w:sz w:val="20"/>
          <w:szCs w:val="20"/>
          <w:color w:val="auto"/>
        </w:rPr>
      </w:pPr>
      <w:r>
        <w:rPr>
          <w:rFonts w:ascii="Arial" w:cs="Arial" w:eastAsia="Arial" w:hAnsi="Arial"/>
          <w:sz w:val="18"/>
          <w:szCs w:val="18"/>
          <w:color w:val="auto"/>
        </w:rPr>
        <w:t xml:space="preserve">Commencing with the Test Period ending on March 31, 2021 through and including the Test Period ending on 3.50:1.00 </w:t>
      </w:r>
      <w:r>
        <w:rPr>
          <w:rFonts w:ascii="Arial" w:cs="Arial" w:eastAsia="Arial" w:hAnsi="Arial"/>
          <w:sz w:val="18"/>
          <w:szCs w:val="18"/>
          <w:color w:val="FF4338"/>
          <w:strike w:val="1"/>
        </w:rPr>
        <w:t>D</w:t>
      </w:r>
      <w:r>
        <w:rPr>
          <w:rFonts w:ascii="Arial" w:cs="Arial" w:eastAsia="Arial" w:hAnsi="Arial"/>
          <w:sz w:val="18"/>
          <w:szCs w:val="18"/>
          <w:u w:val="single" w:color="auto"/>
          <w:color w:val="0000FF"/>
        </w:rPr>
        <w:t>S</w:t>
      </w:r>
      <w:r>
        <w:rPr>
          <w:rFonts w:ascii="Arial" w:cs="Arial" w:eastAsia="Arial" w:hAnsi="Arial"/>
          <w:sz w:val="18"/>
          <w:szCs w:val="18"/>
          <w:color w:val="000000"/>
        </w:rPr>
        <w:t>e</w:t>
      </w:r>
      <w:r>
        <w:rPr>
          <w:rFonts w:ascii="Arial" w:cs="Arial" w:eastAsia="Arial" w:hAnsi="Arial"/>
          <w:sz w:val="18"/>
          <w:szCs w:val="18"/>
          <w:color w:val="FF4338"/>
          <w:strike w:val="1"/>
        </w:rPr>
        <w:t>c</w:t>
      </w:r>
      <w:r>
        <w:rPr>
          <w:rFonts w:ascii="Arial" w:cs="Arial" w:eastAsia="Arial" w:hAnsi="Arial"/>
          <w:sz w:val="18"/>
          <w:szCs w:val="18"/>
          <w:u w:val="single" w:color="auto"/>
          <w:color w:val="0000FF"/>
        </w:rPr>
        <w:t>pt</w:t>
      </w:r>
      <w:r>
        <w:rPr>
          <w:rFonts w:ascii="Arial" w:cs="Arial" w:eastAsia="Arial" w:hAnsi="Arial"/>
          <w:sz w:val="18"/>
          <w:szCs w:val="18"/>
          <w:color w:val="FF4338"/>
        </w:rPr>
        <w:t xml:space="preserve"> </w:t>
      </w:r>
      <w:r>
        <w:rPr>
          <w:rFonts w:ascii="Arial" w:cs="Arial" w:eastAsia="Arial" w:hAnsi="Arial"/>
          <w:sz w:val="18"/>
          <w:szCs w:val="18"/>
          <w:color w:val="000000"/>
        </w:rPr>
        <w:t>ember</w:t>
      </w:r>
      <w:r>
        <w:rPr>
          <w:rFonts w:ascii="Arial" w:cs="Arial" w:eastAsia="Arial" w:hAnsi="Arial"/>
          <w:sz w:val="18"/>
          <w:szCs w:val="18"/>
          <w:color w:val="FF4338"/>
        </w:rPr>
        <w:t xml:space="preserve"> </w:t>
      </w:r>
      <w:r>
        <w:rPr>
          <w:rFonts w:ascii="Arial" w:cs="Arial" w:eastAsia="Arial" w:hAnsi="Arial"/>
          <w:sz w:val="18"/>
          <w:szCs w:val="18"/>
          <w:color w:val="FF4338"/>
          <w:strike w:val="1"/>
        </w:rPr>
        <w:t>31</w:t>
      </w:r>
      <w:r>
        <w:rPr>
          <w:rFonts w:ascii="Arial" w:cs="Arial" w:eastAsia="Arial" w:hAnsi="Arial"/>
          <w:sz w:val="18"/>
          <w:szCs w:val="18"/>
          <w:u w:val="single" w:color="auto"/>
          <w:color w:val="0000FF"/>
        </w:rPr>
        <w:t>30</w:t>
      </w:r>
      <w:r>
        <w:rPr>
          <w:rFonts w:ascii="Arial" w:cs="Arial" w:eastAsia="Arial" w:hAnsi="Arial"/>
          <w:sz w:val="18"/>
          <w:szCs w:val="18"/>
          <w:color w:val="FF4338"/>
          <w:strike w:val="1"/>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603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-10795</wp:posOffset>
            </wp:positionV>
            <wp:extent cx="12001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-10795</wp:posOffset>
            </wp:positionV>
            <wp:extent cx="1200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42" w:lineRule="exact"/>
        <w:rPr>
          <w:sz w:val="20"/>
          <w:szCs w:val="20"/>
          <w:color w:val="auto"/>
        </w:rPr>
      </w:pPr>
    </w:p>
    <w:p>
      <w:pPr>
        <w:spacing w:after="0"/>
        <w:tabs>
          <w:tab w:leader="none" w:pos="8360" w:val="left"/>
        </w:tabs>
        <w:rPr>
          <w:sz w:val="20"/>
          <w:szCs w:val="20"/>
          <w:color w:val="auto"/>
        </w:rPr>
      </w:pPr>
      <w:r>
        <w:rPr>
          <w:rFonts w:ascii="Arial" w:cs="Arial" w:eastAsia="Arial" w:hAnsi="Arial"/>
          <w:sz w:val="18"/>
          <w:szCs w:val="18"/>
          <w:u w:val="single" w:color="auto"/>
          <w:color w:val="0000FF"/>
        </w:rPr>
        <w:t>Test Period ending on December 31, 2021</w:t>
      </w:r>
      <w:r>
        <w:rPr>
          <w:sz w:val="20"/>
          <w:szCs w:val="20"/>
          <w:color w:val="auto"/>
        </w:rPr>
        <w:tab/>
      </w:r>
      <w:r>
        <w:rPr>
          <w:rFonts w:ascii="Arial" w:cs="Arial" w:eastAsia="Arial" w:hAnsi="Arial"/>
          <w:sz w:val="16"/>
          <w:szCs w:val="16"/>
          <w:u w:val="single" w:color="auto"/>
          <w:color w:val="0000FF"/>
        </w:rPr>
        <w:t>[Not 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92024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5320665</wp:posOffset>
            </wp:positionH>
            <wp:positionV relativeFrom="paragraph">
              <wp:posOffset>23495</wp:posOffset>
            </wp:positionV>
            <wp:extent cx="53975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97" w:lineRule="exact"/>
        <w:rPr>
          <w:sz w:val="20"/>
          <w:szCs w:val="20"/>
          <w:color w:val="auto"/>
        </w:rPr>
      </w:pPr>
    </w:p>
    <w:p>
      <w:pPr>
        <w:ind w:right="1940"/>
        <w:spacing w:after="0" w:line="277" w:lineRule="auto"/>
        <w:rPr>
          <w:sz w:val="20"/>
          <w:szCs w:val="20"/>
          <w:color w:val="auto"/>
        </w:rPr>
      </w:pPr>
      <w:r>
        <w:rPr>
          <w:rFonts w:ascii="Arial" w:cs="Arial" w:eastAsia="Arial" w:hAnsi="Arial"/>
          <w:sz w:val="18"/>
          <w:szCs w:val="18"/>
          <w:u w:val="single" w:color="auto"/>
          <w:color w:val="0000FF"/>
        </w:rPr>
        <w:t>Commencing with the Test Period ending on March 31, 2022 through and including the Test Period ending on 9.50:1.00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5751830" cy="1460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751830" cy="14605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gridSpan w:val="8"/>
          </w:tcPr>
          <w:p>
            <w:pPr>
              <w:spacing w:after="0"/>
              <w:rPr>
                <w:sz w:val="20"/>
                <w:szCs w:val="20"/>
                <w:color w:val="auto"/>
              </w:rPr>
            </w:pPr>
            <w:r>
              <w:rPr>
                <w:rFonts w:ascii="Arial" w:cs="Arial" w:eastAsia="Arial" w:hAnsi="Arial"/>
                <w:sz w:val="18"/>
                <w:szCs w:val="18"/>
                <w:color w:val="0000FF"/>
              </w:rPr>
              <w:t>Test Period ending on December 31, 2022</w:t>
            </w:r>
          </w:p>
        </w:tc>
        <w:tc>
          <w:tcPr>
            <w:tcW w:w="900" w:type="dxa"/>
            <w:vAlign w:val="bottom"/>
            <w:gridSpan w:val="2"/>
          </w:tcPr>
          <w:p>
            <w:pPr>
              <w:jc w:val="right"/>
              <w:spacing w:after="0"/>
              <w:rPr>
                <w:sz w:val="20"/>
                <w:szCs w:val="20"/>
                <w:color w:val="auto"/>
              </w:rPr>
            </w:pPr>
            <w:r>
              <w:rPr>
                <w:rFonts w:ascii="Arial" w:cs="Arial" w:eastAsia="Arial" w:hAnsi="Arial"/>
                <w:sz w:val="18"/>
                <w:szCs w:val="18"/>
                <w:color w:val="0000FF"/>
              </w:rPr>
              <w:t>5.</w:t>
            </w:r>
            <w:r>
              <w:rPr>
                <w:rFonts w:ascii="Arial" w:cs="Arial" w:eastAsia="Arial" w:hAnsi="Arial"/>
                <w:sz w:val="18"/>
                <w:szCs w:val="18"/>
                <w:u w:val="single" w:color="auto"/>
                <w:color w:val="0000FF"/>
              </w:rPr>
              <w:t>25:1.00</w:t>
            </w:r>
          </w:p>
        </w:tc>
      </w:tr>
      <w:tr>
        <w:trPr>
          <w:trHeight w:val="34"/>
        </w:trPr>
        <w:tc>
          <w:tcPr>
            <w:tcW w:w="2540" w:type="dxa"/>
            <w:vAlign w:val="bottom"/>
            <w:tcBorders>
              <w:top w:val="single" w:sz="8" w:color="0000FF"/>
              <w:bottom w:val="single" w:sz="8" w:color="0000FF"/>
            </w:tcBorders>
          </w:tcPr>
          <w:p>
            <w:pPr>
              <w:spacing w:after="0"/>
              <w:rPr>
                <w:sz w:val="2"/>
                <w:szCs w:val="2"/>
                <w:color w:val="auto"/>
              </w:rPr>
            </w:pPr>
          </w:p>
        </w:tc>
        <w:tc>
          <w:tcPr>
            <w:tcW w:w="480" w:type="dxa"/>
            <w:vAlign w:val="bottom"/>
            <w:tcBorders>
              <w:top w:val="single" w:sz="8" w:color="0000FF"/>
              <w:bottom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top w:val="single" w:sz="8" w:color="0000FF"/>
              <w:bottom w:val="single" w:sz="8" w:color="0000FF"/>
            </w:tcBorders>
          </w:tcPr>
          <w:p>
            <w:pPr>
              <w:spacing w:after="0"/>
              <w:rPr>
                <w:sz w:val="2"/>
                <w:szCs w:val="2"/>
                <w:color w:val="auto"/>
              </w:rPr>
            </w:pPr>
          </w:p>
        </w:tc>
      </w:tr>
      <w:tr>
        <w:trPr>
          <w:trHeight w:val="250"/>
        </w:trPr>
        <w:tc>
          <w:tcPr>
            <w:tcW w:w="8160" w:type="dxa"/>
            <w:vAlign w:val="bottom"/>
            <w:gridSpan w:val="8"/>
          </w:tcPr>
          <w:p>
            <w:pPr>
              <w:spacing w:after="0"/>
              <w:rPr>
                <w:sz w:val="20"/>
                <w:szCs w:val="20"/>
                <w:color w:val="auto"/>
              </w:rPr>
            </w:pPr>
            <w:r>
              <w:rPr>
                <w:rFonts w:ascii="Arial" w:cs="Arial" w:eastAsia="Arial" w:hAnsi="Arial"/>
                <w:sz w:val="18"/>
                <w:szCs w:val="18"/>
                <w:color w:val="0000FF"/>
              </w:rPr>
              <w:t>Test Period ending March 31, 2023</w:t>
            </w:r>
          </w:p>
        </w:tc>
        <w:tc>
          <w:tcPr>
            <w:tcW w:w="900" w:type="dxa"/>
            <w:vAlign w:val="bottom"/>
            <w:gridSpan w:val="2"/>
          </w:tcPr>
          <w:p>
            <w:pPr>
              <w:jc w:val="right"/>
              <w:spacing w:after="0"/>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00:1.00</w:t>
            </w:r>
          </w:p>
        </w:tc>
      </w:tr>
      <w:tr>
        <w:trPr>
          <w:trHeight w:val="34"/>
        </w:trPr>
        <w:tc>
          <w:tcPr>
            <w:tcW w:w="2540" w:type="dxa"/>
            <w:vAlign w:val="bottom"/>
            <w:tcBorders>
              <w:top w:val="single" w:sz="8" w:color="0000FF"/>
              <w:bottom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top w:val="single" w:sz="8" w:color="0000FF"/>
              <w:bottom w:val="single" w:sz="8" w:color="0000FF"/>
            </w:tcBorders>
          </w:tcPr>
          <w:p>
            <w:pPr>
              <w:spacing w:after="0"/>
              <w:rPr>
                <w:sz w:val="2"/>
                <w:szCs w:val="2"/>
                <w:color w:val="auto"/>
              </w:rPr>
            </w:pPr>
          </w:p>
        </w:tc>
      </w:tr>
      <w:tr>
        <w:trPr>
          <w:trHeight w:val="250"/>
        </w:trPr>
        <w:tc>
          <w:tcPr>
            <w:tcW w:w="3260" w:type="dxa"/>
            <w:vAlign w:val="bottom"/>
            <w:gridSpan w:val="3"/>
          </w:tcPr>
          <w:p>
            <w:pPr>
              <w:spacing w:after="0"/>
              <w:rPr>
                <w:sz w:val="20"/>
                <w:szCs w:val="20"/>
                <w:color w:val="auto"/>
              </w:rPr>
            </w:pPr>
            <w:r>
              <w:rPr>
                <w:rFonts w:ascii="Arial" w:cs="Arial" w:eastAsia="Arial" w:hAnsi="Arial"/>
                <w:sz w:val="18"/>
                <w:szCs w:val="18"/>
                <w:color w:val="auto"/>
                <w:w w:val="91"/>
              </w:rPr>
              <w:t>Commencing with the Test Period ending on</w:t>
            </w:r>
          </w:p>
        </w:tc>
        <w:tc>
          <w:tcPr>
            <w:tcW w:w="760" w:type="dxa"/>
            <w:vAlign w:val="bottom"/>
          </w:tcPr>
          <w:p>
            <w:pPr>
              <w:spacing w:after="0"/>
              <w:rPr>
                <w:sz w:val="20"/>
                <w:szCs w:val="20"/>
                <w:color w:val="auto"/>
              </w:rPr>
            </w:pPr>
            <w:r>
              <w:rPr>
                <w:rFonts w:ascii="Arial" w:cs="Arial" w:eastAsia="Arial" w:hAnsi="Arial"/>
                <w:sz w:val="18"/>
                <w:szCs w:val="18"/>
                <w:color w:val="FF4338"/>
                <w:strike w:val="1"/>
                <w:w w:val="92"/>
              </w:rPr>
              <w:t>March 31,</w:t>
            </w:r>
          </w:p>
        </w:tc>
        <w:tc>
          <w:tcPr>
            <w:tcW w:w="380" w:type="dxa"/>
            <w:vAlign w:val="bottom"/>
          </w:tcPr>
          <w:p>
            <w:pPr>
              <w:jc w:val="right"/>
              <w:spacing w:after="0"/>
              <w:rPr>
                <w:sz w:val="20"/>
                <w:szCs w:val="20"/>
                <w:color w:val="auto"/>
              </w:rPr>
            </w:pPr>
            <w:r>
              <w:rPr>
                <w:rFonts w:ascii="Arial" w:cs="Arial" w:eastAsia="Arial" w:hAnsi="Arial"/>
                <w:sz w:val="18"/>
                <w:szCs w:val="18"/>
                <w:color w:val="FF4338"/>
                <w:strike w:val="1"/>
                <w:w w:val="89"/>
              </w:rPr>
              <w:t>2022</w:t>
            </w:r>
          </w:p>
        </w:tc>
        <w:tc>
          <w:tcPr>
            <w:tcW w:w="3760" w:type="dxa"/>
            <w:vAlign w:val="bottom"/>
            <w:gridSpan w:val="3"/>
          </w:tcPr>
          <w:p>
            <w:pPr>
              <w:spacing w:after="0"/>
              <w:rPr>
                <w:sz w:val="20"/>
                <w:szCs w:val="20"/>
                <w:color w:val="auto"/>
              </w:rPr>
            </w:pPr>
            <w:r>
              <w:rPr>
                <w:rFonts w:ascii="Arial" w:cs="Arial" w:eastAsia="Arial" w:hAnsi="Arial"/>
                <w:sz w:val="18"/>
                <w:szCs w:val="18"/>
                <w:color w:val="0000FF"/>
                <w:w w:val="93"/>
              </w:rPr>
              <w:t xml:space="preserve">June 30, 2023 </w:t>
            </w:r>
            <w:r>
              <w:rPr>
                <w:rFonts w:ascii="Arial" w:cs="Arial" w:eastAsia="Arial" w:hAnsi="Arial"/>
                <w:sz w:val="18"/>
                <w:szCs w:val="18"/>
                <w:color w:val="000000"/>
                <w:w w:val="93"/>
              </w:rPr>
              <w:t>and for each Test Period thereafter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3.00:1.00</w:t>
            </w:r>
          </w:p>
        </w:tc>
      </w:tr>
      <w:tr>
        <w:trPr>
          <w:trHeight w:val="34"/>
        </w:trPr>
        <w:tc>
          <w:tcPr>
            <w:tcW w:w="2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bl>
    <w:p>
      <w:pPr>
        <w:spacing w:after="0" w:line="161" w:lineRule="exact"/>
        <w:rPr>
          <w:sz w:val="20"/>
          <w:szCs w:val="20"/>
          <w:color w:val="auto"/>
        </w:rPr>
      </w:pPr>
    </w:p>
    <w:p>
      <w:pPr>
        <w:jc w:val="both"/>
        <w:ind w:firstLine="987"/>
        <w:spacing w:after="0" w:line="279" w:lineRule="auto"/>
        <w:tabs>
          <w:tab w:leader="none" w:pos="125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Commencing with the Test Period ending March 31, 2020, </w:t>
      </w:r>
      <w:r>
        <w:rPr>
          <w:rFonts w:ascii="Arial" w:cs="Arial" w:eastAsia="Arial" w:hAnsi="Arial"/>
          <w:sz w:val="17"/>
          <w:szCs w:val="17"/>
          <w:color w:val="FF4338"/>
          <w:strike w:val="1"/>
        </w:rPr>
        <w:t>but only to be tested for any Test Period to the extent that as of the last day</w:t>
      </w:r>
      <w:r>
        <w:rPr>
          <w:rFonts w:ascii="Arial" w:cs="Arial" w:eastAsia="Arial" w:hAnsi="Arial"/>
          <w:sz w:val="17"/>
          <w:szCs w:val="17"/>
          <w:color w:val="auto"/>
        </w:rPr>
        <w:t xml:space="preserve"> </w:t>
      </w:r>
      <w:r>
        <w:rPr>
          <w:rFonts w:ascii="Arial" w:cs="Arial" w:eastAsia="Arial" w:hAnsi="Arial"/>
          <w:sz w:val="17"/>
          <w:szCs w:val="17"/>
          <w:color w:val="FF4338"/>
          <w:strike w:val="1"/>
        </w:rPr>
        <w:t xml:space="preserve">of such Test Period, the Borrower’s Total Net Cash Leverage Ratio is greater than 5.50:1.00 (including, </w:t>
      </w:r>
      <w:r>
        <w:rPr>
          <w:rFonts w:ascii="Arial" w:cs="Arial" w:eastAsia="Arial" w:hAnsi="Arial"/>
          <w:sz w:val="17"/>
          <w:szCs w:val="17"/>
          <w:color w:val="00FF00"/>
          <w:strike w:val="1"/>
        </w:rPr>
        <w:t>for the avoidance of doubt,</w:t>
      </w:r>
      <w:r>
        <w:rPr>
          <w:rFonts w:ascii="Arial" w:cs="Arial" w:eastAsia="Arial" w:hAnsi="Arial"/>
          <w:sz w:val="17"/>
          <w:szCs w:val="17"/>
          <w:color w:val="FF4338"/>
          <w:strike w:val="1"/>
        </w:rPr>
        <w:t xml:space="preserve"> if Consolidated Cash EBITDA is less than zero in the determination of the Total Net Cash Leverage Ratio), </w:t>
      </w:r>
      <w:r>
        <w:rPr>
          <w:rFonts w:ascii="Arial" w:cs="Arial" w:eastAsia="Arial" w:hAnsi="Arial"/>
          <w:sz w:val="17"/>
          <w:szCs w:val="17"/>
          <w:color w:val="000000"/>
          <w:strike w:val="1"/>
        </w:rPr>
        <w:t>the Borrower shall not permit the LTV Ratio as of the last day of</w:t>
      </w:r>
      <w:r>
        <w:rPr>
          <w:rFonts w:ascii="Arial" w:cs="Arial" w:eastAsia="Arial" w:hAnsi="Arial"/>
          <w:sz w:val="17"/>
          <w:szCs w:val="17"/>
          <w:color w:val="FF4338"/>
          <w:strike w:val="1"/>
        </w:rPr>
        <w:t xml:space="preserve"> </w:t>
      </w:r>
      <w:r>
        <w:rPr>
          <w:rFonts w:ascii="Arial" w:cs="Arial" w:eastAsia="Arial" w:hAnsi="Arial"/>
          <w:sz w:val="17"/>
          <w:szCs w:val="17"/>
          <w:color w:val="000000"/>
          <w:strike w:val="1"/>
        </w:rPr>
        <w:t>any such Test Period to be greater than the levels set forth in the table below (this Section 6.13(b), the “</w:t>
      </w:r>
      <w:r>
        <w:rPr>
          <w:rFonts w:ascii="Arial" w:cs="Arial" w:eastAsia="Arial" w:hAnsi="Arial"/>
          <w:sz w:val="17"/>
          <w:szCs w:val="17"/>
          <w:u w:val="single" w:color="auto"/>
          <w:color w:val="000000"/>
          <w:strike w:val="1"/>
        </w:rPr>
        <w:t>LTV Covenant</w:t>
      </w:r>
      <w:r>
        <w:rPr>
          <w:rFonts w:ascii="Arial" w:cs="Arial" w:eastAsia="Arial" w:hAnsi="Arial"/>
          <w:sz w:val="17"/>
          <w:szCs w:val="17"/>
          <w:color w:val="000000"/>
          <w:strike w:val="1"/>
        </w:rPr>
        <w:t>”):</w:t>
      </w:r>
    </w:p>
    <w:p>
      <w:pPr>
        <w:spacing w:after="0" w:line="68" w:lineRule="exact"/>
        <w:rPr>
          <w:sz w:val="20"/>
          <w:szCs w:val="20"/>
          <w:color w:val="auto"/>
        </w:rPr>
      </w:pPr>
    </w:p>
    <w:p>
      <w:pPr>
        <w:spacing w:after="0"/>
        <w:tabs>
          <w:tab w:leader="none" w:pos="8360" w:val="left"/>
        </w:tabs>
        <w:rPr>
          <w:sz w:val="20"/>
          <w:szCs w:val="20"/>
          <w:color w:val="auto"/>
        </w:rPr>
      </w:pPr>
      <w:r>
        <w:rPr>
          <w:rFonts w:ascii="Arial" w:cs="Arial" w:eastAsia="Arial" w:hAnsi="Arial"/>
          <w:sz w:val="14"/>
          <w:szCs w:val="14"/>
          <w:b w:val="1"/>
          <w:bCs w:val="1"/>
          <w:color w:val="auto"/>
        </w:rPr>
        <w:t>Period</w:t>
      </w:r>
      <w:r>
        <w:rPr>
          <w:sz w:val="20"/>
          <w:szCs w:val="20"/>
          <w:color w:val="auto"/>
        </w:rPr>
        <w:tab/>
      </w:r>
      <w:r>
        <w:rPr>
          <w:rFonts w:ascii="Arial" w:cs="Arial" w:eastAsia="Arial" w:hAnsi="Arial"/>
          <w:sz w:val="14"/>
          <w:szCs w:val="14"/>
          <w:b w:val="1"/>
          <w:bCs w:val="1"/>
          <w:color w:val="auto"/>
        </w:rPr>
        <w:t>LTV Ratio</w:t>
      </w:r>
    </w:p>
    <w:p>
      <w:pPr>
        <w:spacing w:after="0" w:line="104" w:lineRule="exact"/>
        <w:rPr>
          <w:sz w:val="20"/>
          <w:szCs w:val="20"/>
          <w:color w:val="auto"/>
        </w:rPr>
      </w:pPr>
    </w:p>
    <w:p>
      <w:pPr>
        <w:ind w:right="1940"/>
        <w:spacing w:after="0" w:line="277" w:lineRule="auto"/>
        <w:rPr>
          <w:sz w:val="20"/>
          <w:szCs w:val="20"/>
          <w:color w:val="auto"/>
        </w:rPr>
      </w:pPr>
      <w:r>
        <w:rPr>
          <w:rFonts w:ascii="Arial" w:cs="Arial" w:eastAsia="Arial" w:hAnsi="Arial"/>
          <w:sz w:val="18"/>
          <w:szCs w:val="18"/>
          <w:color w:val="auto"/>
        </w:rPr>
        <w:t>Commencing with the Test Period ending on March 31, 2020 through and including the Test Period ending on 2.50:1.00 June 30, 2020</w:t>
      </w:r>
    </w:p>
    <w:p>
      <w:pPr>
        <w:spacing w:after="0" w:line="62" w:lineRule="exact"/>
        <w:rPr>
          <w:sz w:val="20"/>
          <w:szCs w:val="20"/>
          <w:color w:val="auto"/>
        </w:rPr>
      </w:pPr>
    </w:p>
    <w:p>
      <w:pPr>
        <w:ind w:right="1940"/>
        <w:spacing w:after="0" w:line="277" w:lineRule="auto"/>
        <w:rPr>
          <w:sz w:val="20"/>
          <w:szCs w:val="20"/>
          <w:color w:val="auto"/>
        </w:rPr>
      </w:pPr>
      <w:r>
        <w:rPr>
          <w:rFonts w:ascii="Arial" w:cs="Arial" w:eastAsia="Arial" w:hAnsi="Arial"/>
          <w:sz w:val="18"/>
          <w:szCs w:val="18"/>
          <w:color w:val="auto"/>
        </w:rPr>
        <w:t>Commencing with the Test Period ending on September 30, 2020 through and including the Test Period ending on 2.00:1.00 December 31,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For the Test Period ending on March 31, 2021</w:t>
            </w:r>
          </w:p>
        </w:tc>
        <w:tc>
          <w:tcPr>
            <w:tcW w:w="4240" w:type="dxa"/>
            <w:vAlign w:val="bottom"/>
          </w:tcPr>
          <w:p>
            <w:pPr>
              <w:jc w:val="right"/>
              <w:spacing w:after="0"/>
              <w:rPr>
                <w:sz w:val="20"/>
                <w:szCs w:val="20"/>
                <w:color w:val="auto"/>
              </w:rPr>
            </w:pPr>
            <w:r>
              <w:rPr>
                <w:rFonts w:ascii="Arial" w:cs="Arial" w:eastAsia="Arial" w:hAnsi="Arial"/>
                <w:sz w:val="18"/>
                <w:szCs w:val="18"/>
                <w:color w:val="auto"/>
              </w:rPr>
              <w:t>1.50:1.00</w:t>
            </w:r>
          </w:p>
        </w:tc>
      </w:tr>
      <w:tr>
        <w:trPr>
          <w:trHeight w:val="324"/>
        </w:trPr>
        <w:tc>
          <w:tcPr>
            <w:tcW w:w="4820" w:type="dxa"/>
            <w:vAlign w:val="bottom"/>
          </w:tcPr>
          <w:p>
            <w:pPr>
              <w:spacing w:after="0"/>
              <w:rPr>
                <w:sz w:val="20"/>
                <w:szCs w:val="20"/>
                <w:color w:val="auto"/>
              </w:rPr>
            </w:pPr>
            <w:r>
              <w:rPr>
                <w:rFonts w:ascii="Arial" w:cs="Arial" w:eastAsia="Arial" w:hAnsi="Arial"/>
                <w:sz w:val="18"/>
                <w:szCs w:val="18"/>
                <w:color w:val="auto"/>
              </w:rPr>
              <w:t>Commencing with the Test Period ending on June 30, 2021</w:t>
            </w:r>
          </w:p>
        </w:tc>
        <w:tc>
          <w:tcPr>
            <w:tcW w:w="4240" w:type="dxa"/>
            <w:vAlign w:val="bottom"/>
          </w:tcPr>
          <w:p>
            <w:pPr>
              <w:jc w:val="right"/>
              <w:spacing w:after="0"/>
              <w:rPr>
                <w:sz w:val="20"/>
                <w:szCs w:val="20"/>
                <w:color w:val="auto"/>
              </w:rPr>
            </w:pPr>
            <w:r>
              <w:rPr>
                <w:rFonts w:ascii="Arial" w:cs="Arial" w:eastAsia="Arial" w:hAnsi="Arial"/>
                <w:sz w:val="18"/>
                <w:szCs w:val="18"/>
                <w:color w:val="auto"/>
              </w:rPr>
              <w:t>1.25:1.00</w:t>
            </w:r>
          </w:p>
        </w:tc>
      </w:tr>
      <w:tr>
        <w:trPr>
          <w:trHeight w:val="364"/>
        </w:trPr>
        <w:tc>
          <w:tcPr>
            <w:tcW w:w="4820" w:type="dxa"/>
            <w:vAlign w:val="bottom"/>
          </w:tcPr>
          <w:p>
            <w:pPr>
              <w:spacing w:after="0"/>
              <w:rPr>
                <w:sz w:val="24"/>
                <w:szCs w:val="24"/>
                <w:color w:val="auto"/>
              </w:rPr>
            </w:pPr>
          </w:p>
        </w:tc>
        <w:tc>
          <w:tcPr>
            <w:tcW w:w="4240" w:type="dxa"/>
            <w:vAlign w:val="bottom"/>
          </w:tcPr>
          <w:p>
            <w:pPr>
              <w:jc w:val="right"/>
              <w:ind w:right="3330"/>
              <w:spacing w:after="0"/>
              <w:rPr>
                <w:sz w:val="20"/>
                <w:szCs w:val="20"/>
                <w:color w:val="auto"/>
              </w:rPr>
            </w:pPr>
            <w:r>
              <w:rPr>
                <w:rFonts w:ascii="Arial" w:cs="Arial" w:eastAsia="Arial" w:hAnsi="Arial"/>
                <w:sz w:val="18"/>
                <w:szCs w:val="18"/>
                <w:color w:val="auto"/>
              </w:rPr>
              <w:t>182</w:t>
            </w:r>
          </w:p>
        </w:tc>
      </w:tr>
    </w:tbl>
    <w:p>
      <w:pPr>
        <w:sectPr>
          <w:pgSz w:w="11900" w:h="16838" w:orient="portrait"/>
          <w:cols w:equalWidth="0" w:num="1">
            <w:col w:w="11000"/>
          </w:cols>
          <w:pgMar w:left="440" w:top="274" w:right="459" w:bottom="1440" w:gutter="0" w:footer="0" w:header="0"/>
        </w:sectPr>
      </w:pPr>
    </w:p>
    <w:bookmarkStart w:id="221" w:name="page222"/>
    <w:bookmarkEnd w:id="2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through and including the Test Period ending on December 31, 2021</w:t>
            </w:r>
          </w:p>
        </w:tc>
        <w:tc>
          <w:tcPr>
            <w:tcW w:w="1400" w:type="dxa"/>
            <w:vAlign w:val="bottom"/>
          </w:tcPr>
          <w:p>
            <w:pPr>
              <w:spacing w:after="0"/>
              <w:rPr>
                <w:sz w:val="18"/>
                <w:szCs w:val="18"/>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w w:val="99"/>
              </w:rPr>
              <w:t>Commencing with the Test Period ending on March 31, 2022 and for each Test Period thereafter</w:t>
            </w:r>
          </w:p>
        </w:tc>
        <w:tc>
          <w:tcPr>
            <w:tcW w:w="1400" w:type="dxa"/>
            <w:vAlign w:val="bottom"/>
          </w:tcPr>
          <w:p>
            <w:pPr>
              <w:jc w:val="right"/>
              <w:spacing w:after="0"/>
              <w:rPr>
                <w:sz w:val="20"/>
                <w:szCs w:val="20"/>
                <w:color w:val="auto"/>
              </w:rPr>
            </w:pPr>
            <w:r>
              <w:rPr>
                <w:rFonts w:ascii="Arial" w:cs="Arial" w:eastAsia="Arial" w:hAnsi="Arial"/>
                <w:sz w:val="18"/>
                <w:szCs w:val="18"/>
                <w:color w:val="auto"/>
              </w:rPr>
              <w:t>1.00:1.00</w:t>
            </w:r>
          </w:p>
        </w:tc>
      </w:tr>
    </w:tbl>
    <w:p>
      <w:pPr>
        <w:spacing w:after="0" w:line="94" w:lineRule="exact"/>
        <w:rPr>
          <w:sz w:val="20"/>
          <w:szCs w:val="20"/>
          <w:color w:val="auto"/>
        </w:rPr>
      </w:pPr>
    </w:p>
    <w:p>
      <w:pPr>
        <w:jc w:val="both"/>
        <w:ind w:firstLine="436"/>
        <w:spacing w:after="0" w:line="270" w:lineRule="auto"/>
        <w:tabs>
          <w:tab w:leader="none" w:pos="68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At all times, the Borrower shall not permit the Liquidity of the Borrower and its Subsidiaries to be less than $</w:t>
      </w:r>
      <w:r>
        <w:rPr>
          <w:rFonts w:ascii="Arial" w:cs="Arial" w:eastAsia="Arial" w:hAnsi="Arial"/>
          <w:sz w:val="17"/>
          <w:szCs w:val="17"/>
          <w:color w:val="FF4338"/>
          <w:strike w:val="1"/>
        </w:rPr>
        <w:t>15,000,000</w:t>
      </w:r>
      <w:r>
        <w:rPr>
          <w:rFonts w:ascii="Arial" w:cs="Arial" w:eastAsia="Arial" w:hAnsi="Arial"/>
          <w:sz w:val="17"/>
          <w:szCs w:val="17"/>
          <w:u w:val="single" w:color="auto"/>
          <w:color w:val="0000FF"/>
        </w:rPr>
        <w:t>30,000,000</w:t>
      </w:r>
      <w:r>
        <w:rPr>
          <w:rFonts w:ascii="Arial" w:cs="Arial" w:eastAsia="Arial" w:hAnsi="Arial"/>
          <w:sz w:val="17"/>
          <w:szCs w:val="17"/>
          <w:color w:val="auto"/>
        </w:rPr>
        <w:t xml:space="preserve"> ; </w:t>
      </w:r>
      <w:r>
        <w:rPr>
          <w:rFonts w:ascii="Arial" w:cs="Arial" w:eastAsia="Arial" w:hAnsi="Arial"/>
          <w:sz w:val="17"/>
          <w:szCs w:val="17"/>
          <w:u w:val="single" w:color="auto"/>
          <w:color w:val="auto"/>
        </w:rPr>
        <w:t>provided</w:t>
      </w:r>
      <w:r>
        <w:rPr>
          <w:rFonts w:ascii="Arial" w:cs="Arial" w:eastAsia="Arial" w:hAnsi="Arial"/>
          <w:sz w:val="17"/>
          <w:szCs w:val="17"/>
          <w:color w:val="auto"/>
        </w:rPr>
        <w:t>, that if Liquidity is less than $</w:t>
      </w:r>
      <w:r>
        <w:rPr>
          <w:rFonts w:ascii="Arial" w:cs="Arial" w:eastAsia="Arial" w:hAnsi="Arial"/>
          <w:sz w:val="17"/>
          <w:szCs w:val="17"/>
          <w:color w:val="FF4338"/>
          <w:strike w:val="1"/>
        </w:rPr>
        <w:t>15,000,000</w:t>
      </w:r>
      <w:r>
        <w:rPr>
          <w:rFonts w:ascii="Arial" w:cs="Arial" w:eastAsia="Arial" w:hAnsi="Arial"/>
          <w:sz w:val="17"/>
          <w:szCs w:val="17"/>
          <w:u w:val="single" w:color="auto"/>
          <w:color w:val="0000FF"/>
        </w:rPr>
        <w:t>30,000,000</w:t>
      </w:r>
      <w:r>
        <w:rPr>
          <w:rFonts w:ascii="Arial" w:cs="Arial" w:eastAsia="Arial" w:hAnsi="Arial"/>
          <w:sz w:val="17"/>
          <w:szCs w:val="17"/>
          <w:color w:val="auto"/>
        </w:rPr>
        <w:t xml:space="preserve"> at any time, such occurrence shall not be deemed to be a breach or Default or Event of Default with respect to this </w:t>
      </w:r>
      <w:r>
        <w:rPr>
          <w:rFonts w:ascii="Arial" w:cs="Arial" w:eastAsia="Arial" w:hAnsi="Arial"/>
          <w:sz w:val="17"/>
          <w:szCs w:val="17"/>
          <w:u w:val="single" w:color="auto"/>
          <w:color w:val="auto"/>
        </w:rPr>
        <w:t>Section 6.13(c)</w:t>
      </w:r>
      <w:r>
        <w:rPr>
          <w:rFonts w:ascii="Arial" w:cs="Arial" w:eastAsia="Arial" w:hAnsi="Arial"/>
          <w:sz w:val="17"/>
          <w:szCs w:val="17"/>
          <w:color w:val="auto"/>
        </w:rPr>
        <w:t xml:space="preserve"> so long as (x) the Borrower has delivered notice to the Administrative Agent that Liquidity is less than $</w:t>
      </w:r>
      <w:r>
        <w:rPr>
          <w:rFonts w:ascii="Arial" w:cs="Arial" w:eastAsia="Arial" w:hAnsi="Arial"/>
          <w:sz w:val="17"/>
          <w:szCs w:val="17"/>
          <w:color w:val="FF4338"/>
          <w:strike w:val="1"/>
        </w:rPr>
        <w:t>15,000,000</w:t>
      </w:r>
      <w:r>
        <w:rPr>
          <w:rFonts w:ascii="Arial" w:cs="Arial" w:eastAsia="Arial" w:hAnsi="Arial"/>
          <w:sz w:val="17"/>
          <w:szCs w:val="17"/>
          <w:u w:val="single" w:color="auto"/>
          <w:color w:val="0000FF"/>
        </w:rPr>
        <w:t>30,000,000</w:t>
      </w:r>
      <w:r>
        <w:rPr>
          <w:rFonts w:ascii="Arial" w:cs="Arial" w:eastAsia="Arial" w:hAnsi="Arial"/>
          <w:sz w:val="17"/>
          <w:szCs w:val="17"/>
          <w:color w:val="auto"/>
        </w:rPr>
        <w:t xml:space="preserve"> and the Borrower intends to effect a Liquidity Cure Contribution and (y) within ten (10) Business Days of the date on which Liquidity was less than $</w:t>
      </w:r>
      <w:r>
        <w:rPr>
          <w:rFonts w:ascii="Arial" w:cs="Arial" w:eastAsia="Arial" w:hAnsi="Arial"/>
          <w:sz w:val="17"/>
          <w:szCs w:val="17"/>
          <w:color w:val="FF4338"/>
          <w:strike w:val="1"/>
        </w:rPr>
        <w:t>15,000,000</w:t>
      </w:r>
      <w:r>
        <w:rPr>
          <w:rFonts w:ascii="Arial" w:cs="Arial" w:eastAsia="Arial" w:hAnsi="Arial"/>
          <w:sz w:val="17"/>
          <w:szCs w:val="17"/>
          <w:u w:val="single" w:color="auto"/>
          <w:color w:val="0000FF"/>
        </w:rPr>
        <w:t>30,000,000</w:t>
      </w:r>
      <w:r>
        <w:rPr>
          <w:rFonts w:ascii="Arial" w:cs="Arial" w:eastAsia="Arial" w:hAnsi="Arial"/>
          <w:sz w:val="17"/>
          <w:szCs w:val="17"/>
          <w:color w:val="auto"/>
        </w:rPr>
        <w:t xml:space="preserve"> , the Borrower shall have received net cash proceeds of any issuance of Qualified Equity Interests to its applicable investors or received capital contributions in the form of unrestricted cash (so long as such capital contribution is not in exchange for Disqualified Equity Interests) (any such contribution, a “</w:t>
      </w:r>
      <w:r>
        <w:rPr>
          <w:rFonts w:ascii="Arial" w:cs="Arial" w:eastAsia="Arial" w:hAnsi="Arial"/>
          <w:sz w:val="17"/>
          <w:szCs w:val="17"/>
          <w:u w:val="single" w:color="auto"/>
          <w:color w:val="auto"/>
        </w:rPr>
        <w:t>Liquidity Cure Contribution</w:t>
      </w:r>
      <w:r>
        <w:rPr>
          <w:rFonts w:ascii="Arial" w:cs="Arial" w:eastAsia="Arial" w:hAnsi="Arial"/>
          <w:sz w:val="17"/>
          <w:szCs w:val="17"/>
          <w:color w:val="auto"/>
        </w:rPr>
        <w:t>”) in an amount not less than the amount necessary to ensure that Liquidity is not less than $</w:t>
      </w:r>
      <w:r>
        <w:rPr>
          <w:rFonts w:ascii="Arial" w:cs="Arial" w:eastAsia="Arial" w:hAnsi="Arial"/>
          <w:sz w:val="17"/>
          <w:szCs w:val="17"/>
          <w:color w:val="FF4338"/>
          <w:strike w:val="1"/>
        </w:rPr>
        <w:t>15,000,000</w:t>
      </w:r>
      <w:r>
        <w:rPr>
          <w:rFonts w:ascii="Arial" w:cs="Arial" w:eastAsia="Arial" w:hAnsi="Arial"/>
          <w:sz w:val="17"/>
          <w:szCs w:val="17"/>
          <w:u w:val="single" w:color="auto"/>
          <w:color w:val="0000FF"/>
        </w:rPr>
        <w:t>30,000,000</w:t>
      </w:r>
      <w:r>
        <w:rPr>
          <w:rFonts w:ascii="Arial" w:cs="Arial" w:eastAsia="Arial" w:hAnsi="Arial"/>
          <w:sz w:val="17"/>
          <w:szCs w:val="17"/>
          <w:color w:val="auto"/>
        </w:rPr>
        <w:t xml:space="preserve"> (this Section 6.13(c), the “</w:t>
      </w:r>
      <w:r>
        <w:rPr>
          <w:rFonts w:ascii="Arial" w:cs="Arial" w:eastAsia="Arial" w:hAnsi="Arial"/>
          <w:sz w:val="17"/>
          <w:szCs w:val="17"/>
          <w:u w:val="single" w:color="auto"/>
          <w:color w:val="auto"/>
        </w:rPr>
        <w:t>Minimum Liquidity Covenant</w:t>
      </w:r>
      <w:r>
        <w:rPr>
          <w:rFonts w:ascii="Arial" w:cs="Arial" w:eastAsia="Arial" w:hAnsi="Arial"/>
          <w:sz w:val="17"/>
          <w:szCs w:val="17"/>
          <w:color w:val="auto"/>
        </w:rPr>
        <w:t>” and together with the Total Leverage Covenant, Total Cash Leverage Covenant and the Contract Asset Balance Covenant, the “</w:t>
      </w:r>
      <w:r>
        <w:rPr>
          <w:rFonts w:ascii="Arial" w:cs="Arial" w:eastAsia="Arial" w:hAnsi="Arial"/>
          <w:sz w:val="17"/>
          <w:szCs w:val="17"/>
          <w:u w:val="single" w:color="auto"/>
          <w:color w:val="auto"/>
        </w:rPr>
        <w:t>Financial Maintenance Covenants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-1101090</wp:posOffset>
            </wp:positionV>
            <wp:extent cx="51435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-963930</wp:posOffset>
            </wp:positionV>
            <wp:extent cx="51435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-689610</wp:posOffset>
            </wp:positionV>
            <wp:extent cx="51435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-552450</wp:posOffset>
            </wp:positionV>
            <wp:extent cx="51435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-140970</wp:posOffset>
            </wp:positionV>
            <wp:extent cx="55689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161" w:lineRule="exact"/>
        <w:rPr>
          <w:sz w:val="20"/>
          <w:szCs w:val="20"/>
          <w:color w:val="auto"/>
        </w:rPr>
      </w:pPr>
    </w:p>
    <w:p>
      <w:pPr>
        <w:jc w:val="both"/>
        <w:ind w:firstLine="440"/>
        <w:spacing w:after="0" w:line="267" w:lineRule="auto"/>
        <w:rPr>
          <w:sz w:val="20"/>
          <w:szCs w:val="20"/>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6.13(c)</w:t>
      </w:r>
      <w:r>
        <w:rPr>
          <w:rFonts w:ascii="Arial" w:cs="Arial" w:eastAsia="Arial" w:hAnsi="Arial"/>
          <w:sz w:val="17"/>
          <w:szCs w:val="17"/>
          <w:color w:val="auto"/>
        </w:rPr>
        <w:t>, (i) the aggregate amount of the Liquidity Cure Contribution (such amount, the “</w:t>
      </w:r>
      <w:r>
        <w:rPr>
          <w:rFonts w:ascii="Arial" w:cs="Arial" w:eastAsia="Arial" w:hAnsi="Arial"/>
          <w:sz w:val="17"/>
          <w:szCs w:val="17"/>
          <w:u w:val="single" w:color="auto"/>
          <w:color w:val="auto"/>
        </w:rPr>
        <w:t>Liquidity Cure Amount</w:t>
      </w:r>
      <w:r>
        <w:rPr>
          <w:rFonts w:ascii="Arial" w:cs="Arial" w:eastAsia="Arial" w:hAnsi="Arial"/>
          <w:sz w:val="17"/>
          <w:szCs w:val="17"/>
          <w:color w:val="auto"/>
        </w:rPr>
        <w:t xml:space="preserve">”) will be deemed to be an increase to unrestricted cash and Cash Equivalents owned by the Borrower solely for the purpose of measuring the Minimum Liquidity Covenant, and the Liquidity Cure Amount shall be disregarded for any other purpose under this Agreement, (ii) there shall be no pro forma or other reduction of the aggregate amount of Revolving Loans by the amount of the applicable Liquidity Cure Amount for the period for which such Liquidity Cure Contribution was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portion of such Liquidity Cure Amount that is actually applied to repay Revolving Loans shall reduce the Revolving Exposure for future periods for which Liquidity is calculated, (iii) there shall be no more than one Liquidity Cure Contribution made in any fiscal quarter, and in each four consecutive fiscal quarter period of the Borrower there shall be no more than two fiscal quarters in which a Liquidity Cure Contribution is made, (iv) during the term of this Agreement, no more than five Liquidity Cure Contributions may be made and (v) for purposes of this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the Liquidity Cure Amount shall be no greater than the amount required for purposes of complying with the Minimum Liquidity Covenant. Notwithstanding any other provision in this Agreement to the contrary, during any Test Period in which any Liquidity Cure Amount is included in the calculation of unrestricted cash and Cash Equivalents as a result of any Liquidity Cure Contribution, the Liquidity Cure Amount received pursuant to such Liquidity Cure Contribution shall be (A) counted solely as an increase to unrestricted cash and Cash Equivalents for the purpose of determining compliance with the Minimum Liquidity Covenant and (B) disregarded for purposes of determining the Available Equity Amount, any financial ratio-based conditions or provisions, Applicable Rate or any available basket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of this Agreement. No Revolving Lender, Swingline Lender or Issuing Bank shall make any Revolving Loan or Swingline Loan or to issue any Letter of Credit from and after the date that Liquidity is less than </w:t>
      </w:r>
      <w:r>
        <w:rPr>
          <w:rFonts w:ascii="Arial" w:cs="Arial" w:eastAsia="Arial" w:hAnsi="Arial"/>
          <w:sz w:val="17"/>
          <w:szCs w:val="17"/>
          <w:color w:val="FF4338"/>
          <w:strike w:val="1"/>
        </w:rPr>
        <w:t>$15,000,000</w:t>
      </w:r>
      <w:r>
        <w:rPr>
          <w:rFonts w:ascii="Arial" w:cs="Arial" w:eastAsia="Arial" w:hAnsi="Arial"/>
          <w:sz w:val="17"/>
          <w:szCs w:val="17"/>
          <w:u w:val="single" w:color="auto"/>
          <w:color w:val="0000FF"/>
        </w:rPr>
        <w:t>the minimum amount required at such time</w:t>
      </w:r>
      <w:r>
        <w:rPr>
          <w:rFonts w:ascii="Arial" w:cs="Arial" w:eastAsia="Arial" w:hAnsi="Arial"/>
          <w:sz w:val="17"/>
          <w:szCs w:val="17"/>
          <w:color w:val="auto"/>
        </w:rPr>
        <w:t xml:space="preserve"> unless and until the Liquidity Cure Amount is actually received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-134620</wp:posOffset>
            </wp:positionV>
            <wp:extent cx="20574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20"/>
          </w:cols>
          <w:pgMar w:left="440" w:top="274" w:right="439" w:bottom="1440" w:gutter="0" w:footer="0" w:header="0"/>
        </w:sectPr>
      </w:pPr>
    </w:p>
    <w:bookmarkStart w:id="222" w:name="page223"/>
    <w:bookmarkEnd w:id="222"/>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(any such event,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117" w:lineRule="exact"/>
        <w:rPr>
          <w:sz w:val="20"/>
          <w:szCs w:val="20"/>
          <w:color w:val="auto"/>
        </w:rPr>
      </w:pPr>
    </w:p>
    <w:p>
      <w:pPr>
        <w:ind w:left="4" w:right="20" w:firstLine="436"/>
        <w:spacing w:after="0" w:line="308" w:lineRule="auto"/>
        <w:tabs>
          <w:tab w:leader="none" w:pos="689"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or any reimbursement obligations in respect of Letters of Credit when and as the same shall become due and payable hereunder, whether at the due date thereof or at a date fixed for prepayment thereof or otherwise;</w:t>
      </w:r>
    </w:p>
    <w:p>
      <w:pPr>
        <w:spacing w:after="0" w:line="38" w:lineRule="exact"/>
        <w:rPr>
          <w:rFonts w:ascii="Arial" w:cs="Arial" w:eastAsia="Arial" w:hAnsi="Arial"/>
          <w:sz w:val="17"/>
          <w:szCs w:val="17"/>
          <w:color w:val="auto"/>
        </w:rPr>
      </w:pPr>
    </w:p>
    <w:p>
      <w:pPr>
        <w:jc w:val="both"/>
        <w:ind w:left="4" w:firstLine="436"/>
        <w:spacing w:after="0" w:line="291" w:lineRule="auto"/>
        <w:tabs>
          <w:tab w:leader="none" w:pos="703" w:val="left"/>
        </w:tabs>
        <w:numPr>
          <w:ilvl w:val="1"/>
          <w:numId w:val="270"/>
        </w:numPr>
        <w:rPr>
          <w:rFonts w:ascii="Arial" w:cs="Arial" w:eastAsia="Arial" w:hAnsi="Arial"/>
          <w:sz w:val="16"/>
          <w:szCs w:val="16"/>
          <w:color w:val="auto"/>
        </w:rPr>
      </w:pPr>
      <w:r>
        <w:rPr>
          <w:rFonts w:ascii="Arial" w:cs="Arial" w:eastAsia="Arial" w:hAnsi="Arial"/>
          <w:sz w:val="16"/>
          <w:szCs w:val="16"/>
          <w:color w:val="auto"/>
        </w:rPr>
        <w:t xml:space="preserve">any Loan Party shall fail to pay any interest on any Loan or any fee or any other amount (other than an amount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Section) payable under any Loan Document, when and as the same shall become due and payable hereunder, and such failure shall continue unremedied</w:t>
      </w:r>
    </w:p>
    <w:p>
      <w:pPr>
        <w:ind w:left="4" w:right="20" w:hanging="4"/>
        <w:spacing w:after="0" w:line="260" w:lineRule="auto"/>
        <w:tabs>
          <w:tab w:leader="none" w:pos="21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with respect to the payment of interest, for a period of five Business Days and (ii) with respect to the payment of any fee or other amount, for a period of ten Business Days;</w:t>
      </w:r>
    </w:p>
    <w:p>
      <w:pPr>
        <w:spacing w:after="0" w:line="77" w:lineRule="exact"/>
        <w:rPr>
          <w:rFonts w:ascii="Arial" w:cs="Arial" w:eastAsia="Arial" w:hAnsi="Arial"/>
          <w:sz w:val="18"/>
          <w:szCs w:val="18"/>
          <w:color w:val="auto"/>
        </w:rPr>
      </w:pPr>
    </w:p>
    <w:p>
      <w:pPr>
        <w:jc w:val="both"/>
        <w:ind w:left="4" w:right="20" w:firstLine="436"/>
        <w:spacing w:after="0" w:line="259" w:lineRule="auto"/>
        <w:tabs>
          <w:tab w:leader="none" w:pos="7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Holdings, the Borrower or any Restricted Subsidiary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78" w:lineRule="exact"/>
        <w:rPr>
          <w:rFonts w:ascii="Arial" w:cs="Arial" w:eastAsia="Arial" w:hAnsi="Arial"/>
          <w:sz w:val="18"/>
          <w:szCs w:val="18"/>
          <w:color w:val="auto"/>
        </w:rPr>
      </w:pPr>
    </w:p>
    <w:p>
      <w:pPr>
        <w:jc w:val="both"/>
        <w:ind w:left="4" w:right="20" w:firstLine="436"/>
        <w:spacing w:after="0" w:line="269" w:lineRule="auto"/>
        <w:tabs>
          <w:tab w:leader="none" w:pos="727" w:val="left"/>
        </w:tabs>
        <w:numPr>
          <w:ilvl w:val="1"/>
          <w:numId w:val="271"/>
        </w:numPr>
        <w:rPr>
          <w:rFonts w:ascii="Arial" w:cs="Arial" w:eastAsia="Arial" w:hAnsi="Arial"/>
          <w:sz w:val="17"/>
          <w:szCs w:val="17"/>
          <w:color w:val="auto"/>
        </w:rPr>
      </w:pPr>
      <w:r>
        <w:rPr>
          <w:rFonts w:ascii="Arial" w:cs="Arial" w:eastAsia="Arial" w:hAnsi="Arial"/>
          <w:sz w:val="17"/>
          <w:szCs w:val="17"/>
          <w:color w:val="auto"/>
        </w:rPr>
        <w:t xml:space="preserve">Holdings, the Borrower or any Restricted Subsidiary shall fail to observe or perform any covenant, condition or agreement contained in </w:t>
      </w:r>
      <w:r>
        <w:rPr>
          <w:rFonts w:ascii="Arial" w:cs="Arial" w:eastAsia="Arial" w:hAnsi="Arial"/>
          <w:sz w:val="17"/>
          <w:szCs w:val="17"/>
          <w:u w:val="single" w:color="auto"/>
          <w:color w:val="auto"/>
        </w:rPr>
        <w:t>Section 5.02(a)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5.04</w:t>
      </w:r>
      <w:r>
        <w:rPr>
          <w:rFonts w:ascii="Arial" w:cs="Arial" w:eastAsia="Arial" w:hAnsi="Arial"/>
          <w:sz w:val="17"/>
          <w:szCs w:val="17"/>
          <w:color w:val="auto"/>
        </w:rPr>
        <w:t xml:space="preserve"> (with respect to the existence of the Borrower) or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it being understood and agreed that any Event of Default under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(a “</w:t>
      </w:r>
      <w:r>
        <w:rPr>
          <w:rFonts w:ascii="Arial" w:cs="Arial" w:eastAsia="Arial" w:hAnsi="Arial"/>
          <w:sz w:val="17"/>
          <w:szCs w:val="17"/>
          <w:u w:val="single" w:color="auto"/>
          <w:color w:val="auto"/>
        </w:rPr>
        <w:t>Financial Maintenance Covenant Event of Default</w:t>
      </w:r>
      <w:r>
        <w:rPr>
          <w:rFonts w:ascii="Arial" w:cs="Arial" w:eastAsia="Arial" w:hAnsi="Arial"/>
          <w:sz w:val="17"/>
          <w:szCs w:val="17"/>
          <w:color w:val="auto"/>
        </w:rPr>
        <w:t xml:space="preserve">”) is subject to cure as provided in </w:t>
      </w:r>
      <w:r>
        <w:rPr>
          <w:rFonts w:ascii="Arial" w:cs="Arial" w:eastAsia="Arial" w:hAnsi="Arial"/>
          <w:sz w:val="17"/>
          <w:szCs w:val="17"/>
          <w:u w:val="single" w:color="auto"/>
          <w:color w:val="auto"/>
        </w:rPr>
        <w:t>Section 6.13(c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and, in the case of </w:t>
      </w:r>
      <w:r>
        <w:rPr>
          <w:rFonts w:ascii="Arial" w:cs="Arial" w:eastAsia="Arial" w:hAnsi="Arial"/>
          <w:sz w:val="17"/>
          <w:szCs w:val="17"/>
          <w:u w:val="single" w:color="auto"/>
          <w:color w:val="auto"/>
        </w:rPr>
        <w:t>Section 6.13(a)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6.13(b)</w:t>
      </w:r>
      <w:r>
        <w:rPr>
          <w:rFonts w:ascii="Arial" w:cs="Arial" w:eastAsia="Arial" w:hAnsi="Arial"/>
          <w:sz w:val="17"/>
          <w:szCs w:val="17"/>
          <w:color w:val="auto"/>
        </w:rPr>
        <w:t xml:space="preserve"> so long as the Borrower has a right to exercise the Cure Right with respect to the applicable quarter, a Financial Maintenance Covenant Event of Default shall not occur until the expiration of the fifteenth Business Day subsequent to the date on which the financial statements with respect to the applicable fiscal quarter (or the fiscal year ended on the last day of such fiscal quarter) are required to be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as applicable, or, in the case of </w:t>
      </w:r>
      <w:r>
        <w:rPr>
          <w:rFonts w:ascii="Arial" w:cs="Arial" w:eastAsia="Arial" w:hAnsi="Arial"/>
          <w:sz w:val="17"/>
          <w:szCs w:val="17"/>
          <w:u w:val="single" w:color="auto"/>
          <w:color w:val="auto"/>
        </w:rPr>
        <w:t>Section 6.13(c)</w:t>
      </w:r>
      <w:r>
        <w:rPr>
          <w:rFonts w:ascii="Arial" w:cs="Arial" w:eastAsia="Arial" w:hAnsi="Arial"/>
          <w:sz w:val="17"/>
          <w:szCs w:val="17"/>
          <w:color w:val="auto"/>
        </w:rPr>
        <w:t xml:space="preserve">, so long as the Borrower has exercised its cure rights under </w:t>
      </w:r>
      <w:r>
        <w:rPr>
          <w:rFonts w:ascii="Arial" w:cs="Arial" w:eastAsia="Arial" w:hAnsi="Arial"/>
          <w:sz w:val="17"/>
          <w:szCs w:val="17"/>
          <w:u w:val="single" w:color="auto"/>
          <w:color w:val="auto"/>
        </w:rPr>
        <w:t>Section 6.13(c)</w:t>
      </w:r>
      <w:r>
        <w:rPr>
          <w:rFonts w:ascii="Arial" w:cs="Arial" w:eastAsia="Arial" w:hAnsi="Arial"/>
          <w:sz w:val="17"/>
          <w:szCs w:val="17"/>
          <w:color w:val="auto"/>
        </w:rPr>
        <w:t xml:space="preserve"> with respect to the applicable period therein, and then only to the extent that, in the applicable cases, the cure amounts under </w:t>
      </w:r>
      <w:r>
        <w:rPr>
          <w:rFonts w:ascii="Arial" w:cs="Arial" w:eastAsia="Arial" w:hAnsi="Arial"/>
          <w:sz w:val="17"/>
          <w:szCs w:val="17"/>
          <w:u w:val="single" w:color="auto"/>
          <w:color w:val="auto"/>
        </w:rPr>
        <w:t>Section 6.13(c)</w:t>
      </w:r>
      <w:r>
        <w:rPr>
          <w:rFonts w:ascii="Arial" w:cs="Arial" w:eastAsia="Arial" w:hAnsi="Arial"/>
          <w:sz w:val="17"/>
          <w:szCs w:val="17"/>
          <w:color w:val="auto"/>
        </w:rPr>
        <w:t xml:space="preserve"> or the Cure Amount (in an amount sufficient to comply with the applicable Financial Maintenance Covenant for such period or fiscal quarter as applicable) has not been received on or prior to such date;</w:t>
      </w:r>
    </w:p>
    <w:p>
      <w:pPr>
        <w:spacing w:after="0" w:line="77" w:lineRule="exact"/>
        <w:rPr>
          <w:rFonts w:ascii="Arial" w:cs="Arial" w:eastAsia="Arial" w:hAnsi="Arial"/>
          <w:sz w:val="17"/>
          <w:szCs w:val="17"/>
          <w:color w:val="auto"/>
        </w:rPr>
      </w:pPr>
    </w:p>
    <w:p>
      <w:pPr>
        <w:jc w:val="both"/>
        <w:ind w:left="4" w:firstLine="436"/>
        <w:spacing w:after="0" w:line="263" w:lineRule="auto"/>
        <w:tabs>
          <w:tab w:leader="none" w:pos="711" w:val="left"/>
        </w:tabs>
        <w:numPr>
          <w:ilvl w:val="1"/>
          <w:numId w:val="271"/>
        </w:numPr>
        <w:rPr>
          <w:rFonts w:ascii="Arial" w:cs="Arial" w:eastAsia="Arial" w:hAnsi="Arial"/>
          <w:sz w:val="18"/>
          <w:szCs w:val="18"/>
          <w:color w:val="auto"/>
        </w:rPr>
      </w:pPr>
      <w:r>
        <w:rPr>
          <w:rFonts w:ascii="Arial" w:cs="Arial" w:eastAsia="Arial" w:hAnsi="Arial"/>
          <w:sz w:val="18"/>
          <w:szCs w:val="18"/>
          <w:color w:val="auto"/>
        </w:rPr>
        <w:t xml:space="preserve">any Loan Party shall fail to observe or perform any covenant, condition or agreement contained in any Loan Document (other than those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Section), and such failure shall continue unremedied for a period of 30 days after written notice thereof is received by the Borrower from the Administrative Agent;</w:t>
      </w:r>
    </w:p>
    <w:p>
      <w:pPr>
        <w:spacing w:after="0" w:line="75" w:lineRule="exact"/>
        <w:rPr>
          <w:rFonts w:ascii="Arial" w:cs="Arial" w:eastAsia="Arial" w:hAnsi="Arial"/>
          <w:sz w:val="18"/>
          <w:szCs w:val="18"/>
          <w:color w:val="auto"/>
        </w:rPr>
      </w:pPr>
    </w:p>
    <w:p>
      <w:pPr>
        <w:ind w:left="4" w:right="20" w:firstLine="436"/>
        <w:spacing w:after="0" w:line="308" w:lineRule="auto"/>
        <w:tabs>
          <w:tab w:leader="none" w:pos="672" w:val="left"/>
        </w:tabs>
        <w:numPr>
          <w:ilvl w:val="1"/>
          <w:numId w:val="271"/>
        </w:numPr>
        <w:rPr>
          <w:rFonts w:ascii="Arial" w:cs="Arial" w:eastAsia="Arial" w:hAnsi="Arial"/>
          <w:sz w:val="17"/>
          <w:szCs w:val="17"/>
          <w:color w:val="auto"/>
        </w:rPr>
      </w:pPr>
      <w:r>
        <w:rPr>
          <w:rFonts w:ascii="Arial" w:cs="Arial" w:eastAsia="Arial" w:hAnsi="Arial"/>
          <w:sz w:val="17"/>
          <w:szCs w:val="17"/>
          <w:color w:val="auto"/>
        </w:rPr>
        <w:t>the Borrower or any Restricted Subsidiary shall fail to make any payment (whether of principal or interest and regardless of amount) in respect of any Material Indebtedness, when and as the same shall become due and payable (after giving effect to any applicable grace period);</w:t>
      </w:r>
    </w:p>
    <w:p>
      <w:pPr>
        <w:spacing w:after="0" w:line="38" w:lineRule="exact"/>
        <w:rPr>
          <w:rFonts w:ascii="Arial" w:cs="Arial" w:eastAsia="Arial" w:hAnsi="Arial"/>
          <w:sz w:val="17"/>
          <w:szCs w:val="17"/>
          <w:color w:val="auto"/>
        </w:rPr>
      </w:pPr>
    </w:p>
    <w:p>
      <w:pPr>
        <w:ind w:left="4" w:right="20" w:firstLine="436"/>
        <w:spacing w:after="0" w:line="342" w:lineRule="auto"/>
        <w:tabs>
          <w:tab w:leader="none" w:pos="703"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24"/>
          </w:cols>
          <w:pgMar w:left="436" w:top="274" w:right="439" w:bottom="1440" w:gutter="0" w:footer="0" w:header="0"/>
        </w:sectPr>
      </w:pPr>
    </w:p>
    <w:bookmarkStart w:id="223" w:name="page224"/>
    <w:bookmarkEnd w:id="223"/>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cause any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shall not apply to (i) secured Indebtedness that becomes due as a result of the sale, transfer or other Disposition (including as a result of a Casualty Event) of the property or assets securing such Indebtedness (to the extent such sale, transfer or other disposition is not prohibited under this Agreement), (ii) termination events or similar events occurring under any Swap Agreement that constitutes Material Indebtedness (it being understood that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of this Section will apply to any failure to make any payment required as a result of any such termination or similar event), (iii) Indebtedness permitted to exist or be incurred under the terms of this Agreement that is required to be repurchased, prepaid, defeased, redeemed or satisfied (or as to which an offer to repurchase, prepay defease, redeem or satisfy is required to be made) in connection with any asset sale event, casualty or condemnation event, change of control, excess cash flow or other customary provision in such Indebtedness giving rise to such requirement to so offer or repurchase, prepay, defease, redeem or satisfy in the absence of any default thereunder or (iv) Indebtedness that is convertible in Equity Interests and converts to Equity Interests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Section 7.01(f)</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7.01(g),</w:t>
      </w:r>
      <w:r>
        <w:rPr>
          <w:rFonts w:ascii="Arial" w:cs="Arial" w:eastAsia="Arial" w:hAnsi="Arial"/>
          <w:sz w:val="16"/>
          <w:szCs w:val="16"/>
          <w:color w:val="auto"/>
        </w:rPr>
        <w:t xml:space="preserve"> such default has not been waived by the holders of such Indebtedness;</w:t>
      </w:r>
    </w:p>
    <w:p>
      <w:pPr>
        <w:spacing w:after="0" w:line="64" w:lineRule="exact"/>
        <w:rPr>
          <w:sz w:val="20"/>
          <w:szCs w:val="20"/>
          <w:color w:val="auto"/>
        </w:rPr>
      </w:pPr>
    </w:p>
    <w:p>
      <w:pPr>
        <w:jc w:val="both"/>
        <w:ind w:right="20" w:firstLine="436"/>
        <w:spacing w:after="0" w:line="255" w:lineRule="auto"/>
        <w:tabs>
          <w:tab w:leader="none" w:pos="69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court protection, reorganization or other relief in respect of Holdings, the Borrower or any Significant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Significant Subsidiary or for a material part of its assets, and, in any such case, such proceeding or petition shall continue undismissed or unstayed for 60 consecutive days or an order or decree approving or ordering any of the foregoing shall be entered;</w:t>
      </w:r>
    </w:p>
    <w:p>
      <w:pPr>
        <w:spacing w:after="0" w:line="84" w:lineRule="exact"/>
        <w:rPr>
          <w:rFonts w:ascii="Arial" w:cs="Arial" w:eastAsia="Arial" w:hAnsi="Arial"/>
          <w:sz w:val="18"/>
          <w:szCs w:val="18"/>
          <w:color w:val="auto"/>
        </w:rPr>
      </w:pPr>
    </w:p>
    <w:p>
      <w:pPr>
        <w:jc w:val="both"/>
        <w:ind w:firstLine="436"/>
        <w:spacing w:after="0" w:line="273" w:lineRule="auto"/>
        <w:tabs>
          <w:tab w:leader="none" w:pos="66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Holdings, the Borrower or any Significant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of this Section, (iii) apply for or consent to the appointment of a receiver, trustee, examiner, custodian, sequestrator, conservator or similar official for Holdings, the Borrower or any Significant Subsidiary or for a material part of its assets, (iv) file an answer admitting the material allegations of a petition filed against it in any such proceeding or (v) make a general assignment for the benefit of creditors;</w:t>
      </w:r>
    </w:p>
    <w:p>
      <w:pPr>
        <w:spacing w:after="0" w:line="69" w:lineRule="exact"/>
        <w:rPr>
          <w:rFonts w:ascii="Arial" w:cs="Arial" w:eastAsia="Arial" w:hAnsi="Arial"/>
          <w:sz w:val="17"/>
          <w:szCs w:val="17"/>
          <w:color w:val="auto"/>
        </w:rPr>
      </w:pPr>
    </w:p>
    <w:p>
      <w:pPr>
        <w:jc w:val="both"/>
        <w:ind w:right="20" w:firstLine="436"/>
        <w:spacing w:after="0" w:line="259" w:lineRule="auto"/>
        <w:tabs>
          <w:tab w:leader="none" w:pos="66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one or more enforceable judgments for the payment of money in an aggregate amount in excess of $10,000,000 (to the extent not covered by insurance as to which the insurer has been notified of such judgment or order and has not denied its obligation) shall be rendered against Holdings, the Borrower, any Restricted Subsidiary or any combination thereof and the same shall remain unpaid, undischarged, unvacated, unbonded or unstayed pending appeal for a period of 60 consecutive days;</w:t>
      </w:r>
    </w:p>
    <w:p>
      <w:pPr>
        <w:spacing w:after="0" w:line="78" w:lineRule="exact"/>
        <w:rPr>
          <w:rFonts w:ascii="Arial" w:cs="Arial" w:eastAsia="Arial" w:hAnsi="Arial"/>
          <w:sz w:val="18"/>
          <w:szCs w:val="18"/>
          <w:color w:val="auto"/>
        </w:rPr>
      </w:pPr>
    </w:p>
    <w:p>
      <w:pPr>
        <w:jc w:val="both"/>
        <w:ind w:firstLine="436"/>
        <w:spacing w:after="0" w:line="254" w:lineRule="auto"/>
        <w:tabs>
          <w:tab w:leader="none" w:pos="93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 an ERISA Event occurs that has resulted or could reasonably be expected to result, individually or together with all other ERISA Events that have occurred or are reasonably expected to occur, in liability of Holdings, the Borrower or any Restricted Subsidiary in an aggregate amount that has resulted, or could reasonably be expected to result in, a Material Adverse Effect, (ii) any of Holdings, the Borrower or any Restricted Subsidiary or any ERISA Affiliate fails to pay when due, after the expiration of any applicable grace period, any payment with respect to a Multiemployer Plan, including with respect to any Withdrawal Liability under Section 4201 of ERISA, in an aggregate amount that could reasonably be expected to result in a Material Adverse Effect, or (iii) any of Holdings, Borrower or Restricted Subsidiary incurs a liability under a Foreign Pension Plan that has resulted, or could reasonably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20"/>
          </w:cols>
          <w:pgMar w:left="440" w:top="274" w:right="439" w:bottom="1440" w:gutter="0" w:footer="0" w:header="0"/>
        </w:sectPr>
      </w:pPr>
    </w:p>
    <w:bookmarkStart w:id="224" w:name="page225"/>
    <w:bookmarkEnd w:id="224"/>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expected to result, individually or together with any other liability under any Foreign Pension Plan or ERISA Event, in a Material Adverse Effect;</w:t>
      </w:r>
    </w:p>
    <w:p>
      <w:pPr>
        <w:spacing w:after="0" w:line="129" w:lineRule="exact"/>
        <w:rPr>
          <w:sz w:val="20"/>
          <w:szCs w:val="20"/>
          <w:color w:val="auto"/>
        </w:rPr>
      </w:pPr>
    </w:p>
    <w:p>
      <w:pPr>
        <w:jc w:val="both"/>
        <w:ind w:left="4" w:firstLine="436"/>
        <w:spacing w:after="0" w:line="287" w:lineRule="auto"/>
        <w:tabs>
          <w:tab w:leader="none" w:pos="665" w:val="left"/>
        </w:tabs>
        <w:numPr>
          <w:ilvl w:val="1"/>
          <w:numId w:val="273"/>
        </w:numPr>
        <w:rPr>
          <w:rFonts w:ascii="Arial" w:cs="Arial" w:eastAsia="Arial" w:hAnsi="Arial"/>
          <w:sz w:val="16"/>
          <w:szCs w:val="16"/>
          <w:color w:val="auto"/>
        </w:rPr>
      </w:pPr>
      <w:r>
        <w:rPr>
          <w:rFonts w:ascii="Arial" w:cs="Arial" w:eastAsia="Arial" w:hAnsi="Arial"/>
          <w:sz w:val="16"/>
          <w:szCs w:val="16"/>
          <w:color w:val="auto"/>
        </w:rPr>
        <w:t>any Lien purported to be created under any Security Document shall cease to be, or shall be asserted by any Loan Party in writing not to be, a valid and perfected Lien on any material portion of the Collateral, except (i) as a result of the sale or other disposition of the applicable Collateral to a Person that is not a Loan Party in a transaction permitted under the Loan Documents, (ii) as a result of the Administrative Agent’s failure to</w:t>
      </w:r>
    </w:p>
    <w:p>
      <w:pPr>
        <w:spacing w:after="0" w:line="2" w:lineRule="exact"/>
        <w:rPr>
          <w:rFonts w:ascii="Arial" w:cs="Arial" w:eastAsia="Arial" w:hAnsi="Arial"/>
          <w:sz w:val="16"/>
          <w:szCs w:val="16"/>
          <w:color w:val="auto"/>
        </w:rPr>
      </w:pPr>
    </w:p>
    <w:p>
      <w:pPr>
        <w:jc w:val="both"/>
        <w:ind w:left="4" w:hanging="4"/>
        <w:spacing w:after="0" w:line="255" w:lineRule="auto"/>
        <w:tabs>
          <w:tab w:leader="none" w:pos="33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maintain possession of any stock certificates, promissory notes or other instruments delivered to it under the Security Documents or (B) file Uniform Commercial Code continuation statements or (iii) as to Collateral consisting of real property, to the extent that such losses are covered by a lender’s title insurance policy and such insurer has not denied coverage;</w:t>
      </w:r>
    </w:p>
    <w:p>
      <w:pPr>
        <w:spacing w:after="0" w:line="81" w:lineRule="exact"/>
        <w:rPr>
          <w:rFonts w:ascii="Arial" w:cs="Arial" w:eastAsia="Arial" w:hAnsi="Arial"/>
          <w:sz w:val="18"/>
          <w:szCs w:val="18"/>
          <w:color w:val="auto"/>
        </w:rPr>
      </w:pPr>
    </w:p>
    <w:p>
      <w:pPr>
        <w:ind w:left="744" w:hanging="304"/>
        <w:spacing w:after="0"/>
        <w:tabs>
          <w:tab w:leader="none" w:pos="744" w:val="left"/>
        </w:tabs>
        <w:numPr>
          <w:ilvl w:val="1"/>
          <w:numId w:val="274"/>
        </w:numPr>
        <w:rPr>
          <w:rFonts w:ascii="Arial" w:cs="Arial" w:eastAsia="Arial" w:hAnsi="Arial"/>
          <w:sz w:val="16"/>
          <w:szCs w:val="16"/>
          <w:color w:val="auto"/>
        </w:rPr>
      </w:pPr>
      <w:r>
        <w:rPr>
          <w:rFonts w:ascii="Arial" w:cs="Arial" w:eastAsia="Arial" w:hAnsi="Arial"/>
          <w:sz w:val="16"/>
          <w:szCs w:val="16"/>
          <w:color w:val="auto"/>
        </w:rPr>
        <w:t>(i) this Agreement, any Security Document or any Guarantee of the Secured Obligations shall for any reason not be (or asserted by any Loan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Party in writing not to be) a legal, valid and binding obligation of any Loan Party thereto other than as expressly permitted hereunder or thereunder; or</w:t>
      </w:r>
    </w:p>
    <w:p>
      <w:pPr>
        <w:spacing w:after="0" w:line="32" w:lineRule="exact"/>
        <w:rPr>
          <w:sz w:val="20"/>
          <w:szCs w:val="20"/>
          <w:color w:val="auto"/>
        </w:rPr>
      </w:pPr>
    </w:p>
    <w:p>
      <w:pPr>
        <w:ind w:left="4" w:right="20" w:hanging="4"/>
        <w:spacing w:after="0" w:line="265" w:lineRule="auto"/>
        <w:tabs>
          <w:tab w:leader="none" w:pos="27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any subordination provision in respect of any Material Indebtedness shall for any reason not be (or asserted by any Loan Party in writing not to be) a legal, valid and binding obligation of any Loan Party thereto other than as expressly permitted hereunder or thereunder; or</w:t>
      </w:r>
    </w:p>
    <w:p>
      <w:pPr>
        <w:ind w:left="424" w:hanging="424"/>
        <w:spacing w:after="0"/>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11" w:lineRule="exact"/>
        <w:rPr>
          <w:sz w:val="20"/>
          <w:szCs w:val="20"/>
          <w:color w:val="auto"/>
        </w:rPr>
      </w:pPr>
    </w:p>
    <w:p>
      <w:pPr>
        <w:jc w:val="both"/>
        <w:ind w:left="4"/>
        <w:spacing w:after="0" w:line="286" w:lineRule="auto"/>
        <w:rPr>
          <w:sz w:val="20"/>
          <w:szCs w:val="20"/>
          <w:color w:val="auto"/>
        </w:rPr>
      </w:pPr>
      <w:r>
        <w:rPr>
          <w:rFonts w:ascii="Arial" w:cs="Arial" w:eastAsia="Arial" w:hAnsi="Arial"/>
          <w:sz w:val="16"/>
          <w:szCs w:val="16"/>
          <w:color w:val="auto"/>
        </w:rPr>
        <w:t xml:space="preserve">then, and in every such event (other than an event with respect to the Borrower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this Section), and at any time thereafter during the continuance of such event, the Administrative Agent may, and at the request of the Required Lenders shall, by notice to the Borrower, take any or all of the following actions, at the same or different times: (i) terminate the Commitments, and thereupon the Commitments shall terminate immediately, (ii) declare the Loans then outstanding to be due and payable in whole (or in part, (but ratably as among Classes of Loans and the Loans of each Class at the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and (iii) require the deposit of cash collateral in respect of LC Exposure as provided in </w:t>
      </w:r>
      <w:r>
        <w:rPr>
          <w:rFonts w:ascii="Arial" w:cs="Arial" w:eastAsia="Arial" w:hAnsi="Arial"/>
          <w:sz w:val="16"/>
          <w:szCs w:val="16"/>
          <w:u w:val="single" w:color="auto"/>
          <w:color w:val="auto"/>
        </w:rPr>
        <w:t>Section 2.05(j)</w:t>
      </w:r>
      <w:r>
        <w:rPr>
          <w:rFonts w:ascii="Arial" w:cs="Arial" w:eastAsia="Arial" w:hAnsi="Arial"/>
          <w:sz w:val="16"/>
          <w:szCs w:val="16"/>
          <w:color w:val="auto"/>
        </w:rPr>
        <w:t xml:space="preserve">, in each case without presentment, demand, protest or other notice of any kind, all of which are hereby waived by Holdings, the Borrower and each other Loan Party; and in the case of any event with respect to the Borrower described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this Section, the Commitments shall automatically terminate and the principal of the Loans then outstanding, together with accrued interest thereon and all fees and other obligations of the Borrower accrued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Holdings, the Borrower and each other Loan Party.</w:t>
      </w:r>
    </w:p>
    <w:p>
      <w:pPr>
        <w:spacing w:after="0" w:line="174" w:lineRule="exact"/>
        <w:rPr>
          <w:sz w:val="20"/>
          <w:szCs w:val="20"/>
          <w:color w:val="auto"/>
        </w:rPr>
      </w:pPr>
    </w:p>
    <w:p>
      <w:pPr>
        <w:jc w:val="both"/>
        <w:ind w:left="4" w:firstLine="440"/>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Right to Cure</w:t>
      </w:r>
      <w:r>
        <w:rPr>
          <w:rFonts w:ascii="Arial" w:cs="Arial" w:eastAsia="Arial" w:hAnsi="Arial"/>
          <w:sz w:val="16"/>
          <w:szCs w:val="16"/>
          <w:color w:val="auto"/>
        </w:rPr>
        <w:t xml:space="preserve">. Notwithstanding anything to the contrary contained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in the event that the Borrower fails to comply with the requirements of the Financial Maintenance Covenants described in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6.13(b)</w:t>
      </w:r>
      <w:r>
        <w:rPr>
          <w:rFonts w:ascii="Arial" w:cs="Arial" w:eastAsia="Arial" w:hAnsi="Arial"/>
          <w:sz w:val="16"/>
          <w:szCs w:val="16"/>
          <w:color w:val="auto"/>
        </w:rPr>
        <w:t xml:space="preserve">, at any time from the first day of such applicable quarter until the expiration of the fifteenth Business Day subsequent to the date on which the financial statements with respect to such fiscal quarter (or the fiscal year ended on the last day of such fiscal quarter)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5.01(b)</w:t>
      </w:r>
      <w:r>
        <w:rPr>
          <w:rFonts w:ascii="Arial" w:cs="Arial" w:eastAsia="Arial" w:hAnsi="Arial"/>
          <w:sz w:val="16"/>
          <w:szCs w:val="16"/>
          <w:color w:val="auto"/>
        </w:rPr>
        <w:t>, as applicable, the Borrower (or any Parent Entity thereof) shall have the right to issue Qualified Equity Interests or other Equity Interests reasonably satisfactory to the Administrative Agent (but excluding Disqualified Equity Interests) (each such issuance taken pursuant and in accordance with this Section 7.02, a “</w:t>
      </w:r>
      <w:r>
        <w:rPr>
          <w:rFonts w:ascii="Arial" w:cs="Arial" w:eastAsia="Arial" w:hAnsi="Arial"/>
          <w:sz w:val="16"/>
          <w:szCs w:val="16"/>
          <w:u w:val="single" w:color="auto"/>
          <w:color w:val="auto"/>
        </w:rPr>
        <w:t>Specified Equity Issuance</w:t>
      </w:r>
      <w:r>
        <w:rPr>
          <w:rFonts w:ascii="Arial" w:cs="Arial" w:eastAsia="Arial" w:hAnsi="Arial"/>
          <w:sz w:val="16"/>
          <w:szCs w:val="16"/>
          <w:color w:val="auto"/>
        </w:rPr>
        <w:t>”) for cash or otherwise receive cash contributions to (or in the case of any other Parent</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24"/>
          </w:cols>
          <w:pgMar w:left="436" w:top="274" w:right="439" w:bottom="1440" w:gutter="0" w:footer="0" w:header="0"/>
        </w:sectPr>
      </w:pPr>
    </w:p>
    <w:bookmarkStart w:id="225" w:name="page226"/>
    <w:bookmarkEnd w:id="225"/>
    <w:p>
      <w:pPr>
        <w:jc w:val="both"/>
        <w:ind w:left="4"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Entity, receive equity interests in the Borrower for its cash contributions to) the Equity Interests (other than Disqualified Equity Interests) of the Borrower as cash common equity or other Qualified Equity Interests or other Equity Interests reasonably satisfactory to the Administrative Agent, in each case, which are contributed to the Borrower in the form of cash (collectively, the “</w:t>
      </w:r>
      <w:r>
        <w:rPr>
          <w:rFonts w:ascii="Arial" w:cs="Arial" w:eastAsia="Arial" w:hAnsi="Arial"/>
          <w:sz w:val="17"/>
          <w:szCs w:val="17"/>
          <w:u w:val="single" w:color="auto"/>
          <w:color w:val="auto"/>
        </w:rPr>
        <w:t>Cure Right</w:t>
      </w:r>
      <w:r>
        <w:rPr>
          <w:rFonts w:ascii="Arial" w:cs="Arial" w:eastAsia="Arial" w:hAnsi="Arial"/>
          <w:sz w:val="17"/>
          <w:szCs w:val="17"/>
          <w:color w:val="auto"/>
        </w:rPr>
        <w:t>”), and upon the receipt by the Borrower of the Net Proceeds of such issuance that are Not Otherwise Applied (the “</w:t>
      </w:r>
      <w:r>
        <w:rPr>
          <w:rFonts w:ascii="Arial" w:cs="Arial" w:eastAsia="Arial" w:hAnsi="Arial"/>
          <w:sz w:val="17"/>
          <w:szCs w:val="17"/>
          <w:u w:val="single" w:color="auto"/>
          <w:color w:val="auto"/>
        </w:rPr>
        <w:t>Cure Amount</w:t>
      </w:r>
      <w:r>
        <w:rPr>
          <w:rFonts w:ascii="Arial" w:cs="Arial" w:eastAsia="Arial" w:hAnsi="Arial"/>
          <w:sz w:val="17"/>
          <w:szCs w:val="17"/>
          <w:color w:val="auto"/>
        </w:rPr>
        <w:t>”) pursuant to the exercise by the Borrower of such Cure Right, the Financial Maintenance Covenant shall be recalculated giving pro form effect to the following pro forma adjustment:</w:t>
      </w:r>
    </w:p>
    <w:p>
      <w:pPr>
        <w:spacing w:after="0" w:line="68" w:lineRule="exact"/>
        <w:rPr>
          <w:sz w:val="20"/>
          <w:szCs w:val="20"/>
          <w:color w:val="auto"/>
        </w:rPr>
      </w:pPr>
    </w:p>
    <w:p>
      <w:pPr>
        <w:jc w:val="both"/>
        <w:ind w:left="4" w:right="20" w:firstLine="436"/>
        <w:spacing w:after="0" w:line="287" w:lineRule="auto"/>
        <w:tabs>
          <w:tab w:leader="none" w:pos="697" w:val="left"/>
        </w:tabs>
        <w:numPr>
          <w:ilvl w:val="1"/>
          <w:numId w:val="277"/>
        </w:numPr>
        <w:rPr>
          <w:rFonts w:ascii="Arial" w:cs="Arial" w:eastAsia="Arial" w:hAnsi="Arial"/>
          <w:sz w:val="16"/>
          <w:szCs w:val="16"/>
          <w:color w:val="auto"/>
        </w:rPr>
      </w:pPr>
      <w:r>
        <w:rPr>
          <w:rFonts w:ascii="Arial" w:cs="Arial" w:eastAsia="Arial" w:hAnsi="Arial"/>
          <w:sz w:val="16"/>
          <w:szCs w:val="16"/>
          <w:color w:val="auto"/>
        </w:rPr>
        <w:t>(i) Consolidated EBITDA and/or Consolidated Cash EBITDA shall be increased with respect to such applicable fiscal quarter with respect to which such Cure Amount is received by the Borrower and any Test Period that includes such fiscal quarter, solely for the purpose of measuring the applicable Financial Maintenance Covenant(s) and not for any other purpose under this Agreement, by an amount equal to the Cure Amount and</w:t>
      </w:r>
    </w:p>
    <w:p>
      <w:pPr>
        <w:spacing w:after="0" w:line="2" w:lineRule="exact"/>
        <w:rPr>
          <w:rFonts w:ascii="Arial" w:cs="Arial" w:eastAsia="Arial" w:hAnsi="Arial"/>
          <w:sz w:val="16"/>
          <w:szCs w:val="16"/>
          <w:color w:val="auto"/>
        </w:rPr>
      </w:pPr>
    </w:p>
    <w:p>
      <w:pPr>
        <w:ind w:left="4" w:right="20" w:hanging="4"/>
        <w:spacing w:after="0" w:line="260" w:lineRule="auto"/>
        <w:tabs>
          <w:tab w:leader="none" w:pos="26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with respect to the LTV Covenant, Consolidated Total Net Debt shall be reduced by the portion of the Cure Amount that is actually applied to prepay such Indebtedness;</w:t>
      </w:r>
    </w:p>
    <w:p>
      <w:pPr>
        <w:spacing w:after="0" w:line="77" w:lineRule="exact"/>
        <w:rPr>
          <w:rFonts w:ascii="Arial" w:cs="Arial" w:eastAsia="Arial" w:hAnsi="Arial"/>
          <w:sz w:val="18"/>
          <w:szCs w:val="18"/>
          <w:color w:val="auto"/>
        </w:rPr>
      </w:pPr>
    </w:p>
    <w:p>
      <w:pPr>
        <w:jc w:val="both"/>
        <w:ind w:left="4" w:right="20" w:firstLine="436"/>
        <w:spacing w:after="0" w:line="257" w:lineRule="auto"/>
        <w:tabs>
          <w:tab w:leader="none" w:pos="735"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if, after giving effect to the foregoing recalculation, the Borrower and its Restricted Subsidiaries shall then be in compliance with the applicable Financial Maintenance Covenant(s), the Borrower and its Restricted Subsidiaries shall be deemed to have satisfied the requirements of the applicable Financial Maintenance Covenant(s) as of the relevant date of determination with the same effect as though there had been no failure to comply therewith at such date, and the applicable breach or default of the applicable Financial Maintenance Covenant(s) that had occurred shall be deemed cured for the purposes of this Agreement;</w:t>
      </w:r>
    </w:p>
    <w:p>
      <w:pPr>
        <w:spacing w:after="0" w:line="79" w:lineRule="exact"/>
        <w:rPr>
          <w:rFonts w:ascii="Arial" w:cs="Arial" w:eastAsia="Arial" w:hAnsi="Arial"/>
          <w:sz w:val="18"/>
          <w:szCs w:val="18"/>
          <w:color w:val="auto"/>
        </w:rPr>
      </w:pPr>
    </w:p>
    <w:p>
      <w:pPr>
        <w:jc w:val="both"/>
        <w:ind w:left="4" w:right="20" w:firstLine="436"/>
        <w:spacing w:after="0" w:line="293" w:lineRule="auto"/>
        <w:tabs>
          <w:tab w:leader="none" w:pos="693" w:val="left"/>
        </w:tabs>
        <w:numPr>
          <w:ilvl w:val="1"/>
          <w:numId w:val="278"/>
        </w:numPr>
        <w:rPr>
          <w:rFonts w:ascii="Arial" w:cs="Arial" w:eastAsia="Arial" w:hAnsi="Arial"/>
          <w:sz w:val="16"/>
          <w:szCs w:val="16"/>
          <w:color w:val="auto"/>
        </w:rPr>
      </w:pPr>
      <w:r>
        <w:rPr>
          <w:rFonts w:ascii="Arial" w:cs="Arial" w:eastAsia="Arial" w:hAnsi="Arial"/>
          <w:sz w:val="16"/>
          <w:szCs w:val="16"/>
          <w:color w:val="auto"/>
        </w:rPr>
        <w:t>upon the Administrative Agent’s receipt of a written notice from the Borrower that the Borrower intends to exercise the Cure Right (a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Intent to Cure</w:t>
      </w:r>
      <w:r>
        <w:rPr>
          <w:rFonts w:ascii="Arial" w:cs="Arial" w:eastAsia="Arial" w:hAnsi="Arial"/>
          <w:sz w:val="16"/>
          <w:szCs w:val="16"/>
          <w:color w:val="auto"/>
        </w:rPr>
        <w:t xml:space="preserve">”), until the fifteenth Business Day following the date on which financial statements for the fiscal quarter to which such Notice of Intent to Cure relates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(b)(i)</w:t>
      </w:r>
      <w:r>
        <w:rPr>
          <w:rFonts w:ascii="Arial" w:cs="Arial" w:eastAsia="Arial" w:hAnsi="Arial"/>
          <w:sz w:val="16"/>
          <w:szCs w:val="16"/>
          <w:color w:val="auto"/>
        </w:rPr>
        <w:t xml:space="preserve">, as applicable, neither the Administrative Agent (nor any sub-agent therefor) nor any Lender shall exercise any right to accelerate the Loans or terminate the Revolving Commitments, and none of the Administrative Agent (nor any sub-agent therefor) nor any Lender or Secured Party shall exercise any right to foreclose on or take possession of the Collateral or any other right or remedy under the Loan Documents solely on the basis of the relevant failure to comply with </w:t>
      </w:r>
      <w:r>
        <w:rPr>
          <w:rFonts w:ascii="Arial" w:cs="Arial" w:eastAsia="Arial" w:hAnsi="Arial"/>
          <w:sz w:val="16"/>
          <w:szCs w:val="16"/>
          <w:u w:val="single" w:color="auto"/>
          <w:color w:val="auto"/>
        </w:rPr>
        <w:t>Section 6.13</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jc w:val="both"/>
        <w:ind w:left="4" w:firstLine="436"/>
        <w:spacing w:after="0" w:line="259" w:lineRule="auto"/>
        <w:tabs>
          <w:tab w:leader="none" w:pos="71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 xml:space="preserve">there shall be no pro forma or other reduction of the amount of Consolidated Total Net Debt (by netting or otherwise) by the amount of the applicable Cure Amount for purposes of determining compliance with </w:t>
      </w:r>
      <w:r>
        <w:rPr>
          <w:rFonts w:ascii="Arial" w:cs="Arial" w:eastAsia="Arial" w:hAnsi="Arial"/>
          <w:sz w:val="18"/>
          <w:szCs w:val="18"/>
          <w:u w:val="single" w:color="auto"/>
          <w:color w:val="auto"/>
        </w:rPr>
        <w:t>Section 6.13(a)</w:t>
      </w:r>
      <w:r>
        <w:rPr>
          <w:rFonts w:ascii="Arial" w:cs="Arial" w:eastAsia="Arial" w:hAnsi="Arial"/>
          <w:sz w:val="18"/>
          <w:szCs w:val="18"/>
          <w:color w:val="auto"/>
        </w:rPr>
        <w:t xml:space="preserve"> in the fiscal quarter in respect of which the Cure Right was exercised;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portion of such Cure Amount that is actually applied to repay Indebtedness or “netted” against such Indebtedness shall reduce Consolidated Total Net Debt in future Test Periods which include such fiscal quarter;</w:t>
      </w:r>
    </w:p>
    <w:p>
      <w:pPr>
        <w:spacing w:after="0" w:line="78" w:lineRule="exact"/>
        <w:rPr>
          <w:rFonts w:ascii="Arial" w:cs="Arial" w:eastAsia="Arial" w:hAnsi="Arial"/>
          <w:sz w:val="18"/>
          <w:szCs w:val="18"/>
          <w:color w:val="auto"/>
        </w:rPr>
      </w:pPr>
    </w:p>
    <w:p>
      <w:pPr>
        <w:jc w:val="both"/>
        <w:ind w:left="4" w:firstLine="436"/>
        <w:spacing w:after="0" w:line="272" w:lineRule="auto"/>
        <w:tabs>
          <w:tab w:leader="none" w:pos="696" w:val="left"/>
        </w:tabs>
        <w:numPr>
          <w:ilvl w:val="1"/>
          <w:numId w:val="278"/>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(i) in each four consecutive fiscal quarter period of the Borrower there shall be no more than two fiscal quarters in which the Cure Right is exercised, (ii) during the term of this Agreement, the Cure Right shall not be exercised more than five times and (iii) for purposes of this </w:t>
      </w:r>
      <w:r>
        <w:rPr>
          <w:rFonts w:ascii="Arial" w:cs="Arial" w:eastAsia="Arial" w:hAnsi="Arial"/>
          <w:sz w:val="17"/>
          <w:szCs w:val="17"/>
          <w:u w:val="single" w:color="auto"/>
          <w:color w:val="auto"/>
        </w:rPr>
        <w:t>Section 7.02</w:t>
      </w:r>
      <w:r>
        <w:rPr>
          <w:rFonts w:ascii="Arial" w:cs="Arial" w:eastAsia="Arial" w:hAnsi="Arial"/>
          <w:sz w:val="17"/>
          <w:szCs w:val="17"/>
          <w:color w:val="auto"/>
        </w:rPr>
        <w:t>, the Cure Amount shall be no greater than the amount required for purposes of complying with the applicable Financial Maintenance Covenant(s). Notwithstanding any other provision in this Agreement to the contrary, during any Test Period in which any Cure Amount is included in the calculation of Consolidated EBITDA and/or Consolidated Cash EBITDA as a result of any exercise of the Cure Right, the Cure Amount received pursuant to any exercise of the Cure Right shall be (A) counted solely as an increase to Consolidated EBITDA and/or Consolidated Cash EBITDA for the purpose of determining compliance with the applicable Financial</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24"/>
          </w:cols>
          <w:pgMar w:left="436" w:top="274" w:right="439" w:bottom="1440" w:gutter="0" w:footer="0" w:header="0"/>
        </w:sectPr>
      </w:pPr>
    </w:p>
    <w:bookmarkStart w:id="226" w:name="page227"/>
    <w:bookmarkEnd w:id="226"/>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Maintenance Covenant(s) and (B) disregarded for purposes of determining the Available Equity Amount, any financial ratio-based conditions or provisions, Applicable Rate or any available basket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Agreement; and</w:t>
      </w:r>
    </w:p>
    <w:p>
      <w:pPr>
        <w:spacing w:after="0" w:line="62" w:lineRule="exact"/>
        <w:rPr>
          <w:sz w:val="20"/>
          <w:szCs w:val="20"/>
          <w:color w:val="auto"/>
        </w:rPr>
      </w:pPr>
    </w:p>
    <w:p>
      <w:pPr>
        <w:jc w:val="both"/>
        <w:ind w:firstLine="436"/>
        <w:spacing w:after="0" w:line="263" w:lineRule="auto"/>
        <w:tabs>
          <w:tab w:leader="none" w:pos="67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 Revolving Lender, Swingline Lender or Issuing Bank shall make any Revolving Loan or Swingline Loan or to issue any Letter of Credit from and after such time as the Administrative Agent has received the Notice of Intent to Cure unless and until the Cure Amount is actually received by the Borrower.</w:t>
      </w:r>
    </w:p>
    <w:p>
      <w:pPr>
        <w:spacing w:after="0" w:line="184"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After the exercise of remedies provided for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any amounts received on account of the Secured Obligations shall be applied by the Administrative Agent in accordance with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Collateral Agreement and/or the similar provisions in the other Security Documents. Notwithstanding the foregoing,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Collateral Agreement and/or the similar provisions in the other Security Documents.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w:t>
      </w:r>
    </w:p>
    <w:p>
      <w:pPr>
        <w:spacing w:after="0" w:line="225"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7"/>
          <w:szCs w:val="17"/>
          <w:color w:val="auto"/>
        </w:rPr>
        <w:t>Each of the Lenders and the Issuing Banks hereby irrevocably appoints Owl Rock Capital Corporation to serve as Administrative Agent and Collateral Agent under the Loan Documents, and authorizes the Administrative Agent and Collateral Agent to execute, deliver and administer the Loan Documents and to take such actions and to exercise such powers as are delegated to the Administrative Agent and Collateral Agent by the terms of the Loan Documents, together with such actions and powers as are reasonably incidental thereto. The provisions of this Article are solely for the benefit of the Administrative Agent, the Collateral Agent, the Lenders and the Issuing Banks, and none of Holdings, the Borrower or any other Loan Party shall have any rights as a third party beneficiary of any such provisions.</w:t>
      </w:r>
    </w:p>
    <w:p>
      <w:pPr>
        <w:spacing w:after="0" w:line="178"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act as the financial advisor or in any other advisory capacity for and generally engage in any kind of business with Holdings, the Borrower or any other Subsidiary or other Affiliate thereof as if such Person were not the Administrative Agent hereunder and without any duty to account therefor to the Lenders or the Issuing Banks.</w:t>
      </w:r>
    </w:p>
    <w:p>
      <w:pPr>
        <w:spacing w:after="0" w:line="188" w:lineRule="exact"/>
        <w:rPr>
          <w:sz w:val="20"/>
          <w:szCs w:val="20"/>
          <w:color w:val="auto"/>
        </w:rPr>
      </w:pPr>
    </w:p>
    <w:p>
      <w:pPr>
        <w:jc w:val="both"/>
        <w:ind w:right="20" w:firstLine="440"/>
        <w:spacing w:after="0" w:line="271" w:lineRule="auto"/>
        <w:rPr>
          <w:sz w:val="20"/>
          <w:szCs w:val="20"/>
          <w:color w:val="auto"/>
        </w:rPr>
      </w:pPr>
      <w:r>
        <w:rPr>
          <w:rFonts w:ascii="Arial" w:cs="Arial" w:eastAsia="Arial" w:hAnsi="Arial"/>
          <w:sz w:val="17"/>
          <w:szCs w:val="17"/>
          <w:color w:val="auto"/>
        </w:rPr>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 be necessary under the circumstances as provided in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may expose the Administrative Agent to liability or that is contrary to any Loan Document or applicable law, and (c) except as expressly set forth in the Loan Documents, the Administrative Agent shall not have any duty to disclose, and shall not be liable for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20"/>
          </w:cols>
          <w:pgMar w:left="440" w:top="274" w:right="439" w:bottom="1440" w:gutter="0" w:footer="0" w:header="0"/>
        </w:sectPr>
      </w:pPr>
    </w:p>
    <w:bookmarkStart w:id="227" w:name="page228"/>
    <w:bookmarkEnd w:id="227"/>
    <w:p>
      <w:pPr>
        <w:jc w:val="both"/>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failure to disclose, any information relating to Holdings, the Borrower, any other Subsidiary or any other Affiliate of any of the foregoing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w:t>
      </w:r>
      <w:r>
        <w:rPr>
          <w:rFonts w:ascii="Arial" w:cs="Arial" w:eastAsia="Arial" w:hAnsi="Arial"/>
          <w:sz w:val="16"/>
          <w:szCs w:val="16"/>
          <w:u w:val="single" w:color="auto"/>
          <w:color w:val="auto"/>
        </w:rPr>
        <w:t>Section 9.02</w:t>
      </w:r>
      <w:r>
        <w:rPr>
          <w:rFonts w:ascii="Arial" w:cs="Arial" w:eastAsia="Arial" w:hAnsi="Arial"/>
          <w:sz w:val="16"/>
          <w:szCs w:val="16"/>
          <w:color w:val="auto"/>
        </w:rPr>
        <w:t>) or in the absence of its own gross negligence or willful misconduct (such absence to be presumed unless otherwise determined by a court of competent jurisdiction by a final and nonappealable judgment). The Administrative Agent shall be deemed not to have knowledge of any Default unless and until written notice thereof is given to the Administrative Agent by Holdings, the Borrower,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w:t>
      </w:r>
    </w:p>
    <w:p>
      <w:pPr>
        <w:spacing w:after="0" w:line="6" w:lineRule="exact"/>
        <w:rPr>
          <w:sz w:val="20"/>
          <w:szCs w:val="20"/>
          <w:color w:val="auto"/>
        </w:rPr>
      </w:pPr>
    </w:p>
    <w:p>
      <w:pPr>
        <w:jc w:val="both"/>
        <w:ind w:left="4" w:hanging="4"/>
        <w:spacing w:after="0" w:line="281" w:lineRule="auto"/>
        <w:tabs>
          <w:tab w:leader="none" w:pos="326"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w:t>
      </w:r>
    </w:p>
    <w:p>
      <w:pPr>
        <w:spacing w:after="0" w:line="1" w:lineRule="exact"/>
        <w:rPr>
          <w:rFonts w:ascii="Arial" w:cs="Arial" w:eastAsia="Arial" w:hAnsi="Arial"/>
          <w:sz w:val="16"/>
          <w:szCs w:val="16"/>
          <w:color w:val="auto"/>
        </w:rPr>
      </w:pPr>
    </w:p>
    <w:p>
      <w:pPr>
        <w:jc w:val="both"/>
        <w:ind w:left="4" w:hanging="4"/>
        <w:spacing w:after="0" w:line="281" w:lineRule="auto"/>
        <w:tabs>
          <w:tab w:leader="none" w:pos="282"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the existence, value, sufficiency or collectability of any Collateral or creation, perfection or priority of any Lien purported to be created by the Security Documents or (vi)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in any Loan Document, other than to confirm receipt of items expressly required to be delivered to the Administrative Agent or satisfaction of any condition that expressly refers to the matters described therein being acceptable or satisfactory to the Administrative Agent. The Administrative Agent shall not be responsible or liable to the Lenders for any failure to monitor or maintain any portion of the Collateral. Notwithstanding anything herein to the contrary, the Administrative Agent shall not have any liability arising from any confirmation or determination of (x) the Revolving Exposure or the component amounts thereof, (y) the Effective Yield or</w:t>
      </w:r>
    </w:p>
    <w:p>
      <w:pPr>
        <w:spacing w:after="0" w:line="3" w:lineRule="exact"/>
        <w:rPr>
          <w:rFonts w:ascii="Arial" w:cs="Arial" w:eastAsia="Arial" w:hAnsi="Arial"/>
          <w:sz w:val="16"/>
          <w:szCs w:val="16"/>
          <w:color w:val="auto"/>
        </w:rPr>
      </w:pPr>
    </w:p>
    <w:p>
      <w:pPr>
        <w:ind w:left="244" w:hanging="244"/>
        <w:spacing w:after="0"/>
        <w:tabs>
          <w:tab w:leader="none" w:pos="24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terms and conditions of any Intercreditor Agreement.</w:t>
      </w:r>
    </w:p>
    <w:p>
      <w:pPr>
        <w:spacing w:after="0" w:line="211" w:lineRule="exact"/>
        <w:rPr>
          <w:sz w:val="20"/>
          <w:szCs w:val="20"/>
          <w:color w:val="auto"/>
        </w:rPr>
      </w:pPr>
    </w:p>
    <w:p>
      <w:pPr>
        <w:jc w:val="both"/>
        <w:ind w:left="4" w:firstLine="440"/>
        <w:spacing w:after="0" w:line="269" w:lineRule="auto"/>
        <w:rPr>
          <w:sz w:val="20"/>
          <w:szCs w:val="20"/>
          <w:color w:val="auto"/>
        </w:rPr>
      </w:pPr>
      <w:r>
        <w:rPr>
          <w:rFonts w:ascii="Arial" w:cs="Arial" w:eastAsia="Arial" w:hAnsi="Arial"/>
          <w:sz w:val="17"/>
          <w:szCs w:val="17"/>
          <w:color w:val="auto"/>
        </w:rPr>
        <w:t>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(including, if applicable, a Responsible Officer or Financial Officer of such Person). The Administrative Agent also may rely, and shall not incur any liability for relying, upon any statement made to it orally or by telephone and believed by it to be made by the proper Person (including, if applicable, a Financial Officer or a Responsible Officer of such Person), and may act upon any such statement prior to receipt of written confirmation thereof.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Issuing Bank unless the Administrative Agent shall have received notice to the contrary from such Lender or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9" w:lineRule="exact"/>
        <w:rPr>
          <w:sz w:val="20"/>
          <w:szCs w:val="20"/>
          <w:color w:val="auto"/>
        </w:rPr>
      </w:pPr>
    </w:p>
    <w:p>
      <w:pPr>
        <w:jc w:val="both"/>
        <w:ind w:left="4" w:firstLine="440"/>
        <w:spacing w:after="0" w:line="257" w:lineRule="auto"/>
        <w:rPr>
          <w:sz w:val="20"/>
          <w:szCs w:val="20"/>
          <w:color w:val="auto"/>
        </w:rPr>
      </w:pPr>
      <w:r>
        <w:rPr>
          <w:rFonts w:ascii="Arial" w:cs="Arial" w:eastAsia="Arial" w:hAnsi="Arial"/>
          <w:sz w:val="18"/>
          <w:szCs w:val="18"/>
          <w:color w:val="auto"/>
        </w:rPr>
        <w:t>The Administrative Agent may perform any of and all its duties and exercise its rights and powers hereunder or under any other Loan Document by or through any one or more sub-agents appointed by the Administrative Agent. The Administrative Agent and any such sub-agent may perform any of and all their duties and exercise their rights and powers through their respective Related Parties. The exculpatory provisions of this Article shall apply to any such sub-agent and to the Related Parties of the Administrative Agent and any such sub-agent, and shall apply to their respective activities in connection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24"/>
          </w:cols>
          <w:pgMar w:left="436" w:top="274" w:right="439" w:bottom="1440" w:gutter="0" w:footer="0" w:header="0"/>
        </w:sectPr>
      </w:pPr>
    </w:p>
    <w:bookmarkStart w:id="228" w:name="page229"/>
    <w:bookmarkEnd w:id="228"/>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5"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6"/>
          <w:szCs w:val="16"/>
          <w:color w:val="auto"/>
        </w:rPr>
        <w:t xml:space="preserve">The Administrative Agent may resign upon 30 days’ notice to the Lenders, the Issuing Banks and the Borrower. If the Administrative Agent becomes a Defaulting Lender or is an affiliate of a Defaulting Lender, the Administrative Agent may be removed as the Administrative Agent hereunder at the request of the Borrower or the Required Lenders, in each case, upon 30 days’ notice. Upon receipt of any such notice of resignation or upon such removal, the Required Lenders shall have the right, with the Borrower’s consent (unless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has occurred and is continuing), to appoint a successor, which shall be a commercial bank or trust company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(but shall not be obligated to) on behalf of the Lenders and the Issuing Banks, appoint a successor Administrative Agent meeting the qualifications above (the date upon which the retiring Administrative Agent is replaced,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w:t>
      </w:r>
    </w:p>
    <w:p>
      <w:pPr>
        <w:spacing w:after="0" w:line="166"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If the Person serving as Administrative Agent is a Defaulting Lender or is an Affiliate of a Defaulting Lender, the Required Lenders and the Borrower may, to the extent permitted by applicable law, by notice in writing to such Person remove such Person as Administrative Agent and, with the consent of the Borrower, appoint a successor. If no such successor shall have been so appointed by the Required Lenders and shall have accepted such appointment within 30 days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88" w:lineRule="exact"/>
        <w:rPr>
          <w:sz w:val="20"/>
          <w:szCs w:val="20"/>
          <w:color w:val="auto"/>
        </w:rPr>
      </w:pPr>
    </w:p>
    <w:p>
      <w:pPr>
        <w:jc w:val="both"/>
        <w:ind w:firstLine="440"/>
        <w:spacing w:after="0" w:line="285" w:lineRule="auto"/>
        <w:rPr>
          <w:sz w:val="20"/>
          <w:szCs w:val="20"/>
          <w:color w:val="auto"/>
        </w:rPr>
      </w:pPr>
      <w:r>
        <w:rPr>
          <w:rFonts w:ascii="Arial" w:cs="Arial" w:eastAsia="Arial" w:hAnsi="Arial"/>
          <w:sz w:val="16"/>
          <w:szCs w:val="16"/>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(i)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(ii) with respect to any outstanding payment obligations)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or the retiring Administrative Agent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or (ii) after such resignation 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20"/>
          </w:cols>
          <w:pgMar w:left="440" w:top="274" w:right="439" w:bottom="1440" w:gutter="0" w:footer="0" w:header="0"/>
        </w:sectPr>
      </w:pPr>
    </w:p>
    <w:bookmarkStart w:id="229" w:name="page230"/>
    <w:bookmarkEnd w:id="229"/>
    <w:p>
      <w:pPr>
        <w:jc w:val="both"/>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removal for as long as any of them continues to act in any capacity hereunder or under the other Loan Documents, including (a) acting as Collateral Agent or otherwise holding any collateral security on behalf of any of the Lenders, (b) in respect of any actions taken in connection with transferring the agency to any successor Administrative Agent and (c) in respect of the matters referred to under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above. Notwithstanding anything to the contrary herein, no Disqualified Lender may be appointed as a successor Administrative Agent without the consent of the Borrower.</w:t>
      </w:r>
    </w:p>
    <w:p>
      <w:pPr>
        <w:spacing w:after="0" w:line="157" w:lineRule="exact"/>
        <w:rPr>
          <w:sz w:val="20"/>
          <w:szCs w:val="20"/>
          <w:color w:val="auto"/>
        </w:rPr>
      </w:pPr>
    </w:p>
    <w:p>
      <w:pPr>
        <w:jc w:val="both"/>
        <w:ind w:firstLine="440"/>
        <w:spacing w:after="0" w:line="272" w:lineRule="auto"/>
        <w:rPr>
          <w:sz w:val="20"/>
          <w:szCs w:val="20"/>
          <w:color w:val="auto"/>
        </w:rPr>
      </w:pPr>
      <w:r>
        <w:rPr>
          <w:rFonts w:ascii="Arial" w:cs="Arial" w:eastAsia="Arial" w:hAnsi="Arial"/>
          <w:sz w:val="17"/>
          <w:szCs w:val="17"/>
          <w:color w:val="auto"/>
        </w:rPr>
        <w:t>Each Lender and each Issuing Bank acknowledges that it has, independently and without reliance upon the Administrative Agent, any Joint Bookrunner, any Joint Lead Arranger or any other Lender or any Issuing Bank, or any of the Related Parties of any of the foregoing, and based on such documents and information as it has deemed appropriate, made its own credit analysis and decision to enter into this Agreement. Each Lender also acknowledges that it will, independently and without reliance upon the Administrative Agent, any Joint Bookrunner, any Joint Lead Arranger or any other Lender or any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7"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Each Lender, by delivering its signature page to this Agreement and funding its Loans on the Effective Date, or delivering its signature page to an Assignment and Assumption or Incremental Facility Amendment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87"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 xml:space="preserve">Except with respect to the exercise of setoff rights of any Lender in accordance with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or with respect to a Lender’s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Loan Document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Secured Obligations, to have agreed to the provisions of this Article,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9.17</w:t>
      </w:r>
      <w:r>
        <w:rPr>
          <w:rFonts w:ascii="Arial" w:cs="Arial" w:eastAsia="Arial" w:hAnsi="Arial"/>
          <w:sz w:val="17"/>
          <w:szCs w:val="17"/>
          <w:color w:val="auto"/>
        </w:rPr>
        <w:t>.</w:t>
      </w:r>
    </w:p>
    <w:p>
      <w:pPr>
        <w:spacing w:after="0" w:line="179" w:lineRule="exact"/>
        <w:rPr>
          <w:sz w:val="20"/>
          <w:szCs w:val="20"/>
          <w:color w:val="auto"/>
        </w:rPr>
      </w:pPr>
    </w:p>
    <w:p>
      <w:pPr>
        <w:jc w:val="both"/>
        <w:ind w:right="20" w:firstLine="440"/>
        <w:spacing w:after="0" w:line="275" w:lineRule="auto"/>
        <w:rPr>
          <w:sz w:val="20"/>
          <w:szCs w:val="20"/>
          <w:color w:val="auto"/>
        </w:rPr>
      </w:pPr>
      <w:r>
        <w:rPr>
          <w:rFonts w:ascii="Arial" w:cs="Arial" w:eastAsia="Arial" w:hAnsi="Arial"/>
          <w:sz w:val="17"/>
          <w:szCs w:val="17"/>
          <w:color w:val="auto"/>
        </w:rPr>
        <w:t>In furtherance of the foregoing and not in limitation thereof, no Swap Agreement or Cash Management Services the obligations under or in respect of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Swap Agreement or a provider of such Cash Management Services shall be deemed to have appointed the Administrative Agent and the Collateral Agent to serve as administrative agent and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20"/>
          </w:cols>
          <w:pgMar w:left="440" w:top="274" w:right="439" w:bottom="1440" w:gutter="0" w:footer="0" w:header="0"/>
        </w:sectPr>
      </w:pPr>
    </w:p>
    <w:bookmarkStart w:id="230" w:name="page231"/>
    <w:bookmarkEnd w:id="230"/>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collateral agent under the Loan Documents and agreed to be bound by the Loan Documents as a Secured Party thereunder, subject to the limitations set forth in this paragraph.</w:t>
      </w:r>
    </w:p>
    <w:p>
      <w:pPr>
        <w:spacing w:after="0" w:line="170" w:lineRule="exact"/>
        <w:rPr>
          <w:sz w:val="20"/>
          <w:szCs w:val="20"/>
          <w:color w:val="auto"/>
        </w:rPr>
      </w:pPr>
    </w:p>
    <w:p>
      <w:pPr>
        <w:jc w:val="both"/>
        <w:ind w:firstLine="440"/>
        <w:spacing w:after="0" w:line="275" w:lineRule="auto"/>
        <w:rPr>
          <w:sz w:val="20"/>
          <w:szCs w:val="20"/>
          <w:color w:val="auto"/>
        </w:rPr>
      </w:pPr>
      <w:r>
        <w:rPr>
          <w:rFonts w:ascii="Arial" w:cs="Arial" w:eastAsia="Arial" w:hAnsi="Arial"/>
          <w:sz w:val="17"/>
          <w:szCs w:val="17"/>
          <w:color w:val="auto"/>
        </w:rPr>
        <w:t xml:space="preserve">Each of the Lenders, Issuing Banks and other Secured Parties irrevocably authorizes and directs the Administrative Agent and the Collateral Agent to, and the Administrative Agent and Collateral Agent, as applicable, shall (a) release and terminate, or to confirm or evidence any automatic release and termination of, any Guarantees and Liens created under the Loan Documents as provided in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or in any other Security Document and (b) subordinate, at the request of the Borrower, any Lien on any property granted to or held by the Collateral Agent under any Security Document to the holder of any Lien on such property that is permitted by </w:t>
      </w:r>
      <w:r>
        <w:rPr>
          <w:rFonts w:ascii="Arial" w:cs="Arial" w:eastAsia="Arial" w:hAnsi="Arial"/>
          <w:sz w:val="17"/>
          <w:szCs w:val="17"/>
          <w:u w:val="single" w:color="auto"/>
          <w:color w:val="auto"/>
        </w:rPr>
        <w:t>Section 6.02(iv)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6.02(xxii)</w:t>
      </w:r>
      <w:r>
        <w:rPr>
          <w:rFonts w:ascii="Arial" w:cs="Arial" w:eastAsia="Arial" w:hAnsi="Arial"/>
          <w:sz w:val="17"/>
          <w:szCs w:val="17"/>
          <w:color w:val="auto"/>
        </w:rPr>
        <w:t>.</w:t>
      </w:r>
    </w:p>
    <w:p>
      <w:pPr>
        <w:spacing w:after="0" w:line="176"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49" w:lineRule="exact"/>
        <w:rPr>
          <w:sz w:val="20"/>
          <w:szCs w:val="20"/>
          <w:color w:val="auto"/>
        </w:rPr>
      </w:pPr>
    </w:p>
    <w:p>
      <w:pPr>
        <w:jc w:val="both"/>
        <w:ind w:right="20" w:firstLine="436"/>
        <w:spacing w:after="0" w:line="259" w:lineRule="auto"/>
        <w:tabs>
          <w:tab w:leader="none" w:pos="699"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Exposure and all other Secured Obligations that are owing and unpaid and to file such other documents as may be necessary or advisable in order to have the claims of the Lenders, the Issuing Banks and the Administrative Agent (including any claim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9.03</w:t>
      </w:r>
      <w:r>
        <w:rPr>
          <w:rFonts w:ascii="Arial" w:cs="Arial" w:eastAsia="Arial" w:hAnsi="Arial"/>
          <w:sz w:val="18"/>
          <w:szCs w:val="18"/>
          <w:color w:val="auto"/>
        </w:rPr>
        <w:t>) allowed in such judicial proceeding; and</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w:t>
      </w:r>
      <w:r>
        <w:rPr>
          <w:rFonts w:ascii="Arial" w:cs="Arial" w:eastAsia="Arial" w:hAnsi="Arial"/>
          <w:sz w:val="16"/>
          <w:szCs w:val="16"/>
          <w:u w:val="single" w:color="auto"/>
          <w:color w:val="auto"/>
        </w:rPr>
        <w:t>Section 9.03</w:t>
      </w:r>
      <w:r>
        <w:rPr>
          <w:rFonts w:ascii="Arial" w:cs="Arial" w:eastAsia="Arial" w:hAnsi="Arial"/>
          <w:sz w:val="16"/>
          <w:szCs w:val="16"/>
          <w:color w:val="auto"/>
        </w:rPr>
        <w:t>).</w:t>
      </w:r>
    </w:p>
    <w:p>
      <w:pPr>
        <w:spacing w:after="0" w:line="157"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 xml:space="preserve">Notwithstanding anything herein to the contrary, neither any Joint Bookrunner nor any Person named on the cover page of this Agreement as a Joint Lead Arranger, Joint Bookrunner, Documentation Agent or a Syndication Agent shall have any duties or obligations under this Agreement or any other Loan Document (except in its capacity, as applicable, as a Lender or an Issuing Bank), but all such Persons shall have the benefit of the indemnities provided for hereunder, including under </w:t>
      </w:r>
      <w:r>
        <w:rPr>
          <w:rFonts w:ascii="Arial" w:cs="Arial" w:eastAsia="Arial" w:hAnsi="Arial"/>
          <w:sz w:val="18"/>
          <w:szCs w:val="18"/>
          <w:u w:val="single" w:color="auto"/>
          <w:color w:val="auto"/>
        </w:rPr>
        <w:t>Section 9.03</w:t>
      </w:r>
      <w:r>
        <w:rPr>
          <w:rFonts w:ascii="Arial" w:cs="Arial" w:eastAsia="Arial" w:hAnsi="Arial"/>
          <w:sz w:val="18"/>
          <w:szCs w:val="18"/>
          <w:color w:val="auto"/>
        </w:rPr>
        <w:t>, fully as if named as an indemnitee or indemnified person therein and irrespective of whether the indemnified losses, claims, damages, liabilities and/or related expenses arise out of, in connection with or as a result of matters arising prior to, on or after the effective date of any Loan Document.</w:t>
      </w:r>
    </w:p>
    <w:p>
      <w:pPr>
        <w:spacing w:after="0" w:line="192" w:lineRule="exact"/>
        <w:rPr>
          <w:sz w:val="20"/>
          <w:szCs w:val="20"/>
          <w:color w:val="auto"/>
        </w:rPr>
      </w:pPr>
    </w:p>
    <w:p>
      <w:pPr>
        <w:jc w:val="both"/>
        <w:ind w:firstLine="440"/>
        <w:spacing w:after="0" w:line="275" w:lineRule="auto"/>
        <w:rPr>
          <w:sz w:val="20"/>
          <w:szCs w:val="20"/>
          <w:color w:val="auto"/>
        </w:rPr>
      </w:pPr>
      <w:r>
        <w:rPr>
          <w:rFonts w:ascii="Arial" w:cs="Arial" w:eastAsia="Arial" w:hAnsi="Arial"/>
          <w:sz w:val="17"/>
          <w:szCs w:val="17"/>
          <w:color w:val="auto"/>
        </w:rPr>
        <w:t xml:space="preserve">To the extent required by any applicable Requirements of Law, the Administrative Agent may withhold from any payment to any Lender an amount equivalent to any applicable withholding Tax. Without limiting or expanding the provisions of </w:t>
      </w:r>
      <w:r>
        <w:rPr>
          <w:rFonts w:ascii="Arial" w:cs="Arial" w:eastAsia="Arial" w:hAnsi="Arial"/>
          <w:sz w:val="17"/>
          <w:szCs w:val="17"/>
          <w:u w:val="single" w:color="auto"/>
          <w:color w:val="auto"/>
        </w:rPr>
        <w:t>Section 2.17</w:t>
      </w:r>
      <w:r>
        <w:rPr>
          <w:rFonts w:ascii="Arial" w:cs="Arial" w:eastAsia="Arial" w:hAnsi="Arial"/>
          <w:sz w:val="17"/>
          <w:szCs w:val="17"/>
          <w:color w:val="auto"/>
        </w:rPr>
        <w:t>, each Lender shall indemnify the Administrative Agent against, and shall make payable in respect thereof within 30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20"/>
          </w:cols>
          <w:pgMar w:left="440" w:top="274" w:right="439" w:bottom="1440" w:gutter="0" w:footer="0" w:header="0"/>
        </w:sectPr>
      </w:pPr>
    </w:p>
    <w:bookmarkStart w:id="231" w:name="page232"/>
    <w:bookmarkEnd w:id="231"/>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or because such Lender’s failure to comply with the provisions of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relating to the maintenance of a Participant Register), but in each case only to the extent that any Loan Party has not already indemnified the Administrative Agent for such amounts and without limiting the obligation of the Loan Parties to do so.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and the repayment, satisfaction or discharge of all other obligations under any Loan Document.</w:t>
      </w:r>
    </w:p>
    <w:p>
      <w:pPr>
        <w:spacing w:after="0" w:line="18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Each Lender and other Secured Party hereby appoints the Administrative Agent and Collateral Agent to act as its agent under and in connection with the relevant Security Documents and the Intercreditor Agreements.</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 xml:space="preserve">All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applicable to the Administrative Agent shall apply to the Collateral Agent and the Collateral Agent shall be entitled to all the benefits and indemnities applicable to the Administrative Agent under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e-mail or other electronic transmission, as follows:</w:t>
      </w:r>
    </w:p>
    <w:p>
      <w:pPr>
        <w:spacing w:after="0" w:line="76" w:lineRule="exact"/>
        <w:rPr>
          <w:sz w:val="20"/>
          <w:szCs w:val="20"/>
          <w:color w:val="auto"/>
        </w:rPr>
      </w:pPr>
    </w:p>
    <w:p>
      <w:pPr>
        <w:jc w:val="both"/>
        <w:ind w:firstLine="436"/>
        <w:spacing w:after="0" w:line="279" w:lineRule="auto"/>
        <w:tabs>
          <w:tab w:leader="none" w:pos="736"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If to Holdings or the Borrower, to, Norvax, LLC, 214 West Huron Street, Chicago, IL 60654, Attention: General Counsel, Email: BBurd@gohealth.com, with copies to, which such copies shall not constitute notice, (i) Centerbridge Partners, L.P., 375 Park Avenue, 12th Floor, New York, NY 10152, Attention: Heather Lamberton, Email: hlamberton@centerbridge.com or legalnotices@centerbridge.com and Simpson Thacher &amp; Bartlett, LLP, 425 Lexington Avenue, Floor 26, New York, NY 10017, Attention: Brian M. Steinhardt, Email: bsteinhardt@stblaw.com;</w:t>
      </w:r>
    </w:p>
    <w:p>
      <w:pPr>
        <w:spacing w:after="0" w:line="63" w:lineRule="exact"/>
        <w:rPr>
          <w:rFonts w:ascii="Arial" w:cs="Arial" w:eastAsia="Arial" w:hAnsi="Arial"/>
          <w:sz w:val="17"/>
          <w:szCs w:val="17"/>
          <w:color w:val="auto"/>
        </w:rPr>
      </w:pPr>
    </w:p>
    <w:p>
      <w:pPr>
        <w:ind w:left="700" w:hanging="264"/>
        <w:spacing w:after="0"/>
        <w:tabs>
          <w:tab w:leader="none" w:pos="70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If to the Administrative Agent, Owl Rock Capital Corporation, 399 Park Avenue, 38</w:t>
      </w:r>
      <w:r>
        <w:rPr>
          <w:rFonts w:ascii="Arial" w:cs="Arial" w:eastAsia="Arial" w:hAnsi="Arial"/>
          <w:sz w:val="14"/>
          <w:szCs w:val="14"/>
          <w:color w:val="auto"/>
        </w:rPr>
        <w:t>th</w:t>
      </w:r>
      <w:r>
        <w:rPr>
          <w:rFonts w:ascii="Arial" w:cs="Arial" w:eastAsia="Arial" w:hAnsi="Arial"/>
          <w:sz w:val="17"/>
          <w:szCs w:val="17"/>
          <w:color w:val="auto"/>
        </w:rPr>
        <w:t xml:space="preserve"> Floor, New York, NY 10022, Attention: Bryan Cole,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Email: accounting@owlrock.com and adminagent@owlrock.com, with a copy to, which such copy shall not constitute notice, Latham &amp; Watkins LLP,</w:t>
      </w:r>
    </w:p>
    <w:p>
      <w:pPr>
        <w:spacing w:after="0" w:line="3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355 South Grand Avenue, Suite 100, Los Angeles, CA 90071, Attention: Josh Holt, Email: josh.holt@lw.com;</w:t>
      </w:r>
    </w:p>
    <w:p>
      <w:pPr>
        <w:spacing w:after="0" w:line="102" w:lineRule="exact"/>
        <w:rPr>
          <w:rFonts w:ascii="Arial" w:cs="Arial" w:eastAsia="Arial" w:hAnsi="Arial"/>
          <w:sz w:val="17"/>
          <w:szCs w:val="17"/>
          <w:color w:val="auto"/>
        </w:rPr>
      </w:pPr>
    </w:p>
    <w:p>
      <w:pPr>
        <w:jc w:val="both"/>
        <w:ind w:right="20" w:firstLine="436"/>
        <w:spacing w:after="0" w:line="263" w:lineRule="auto"/>
        <w:tabs>
          <w:tab w:leader="none" w:pos="7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 to any Issuing Bank, to it at its address (or fax number or email address) most recently specified by it in a notice delivered to the Administrative Agent and the Borrower (or, in the absence of any such notice, to the address (or fax number or email address) set forth in the Administrative Questionnaire of the Lender that is serving as such Issuing Bank or is an Affiliate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20"/>
          </w:cols>
          <w:pgMar w:left="440" w:top="274" w:right="439" w:bottom="1440" w:gutter="0" w:footer="0" w:header="0"/>
        </w:sectPr>
      </w:pPr>
    </w:p>
    <w:bookmarkStart w:id="232" w:name="page233"/>
    <w:bookmarkEnd w:id="232"/>
    <w:p>
      <w:pPr>
        <w:jc w:val="both"/>
        <w:ind w:right="20" w:firstLine="436"/>
        <w:spacing w:after="0" w:line="263" w:lineRule="auto"/>
        <w:tabs>
          <w:tab w:leader="none" w:pos="719" w:val="left"/>
        </w:tabs>
        <w:numPr>
          <w:ilvl w:val="0"/>
          <w:numId w:val="2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Swingline Lender, to it at its address (or fax number or email address) most recently specified by it in a notice delivered to the Administrative Agent and the Borrower (or, in the absence of any such notice, to the address (or fax number or email address) set forth in the Administrative Questionnaire of the Lender that is serving as the Swingline Lender or is an Affiliate thereof); and</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if to any other Lender, to it at its address (or fax number or email address) set forth in its Administrative Questionnaire.</w:t>
      </w:r>
    </w:p>
    <w:p>
      <w:pPr>
        <w:spacing w:after="0" w:line="117"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fax or other electronic transmission shall be deemed to have been given when sent (except that, if not given during normal business hours for the recipient, shall be deemed to have been given at the opening of business on the next Business Day for the recipient).</w:t>
      </w:r>
    </w:p>
    <w:p>
      <w:pPr>
        <w:spacing w:after="0" w:line="79" w:lineRule="exact"/>
        <w:rPr>
          <w:sz w:val="20"/>
          <w:szCs w:val="20"/>
          <w:color w:val="auto"/>
        </w:rPr>
      </w:pPr>
    </w:p>
    <w:p>
      <w:pPr>
        <w:jc w:val="both"/>
        <w:ind w:right="20" w:firstLine="440"/>
        <w:spacing w:after="0" w:line="291" w:lineRule="auto"/>
        <w:rPr>
          <w:sz w:val="20"/>
          <w:szCs w:val="20"/>
          <w:color w:val="auto"/>
        </w:rPr>
      </w:pPr>
      <w:r>
        <w:rPr>
          <w:rFonts w:ascii="Arial" w:cs="Arial" w:eastAsia="Arial" w:hAnsi="Arial"/>
          <w:sz w:val="16"/>
          <w:szCs w:val="16"/>
          <w:color w:val="auto"/>
        </w:rPr>
        <w:t xml:space="preserve">Holdings and the Borrower may change their address, email or facsimile number for notices and other communications hereunder by notice to the Administrative Agent, the Administrative Agent may change its address, email or facsimile number for notices and other communications hereunder by notice to Holdings and the Borrower and the Lenders may change their address, email or facsimile number for notices and other communications hereunder by notice to the Administrative Agent. Notices and other communications to the Lenders and the Issuing Banks hereunder may also be delivered or furnished by electronic transmission (including email and Internet or intranet websites) pursuant to procedures reasonably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Issuing Bank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Issuing Bank, as applicable, has notified the Administrative Agent that it is incapable of receiving notices under such Article by electronic transmission.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88" w:lineRule="auto"/>
        <w:tabs>
          <w:tab w:leader="none" w:pos="69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in any case shall entitle the Borrower to any other or further notice or demand in similar or other circumstances.</w:t>
      </w:r>
    </w:p>
    <w:p>
      <w:pPr>
        <w:spacing w:after="0" w:line="60" w:lineRule="exact"/>
        <w:rPr>
          <w:rFonts w:ascii="Arial" w:cs="Arial" w:eastAsia="Arial" w:hAnsi="Arial"/>
          <w:sz w:val="16"/>
          <w:szCs w:val="16"/>
          <w:color w:val="auto"/>
        </w:rPr>
      </w:pPr>
    </w:p>
    <w:p>
      <w:pPr>
        <w:jc w:val="both"/>
        <w:ind w:right="20" w:firstLine="436"/>
        <w:spacing w:after="0" w:line="257" w:lineRule="auto"/>
        <w:tabs>
          <w:tab w:leader="none" w:pos="73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Except as otherwise set forth in this Agreement, including as provided in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with respect to any Incremental Facilities and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with respect to any Loan Modification Agreement, neither any Loan Document nor any provision thereof may be waived, amended or modified except, in the case of this Agreement, pursuant to an agreement or agreements in writing entered into by Holdings, the Borrower and the Required Lenders (with a copy to the Administrative Agent) or, in the case of any other Loan Document, pursuant to an agreement or agreements in writing entered into by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20"/>
          </w:cols>
          <w:pgMar w:left="440" w:top="274" w:right="439" w:bottom="1440" w:gutter="0" w:footer="0" w:header="0"/>
        </w:sectPr>
      </w:pPr>
    </w:p>
    <w:bookmarkStart w:id="233" w:name="page234"/>
    <w:bookmarkEnd w:id="233"/>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and the Loan Party or Loan Parties that are party thereto, in each case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w:t>
      </w:r>
    </w:p>
    <w:p>
      <w:pPr>
        <w:spacing w:after="0" w:line="62" w:lineRule="exact"/>
        <w:rPr>
          <w:sz w:val="20"/>
          <w:szCs w:val="20"/>
          <w:color w:val="auto"/>
        </w:rPr>
      </w:pPr>
    </w:p>
    <w:p>
      <w:pPr>
        <w:ind w:left="1080" w:hanging="221"/>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without the written consent of each Lender directly and adversely affected thereby:</w:t>
      </w:r>
    </w:p>
    <w:p>
      <w:pPr>
        <w:spacing w:after="0" w:line="117" w:lineRule="exact"/>
        <w:rPr>
          <w:rFonts w:ascii="Arial" w:cs="Arial" w:eastAsia="Arial" w:hAnsi="Arial"/>
          <w:sz w:val="18"/>
          <w:szCs w:val="18"/>
          <w:color w:val="auto"/>
        </w:rPr>
      </w:pPr>
    </w:p>
    <w:p>
      <w:pPr>
        <w:jc w:val="both"/>
        <w:ind w:left="980" w:right="20" w:firstLine="408"/>
        <w:spacing w:after="0" w:line="263" w:lineRule="auto"/>
        <w:tabs>
          <w:tab w:leader="none" w:pos="1676" w:val="left"/>
        </w:tabs>
        <w:numPr>
          <w:ilvl w:val="1"/>
          <w:numId w:val="287"/>
        </w:numPr>
        <w:rPr>
          <w:rFonts w:ascii="Arial" w:cs="Arial" w:eastAsia="Arial" w:hAnsi="Arial"/>
          <w:sz w:val="18"/>
          <w:szCs w:val="18"/>
          <w:color w:val="auto"/>
        </w:rPr>
      </w:pPr>
      <w:r>
        <w:rPr>
          <w:rFonts w:ascii="Arial" w:cs="Arial" w:eastAsia="Arial" w:hAnsi="Arial"/>
          <w:sz w:val="18"/>
          <w:szCs w:val="18"/>
          <w:color w:val="auto"/>
        </w:rPr>
        <w:t xml:space="preserve">increase the Commitment of any Lender (it being understood that a waiver of any condition precedent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the waiver of any Default, Event of Default, mandatory prepayment or mandatory reduction of the Commitments shall not constitute an extension or increase of any Commitment of any Lender),</w:t>
      </w:r>
    </w:p>
    <w:p>
      <w:pPr>
        <w:spacing w:after="0" w:line="75" w:lineRule="exact"/>
        <w:rPr>
          <w:rFonts w:ascii="Arial" w:cs="Arial" w:eastAsia="Arial" w:hAnsi="Arial"/>
          <w:sz w:val="18"/>
          <w:szCs w:val="18"/>
          <w:color w:val="auto"/>
        </w:rPr>
      </w:pPr>
    </w:p>
    <w:p>
      <w:pPr>
        <w:jc w:val="both"/>
        <w:ind w:left="980" w:firstLine="408"/>
        <w:spacing w:after="0" w:line="273" w:lineRule="auto"/>
        <w:tabs>
          <w:tab w:leader="none" w:pos="1670" w:val="left"/>
        </w:tabs>
        <w:numPr>
          <w:ilvl w:val="1"/>
          <w:numId w:val="287"/>
        </w:numPr>
        <w:rPr>
          <w:rFonts w:ascii="Arial" w:cs="Arial" w:eastAsia="Arial" w:hAnsi="Arial"/>
          <w:sz w:val="17"/>
          <w:szCs w:val="17"/>
          <w:color w:val="auto"/>
        </w:rPr>
      </w:pPr>
      <w:r>
        <w:rPr>
          <w:rFonts w:ascii="Arial" w:cs="Arial" w:eastAsia="Arial" w:hAnsi="Arial"/>
          <w:sz w:val="17"/>
          <w:szCs w:val="17"/>
          <w:color w:val="auto"/>
        </w:rPr>
        <w:t xml:space="preserve">reduce or forgive any portion of the principal amount of any Loan or LC Disbursement (it being understood that a waiver of any Default, Event of Default, mandatory prepayment or mandatory reduction of the Commitments shall not constitute a reduction in principal) or reduce the rate of interest thereon or forgive any interest thereon, or reduce or forgive any fees payable hereunder (it being understood that any change to the definition of any ratio used in the calculation of the interest rate or fees therein or in the component definitions thereof shall not constitute a reduction or forgiveness of interest or fees),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the consent of the Required Lenders shall be necessary to waive any obligation of the Borrower to pay default interest pursuant to </w:t>
      </w:r>
      <w:r>
        <w:rPr>
          <w:rFonts w:ascii="Arial" w:cs="Arial" w:eastAsia="Arial" w:hAnsi="Arial"/>
          <w:sz w:val="17"/>
          <w:szCs w:val="17"/>
          <w:u w:val="single" w:color="auto"/>
          <w:color w:val="auto"/>
        </w:rPr>
        <w:t>Section 2.13(d)</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jc w:val="both"/>
        <w:ind w:left="980" w:right="20" w:firstLine="408"/>
        <w:spacing w:after="0" w:line="257" w:lineRule="auto"/>
        <w:tabs>
          <w:tab w:leader="none" w:pos="1686" w:val="left"/>
        </w:tabs>
        <w:numPr>
          <w:ilvl w:val="1"/>
          <w:numId w:val="287"/>
        </w:numPr>
        <w:rPr>
          <w:rFonts w:ascii="Arial" w:cs="Arial" w:eastAsia="Arial" w:hAnsi="Arial"/>
          <w:sz w:val="18"/>
          <w:szCs w:val="18"/>
          <w:color w:val="auto"/>
        </w:rPr>
      </w:pPr>
      <w:r>
        <w:rPr>
          <w:rFonts w:ascii="Arial" w:cs="Arial" w:eastAsia="Arial" w:hAnsi="Arial"/>
          <w:sz w:val="18"/>
          <w:szCs w:val="18"/>
          <w:color w:val="auto"/>
        </w:rPr>
        <w:t xml:space="preserve">postpone the final maturity date of any Loan (it being understood that a waiver of any Default, Event of Default, mandatory prepayment or mandatory reduction of the Commitments shall not constitute a postponement of any maturity date), or the date of any scheduled amortization payment of the principal amount of any Loan under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or the applicable Incremental Facility Amendment, or the reimbursement date with respect to any LC Disbursement, or any date for the payment of any interest or fees payable hereunder, or postpone the scheduled date of expiration of any Commitment;</w:t>
      </w:r>
    </w:p>
    <w:p>
      <w:pPr>
        <w:spacing w:after="0" w:line="79" w:lineRule="exact"/>
        <w:rPr>
          <w:rFonts w:ascii="Arial" w:cs="Arial" w:eastAsia="Arial" w:hAnsi="Arial"/>
          <w:sz w:val="18"/>
          <w:szCs w:val="18"/>
          <w:color w:val="auto"/>
        </w:rPr>
      </w:pPr>
    </w:p>
    <w:p>
      <w:pPr>
        <w:ind w:left="980" w:right="20" w:firstLine="408"/>
        <w:spacing w:after="0" w:line="277" w:lineRule="auto"/>
        <w:tabs>
          <w:tab w:leader="none" w:pos="1689" w:val="left"/>
        </w:tabs>
        <w:numPr>
          <w:ilvl w:val="1"/>
          <w:numId w:val="287"/>
        </w:numPr>
        <w:rPr>
          <w:rFonts w:ascii="Arial" w:cs="Arial" w:eastAsia="Arial" w:hAnsi="Arial"/>
          <w:sz w:val="18"/>
          <w:szCs w:val="18"/>
          <w:color w:val="auto"/>
        </w:rPr>
      </w:pPr>
      <w:r>
        <w:rPr>
          <w:rFonts w:ascii="Arial" w:cs="Arial" w:eastAsia="Arial" w:hAnsi="Arial"/>
          <w:sz w:val="18"/>
          <w:szCs w:val="18"/>
          <w:color w:val="auto"/>
        </w:rPr>
        <w:t xml:space="preserve">waive, amend or modify (i)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(ii)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Collateral Agreement in a manner that would by its terms alter the order of application of proceeds; or</w:t>
      </w:r>
    </w:p>
    <w:p>
      <w:pPr>
        <w:spacing w:after="0" w:line="62" w:lineRule="exact"/>
        <w:rPr>
          <w:rFonts w:ascii="Arial" w:cs="Arial" w:eastAsia="Arial" w:hAnsi="Arial"/>
          <w:sz w:val="18"/>
          <w:szCs w:val="18"/>
          <w:color w:val="auto"/>
        </w:rPr>
      </w:pPr>
    </w:p>
    <w:p>
      <w:pPr>
        <w:ind w:left="980" w:right="20" w:firstLine="408"/>
        <w:spacing w:after="0" w:line="277" w:lineRule="auto"/>
        <w:tabs>
          <w:tab w:leader="none" w:pos="167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 xml:space="preserve">waive, amend or modify any provision of </w:t>
      </w:r>
      <w:r>
        <w:rPr>
          <w:rFonts w:ascii="Arial" w:cs="Arial" w:eastAsia="Arial" w:hAnsi="Arial"/>
          <w:sz w:val="18"/>
          <w:szCs w:val="18"/>
          <w:u w:val="single" w:color="auto"/>
          <w:color w:val="auto"/>
        </w:rPr>
        <w:t>Section 2.11(e)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2.11(f), Section 2.11(g)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in any manner that would alter the pro rata sharing of payments or other amounts required thereby,</w:t>
      </w:r>
    </w:p>
    <w:p>
      <w:pPr>
        <w:spacing w:after="0" w:line="170"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amendment, modification or waiver contemplated in clause (i) above shall only require the consent of the Lenders directly and adversely affected thereby and not the Required Lenders or any other Majority in Interest of Lenders of any Class of Loans or Commitments,</w:t>
      </w:r>
    </w:p>
    <w:p>
      <w:pPr>
        <w:spacing w:after="0" w:line="38" w:lineRule="exact"/>
        <w:rPr>
          <w:sz w:val="20"/>
          <w:szCs w:val="20"/>
          <w:color w:val="auto"/>
        </w:rPr>
      </w:pPr>
    </w:p>
    <w:p>
      <w:pPr>
        <w:jc w:val="both"/>
        <w:ind w:left="440" w:right="20" w:firstLine="419"/>
        <w:spacing w:after="0" w:line="263" w:lineRule="auto"/>
        <w:tabs>
          <w:tab w:leader="none" w:pos="113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reduce the percentages set forth in the definition of “Required Lenders” or consent to the assignment or transfer by the Borrower of its rights and obligations under any Loan Document to which it is a party (except as permitted by </w:t>
      </w:r>
      <w:r>
        <w:rPr>
          <w:rFonts w:ascii="Arial" w:cs="Arial" w:eastAsia="Arial" w:hAnsi="Arial"/>
          <w:sz w:val="18"/>
          <w:szCs w:val="18"/>
          <w:u w:val="single" w:color="auto"/>
          <w:color w:val="auto"/>
        </w:rPr>
        <w:t>Section 6.03</w:t>
      </w:r>
      <w:r>
        <w:rPr>
          <w:rFonts w:ascii="Arial" w:cs="Arial" w:eastAsia="Arial" w:hAnsi="Arial"/>
          <w:sz w:val="18"/>
          <w:szCs w:val="18"/>
          <w:color w:val="auto"/>
        </w:rPr>
        <w:t>), in each case, without the written consent of each Lender,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20"/>
          </w:cols>
          <w:pgMar w:left="440" w:top="274" w:right="439" w:bottom="1440" w:gutter="0" w:footer="0" w:header="0"/>
        </w:sectPr>
      </w:pPr>
    </w:p>
    <w:bookmarkStart w:id="234" w:name="page235"/>
    <w:bookmarkEnd w:id="234"/>
    <w:p>
      <w:pPr>
        <w:ind w:left="440" w:right="20" w:firstLine="419"/>
        <w:spacing w:after="0" w:line="277" w:lineRule="auto"/>
        <w:tabs>
          <w:tab w:leader="none" w:pos="11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reduce the percentages specified in the definition of “Required Revolving Lenders” or in the definition of “Majority in Interest” without the written consent of each Revolving Lender or each Lender of the applicable Class,</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8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release all or substantially all the value of the Guarantees under the Guarantee Agreement (except as expressly provided in the Loan Documents), without the written consent of each Lender,</w:t>
      </w:r>
    </w:p>
    <w:p>
      <w:pPr>
        <w:spacing w:after="0" w:line="62" w:lineRule="exact"/>
        <w:rPr>
          <w:rFonts w:ascii="Arial" w:cs="Arial" w:eastAsia="Arial" w:hAnsi="Arial"/>
          <w:sz w:val="18"/>
          <w:szCs w:val="18"/>
          <w:color w:val="auto"/>
        </w:rPr>
      </w:pPr>
    </w:p>
    <w:p>
      <w:pPr>
        <w:ind w:left="440" w:firstLine="419"/>
        <w:spacing w:after="0" w:line="277" w:lineRule="auto"/>
        <w:tabs>
          <w:tab w:leader="none" w:pos="112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the Collateral securing the Secured Obligations pursuant to the Security Documents, (except as expressly provided in the Loan Documents) without the written consent of each Lender, </w:t>
      </w:r>
      <w:r>
        <w:rPr>
          <w:rFonts w:ascii="Arial" w:cs="Arial" w:eastAsia="Arial" w:hAnsi="Arial"/>
          <w:sz w:val="18"/>
          <w:szCs w:val="18"/>
          <w:color w:val="FF4338"/>
          <w:strike w:val="1"/>
        </w:rPr>
        <w:t>and</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28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amend, waive or otherwise modify this Section 9.02, without the written consent of each Lender,</w:t>
      </w:r>
    </w:p>
    <w:p>
      <w:pPr>
        <w:spacing w:after="0" w:line="117" w:lineRule="exact"/>
        <w:rPr>
          <w:rFonts w:ascii="Arial" w:cs="Arial" w:eastAsia="Arial" w:hAnsi="Arial"/>
          <w:sz w:val="18"/>
          <w:szCs w:val="18"/>
          <w:u w:val="single" w:color="auto"/>
          <w:color w:val="0000FF"/>
        </w:rPr>
      </w:pPr>
    </w:p>
    <w:p>
      <w:pPr>
        <w:jc w:val="both"/>
        <w:ind w:left="440" w:firstLine="419"/>
        <w:spacing w:after="0" w:line="271" w:lineRule="auto"/>
        <w:tabs>
          <w:tab w:leader="none" w:pos="1218" w:val="left"/>
        </w:tabs>
        <w:numPr>
          <w:ilvl w:val="0"/>
          <w:numId w:val="289"/>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amend, waive or otherwise modify any term or provision to subordinate (x) the Lien securing the Secured Obligations to any other Lien securing any other Indebtedness or (y) any of the Secured Obligations in right of payment (including pursuant to any “waterfall” provision) to any other Indebtedness, in each case, without the written consent of each Lender directly and adversely affected thereby; provided that only those Lenders that have not been provided a reasonable opportunity to receive the most favorable treatment under or in connection with an amendment, waiver, supplement or other agreement described in this clause (vii) (other than the right to receive customary administrative agency and other similar fees) that is provided to any other Person, including the opportunity to participate on a pro rata basis on the same terms in any new loans or other Indebtedness permitted to be issued as a result of such amendment, waiver, modification or other agreement, shall be deemed to be directly and adversely affected by such amendment, waiver or modification,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-1171575</wp:posOffset>
            </wp:positionV>
            <wp:extent cx="46202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-965835</wp:posOffset>
            </wp:positionV>
            <wp:extent cx="643763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-828675</wp:posOffset>
            </wp:positionV>
            <wp:extent cx="670369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-691515</wp:posOffset>
            </wp:positionV>
            <wp:extent cx="671195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-554355</wp:posOffset>
            </wp:positionV>
            <wp:extent cx="670369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-417195</wp:posOffset>
            </wp:positionV>
            <wp:extent cx="671195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-280035</wp:posOffset>
            </wp:positionV>
            <wp:extent cx="670369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-142875</wp:posOffset>
            </wp:positionV>
            <wp:extent cx="670369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-5715</wp:posOffset>
            </wp:positionV>
            <wp:extent cx="329184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0" w:lineRule="exact"/>
        <w:rPr>
          <w:sz w:val="20"/>
          <w:szCs w:val="20"/>
          <w:color w:val="auto"/>
        </w:rPr>
      </w:pPr>
    </w:p>
    <w:p>
      <w:pPr>
        <w:ind w:left="440" w:right="2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4338"/>
          <w:strike w:val="1"/>
        </w:rPr>
        <w:t>vi</w:t>
      </w:r>
      <w:r>
        <w:rPr>
          <w:rFonts w:ascii="Arial" w:cs="Arial" w:eastAsia="Arial" w:hAnsi="Arial"/>
          <w:sz w:val="17"/>
          <w:szCs w:val="17"/>
          <w:u w:val="single" w:color="auto"/>
          <w:color w:val="0000FF"/>
        </w:rPr>
        <w:t>viii</w:t>
      </w:r>
      <w:r>
        <w:rPr>
          <w:rFonts w:ascii="Arial" w:cs="Arial" w:eastAsia="Arial" w:hAnsi="Arial"/>
          <w:sz w:val="17"/>
          <w:szCs w:val="17"/>
          <w:color w:val="auto"/>
        </w:rPr>
        <w:t>) amend, modify or otherwise affect the rights or duties of the Administrative Agent or any Issuing Bank or the Swingline Lender without the prior written consent of the Administrative Agent or such Issuing Bank or the Swingline Lender,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-163195</wp:posOffset>
            </wp:positionV>
            <wp:extent cx="15430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8" w:lineRule="exact"/>
        <w:rPr>
          <w:sz w:val="20"/>
          <w:szCs w:val="20"/>
          <w:color w:val="auto"/>
        </w:rPr>
      </w:pPr>
    </w:p>
    <w:p>
      <w:pPr>
        <w:jc w:val="both"/>
        <w:ind w:firstLine="991"/>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the Borrower and the requisite percentage in interest of the affected Class of Lenders that would be required to consent thereto under this Section if such Class of Lenders were the only Class of Lenders hereunder at the time, (B) this Agreement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to the extent such credit facilities are secured by Liens on the Collateral on an equal priority basis (but without regard to control of remedies) with the Liens on the Collateral securing the Secured Obligations, to share ratably in prepayments with such Loans) and (ii) to include appropriately the Lenders holding such credit facilities in any determination of the Required Lenders on substantially the same basis as the Lenders prior to such inclusion, (C) this Agreement and other Loan Documents may be amended or supplemented by an agreement or agreements in writing entered into by the Administrative Agent and the Borrower or any other Loan Party to which such agreement or agreements is to apply, without the need to obtain the consent of any Lender, to include “parallel debt” or similar provisions, and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20"/>
          </w:cols>
          <w:pgMar w:left="440" w:top="274" w:right="439" w:bottom="1440" w:gutter="0" w:footer="0" w:header="0"/>
        </w:sectPr>
      </w:pPr>
    </w:p>
    <w:bookmarkStart w:id="235" w:name="page236"/>
    <w:bookmarkEnd w:id="235"/>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authorizations or granting of powers by the Lenders and the other Secured Parties in favor of the Administrative Agent, in each case required to create in favor of the Administrative Agent any security interest contemplated to be created under this Agreement, or to perfect any such security interest, where the Administrative Agent shall have been advised by its counsel that such provisions are necessary or advisable under local law for such purpose (with the Borrower hereby agreeing to, and to cause its subsidiaries to, enter into any such agreement or agreements upon reasonable request of the Administrative Agent promptly upon such request), (D) upon notice thereof by the Borrower to the Administrative Agent with respect to the inclusion of any previously absent covenant or other provision, this Agreement shall be amended by an agreement in writing entered into by the Borrower and the Administrative Agent without the need to obtain the consent of any Lender to include such covenant or other provision on the date of the incurrence of the applicable Indebtedness to the extent required by the terms of such definition or section and (E) the Borrower and the Administrative Agent may, without the input or consent of the other Lenders, effect changes to this Agreement that are necessary and appropriate to provide the amendments contemplated by each of Section 1.04(c) (so long as the Lenders shall have received prior written notice of such amendment).</w:t>
      </w:r>
    </w:p>
    <w:p>
      <w:pPr>
        <w:spacing w:after="0" w:line="60" w:lineRule="exact"/>
        <w:rPr>
          <w:sz w:val="20"/>
          <w:szCs w:val="20"/>
          <w:color w:val="auto"/>
        </w:rPr>
      </w:pPr>
    </w:p>
    <w:p>
      <w:pPr>
        <w:jc w:val="both"/>
        <w:ind w:right="20" w:firstLine="991"/>
        <w:spacing w:after="0" w:line="254" w:lineRule="auto"/>
        <w:rPr>
          <w:sz w:val="20"/>
          <w:szCs w:val="20"/>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9.02</w:t>
      </w:r>
      <w:r>
        <w:rPr>
          <w:rFonts w:ascii="Arial" w:cs="Arial" w:eastAsia="Arial" w:hAnsi="Arial"/>
          <w:sz w:val="18"/>
          <w:szCs w:val="18"/>
          <w:color w:val="auto"/>
        </w:rPr>
        <w:t>, this Agreement, the Loan Documents and any guarantees, collateral security documents and related documents executed by Restricted Subsidiaries in connection with this Agreement may be in a form reasonably determined by the Administrative Agent and may be, together with this Agreement, amended, supplemented and waived with the consent of the Administrative Agent at the request of the Borrower without the need to obtain the consent of any Lender if such amendment, supplement or waiver is delivered in order (i) to comply with local Requirements of Law or advice of local counsel, (ii) to cure ambiguities inconsistencies, omissions, errors, mistakes or defects or (iii) to cause such guarantee, collateral security document or other document to be consistent with this Agreement and the other Loan Documents.</w:t>
      </w:r>
    </w:p>
    <w:p>
      <w:pPr>
        <w:spacing w:after="0" w:line="87" w:lineRule="exact"/>
        <w:rPr>
          <w:sz w:val="20"/>
          <w:szCs w:val="20"/>
          <w:color w:val="auto"/>
        </w:rPr>
      </w:pPr>
    </w:p>
    <w:p>
      <w:pPr>
        <w:jc w:val="both"/>
        <w:ind w:firstLine="436"/>
        <w:spacing w:after="0" w:line="267" w:lineRule="auto"/>
        <w:tabs>
          <w:tab w:leader="none" w:pos="691" w:val="left"/>
        </w:tabs>
        <w:numPr>
          <w:ilvl w:val="0"/>
          <w:numId w:val="290"/>
        </w:numPr>
        <w:rPr>
          <w:rFonts w:ascii="Arial" w:cs="Arial" w:eastAsia="Arial" w:hAnsi="Arial"/>
          <w:sz w:val="17"/>
          <w:szCs w:val="17"/>
          <w:color w:val="auto"/>
        </w:rPr>
      </w:pPr>
      <w:r>
        <w:rPr>
          <w:rFonts w:ascii="Arial" w:cs="Arial" w:eastAsia="Arial" w:hAnsi="Arial"/>
          <w:sz w:val="17"/>
          <w:szCs w:val="17"/>
          <w:color w:val="auto"/>
        </w:rPr>
        <w:t>In connection with any proposed amendment, modification, waiver or termination (a “</w:t>
      </w:r>
      <w:r>
        <w:rPr>
          <w:rFonts w:ascii="Arial" w:cs="Arial" w:eastAsia="Arial" w:hAnsi="Arial"/>
          <w:sz w:val="17"/>
          <w:szCs w:val="17"/>
          <w:u w:val="single" w:color="auto"/>
          <w:color w:val="auto"/>
        </w:rPr>
        <w:t>Proposed Change</w:t>
      </w:r>
      <w:r>
        <w:rPr>
          <w:rFonts w:ascii="Arial" w:cs="Arial" w:eastAsia="Arial" w:hAnsi="Arial"/>
          <w:sz w:val="17"/>
          <w:szCs w:val="17"/>
          <w:color w:val="auto"/>
        </w:rPr>
        <w:t>”) requiring the consent of all Lenders (or all Lenders of a Class) or all directly and adversely affected Lenders (or all directly and adversely affected Lenders of a Class), if the consent of the Required Lenders (or a Majority in Interest of the applicable Class) to such Proposed Change is obtained, but the consent to such Proposed Change of other Lenders whose consent is required is not obtained (any such Lender whose consent is not obtained as described in paragraph (b) of this Section being referred to as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then, so long as the Administrative Agent is not a Non-Consenting Lender, the Borrower may, at their sole expense and effort, upon notice to such Non-Consenting Lender and the Administrative Agent, (x) terminate the applicable Commitments of such Lender, and repay all obligations of the Borrower owing to such Lender relating to the applicable Loans and participations held by such Lender as of such termination date or (y) require such Non-Consenting Lender to assign and delegate, without recourse (in accordance with and subject to the restrictions contained in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the case of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above, the Borrower shall have received the prior written consent of the Administrative Agent to the extent such consent would be required under </w:t>
      </w:r>
      <w:r>
        <w:rPr>
          <w:rFonts w:ascii="Arial" w:cs="Arial" w:eastAsia="Arial" w:hAnsi="Arial"/>
          <w:sz w:val="17"/>
          <w:szCs w:val="17"/>
          <w:u w:val="single" w:color="auto"/>
          <w:color w:val="auto"/>
        </w:rPr>
        <w:t>Section 9.04(b)</w:t>
      </w:r>
      <w:r>
        <w:rPr>
          <w:rFonts w:ascii="Arial" w:cs="Arial" w:eastAsia="Arial" w:hAnsi="Arial"/>
          <w:sz w:val="17"/>
          <w:szCs w:val="17"/>
          <w:color w:val="auto"/>
        </w:rPr>
        <w:t xml:space="preserve"> for an assignment of Loans or Commitments, as applicable (and, if a Revolving Commitment is being assigned, each Issuing Bank and the Swingline Lender), which consent shall not unreasonably be withheld, (b) such Non-Consenting Lender shall have received payment of an amount equal to the outstanding principal of its Loans and participations in LC Disbursements and Swingline Loans, accrued interest thereon, accrued fees and all other amounts (including any amounts under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payable to it hereunder from the Borrower or Eligible Assignee (to the extent of such outstanding principal and accrued interest and fees) or the Borrower (in the case of all other amounts) and (c) in the case of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above, unless waived, the Borrower or such Eligible Assignee shall have paid to the Administrative Agent the processing and recordation fee specified in </w:t>
      </w:r>
      <w:r>
        <w:rPr>
          <w:rFonts w:ascii="Arial" w:cs="Arial" w:eastAsia="Arial" w:hAnsi="Arial"/>
          <w:sz w:val="17"/>
          <w:szCs w:val="17"/>
          <w:u w:val="single" w:color="auto"/>
          <w:color w:val="auto"/>
        </w:rPr>
        <w:t>Section 9.04(b)(ii)</w:t>
      </w:r>
      <w:r>
        <w:rPr>
          <w:rFonts w:ascii="Arial" w:cs="Arial" w:eastAsia="Arial" w:hAnsi="Arial"/>
          <w:sz w:val="17"/>
          <w:szCs w:val="17"/>
          <w:color w:val="auto"/>
        </w:rPr>
        <w:t>. Notwithstanding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20"/>
          </w:cols>
          <w:pgMar w:left="440" w:top="274" w:right="439" w:bottom="1440" w:gutter="0" w:footer="0" w:header="0"/>
        </w:sectPr>
      </w:pPr>
    </w:p>
    <w:bookmarkStart w:id="236" w:name="page237"/>
    <w:bookmarkEnd w:id="236"/>
    <w:p>
      <w:pPr>
        <w:jc w:val="both"/>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anything herein to the contrary, each party hereto agrees that any assignment pursuant to the terms of this </w:t>
      </w:r>
      <w:r>
        <w:rPr>
          <w:rFonts w:ascii="Arial" w:cs="Arial" w:eastAsia="Arial" w:hAnsi="Arial"/>
          <w:sz w:val="18"/>
          <w:szCs w:val="18"/>
          <w:u w:val="single" w:color="auto"/>
          <w:color w:val="auto"/>
        </w:rPr>
        <w:t>Section 9.02(c)</w:t>
      </w:r>
      <w:r>
        <w:rPr>
          <w:rFonts w:ascii="Arial" w:cs="Arial" w:eastAsia="Arial" w:hAnsi="Arial"/>
          <w:sz w:val="18"/>
          <w:szCs w:val="18"/>
          <w:color w:val="auto"/>
        </w:rPr>
        <w:t xml:space="preserve"> may be effected pursuant to an Assignment and Assumption executed by Holdings, the Borrower, the Administrative Agent and the assignee and that the Non-Consenting Lender making such assignment need not be a party thereto.</w:t>
      </w:r>
    </w:p>
    <w:p>
      <w:pPr>
        <w:spacing w:after="0" w:line="76" w:lineRule="exact"/>
        <w:rPr>
          <w:sz w:val="20"/>
          <w:szCs w:val="20"/>
          <w:color w:val="auto"/>
        </w:rPr>
      </w:pPr>
    </w:p>
    <w:p>
      <w:pPr>
        <w:jc w:val="both"/>
        <w:ind w:left="4" w:firstLine="436"/>
        <w:spacing w:after="0" w:line="284" w:lineRule="auto"/>
        <w:tabs>
          <w:tab w:leader="none" w:pos="723" w:val="left"/>
        </w:tabs>
        <w:numPr>
          <w:ilvl w:val="1"/>
          <w:numId w:val="291"/>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or the other Loan Documents to the contrary, the Revolving Commitments, Term Loans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or the Required Lenders have taken or may take any action hereunder (including any consent to any amendment or waiver pursuant to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waiver, amendment or modification requiring the consent of all Lenders (or all Lenders of a Class) or all affected Lenders (or all affected Lenders of a Class) that affects any Defaulting Lender more adversely than other affected Lenders shall require the consent of such Defaulting Lender.</w:t>
      </w:r>
    </w:p>
    <w:p>
      <w:pPr>
        <w:spacing w:after="0" w:line="4" w:lineRule="exact"/>
        <w:rPr>
          <w:rFonts w:ascii="Arial" w:cs="Arial" w:eastAsia="Arial" w:hAnsi="Arial"/>
          <w:sz w:val="16"/>
          <w:szCs w:val="16"/>
          <w:color w:val="auto"/>
        </w:rPr>
      </w:pPr>
    </w:p>
    <w:p>
      <w:pPr>
        <w:ind w:left="424" w:hanging="424"/>
        <w:spacing w:after="0"/>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[Reserved].</w:t>
      </w:r>
    </w:p>
    <w:p>
      <w:pPr>
        <w:spacing w:after="0" w:line="102" w:lineRule="exact"/>
        <w:rPr>
          <w:rFonts w:ascii="Arial" w:cs="Arial" w:eastAsia="Arial" w:hAnsi="Arial"/>
          <w:sz w:val="18"/>
          <w:szCs w:val="18"/>
          <w:color w:val="auto"/>
        </w:rPr>
      </w:pPr>
    </w:p>
    <w:p>
      <w:pPr>
        <w:jc w:val="both"/>
        <w:ind w:left="4" w:firstLine="436"/>
        <w:spacing w:after="0" w:line="284" w:lineRule="auto"/>
        <w:tabs>
          <w:tab w:leader="none" w:pos="669" w:val="left"/>
        </w:tabs>
        <w:numPr>
          <w:ilvl w:val="1"/>
          <w:numId w:val="292"/>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to the contrary, (i) technical and conforming modifications to the Loan Documents may be made with the consent of the Borrower and the Administrative Agent (and no other Person) to the extent necessary (A) to integrate any Incremental Facilities, Other Revolving Loans or Other Term Loans, (B) to integrate or make administrative modifications with respect to borrowing and issuances of Letters of Credit, (C) to integrate any terms or conditions from any Incremental Facility Amendment that are more restrictive than this Agreement in accordance with </w:t>
      </w:r>
      <w:r>
        <w:rPr>
          <w:rFonts w:ascii="Arial" w:cs="Arial" w:eastAsia="Arial" w:hAnsi="Arial"/>
          <w:sz w:val="16"/>
          <w:szCs w:val="16"/>
          <w:u w:val="single" w:color="auto"/>
          <w:color w:val="auto"/>
        </w:rPr>
        <w:t>Section 2.20(f)</w:t>
      </w:r>
      <w:r>
        <w:rPr>
          <w:rFonts w:ascii="Arial" w:cs="Arial" w:eastAsia="Arial" w:hAnsi="Arial"/>
          <w:sz w:val="16"/>
          <w:szCs w:val="16"/>
          <w:color w:val="auto"/>
        </w:rPr>
        <w:t xml:space="preserve"> and (D) to make any amendments permitted by </w:t>
      </w:r>
      <w:r>
        <w:rPr>
          <w:rFonts w:ascii="Arial" w:cs="Arial" w:eastAsia="Arial" w:hAnsi="Arial"/>
          <w:sz w:val="16"/>
          <w:szCs w:val="16"/>
          <w:u w:val="single" w:color="auto"/>
          <w:color w:val="auto"/>
        </w:rPr>
        <w:t>Section 2.14(b)</w:t>
      </w:r>
      <w:r>
        <w:rPr>
          <w:rFonts w:ascii="Arial" w:cs="Arial" w:eastAsia="Arial" w:hAnsi="Arial"/>
          <w:sz w:val="16"/>
          <w:szCs w:val="16"/>
          <w:color w:val="auto"/>
        </w:rPr>
        <w:t xml:space="preserve"> (iii) without the consent of any Lender or Issuing Bank, the Loan Parties and the Administrative Agent, the Collateral Agent or any collateral agent may (in their respective sole discretion, or shall, to the extent required by any Loan Document) enter into (x)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applicable Intercreditor Agreement, in each case with the holders of Indebtedness permitted by this Agreement to be secured by Liens on the Collateral. Without limitation of the foregoing, the Administrative Agent and the Borrower may, without the consent of any Lenders, (I) increase the interest rates (including any interest rate margins or interest rate floors), fees and other amounts payable to any Class or Classes of Lenders hereunder, (II) increase, expand and/or extend the call protection provisions and any “most favored nation” provisions benefiting any Class or Classes of Lenders hereunder (including, for the avoidance of doubt, the provisions of </w:t>
      </w:r>
      <w:r>
        <w:rPr>
          <w:rFonts w:ascii="Arial" w:cs="Arial" w:eastAsia="Arial" w:hAnsi="Arial"/>
          <w:sz w:val="16"/>
          <w:szCs w:val="16"/>
          <w:u w:val="single" w:color="auto"/>
          <w:color w:val="auto"/>
        </w:rPr>
        <w:t>Sections 2.11(a)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2.20(b)</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hereof) and/or (III) modify any other provision hereunder or under any other Loan Document in a manner more favorable to the then-existing Lenders or Class or Classes of Lenders, in each case in connection with the incurrence of any Incremental Facilities or other Indebtedness permitted hereunder, where the terms of any such Incremental Facilities or other Indebtedness are more favorable to the lenders thereof than the corresponding terms applicable to other Loans or Commitments then existing hereunder, and it is intended that one or more then-existing Classes of Loans or Commitments under this Agreement share in the benefit of such more favorable terms in order to comply with the provisions hereof relating to the incurrence of such Incremental Facilities or other Indebtedness. In addition, the Administrative Agent and the Borrower may, in connection with any increase to or refinancing of any Term Facility, enter into such modifications or amendments to this Agreement as shall be necessary to ensure the Initial Term Loans, 2020 Incremental Term Loans, 2021 Incremental Term Loans and/or 2021-</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24"/>
          </w:cols>
          <w:pgMar w:left="436" w:top="274" w:right="439" w:bottom="1440" w:gutter="0" w:footer="0" w:header="0"/>
        </w:sectPr>
      </w:pPr>
    </w:p>
    <w:bookmarkStart w:id="237" w:name="page238"/>
    <w:bookmarkEnd w:id="23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Incremental Term Loans, as applicable, are held by Lenders in the same relative portions as immediately prior to such increase or refinancing.</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85" w:lineRule="auto"/>
        <w:tabs>
          <w:tab w:leader="none" w:pos="7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The Borrower shall pay, if the Effective Date occurs, (i) all reasonable and documented or invoiced out of pocket expenses incurred by the Agents, the Joint Lead Arrangers, the Joint Bookrunners, and their respective Affiliates (without duplication), including the reasonable fees, charges and disbursements of Latham &amp; Watkins LLP and to the extent reasonably determined by the Administrative Agent to be necessary one local counsel in each applicable jurisdiction and of such other counsel retained with the Borrower’s consent (such consent not to be unreasonably withheld or delayed), in each case for the Agents, the Joint Lead Arrangers and the Joint Bookrunners in connection with the structuring, arrangement or syndication of the credit facilities provided for herein, the preparation, execution, delivery or administration of the Loan Documents or any amendments, modifications or waivers of the provisions thereof </w:t>
      </w:r>
      <w:r>
        <w:rPr>
          <w:rFonts w:ascii="Arial" w:cs="Arial" w:eastAsia="Arial" w:hAnsi="Arial"/>
          <w:sz w:val="16"/>
          <w:szCs w:val="16"/>
          <w:color w:val="FF4338"/>
        </w:rPr>
        <w:t>and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(ii) all reasonable and documented or invoiced out-of-pocket expenses incurred by the Agents, the Joint Lead Arrangers and their respective Affiliates, including the reasonable and documented or invoiced fees, charges and disbursements of counsel for the Agents and of such other counsel retained with the Borrower’s consent (such consent not to be unreasonably withheld or delayed) in connection with the enforcement or protection of their rights in connection with the Loan Documents, including their rights under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counsel shall be limited to one counsel for the Agents, taken as a whole, such other counsel retained with the Borrower’s consent (such consent not to be unreasonably withheld or delayed) and, if necessary, (x) one local counsel in each applicable jurisdiction (which may include a single firm of special counsel acting in multiple jurisdictions) and (y) a single firm of regulatory counsel</w:t>
      </w:r>
      <w:r>
        <w:rPr>
          <w:rFonts w:ascii="Arial" w:cs="Arial" w:eastAsia="Arial" w:hAnsi="Arial"/>
          <w:sz w:val="16"/>
          <w:szCs w:val="16"/>
          <w:color w:val="FF4338"/>
          <w:strike w:val="1"/>
        </w:rPr>
        <w:t>.</w:t>
      </w:r>
      <w:r>
        <w:rPr>
          <w:rFonts w:ascii="Arial" w:cs="Arial" w:eastAsia="Arial" w:hAnsi="Arial"/>
          <w:sz w:val="16"/>
          <w:szCs w:val="16"/>
          <w:u w:val="single" w:color="auto"/>
          <w:color w:val="0000FF"/>
        </w:rPr>
        <w:t>, and (iii) to the extent Golub Capital Markets LLC has not been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appointed as Administrative Agent within 45 days after the Amendment No. 7 Effective Date, all reasonable and documented or invoiced out-of-pocket expenses incurred by Golub Capital LLC and its Affiliates, including the reasonable and documented or invoiced fees, charges and disbursements of counsel for Golub Capital LLC and its Affiliates in connection with the enforcement or protection of their rights in connection with the Loan Documents, including their rights under this Section; provided that such counsel shall be limited to one firm or counsel, such other counsel retained with the Borrower’s consent (such consent not to be unreasonably withheld or delayed) and, if necessary, (x) one firm or local counsel in each applicable jurisdiction (which may include a single firm of special counsel acting in multiple jurisdictions) and (y) a single firm of regulatory counsel.</w:t>
      </w:r>
    </w:p>
    <w:p>
      <w:pPr>
        <w:spacing w:after="0" w:line="60" w:lineRule="exact"/>
        <w:rPr>
          <w:rFonts w:ascii="Arial" w:cs="Arial" w:eastAsia="Arial" w:hAnsi="Arial"/>
          <w:sz w:val="16"/>
          <w:szCs w:val="16"/>
          <w:color w:val="auto"/>
        </w:rPr>
      </w:pPr>
    </w:p>
    <w:p>
      <w:pPr>
        <w:jc w:val="both"/>
        <w:ind w:firstLine="436"/>
        <w:spacing w:after="0" w:line="287" w:lineRule="auto"/>
        <w:tabs>
          <w:tab w:leader="none" w:pos="73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the Swingline Lender, any Issuing Bank, the Joint Lead Arrangers, the Joint Bookrunners, each other Agent, each Lender and each Related Party of any of the foregoing Persons (each such Person being called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w:t>
      </w:r>
      <w:r>
        <w:rPr>
          <w:rFonts w:ascii="Arial" w:cs="Arial" w:eastAsia="Arial" w:hAnsi="Arial"/>
          <w:sz w:val="16"/>
          <w:szCs w:val="16"/>
          <w:color w:val="auto"/>
        </w:rPr>
        <w:t>”) against, and hold each Indemnified Person harmless from, any and all losses, claims, damages and liabilities (collectively, the “</w:t>
      </w:r>
      <w:r>
        <w:rPr>
          <w:rFonts w:ascii="Arial" w:cs="Arial" w:eastAsia="Arial" w:hAnsi="Arial"/>
          <w:sz w:val="16"/>
          <w:szCs w:val="16"/>
          <w:u w:val="single" w:color="auto"/>
          <w:color w:val="auto"/>
        </w:rPr>
        <w:t>Losses</w:t>
      </w:r>
      <w:r>
        <w:rPr>
          <w:rFonts w:ascii="Arial" w:cs="Arial" w:eastAsia="Arial" w:hAnsi="Arial"/>
          <w:sz w:val="16"/>
          <w:szCs w:val="16"/>
          <w:color w:val="auto"/>
        </w:rPr>
        <w:t>”) of any kind or nature, and subject to the limitations set forth below, with respect to legal fees and expenses, the reasonable and documented or invoiced out-of-pocket fees and expenses, joint or several, to which any of the Indemnified Persons becomes subject, in each case to the extent of any such Losses and related expenses to the extent arising out of, resulting from, or in connection with any action, claim, litigation, investigation or other proceeding relating to (i) any Loan or Commitment, the Transactions or the execution, delivery, enforcement, performance and administration of this Agreement, the other Loan Documents and any such other documents or the use of the proceeds of the Loans or Letters of Credit or (ii) the structuring, arrangement or syndication of the credit facilities provided for herein, the preparation, execution, delivery or administration of this Agreement and the other Loan Documents or any other agreement or instrument contemplated hereby or thereby or any amendments, modifications or waivers of, or enforcement of, the provisions hereof or thereof, the performance by the parties to the Loan Documents of their respective obligations hereunder or thereunder and the consummation of the Transactions or any other transactions contemplated hereby or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-3449955</wp:posOffset>
            </wp:positionV>
            <wp:extent cx="20193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0193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-3372485</wp:posOffset>
            </wp:positionV>
            <wp:extent cx="2540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-2549525</wp:posOffset>
            </wp:positionV>
            <wp:extent cx="306006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060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-2412365</wp:posOffset>
            </wp:positionV>
            <wp:extent cx="69951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-2275205</wp:posOffset>
            </wp:positionV>
            <wp:extent cx="69951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-2138045</wp:posOffset>
            </wp:positionV>
            <wp:extent cx="698627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-2000885</wp:posOffset>
            </wp:positionV>
            <wp:extent cx="69951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-1863725</wp:posOffset>
            </wp:positionV>
            <wp:extent cx="69862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-1726565</wp:posOffset>
            </wp:positionV>
            <wp:extent cx="636079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020"/>
          </w:cols>
          <w:pgMar w:left="440" w:top="274" w:right="439" w:bottom="1440" w:gutter="0" w:footer="0" w:header="0"/>
        </w:sectPr>
      </w:pPr>
    </w:p>
    <w:bookmarkStart w:id="238" w:name="page239"/>
    <w:bookmarkEnd w:id="238"/>
    <w:p>
      <w:pPr>
        <w:jc w:val="both"/>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any inquiry or investigation of the foregoing (any of the foregoing,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(regardless of whether such Indemnified Person is a party thereto or whether or not such Proceeding was brought by the Borrower, its equity holders, Affiliates or creditors or any other third person) and shall reimburse each such Indemnified Person promptly for any reasonable and documented or invoiced out-of-pocket fees and expenses incurred in connection with investigating, responding to or defending any of the foregoing (which in the case of legal fees shall be limited to the reasonable and documented or invoiced out-of-pocket fees, expenses, disbursements and other charges of a single firm of counsel for all Indemnified Parties, taken as a whole and, to the extent necessary, (x) a single firm of local counsel in each appropriate local jurisdiction (which may include a single firm of special counsel acting in multiple jurisdictions) and (y) a single firm of regulatory counsel for all Indemnified Persons taken as a whole (and, solely in the case of an actual or perceived conflict of interest where the Indemnified Person affected by such conflict notifies the Borrower of any existence of such conflict and in connection with the investigating, responding to or defending any of the foregoing has retained its own counsel, of one other firm of primary, local or regulatory counsel (as applicable) for such affected Indemnified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indemnity will not, as to any Indemnified Person, apply to Losses or related expenses to the extent that they have resulted from (i) the willful misconduct, bad faith or gross negligence of such Indemnified Person or any of such Indemnified Person’s Related Parties (as determined by a court of competent jurisdiction in a final and non-appealable decision), (ii) a material breach of the obligations under the Loan Documents by, any Indemnified Person or its Related Parties (as determined by a court of competent jurisdiction in a final and non-appealable decision) or (iii) any Proceeding that does not arise from any act or omission by Holdings, the Borrower or any Related Party and that is brought by any Indemnified Person against another Indemnified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the Joint Lead Arrangers, the Joint Lead Bookrunners and the other Agents, to the extent fulfilling their respective roles as an agent or arranger hereunder and in their capacities as such, shall remain indemnified in respect of such a Proceeding, to the extent that none of the exceptions set forth in any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(ii) of the immediately preceding proviso apply to such Person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1947545</wp:posOffset>
            </wp:positionH>
            <wp:positionV relativeFrom="paragraph">
              <wp:posOffset>-44450</wp:posOffset>
            </wp:positionV>
            <wp:extent cx="16827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43" w:lineRule="exact"/>
        <w:rPr>
          <w:sz w:val="20"/>
          <w:szCs w:val="20"/>
          <w:color w:val="auto"/>
        </w:rPr>
      </w:pPr>
    </w:p>
    <w:p>
      <w:pPr>
        <w:jc w:val="both"/>
        <w:ind w:left="4" w:right="20" w:firstLine="436"/>
        <w:spacing w:after="0" w:line="287" w:lineRule="auto"/>
        <w:tabs>
          <w:tab w:leader="none" w:pos="697" w:val="left"/>
        </w:tabs>
        <w:numPr>
          <w:ilvl w:val="1"/>
          <w:numId w:val="294"/>
        </w:numPr>
        <w:rPr>
          <w:rFonts w:ascii="Arial" w:cs="Arial" w:eastAsia="Arial" w:hAnsi="Arial"/>
          <w:sz w:val="16"/>
          <w:szCs w:val="16"/>
          <w:color w:val="auto"/>
        </w:rPr>
      </w:pPr>
      <w:r>
        <w:rPr>
          <w:rFonts w:ascii="Arial" w:cs="Arial" w:eastAsia="Arial" w:hAnsi="Arial"/>
          <w:sz w:val="16"/>
          <w:szCs w:val="16"/>
          <w:color w:val="auto"/>
        </w:rPr>
        <w:t xml:space="preserve">To the extent that Holdings or the Borrower fails to pay any amount required to be paid by it to the Administrative Agent or any other Agent (or any sub-agent thereof), the Swingline Lender, any Issuing Bank, the Joint Lead Arrangers or the Joint Bookrunners, or any Related Party of the Administrative Agent, the Swingline Lender, any Issuing Bank, the Joint Lead Arrangers, the Joint Bookrunners or any other Agent under </w:t>
      </w:r>
      <w:r>
        <w:rPr>
          <w:rFonts w:ascii="Arial" w:cs="Arial" w:eastAsia="Arial" w:hAnsi="Arial"/>
          <w:sz w:val="16"/>
          <w:szCs w:val="16"/>
          <w:u w:val="single" w:color="auto"/>
          <w:color w:val="auto"/>
        </w:rPr>
        <w:t>paragraph</w:t>
      </w:r>
    </w:p>
    <w:p>
      <w:pPr>
        <w:spacing w:after="0" w:line="2" w:lineRule="exact"/>
        <w:rPr>
          <w:rFonts w:ascii="Arial" w:cs="Arial" w:eastAsia="Arial" w:hAnsi="Arial"/>
          <w:sz w:val="16"/>
          <w:szCs w:val="16"/>
          <w:color w:val="auto"/>
        </w:rPr>
      </w:pPr>
    </w:p>
    <w:p>
      <w:pPr>
        <w:jc w:val="both"/>
        <w:ind w:left="4" w:right="20" w:hanging="4"/>
        <w:spacing w:after="0" w:line="286" w:lineRule="auto"/>
        <w:tabs>
          <w:tab w:leader="none" w:pos="249" w:val="left"/>
        </w:tabs>
        <w:numPr>
          <w:ilvl w:val="0"/>
          <w:numId w:val="295"/>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and without limiting Holdings’ or the Borrower’s obligation to do so, each Lender severally agrees to pay to the Administrative Agent or any other Agent (or any sub-agent thereof), the Swingline Lender, such Issuing Bank, the Joint Lead Arrangers or the Joint Bookrunners or such Related Party, as the case may be, such Lender’s pro rata share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other Agent (or any sub-agent thereof), the Swingline Lender, such Issuing Bank, the Joint Lead Arrangers or the Joint Bookrunners, or against any Related Party of the Administrative Agent acting for the Administrative Agent, the Swingline Lender, such Issuing Bank, the Joint Lead Arrangers or the Joint Bookrunners in connection with such capacity. For purposes hereof, a Lender’s “pro rata share” shall be determined based upon its share of the aggregate Revolving Exposures, outstanding Loans and unused Commitments at the time. The obligations of the Lenders under this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are subject to the last sentence of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(which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to the Lenders’ obligations under this </w:t>
      </w:r>
      <w:r>
        <w:rPr>
          <w:rFonts w:ascii="Arial" w:cs="Arial" w:eastAsia="Arial" w:hAnsi="Arial"/>
          <w:sz w:val="16"/>
          <w:szCs w:val="16"/>
          <w:u w:val="single" w:color="auto"/>
          <w:color w:val="auto"/>
        </w:rPr>
        <w:t>paragraph (c)</w:t>
      </w:r>
      <w:r>
        <w:rPr>
          <w:rFonts w:ascii="Arial" w:cs="Arial" w:eastAsia="Arial" w:hAnsi="Arial"/>
          <w:sz w:val="16"/>
          <w:szCs w:val="16"/>
          <w:color w:val="auto"/>
        </w:rPr>
        <w:t>).</w:t>
      </w:r>
    </w:p>
    <w:p>
      <w:pPr>
        <w:spacing w:after="0" w:line="61" w:lineRule="exact"/>
        <w:rPr>
          <w:rFonts w:ascii="Arial" w:cs="Arial" w:eastAsia="Arial" w:hAnsi="Arial"/>
          <w:sz w:val="16"/>
          <w:szCs w:val="16"/>
          <w:u w:val="single" w:color="auto"/>
          <w:color w:val="auto"/>
        </w:rPr>
      </w:pPr>
    </w:p>
    <w:p>
      <w:pPr>
        <w:jc w:val="both"/>
        <w:ind w:left="4" w:right="20" w:firstLine="436"/>
        <w:spacing w:after="0" w:line="263" w:lineRule="auto"/>
        <w:tabs>
          <w:tab w:leader="none" w:pos="71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To the fullest extent permitted by applicable Requirements of Law, (i) neither Holdings nor the Borrower shall assert, or permit any of their Affiliates or Related Parties to assert any claim against any Indemnified Person for any damages arising from the use by others of information or other materials obtained through telecommunications, electronic or other information transmission systems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24"/>
          </w:cols>
          <w:pgMar w:left="436" w:top="274" w:right="439" w:bottom="1440" w:gutter="0" w:footer="0" w:header="0"/>
        </w:sectPr>
      </w:pPr>
    </w:p>
    <w:bookmarkStart w:id="239" w:name="page240"/>
    <w:bookmarkEnd w:id="239"/>
    <w:p>
      <w:pPr>
        <w:jc w:val="both"/>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(including the Internet),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Indemnified Person, be available to the extent that such damages are determined by a court of competent jurisdiction by final, non-appealable judgment to have resulted from the gross negligence or willful misconduct of, or a material breach of the Loan Documents by, such Indemnified Person or its Related Parties and (ii) neither Holdings, the Borrower, or any Indemnified Person shall assert, or permit any of their Affiliates or Related Parties to assert any claim,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w:t>
      </w:r>
    </w:p>
    <w:p>
      <w:pPr>
        <w:spacing w:after="0" w:line="56" w:lineRule="exact"/>
        <w:rPr>
          <w:sz w:val="20"/>
          <w:szCs w:val="20"/>
          <w:color w:val="auto"/>
        </w:rPr>
      </w:pPr>
    </w:p>
    <w:p>
      <w:pPr>
        <w:jc w:val="both"/>
        <w:ind w:left="4" w:right="20" w:firstLine="436"/>
        <w:spacing w:after="0" w:line="257" w:lineRule="auto"/>
        <w:tabs>
          <w:tab w:leader="none" w:pos="69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All amounts due under this Section shall be payable not later than 30 days (x) after written demand therefor, in the case of any indemnification obligations and (y) in the case of reimbursement of costs and expenses, after receipt by the Borrower of an invoice setting forth such costs and expenses in reasonable detail, together with backup documentation supporting the relevant reimbursement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Indemnified Person shall promptly refund or return an indemnification payment received hereunder to the extent that such Indemnified Person was not entitled to indemnification with respect to such payment pursuant to this </w:t>
      </w:r>
      <w:r>
        <w:rPr>
          <w:rFonts w:ascii="Arial" w:cs="Arial" w:eastAsia="Arial" w:hAnsi="Arial"/>
          <w:sz w:val="18"/>
          <w:szCs w:val="18"/>
          <w:u w:val="single" w:color="auto"/>
          <w:color w:val="auto"/>
        </w:rPr>
        <w:t>Section 9.03</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664" w:hanging="224"/>
        <w:spacing w:after="0"/>
        <w:tabs>
          <w:tab w:leader="none" w:pos="664" w:val="left"/>
        </w:tabs>
        <w:numPr>
          <w:ilvl w:val="0"/>
          <w:numId w:val="296"/>
        </w:numPr>
        <w:rPr>
          <w:rFonts w:ascii="Arial" w:cs="Arial" w:eastAsia="Arial" w:hAnsi="Arial"/>
          <w:sz w:val="16"/>
          <w:szCs w:val="16"/>
          <w:color w:val="auto"/>
        </w:rPr>
      </w:pPr>
      <w:r>
        <w:rPr>
          <w:rFonts w:ascii="Arial" w:cs="Arial" w:eastAsia="Arial" w:hAnsi="Arial"/>
          <w:sz w:val="16"/>
          <w:szCs w:val="16"/>
          <w:color w:val="auto"/>
        </w:rPr>
        <w:t>For the avoidance of doubt, this Section 9.03 shall not apply to Taxes, except any Taxes that represent Losses arising from any non-Tax claims.</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Etc.</w:t>
      </w:r>
    </w:p>
    <w:p>
      <w:pPr>
        <w:spacing w:after="0" w:line="117" w:lineRule="exact"/>
        <w:rPr>
          <w:sz w:val="20"/>
          <w:szCs w:val="20"/>
          <w:color w:val="auto"/>
        </w:rPr>
      </w:pPr>
    </w:p>
    <w:p>
      <w:pPr>
        <w:jc w:val="both"/>
        <w:ind w:left="4" w:right="20" w:firstLine="436"/>
        <w:spacing w:after="0" w:line="289" w:lineRule="auto"/>
        <w:tabs>
          <w:tab w:leader="none" w:pos="713" w:val="left"/>
        </w:tabs>
        <w:numPr>
          <w:ilvl w:val="1"/>
          <w:numId w:val="297"/>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(including any Affiliate of any Issuing Bank that issues any Letter of Credit), except that (i) except as provided in </w:t>
      </w:r>
      <w:r>
        <w:rPr>
          <w:rFonts w:ascii="Arial" w:cs="Arial" w:eastAsia="Arial" w:hAnsi="Arial"/>
          <w:sz w:val="16"/>
          <w:szCs w:val="16"/>
          <w:u w:val="single" w:color="auto"/>
          <w:color w:val="auto"/>
        </w:rPr>
        <w:t>Section 6.03</w:t>
      </w:r>
      <w:r>
        <w:rPr>
          <w:rFonts w:ascii="Arial" w:cs="Arial" w:eastAsia="Arial" w:hAnsi="Arial"/>
          <w:sz w:val="16"/>
          <w:szCs w:val="16"/>
          <w:color w:val="auto"/>
        </w:rPr>
        <w:t>,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sub-agents of the Administrative Agent, the other Agents, any Indemnified Person, the Related Parties of each of the Agents, the Indemnified Persons, the Issuing Banks and the Lenders) any legal or equitable right, remedy or claim under or by reason of this Agreement.</w:t>
      </w:r>
    </w:p>
    <w:p>
      <w:pPr>
        <w:spacing w:after="0" w:line="58" w:lineRule="exact"/>
        <w:rPr>
          <w:rFonts w:ascii="Arial" w:cs="Arial" w:eastAsia="Arial" w:hAnsi="Arial"/>
          <w:sz w:val="16"/>
          <w:szCs w:val="16"/>
          <w:color w:val="auto"/>
        </w:rPr>
      </w:pPr>
    </w:p>
    <w:p>
      <w:pPr>
        <w:jc w:val="both"/>
        <w:ind w:left="4" w:firstLine="436"/>
        <w:spacing w:after="0" w:line="291" w:lineRule="auto"/>
        <w:tabs>
          <w:tab w:leader="none" w:pos="707" w:val="left"/>
        </w:tabs>
        <w:numPr>
          <w:ilvl w:val="1"/>
          <w:numId w:val="297"/>
        </w:numPr>
        <w:rPr>
          <w:rFonts w:ascii="Arial" w:cs="Arial" w:eastAsia="Arial" w:hAnsi="Arial"/>
          <w:sz w:val="16"/>
          <w:szCs w:val="16"/>
          <w:color w:val="auto"/>
        </w:rPr>
      </w:pPr>
      <w:r>
        <w:rPr>
          <w:rFonts w:ascii="Arial" w:cs="Arial" w:eastAsia="Arial" w:hAnsi="Arial"/>
          <w:sz w:val="16"/>
          <w:szCs w:val="16"/>
          <w:color w:val="auto"/>
        </w:rPr>
        <w:t xml:space="preserve">(i) Subject to the conditions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any Lender may assign to one or more Eligible Assignees all or a portion of its rights and obligations under this Agreement (including all or a portion of its Commitment and the Loans at the time owing to it) with the prior written consent of</w:t>
      </w:r>
    </w:p>
    <w:p>
      <w:pPr>
        <w:jc w:val="both"/>
        <w:ind w:left="4" w:hanging="4"/>
        <w:spacing w:after="0" w:line="268" w:lineRule="auto"/>
        <w:tabs>
          <w:tab w:leader="none" w:pos="301" w:val="left"/>
        </w:tabs>
        <w:numPr>
          <w:ilvl w:val="0"/>
          <w:numId w:val="298"/>
        </w:numPr>
        <w:rPr>
          <w:rFonts w:ascii="Arial" w:cs="Arial" w:eastAsia="Arial" w:hAnsi="Arial"/>
          <w:sz w:val="17"/>
          <w:szCs w:val="17"/>
          <w:color w:val="auto"/>
        </w:rPr>
      </w:pPr>
      <w:r>
        <w:rPr>
          <w:rFonts w:ascii="Arial" w:cs="Arial" w:eastAsia="Arial" w:hAnsi="Arial"/>
          <w:sz w:val="17"/>
          <w:szCs w:val="17"/>
          <w:color w:val="auto"/>
        </w:rPr>
        <w:t xml:space="preserve">the Borrower (such consent not to be unreasonably withheld);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Borrower shall be required for an assignment (1) by a Term Lender to any Term Lender or an Affiliate of any Term Lender, (2) by a Term Lender to an Approved Fund of any Term Lender, (3) by a Revolving Lender (I) to any other existing Revolving Lender or (II) to any Person that is an Affiliate of any Revolving Lender provided that such Person is at least as creditworthy as the Revolving Lender assigning its rights and obligations under this Agreement (each such Affiliate, a “</w:t>
      </w:r>
      <w:r>
        <w:rPr>
          <w:rFonts w:ascii="Arial" w:cs="Arial" w:eastAsia="Arial" w:hAnsi="Arial"/>
          <w:sz w:val="17"/>
          <w:szCs w:val="17"/>
          <w:u w:val="single" w:color="auto"/>
          <w:color w:val="auto"/>
        </w:rPr>
        <w:t>Permitted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Revolving Lender Affiliate Transferee</w:t>
      </w:r>
      <w:r>
        <w:rPr>
          <w:rFonts w:ascii="Arial" w:cs="Arial" w:eastAsia="Arial" w:hAnsi="Arial"/>
          <w:sz w:val="17"/>
          <w:szCs w:val="17"/>
          <w:color w:val="auto"/>
        </w:rPr>
        <w:t xml:space="preserve">”) or (4) if an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has occurred and is continuing with respect to the Borrower;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Borrower shall have the right to withhold its consent to any assignment if, in order for such assignment to comply with applicable law, Holdings or the Borrower would be required to obtain the consent of, or make any filing or registration with, any Governmental Authority, (B) the Administrative Agent (such consent not to be unreasonably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24"/>
          </w:cols>
          <w:pgMar w:left="436" w:top="274" w:right="439" w:bottom="1440" w:gutter="0" w:footer="0" w:header="0"/>
        </w:sectPr>
      </w:pPr>
    </w:p>
    <w:bookmarkStart w:id="240" w:name="page241"/>
    <w:bookmarkEnd w:id="240"/>
    <w:p>
      <w:pPr>
        <w:jc w:val="both"/>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Administrative Agent shall be required for an assignment of a Term Loan to an Affiliate or Approved Fund of any Term Lender or of a Revolving Commitment to any other existing Revolving Lender or to any Permitted Revolving Lender Affiliate Transferee and (C) each Issuing Bank and the Swingline Lender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any Issuing Bank or the Swingline Lender shall be required for an assignment of all or any portion of a Term Loan or Initial Term Loan Commitment. Notwithstanding anything in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to the contrary, if any Person the consent of which is required by this paragraph with respect to any assignment of Term Loans has not given the Administrative Agent written notice of its objection to such assignment within 10 Business Days (after receipt of written notice to such Person, such Person shall be deemed to have consented to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that this sentence shall not apply to the Borrower with respect to any assignment of Revolving Commitments and/or Revolving Loans.</w:t>
      </w:r>
    </w:p>
    <w:p>
      <w:pPr>
        <w:spacing w:after="0" w:line="70" w:lineRule="exact"/>
        <w:rPr>
          <w:sz w:val="20"/>
          <w:szCs w:val="20"/>
          <w:color w:val="auto"/>
        </w:rPr>
      </w:pPr>
    </w:p>
    <w:p>
      <w:pPr>
        <w:jc w:val="both"/>
        <w:ind w:left="440" w:firstLine="419"/>
        <w:spacing w:after="0" w:line="284" w:lineRule="auto"/>
        <w:tabs>
          <w:tab w:leader="none" w:pos="1129"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in the case of a Revolving Loan or Revolving Commitment, $1,000,000 (and integral multiples of $1,000,000 in excess thereof) or, in the case of a Term Loan $1,000,000 (and integral multiples of $1,000,000 in excess thereof), unless the Borrower and the Administrative Agent otherwise consent (such consent not to be unreasonably withheld or delayed), (B) each partial assignment shall be made as an assignment of a proportionate part of all the assigning Lender’s rights and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subclause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(which shall include a representation by the assignee that it is not a Disqualified Lender or an Affiliate of a Disqualified Lender (so long as the list of Disqualified Lenders (other than any Person that is a Disqualified Lender pursuant to </w:t>
      </w:r>
      <w:r>
        <w:rPr>
          <w:rFonts w:ascii="Arial" w:cs="Arial" w:eastAsia="Arial" w:hAnsi="Arial"/>
          <w:sz w:val="16"/>
          <w:szCs w:val="16"/>
          <w:u w:val="single" w:color="auto"/>
          <w:color w:val="auto"/>
        </w:rPr>
        <w:t>clause (iii)(y)</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(z)</w:t>
      </w:r>
      <w:r>
        <w:rPr>
          <w:rFonts w:ascii="Arial" w:cs="Arial" w:eastAsia="Arial" w:hAnsi="Arial"/>
          <w:sz w:val="16"/>
          <w:szCs w:val="16"/>
          <w:color w:val="auto"/>
        </w:rPr>
        <w:t xml:space="preserve"> of the definition thereof) has been made available to all Lenders party to such assignment following the reasonable written request therefore with such written request being concurrently delivered to the Borrower)), together (unless waived by the Administrative Agent) with a processing and recordation fee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assignments made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2.24(h)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shall not require the signature of the assigning Lender to become effective;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recordation fee shall not be payable in the case of assignments of Term Loans to or by any Joint Bookrunner or Affiliate thereof in connection with the primary syndication thereof or pursuant to arrangements directly related to such primary syndication contemplated as of the Effective Date, (D) the assignee, if it shall not be a Lender, shall deliver to the Administrative Agent any tax forms required by </w:t>
      </w:r>
      <w:r>
        <w:rPr>
          <w:rFonts w:ascii="Arial" w:cs="Arial" w:eastAsia="Arial" w:hAnsi="Arial"/>
          <w:sz w:val="16"/>
          <w:szCs w:val="16"/>
          <w:u w:val="single" w:color="auto"/>
          <w:color w:val="auto"/>
        </w:rPr>
        <w:t>Section 2.17(e)</w:t>
      </w:r>
      <w:r>
        <w:rPr>
          <w:rFonts w:ascii="Arial" w:cs="Arial" w:eastAsia="Arial" w:hAnsi="Arial"/>
          <w:sz w:val="16"/>
          <w:szCs w:val="16"/>
          <w:color w:val="auto"/>
        </w:rPr>
        <w:t>, all “know your customer” documents requested by the Administrative Agent pursuant to anti-money laundering rules and regulations, including, but not limited to, the USA PATRIOT Act, and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 (E) no assignment of any Loans, Commitments or any obligations in respect of LC Exposure or Swingline Exposure may be made to Holdings, the Borrower or any Subsidiary or Affiliate thereof, and (F) unless the Borrower otherwise consents,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20"/>
          </w:cols>
          <w:pgMar w:left="440" w:top="274" w:right="439" w:bottom="1440" w:gutter="0" w:footer="0" w:header="0"/>
        </w:sectPr>
      </w:pPr>
    </w:p>
    <w:bookmarkStart w:id="241" w:name="page242"/>
    <w:bookmarkEnd w:id="241"/>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assignment of all of the Revolving Commitment of a Lender that is also an Issuing Bank or Swingline Lender may be made unless the assignee shall be or become an Issuing Bank and/or a Swingline Lender, as applicable, and assume a ratable portion of the rights and obligations of such assignor in its capacity as an Issuing Bank and/or a Swingline Lender.</w:t>
      </w:r>
    </w:p>
    <w:p>
      <w:pPr>
        <w:spacing w:after="0" w:line="76" w:lineRule="exact"/>
        <w:rPr>
          <w:sz w:val="20"/>
          <w:szCs w:val="20"/>
          <w:color w:val="auto"/>
        </w:rPr>
      </w:pPr>
    </w:p>
    <w:p>
      <w:pPr>
        <w:jc w:val="both"/>
        <w:ind w:firstLine="419"/>
        <w:spacing w:after="0" w:line="270" w:lineRule="auto"/>
        <w:tabs>
          <w:tab w:leader="none" w:pos="75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 xml:space="preserve">Subject to acceptance and recording thereof pursuant to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of this paragraph (b),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(subject to the obligations and limitations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Section 9.04(c)(i)</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jc w:val="both"/>
        <w:ind w:firstLine="419"/>
        <w:spacing w:after="0" w:line="268" w:lineRule="auto"/>
        <w:tabs>
          <w:tab w:leader="none" w:pos="729" w:val="left"/>
        </w:tabs>
        <w:numPr>
          <w:ilvl w:val="0"/>
          <w:numId w:val="300"/>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and stated interest amounts of the Loans and LC Disbursements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Holdings, the Borrower, the Administrative Agent, each Issuing Bank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Holdings, the Borrower and, solely with respect to its Loans or Commitments, any Lender, at any reasonable time and from time to time upon reasonable prior written notice. Notwithstanding the foregoing, in no event shall the Administrative Agent be obligated to ascertain, monitor or inquire as to whether any Lender is a Disqualified Lender (or affiliates of Disqualified Lenders), nor shall the Administrative Agent be (x) obligated to monitor the aggregate amount of the Loans or Incremental Facilities held by Disqualified Lenders (or affiliates of Disqualified Lenders) or (y) be liable for any assignment to Disqualified Lenders or other assignees in violation of this Credit Agreement.</w:t>
      </w:r>
    </w:p>
    <w:p>
      <w:pPr>
        <w:spacing w:after="0" w:line="78" w:lineRule="exact"/>
        <w:rPr>
          <w:rFonts w:ascii="Arial" w:cs="Arial" w:eastAsia="Arial" w:hAnsi="Arial"/>
          <w:sz w:val="17"/>
          <w:szCs w:val="17"/>
          <w:color w:val="auto"/>
        </w:rPr>
      </w:pPr>
    </w:p>
    <w:p>
      <w:pPr>
        <w:jc w:val="both"/>
        <w:ind w:firstLine="419"/>
        <w:spacing w:after="0" w:line="296" w:lineRule="auto"/>
        <w:tabs>
          <w:tab w:leader="none" w:pos="701"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Upon its receipt of a duly completed Assignment and Assumption executed by an assigning Lender and an assignee, the assignee’s completed Administrative Questionnaire and any tax forms required by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(unless the assignee shall already be a Lender hereunder), the processing and recordation fee referred to in this paragraph (b) and any written consent to such assignment required by this paragraph (b), the Administrative Agent shall accept such Assignment and Assumption and record the information contained therein in the Register. No assignment shall be effective for purposes of this Agreement unless it has been recorded in the Register as provided in this paragraph (b).</w:t>
      </w:r>
    </w:p>
    <w:p>
      <w:pPr>
        <w:spacing w:after="0" w:line="53" w:lineRule="exact"/>
        <w:rPr>
          <w:rFonts w:ascii="Arial" w:cs="Arial" w:eastAsia="Arial" w:hAnsi="Arial"/>
          <w:sz w:val="16"/>
          <w:szCs w:val="16"/>
          <w:color w:val="auto"/>
        </w:rPr>
      </w:pPr>
    </w:p>
    <w:p>
      <w:pPr>
        <w:ind w:right="20" w:firstLine="419"/>
        <w:spacing w:after="0" w:line="277" w:lineRule="auto"/>
        <w:tabs>
          <w:tab w:leader="none" w:pos="73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words “execution,” “signed,” “signature” and words of like import in any Assignment and Assumption shall be deemed to include electronic signatures or the keeping of</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0580"/>
          </w:cols>
          <w:pgMar w:left="880" w:top="274" w:right="439" w:bottom="1440" w:gutter="0" w:footer="0" w:header="0"/>
        </w:sectPr>
      </w:pPr>
    </w:p>
    <w:bookmarkStart w:id="242" w:name="page243"/>
    <w:bookmarkEnd w:id="242"/>
    <w:p>
      <w:pPr>
        <w:jc w:val="both"/>
        <w:ind w:left="44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79" w:lineRule="exact"/>
        <w:rPr>
          <w:sz w:val="20"/>
          <w:szCs w:val="20"/>
          <w:color w:val="auto"/>
        </w:rPr>
      </w:pPr>
    </w:p>
    <w:p>
      <w:pPr>
        <w:jc w:val="both"/>
        <w:ind w:left="4" w:firstLine="436"/>
        <w:spacing w:after="0" w:line="287" w:lineRule="auto"/>
        <w:tabs>
          <w:tab w:leader="none" w:pos="701" w:val="left"/>
        </w:tabs>
        <w:numPr>
          <w:ilvl w:val="1"/>
          <w:numId w:val="301"/>
        </w:numPr>
        <w:rPr>
          <w:rFonts w:ascii="Arial" w:cs="Arial" w:eastAsia="Arial" w:hAnsi="Arial"/>
          <w:sz w:val="16"/>
          <w:szCs w:val="16"/>
          <w:color w:val="auto"/>
        </w:rPr>
      </w:pPr>
      <w:r>
        <w:rPr>
          <w:rFonts w:ascii="Arial" w:cs="Arial" w:eastAsia="Arial" w:hAnsi="Arial"/>
          <w:sz w:val="16"/>
          <w:szCs w:val="16"/>
          <w:color w:val="auto"/>
        </w:rPr>
        <w:t xml:space="preserve">(i) Any Lender may, without the consent of Holdings, the Borrower or the Administrative Agent, sell participations to one or more banks or other Persons (other than to a Person that is not an Eligible Assignee;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purposes of this provision, Disqualified Lenders shall be deemed to be Eligible Assignees unless a list of Disqualified Lenders (other than any Person that is a Disqualified Lender pursuant to </w:t>
      </w:r>
      <w:r>
        <w:rPr>
          <w:rFonts w:ascii="Arial" w:cs="Arial" w:eastAsia="Arial" w:hAnsi="Arial"/>
          <w:sz w:val="16"/>
          <w:szCs w:val="16"/>
          <w:u w:val="single" w:color="auto"/>
          <w:color w:val="auto"/>
        </w:rPr>
        <w:t>clause (iii)(y)</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jc w:val="both"/>
        <w:ind w:left="4" w:hanging="4"/>
        <w:spacing w:after="0" w:line="285" w:lineRule="auto"/>
        <w:tabs>
          <w:tab w:leader="none" w:pos="254" w:val="left"/>
        </w:tabs>
        <w:numPr>
          <w:ilvl w:val="0"/>
          <w:numId w:val="302"/>
        </w:numPr>
        <w:rPr>
          <w:rFonts w:ascii="Arial" w:cs="Arial" w:eastAsia="Arial" w:hAnsi="Arial"/>
          <w:sz w:val="16"/>
          <w:szCs w:val="16"/>
          <w:u w:val="single" w:color="auto"/>
          <w:color w:val="auto"/>
        </w:rPr>
      </w:pPr>
      <w:r>
        <w:rPr>
          <w:rFonts w:ascii="Arial" w:cs="Arial" w:eastAsia="Arial" w:hAnsi="Arial"/>
          <w:sz w:val="16"/>
          <w:szCs w:val="16"/>
          <w:color w:val="auto"/>
        </w:rPr>
        <w:t>of the definition thereof) has been made available to all Lenders party to such participation and following the reasonable written request therefor)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Loans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directly and adversely affects such Participant. Subject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the Borrower agrees that each Participant shall be entitled to the benefits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(subject to the obligations and limitations thereof, it being understood that any tax forms required by </w:t>
      </w:r>
      <w:r>
        <w:rPr>
          <w:rFonts w:ascii="Arial" w:cs="Arial" w:eastAsia="Arial" w:hAnsi="Arial"/>
          <w:sz w:val="16"/>
          <w:szCs w:val="16"/>
          <w:u w:val="single" w:color="auto"/>
          <w:color w:val="auto"/>
        </w:rPr>
        <w:t>Section 2.17(e)</w:t>
      </w:r>
      <w:r>
        <w:rPr>
          <w:rFonts w:ascii="Arial" w:cs="Arial" w:eastAsia="Arial" w:hAnsi="Arial"/>
          <w:sz w:val="16"/>
          <w:szCs w:val="16"/>
          <w:color w:val="auto"/>
        </w:rPr>
        <w:t xml:space="preserve"> shall be provided to the Lender)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be subject to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as though it were a Lender.</w:t>
      </w:r>
    </w:p>
    <w:p>
      <w:pPr>
        <w:spacing w:after="0" w:line="61" w:lineRule="exact"/>
        <w:rPr>
          <w:rFonts w:ascii="Arial" w:cs="Arial" w:eastAsia="Arial" w:hAnsi="Arial"/>
          <w:sz w:val="16"/>
          <w:szCs w:val="16"/>
          <w:u w:val="single" w:color="auto"/>
          <w:color w:val="auto"/>
        </w:rPr>
      </w:pPr>
    </w:p>
    <w:p>
      <w:pPr>
        <w:jc w:val="both"/>
        <w:ind w:left="444" w:firstLine="419"/>
        <w:spacing w:after="0" w:line="257" w:lineRule="auto"/>
        <w:tabs>
          <w:tab w:leader="none" w:pos="1133" w:val="left"/>
        </w:tabs>
        <w:numPr>
          <w:ilvl w:val="2"/>
          <w:numId w:val="302"/>
        </w:numPr>
        <w:rPr>
          <w:rFonts w:ascii="Arial" w:cs="Arial" w:eastAsia="Arial" w:hAnsi="Arial"/>
          <w:sz w:val="18"/>
          <w:szCs w:val="18"/>
          <w:color w:val="auto"/>
        </w:rPr>
      </w:pPr>
      <w:r>
        <w:rPr>
          <w:rFonts w:ascii="Arial" w:cs="Arial" w:eastAsia="Arial" w:hAnsi="Arial"/>
          <w:sz w:val="18"/>
          <w:szCs w:val="18"/>
          <w:color w:val="auto"/>
        </w:rPr>
        <w:t xml:space="preserve">No Participant shall be entitled to receive any greater payment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than the participating Lender would have been entitled to receive with respect to the participation sold to such Participant, unless the sale of the participation to such Participant is made with the Borrower’s prior written consent (not to be unreasonably withheld or delayed) expressly acknowledging that such Participant’s entitlement to benefits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is not limited to what the participating Lender would have been entitled to receive absent the participation.</w:t>
      </w:r>
    </w:p>
    <w:p>
      <w:pPr>
        <w:spacing w:after="0" w:line="79" w:lineRule="exact"/>
        <w:rPr>
          <w:rFonts w:ascii="Arial" w:cs="Arial" w:eastAsia="Arial" w:hAnsi="Arial"/>
          <w:sz w:val="18"/>
          <w:szCs w:val="18"/>
          <w:color w:val="auto"/>
        </w:rPr>
      </w:pPr>
    </w:p>
    <w:p>
      <w:pPr>
        <w:jc w:val="both"/>
        <w:ind w:left="444" w:firstLine="419"/>
        <w:spacing w:after="0" w:line="254" w:lineRule="auto"/>
        <w:tabs>
          <w:tab w:leader="none" w:pos="1191" w:val="left"/>
        </w:tabs>
        <w:numPr>
          <w:ilvl w:val="2"/>
          <w:numId w:val="302"/>
        </w:numPr>
        <w:rPr>
          <w:rFonts w:ascii="Arial" w:cs="Arial" w:eastAsia="Arial" w:hAnsi="Arial"/>
          <w:sz w:val="18"/>
          <w:szCs w:val="18"/>
          <w:color w:val="auto"/>
        </w:rPr>
      </w:pPr>
      <w:r>
        <w:rPr>
          <w:rFonts w:ascii="Arial" w:cs="Arial" w:eastAsia="Arial" w:hAnsi="Arial"/>
          <w:sz w:val="18"/>
          <w:szCs w:val="18"/>
          <w:color w:val="auto"/>
        </w:rPr>
        <w:t>Each Lender that sells a participation shall, acting solely for this purpose as a non-fiduciary agent of the Borrower, maintain a register on which it enters the name and address of each Participant and the principal and stated interest amounts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provided that no Lender shall have any obligation to disclose all or any portion of the Participant Register (including the identity of any participant or any information relating to a participant’s interest in any obligations under any Loan Document) to any Person except to the extent that such disclosure is necessary to establish that such obligation is in registered form under Section 5f.103-1(c) or Proposed Section 1.163-5(b) of the United States Treasury Regulations (or, in each case, any amended or successor version). The entries in the Participant Register shall be conclusive (absent manifest error), and each Person whose name is recorded in the Participant</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24"/>
          </w:cols>
          <w:pgMar w:left="436" w:top="274" w:right="439" w:bottom="1440" w:gutter="0" w:footer="0" w:header="0"/>
        </w:sectPr>
      </w:pPr>
    </w:p>
    <w:bookmarkStart w:id="243" w:name="page244"/>
    <w:bookmarkEnd w:id="243"/>
    <w:p>
      <w:pPr>
        <w:jc w:val="both"/>
        <w:ind w:left="44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Register pursuant to the terms hereof shall be treated as a Participant for all purposes of this Agreement, notwithstanding notice to the contrary. For the avoidance of doubt, the Administrative Agent (in its capacity as Administrative Agent) shall have no responsibility for maintaining a Participant Register.</w:t>
      </w:r>
    </w:p>
    <w:p>
      <w:pPr>
        <w:spacing w:after="0" w:line="76" w:lineRule="exact"/>
        <w:rPr>
          <w:sz w:val="20"/>
          <w:szCs w:val="20"/>
          <w:color w:val="auto"/>
        </w:rPr>
      </w:pPr>
    </w:p>
    <w:p>
      <w:pPr>
        <w:jc w:val="both"/>
        <w:ind w:right="20" w:firstLine="436"/>
        <w:spacing w:after="0" w:line="257" w:lineRule="auto"/>
        <w:tabs>
          <w:tab w:leader="none" w:pos="68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79" w:lineRule="exact"/>
        <w:rPr>
          <w:rFonts w:ascii="Arial" w:cs="Arial" w:eastAsia="Arial" w:hAnsi="Arial"/>
          <w:sz w:val="18"/>
          <w:szCs w:val="18"/>
          <w:color w:val="auto"/>
        </w:rPr>
      </w:pPr>
    </w:p>
    <w:p>
      <w:pPr>
        <w:jc w:val="both"/>
        <w:ind w:right="20" w:firstLine="436"/>
        <w:spacing w:after="0" w:line="269" w:lineRule="auto"/>
        <w:tabs>
          <w:tab w:leader="none" w:pos="691" w:val="left"/>
        </w:tabs>
        <w:numPr>
          <w:ilvl w:val="0"/>
          <w:numId w:val="303"/>
        </w:numPr>
        <w:rPr>
          <w:rFonts w:ascii="Arial" w:cs="Arial" w:eastAsia="Arial" w:hAnsi="Arial"/>
          <w:sz w:val="17"/>
          <w:szCs w:val="17"/>
          <w:color w:val="auto"/>
        </w:rPr>
      </w:pPr>
      <w:r>
        <w:rPr>
          <w:rFonts w:ascii="Arial" w:cs="Arial" w:eastAsia="Arial" w:hAnsi="Arial"/>
          <w:sz w:val="17"/>
          <w:szCs w:val="17"/>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73" w:lineRule="exact"/>
        <w:rPr>
          <w:rFonts w:ascii="Arial" w:cs="Arial" w:eastAsia="Arial" w:hAnsi="Arial"/>
          <w:sz w:val="17"/>
          <w:szCs w:val="17"/>
          <w:color w:val="auto"/>
        </w:rPr>
      </w:pPr>
    </w:p>
    <w:p>
      <w:pPr>
        <w:jc w:val="both"/>
        <w:ind w:firstLine="436"/>
        <w:spacing w:after="0" w:line="268" w:lineRule="auto"/>
        <w:tabs>
          <w:tab w:leader="none" w:pos="674" w:val="left"/>
        </w:tabs>
        <w:numPr>
          <w:ilvl w:val="0"/>
          <w:numId w:val="30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any Lender (a “</w:t>
      </w:r>
      <w:r>
        <w:rPr>
          <w:rFonts w:ascii="Arial" w:cs="Arial" w:eastAsia="Arial" w:hAnsi="Arial"/>
          <w:sz w:val="17"/>
          <w:szCs w:val="17"/>
          <w:u w:val="single" w:color="auto"/>
          <w:color w:val="auto"/>
        </w:rPr>
        <w:t>Granting Lender</w:t>
      </w:r>
      <w:r>
        <w:rPr>
          <w:rFonts w:ascii="Arial" w:cs="Arial" w:eastAsia="Arial" w:hAnsi="Arial"/>
          <w:sz w:val="17"/>
          <w:szCs w:val="17"/>
          <w:color w:val="auto"/>
        </w:rPr>
        <w:t>”) may grant to a special purpose funding vehicle (an “</w:t>
      </w:r>
      <w:r>
        <w:rPr>
          <w:rFonts w:ascii="Arial" w:cs="Arial" w:eastAsia="Arial" w:hAnsi="Arial"/>
          <w:sz w:val="17"/>
          <w:szCs w:val="17"/>
          <w:u w:val="single" w:color="auto"/>
          <w:color w:val="auto"/>
        </w:rPr>
        <w:t>SPV</w:t>
      </w:r>
      <w:r>
        <w:rPr>
          <w:rFonts w:ascii="Arial" w:cs="Arial" w:eastAsia="Arial" w:hAnsi="Arial"/>
          <w:sz w:val="17"/>
          <w:szCs w:val="17"/>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such party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7"/>
          <w:szCs w:val="17"/>
          <w:u w:val="single" w:color="auto"/>
          <w:color w:val="auto"/>
        </w:rPr>
        <w:t>Section 9.04</w:t>
      </w:r>
      <w:r>
        <w:rPr>
          <w:rFonts w:ascii="Arial" w:cs="Arial" w:eastAsia="Arial" w:hAnsi="Arial"/>
          <w:sz w:val="17"/>
          <w:szCs w:val="17"/>
          <w:color w:val="auto"/>
        </w:rPr>
        <w:t>,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or credit support to or for the account of such SPV to support the funding or maintenance of Loans and (ii) disclose on a confidential basis any non-public information relating to its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20"/>
          </w:cols>
          <w:pgMar w:left="440" w:top="274" w:right="43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Loans to any rating agency, commercial paper dealer or provider of any surety, guarantee or credit or liquidity enhancement to such SPV.</w:t>
      </w:r>
    </w:p>
    <w:p>
      <w:pPr>
        <w:spacing w:after="0" w:line="117" w:lineRule="exact"/>
        <w:rPr>
          <w:sz w:val="20"/>
          <w:szCs w:val="20"/>
          <w:color w:val="auto"/>
        </w:rPr>
      </w:pPr>
    </w:p>
    <w:p>
      <w:pPr>
        <w:jc w:val="both"/>
        <w:ind w:firstLine="436"/>
        <w:spacing w:after="0" w:line="287" w:lineRule="auto"/>
        <w:tabs>
          <w:tab w:leader="none" w:pos="70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(i) In the event of any assignment or participation by a Lender without the Borrower’s consent or deemed consent (if applicable) (A) to any Disqualified Lender or (B) to the extent the Borrower’s consent is required under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to any other Person, the Borrower shall be entitled at their sole expense and effort to seek specific performance to unwind any such assignment or participation in addition to injunctive relief (without posting a bond or presenting evidence of irreparable harm) or any other remedies available to the Borrower at law or in equity in respect of such assignor or assignee; it being understood and agreed that Holdings, the Borrower and their respective subsidiaries will suffer irreparable harm if any Lender breaches any obligation under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as it relates to any assignment, participation or pledge of any Loan or Commitment to any Disqualified Lender or any other Person to whom the Borrower’s consent is required but not obtained (or has not been deemed consented to). Upon the request of any Lender or as otherwise required herein, the Administrative Agent shall make available to such Lender the list of Disqualified Lenders at the relevant time and such Lender may provide the list to any potential assignee or participant on a confidential basis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for the purpose of verifying whether such Person is a Disqualified Lender. For the avoidance of doubt, the Administrative Agent shall not have any responsibility or liability for monitoring the list or identities of, or enforcing provisions relating to, Disqualified Lenders.</w:t>
      </w:r>
    </w:p>
    <w:p>
      <w:pPr>
        <w:spacing w:after="0" w:line="63" w:lineRule="exact"/>
        <w:rPr>
          <w:rFonts w:ascii="Arial" w:cs="Arial" w:eastAsia="Arial" w:hAnsi="Arial"/>
          <w:sz w:val="16"/>
          <w:szCs w:val="16"/>
          <w:color w:val="auto"/>
        </w:rPr>
      </w:pPr>
    </w:p>
    <w:p>
      <w:pPr>
        <w:jc w:val="both"/>
        <w:ind w:left="440" w:firstLine="419"/>
        <w:spacing w:after="0" w:line="284" w:lineRule="auto"/>
        <w:tabs>
          <w:tab w:leader="none" w:pos="1128" w:val="left"/>
        </w:tabs>
        <w:numPr>
          <w:ilvl w:val="1"/>
          <w:numId w:val="304"/>
        </w:numPr>
        <w:rPr>
          <w:rFonts w:ascii="Arial" w:cs="Arial" w:eastAsia="Arial" w:hAnsi="Arial"/>
          <w:sz w:val="16"/>
          <w:szCs w:val="16"/>
          <w:color w:val="auto"/>
        </w:rPr>
      </w:pPr>
      <w:r>
        <w:rPr>
          <w:rFonts w:ascii="Arial" w:cs="Arial" w:eastAsia="Arial" w:hAnsi="Arial"/>
          <w:sz w:val="16"/>
          <w:szCs w:val="16"/>
          <w:color w:val="auto"/>
        </w:rPr>
        <w:t xml:space="preserve">If any assignment or participation under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is made to any Affiliate of any Disqualified Lender (other than any Competitor Debt Fund Affiliate) without the Borrower’s prior written consent or deemed consent (any such person, a “</w:t>
      </w:r>
      <w:r>
        <w:rPr>
          <w:rFonts w:ascii="Arial" w:cs="Arial" w:eastAsia="Arial" w:hAnsi="Arial"/>
          <w:sz w:val="16"/>
          <w:szCs w:val="16"/>
          <w:u w:val="single" w:color="auto"/>
          <w:color w:val="auto"/>
        </w:rPr>
        <w:t>Disqualified Person</w:t>
      </w:r>
      <w:r>
        <w:rPr>
          <w:rFonts w:ascii="Arial" w:cs="Arial" w:eastAsia="Arial" w:hAnsi="Arial"/>
          <w:sz w:val="16"/>
          <w:szCs w:val="16"/>
          <w:color w:val="auto"/>
        </w:rPr>
        <w:t xml:space="preserve">”), then, such assignment shall not be null and void, but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Term Loans, held by such Disqualified Person, purchase such Term Loans by paying the amount that such Disqualified Person paid to acquire such Term Loans, plus accrued interest thereon, accrued fees and all other amounts payable to it hereunder and/or (C) require that such Disqualified Person assign, without recourse (in accordance with and subject to the restrictions contained in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of its interests, rights and obligations under this Agreement to one or more Eligible Assignees;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jc w:val="both"/>
        <w:ind w:left="440"/>
        <w:spacing w:after="0" w:line="251" w:lineRule="auto"/>
        <w:rPr>
          <w:rFonts w:ascii="Arial" w:cs="Arial" w:eastAsia="Arial" w:hAnsi="Arial"/>
          <w:sz w:val="16"/>
          <w:szCs w:val="16"/>
          <w:color w:val="auto"/>
        </w:rPr>
      </w:pPr>
      <w:r>
        <w:rPr>
          <w:rFonts w:ascii="Arial" w:cs="Arial" w:eastAsia="Arial" w:hAnsi="Arial"/>
          <w:sz w:val="18"/>
          <w:szCs w:val="18"/>
          <w:color w:val="auto"/>
        </w:rPr>
        <w:t xml:space="preserve">(I) in the case of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the applicable Disqualified Person has received payment of an amount equal to the lesser of (1) par and (2) the amount that such Disqualified Person paid for the applicable Loans, plus accrued interest thereon, accrued fees and all other amounts payable to it hereunder, from the Borrower, (II)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Borrower shall be liable to the relevant Disqualified Person under Section 2.16 if any Eurocurrency Loan owing to such Disqualified Person is repaid or purchased other than on the last day of the Interest Period relating thereto and (III) in the case of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the relevant assignment shall otherwise comply with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(except that no registration and processing fee required under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shall be required with any assignment pursuant to this paragraph). Nothing in this </w:t>
      </w:r>
      <w:r>
        <w:rPr>
          <w:rFonts w:ascii="Arial" w:cs="Arial" w:eastAsia="Arial" w:hAnsi="Arial"/>
          <w:sz w:val="18"/>
          <w:szCs w:val="18"/>
          <w:u w:val="single" w:color="auto"/>
          <w:color w:val="auto"/>
        </w:rPr>
        <w:t>Section 9.04(h)</w:t>
      </w:r>
      <w:r>
        <w:rPr>
          <w:rFonts w:ascii="Arial" w:cs="Arial" w:eastAsia="Arial" w:hAnsi="Arial"/>
          <w:sz w:val="18"/>
          <w:szCs w:val="18"/>
          <w:color w:val="auto"/>
        </w:rPr>
        <w:t xml:space="preserve"> shall be deemed to prejudice any right or remedy that the Borrower may otherwise have at law or equity. For the avoidance of doubt, the Administrative Agent shall not have any responsibility or liability for monitoring the identities of, or enforcing provisions relating to, Disqualified Persons.</w:t>
      </w:r>
    </w:p>
    <w:p>
      <w:pPr>
        <w:spacing w:after="0" w:line="89" w:lineRule="exact"/>
        <w:rPr>
          <w:rFonts w:ascii="Arial" w:cs="Arial" w:eastAsia="Arial" w:hAnsi="Arial"/>
          <w:sz w:val="16"/>
          <w:szCs w:val="16"/>
          <w:color w:val="auto"/>
        </w:rPr>
      </w:pPr>
    </w:p>
    <w:p>
      <w:pPr>
        <w:jc w:val="both"/>
        <w:ind w:firstLine="436"/>
        <w:spacing w:after="0" w:line="263" w:lineRule="auto"/>
        <w:tabs>
          <w:tab w:leader="none" w:pos="71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Upon the cancellation or retirement of any Loans pursuant to this </w:t>
      </w:r>
      <w:r>
        <w:rPr>
          <w:rFonts w:ascii="Arial" w:cs="Arial" w:eastAsia="Arial" w:hAnsi="Arial"/>
          <w:sz w:val="18"/>
          <w:szCs w:val="18"/>
          <w:u w:val="single" w:color="auto"/>
          <w:color w:val="auto"/>
        </w:rPr>
        <w:t>Section 9.04</w:t>
      </w:r>
      <w:r>
        <w:rPr>
          <w:rFonts w:ascii="Arial" w:cs="Arial" w:eastAsia="Arial" w:hAnsi="Arial"/>
          <w:sz w:val="18"/>
          <w:szCs w:val="18"/>
          <w:color w:val="auto"/>
        </w:rPr>
        <w:t>, (A) the aggregate principal amount (calculated on the face amount thereof) shall be deemed reduced by the full par value of the aggregate principal amount of the Term Loans so retired or cancelled and (B) the Administrative Agent shall record such cancellation or retirement in the Register.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20"/>
          </w:cols>
          <w:pgMar w:left="440" w:top="274" w:right="439" w:bottom="1440" w:gutter="0" w:footer="0" w:header="0"/>
        </w:sectPr>
      </w:pPr>
    </w:p>
    <w:bookmarkStart w:id="245" w:name="page246"/>
    <w:bookmarkEnd w:id="245"/>
    <w:p>
      <w:pPr>
        <w:jc w:val="both"/>
        <w:ind w:firstLine="436"/>
        <w:spacing w:after="0" w:line="287" w:lineRule="auto"/>
        <w:tabs>
          <w:tab w:leader="none" w:pos="656" w:val="left"/>
        </w:tabs>
        <w:numPr>
          <w:ilvl w:val="0"/>
          <w:numId w:val="3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herein any Issuing Bank may, upon 30 days’ notice to the Borrower and the Lenders, resign as an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or prior to the expiration of such 30-day period with respect to such resignation, such Issuing Bank shall have identified, in consultation with the Borrower, a successor Issuing Bank willing to accept its appointment as successor Issuing Bank. Such successor Issuing Bank shall become a party to this Agreement as an Issuing Bank and shall assume the resigning Issuing Bank’s Applicable LC Fronting Sublimit and its obligation to issue additional Letters of Credit in accordance with the terms of this Agreement. In the event of any such resignation of an Issuing Bank, the Borrower shall be entitled to appoint from among the Lenders willing to accept such appointment a successor Issuing Bank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failure by the Borrower to appoint any such successor shall affect the resignation of the relevant Issuing Bank, as the case may be. If an Issuing Bank resigns as an Issuing Bank, it shall retain all the rights and obligations of an Issuing Bank hereunder with respect to all Letters of Credit outstanding as of the effective date of its resignation as an Issuing Bank and all obligations (solely with respect to such Issuing Bank’s LC Commitment) with respect thereto (including the right to require the Lenders to make ABR Loans or Swingline Loans pursuant to </w:t>
      </w:r>
      <w:r>
        <w:rPr>
          <w:rFonts w:ascii="Arial" w:cs="Arial" w:eastAsia="Arial" w:hAnsi="Arial"/>
          <w:sz w:val="16"/>
          <w:szCs w:val="16"/>
          <w:u w:val="single" w:color="auto"/>
          <w:color w:val="auto"/>
        </w:rPr>
        <w:t>Section 2.05(f)</w:t>
      </w:r>
      <w:r>
        <w:rPr>
          <w:rFonts w:ascii="Arial" w:cs="Arial" w:eastAsia="Arial" w:hAnsi="Arial"/>
          <w:sz w:val="16"/>
          <w:szCs w:val="16"/>
          <w:color w:val="auto"/>
        </w:rPr>
        <w:t xml:space="preserve"> or fund risk participations the amount of LC Disbursements made by such Issuing Bank and not reimbursed).</w:t>
      </w:r>
    </w:p>
    <w:p>
      <w:pPr>
        <w:spacing w:after="0" w:line="63" w:lineRule="exact"/>
        <w:rPr>
          <w:rFonts w:ascii="Arial" w:cs="Arial" w:eastAsia="Arial" w:hAnsi="Arial"/>
          <w:sz w:val="16"/>
          <w:szCs w:val="16"/>
          <w:color w:val="auto"/>
        </w:rPr>
      </w:pPr>
    </w:p>
    <w:p>
      <w:pPr>
        <w:jc w:val="both"/>
        <w:ind w:right="20" w:firstLine="436"/>
        <w:spacing w:after="0" w:line="275" w:lineRule="auto"/>
        <w:tabs>
          <w:tab w:leader="none" w:pos="655" w:val="left"/>
        </w:tabs>
        <w:numPr>
          <w:ilvl w:val="0"/>
          <w:numId w:val="305"/>
        </w:numPr>
        <w:rPr>
          <w:rFonts w:ascii="Arial" w:cs="Arial" w:eastAsia="Arial" w:hAnsi="Arial"/>
          <w:sz w:val="17"/>
          <w:szCs w:val="17"/>
          <w:color w:val="auto"/>
        </w:rPr>
      </w:pPr>
      <w:r>
        <w:rPr>
          <w:rFonts w:ascii="Arial" w:cs="Arial" w:eastAsia="Arial" w:hAnsi="Arial"/>
          <w:sz w:val="17"/>
          <w:szCs w:val="17"/>
          <w:color w:val="auto"/>
        </w:rPr>
        <w:t>Norvax shall have no rights or obligations as a Borrower hereunder until the consummation of the Merger, respectively, and any representations and warranties of Norvax hereunder shall not become effective until such time. Upon consummation of the Acquisition, the signature pages to this Agreement and the other Loan Documents submitted on behalf of Norvax, shall be deemed released, and upon consummation of the Merger, Norvax shall succeed to all the rights and obligations of Merger Sub under this Agreement, and all representations and warranties of the Norvax shall become effective as of the time of consummation of the Merger, without any further action by any Person.</w:t>
      </w:r>
    </w:p>
    <w:p>
      <w:pPr>
        <w:spacing w:after="0" w:line="176" w:lineRule="exact"/>
        <w:rPr>
          <w:sz w:val="20"/>
          <w:szCs w:val="20"/>
          <w:color w:val="auto"/>
        </w:rPr>
      </w:pPr>
    </w:p>
    <w:p>
      <w:pPr>
        <w:jc w:val="both"/>
        <w:ind w:firstLine="440"/>
        <w:spacing w:after="0" w:line="285"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 Notwithstanding the foregoing or anything else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20"/>
          </w:cols>
          <w:pgMar w:left="440" w:top="274" w:right="439" w:bottom="1440" w:gutter="0" w:footer="0" w:header="0"/>
        </w:sectPr>
      </w:pPr>
    </w:p>
    <w:bookmarkStart w:id="246" w:name="page247"/>
    <w:bookmarkEnd w:id="246"/>
    <w:p>
      <w:pPr>
        <w:jc w:val="both"/>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9.06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the Fee Letter and any separate letter agreements with respect to fees payable to the Agents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an original counterpart of this Agreement.</w:t>
      </w:r>
    </w:p>
    <w:p>
      <w:pPr>
        <w:spacing w:after="0" w:line="181"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7" w:lineRule="exact"/>
        <w:rPr>
          <w:sz w:val="20"/>
          <w:szCs w:val="20"/>
          <w:color w:val="auto"/>
        </w:rPr>
      </w:pPr>
    </w:p>
    <w:p>
      <w:pPr>
        <w:jc w:val="both"/>
        <w:ind w:firstLine="440"/>
        <w:spacing w:after="0" w:line="287"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or other amounts at any time held and other obligations (in whatever currency) at any time then due and owing by such Lender or such Issuing Bank, to or for the credit or the account of Holdings or the Borrower against any of and all the obligations of Holdings or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The applicable Lender and applicable Issuing Bank shall notify the Borrower and the Administrative Agent of such setoff and application, provided that any failure to give or any delay in giving such notice shall not affect the validity of any such setoff and application under this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The rights of each Lender and each Issuing Bank, under this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are in addition to other rights and remedies (including other rights of setoff) that such Lender, such Issuing Bank may have. Notwithstanding the foregoing, no amount setoff from any Guarantor shall be applied to any Excluded Swap Obligation of such Guarantor.</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71" w:lineRule="auto"/>
        <w:tabs>
          <w:tab w:leader="none" w:pos="692"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This Agreement shall be construed in accordance with and governed by the law of the State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the governing law provisions of the Loan Documents, it is understood and agreed that (i) the interpretation of the definition of “Material Adverse Effect” (and whether or not a Material Adverse Effect (as defined in the Merger Agreement) has occurred), (ii) the determination of the accuracy of any Specified Merger Agreement Representation and whether as a result of any inaccuracy thereof either the Borrower or its applicable affiliate has the right to terminate its obligations under the Merger Agreement or to decline to consummate the Merger and (iii) the determination of whether the Merger has been consummated in accordance with the terms of the Merger Agreement and, in any case, claims or disputes arising out of any such interpretation or determination or any aspect thereof shall, in each case, be governed by, and construed in accordance with, the laws of the State of Delaware, regardless of the laws that might otherwise govern under applicable principles of conflicts of laws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020"/>
          </w:cols>
          <w:pgMar w:left="440" w:top="274" w:right="439" w:bottom="1440" w:gutter="0" w:footer="0" w:header="0"/>
        </w:sectPr>
      </w:pPr>
    </w:p>
    <w:bookmarkStart w:id="247" w:name="page248"/>
    <w:bookmarkEnd w:id="247"/>
    <w:p>
      <w:pPr>
        <w:jc w:val="both"/>
        <w:ind w:left="4" w:firstLine="436"/>
        <w:spacing w:after="0" w:line="270" w:lineRule="auto"/>
        <w:tabs>
          <w:tab w:leader="none" w:pos="707" w:val="left"/>
        </w:tabs>
        <w:numPr>
          <w:ilvl w:val="0"/>
          <w:numId w:val="3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the Collateral Agent or any Lender may otherwise have to bring any action or proceeding relating to any Loan Document against Holdings, the Borrower or their respective properties in the courts of any jurisdiction.</w:t>
      </w:r>
    </w:p>
    <w:p>
      <w:pPr>
        <w:spacing w:after="0" w:line="72" w:lineRule="exact"/>
        <w:rPr>
          <w:rFonts w:ascii="Arial" w:cs="Arial" w:eastAsia="Arial" w:hAnsi="Arial"/>
          <w:sz w:val="17"/>
          <w:szCs w:val="17"/>
          <w:color w:val="auto"/>
        </w:rPr>
      </w:pPr>
    </w:p>
    <w:p>
      <w:pPr>
        <w:jc w:val="both"/>
        <w:ind w:left="4" w:firstLine="436"/>
        <w:spacing w:after="0" w:line="259" w:lineRule="auto"/>
        <w:tabs>
          <w:tab w:leader="none" w:pos="69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Each of parties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78" w:lineRule="exact"/>
        <w:rPr>
          <w:rFonts w:ascii="Arial" w:cs="Arial" w:eastAsia="Arial" w:hAnsi="Arial"/>
          <w:sz w:val="18"/>
          <w:szCs w:val="18"/>
          <w:color w:val="auto"/>
        </w:rPr>
      </w:pPr>
    </w:p>
    <w:p>
      <w:pPr>
        <w:ind w:left="4" w:firstLine="436"/>
        <w:spacing w:after="0" w:line="277" w:lineRule="auto"/>
        <w:tabs>
          <w:tab w:leader="none" w:pos="713"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Nothing in any Loan Document will affect the right of any party to this Agreement to serve process in any other manner permitted by law.</w:t>
      </w:r>
    </w:p>
    <w:p>
      <w:pPr>
        <w:spacing w:after="0" w:line="170" w:lineRule="exact"/>
        <w:rPr>
          <w:sz w:val="20"/>
          <w:szCs w:val="20"/>
          <w:color w:val="auto"/>
        </w:rPr>
      </w:pPr>
    </w:p>
    <w:p>
      <w:pPr>
        <w:jc w:val="both"/>
        <w:ind w:left="4" w:right="20" w:firstLine="440"/>
        <w:spacing w:after="0" w:line="268"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sz w:val="20"/>
          <w:szCs w:val="20"/>
          <w:color w:val="auto"/>
        </w:rPr>
      </w:pPr>
    </w:p>
    <w:p>
      <w:pPr>
        <w:ind w:left="4" w:hanging="4"/>
        <w:spacing w:after="0" w:line="260" w:lineRule="auto"/>
        <w:tabs>
          <w:tab w:leader="none" w:pos="3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BY, AMONG OTHER THINGS, THE MUTUAL WAIVERS AND CERTIFICATIONS IN THIS SECTION.</w:t>
      </w:r>
    </w:p>
    <w:p>
      <w:pPr>
        <w:spacing w:after="0" w:line="18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jc w:val="both"/>
        <w:ind w:left="4" w:right="20" w:firstLine="436"/>
        <w:spacing w:after="0" w:line="275" w:lineRule="auto"/>
        <w:tabs>
          <w:tab w:leader="none" w:pos="708" w:val="left"/>
        </w:tabs>
        <w:numPr>
          <w:ilvl w:val="0"/>
          <w:numId w:val="309"/>
        </w:numPr>
        <w:rPr>
          <w:rFonts w:ascii="Arial" w:cs="Arial" w:eastAsia="Arial" w:hAnsi="Arial"/>
          <w:sz w:val="17"/>
          <w:szCs w:val="17"/>
          <w:color w:val="auto"/>
        </w:rPr>
      </w:pPr>
      <w:r>
        <w:rPr>
          <w:rFonts w:ascii="Arial" w:cs="Arial" w:eastAsia="Arial" w:hAnsi="Arial"/>
          <w:sz w:val="17"/>
          <w:szCs w:val="17"/>
          <w:color w:val="auto"/>
        </w:rPr>
        <w:t>Each of the Administrative Agent, the Issuing Banks and the Lenders agrees to maintain the confidentiality of the Information (as defined below), except that Information may be disclosed (i) to its and its Affiliates’ directors, officers, employees, trustees and agents, including accountants, legal counsel and other agents and advisors (collectively,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on a “need to know” basis solely in connection with the transactions contemplated hereby (it being understood that the Persons to whom such disclosure is made will be informed of the confidential nature of such Information and instructed to keep such Information confidential and any failure of such Persons to comply with this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24"/>
          </w:cols>
          <w:pgMar w:left="436" w:top="274" w:right="439" w:bottom="1440" w:gutter="0" w:footer="0" w:header="0"/>
        </w:sectPr>
      </w:pPr>
    </w:p>
    <w:bookmarkStart w:id="248" w:name="page249"/>
    <w:bookmarkEnd w:id="248"/>
    <w:p>
      <w:pPr>
        <w:jc w:val="both"/>
        <w:spacing w:after="0" w:line="28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9.12</w:t>
      </w:r>
      <w:r>
        <w:rPr>
          <w:rFonts w:ascii="Arial" w:cs="Arial" w:eastAsia="Arial" w:hAnsi="Arial"/>
          <w:sz w:val="16"/>
          <w:szCs w:val="16"/>
          <w:color w:val="auto"/>
        </w:rPr>
        <w:t xml:space="preserve"> shall constitute a breach of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by the Administrative Agent, the relevant Issuing Bank or the relevant Lender,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the Borrower otherwise consents, no such disclosure shall be made by the Administrative Agent, the Issuing Bank any Lender or any Affiliate or Representative thereof to any Affiliate or Representative of the Administrative Agent, any Issuing Bank or any Lender that is a Disqualified Lender, (ii) (x) to the extent requested by any regulatory authority, required by applicable law or by any subpoena or similar legal process or (y) necessary in connection with the exercise of remedies;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each case, unless specifically prohibited by applicable law or court order, each Lender and the Administrative Agent shall promptly notify the Borrower of any request by any governmental agency or representative thereof (other than any such request in connection with an examination of the financial condition of such Lender by such governmental agency or other routine examinations of such Lender by such governmental agency) for disclosure of any such non-public information prior to disclosure of such information and (B) in the case of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only, each Lender and the Administrative Agent shall use reasonable best efforts to ensure that such Information is kept confidential in connection with the exercise of such remedies,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no event shall any Lender or the Administrative Agent be obligated or required to return any materials furnished by Holdings, the Borrower or any of their Subsidiaries, (iii) to any other party to this Agreement, (iv) subject to an acknowledgment and acceptance by the relevant recipient that such Information is being disseminated on a confidential basis (on substantially similar terms to those of this Section or as otherwise reasonably acceptable to the Borrower and the Administrative Agent), to (x) any Eligible Assignee of or Participant in, or any prospective Eligible Assignee of or prospective Participant in, any of its rights or obligations under this Agreement or (y) any direct or indirect contractual counterparty to any Swap Agreement relating to any Loan Party or their Subsidiaries and its obligations under the Loan Documents, (v) with the consent of the Borrower, in the case of Information provided by Holdings, the Borrower or any other Subsidiary or (vi) to the extent such Information (x) becomes publicly available other than as a result of a breach of this Section or (y) becomes available to the Administrative Agent, any Issuing Bank or any Lender on a nonconfidential basis from a source other than Holdings or the Borrower. In addition, the Agents and the Lenders may disclose the existence of this Agreement, the amount of the Credit Facilities, the Effective Date and publicly available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Borrowings hereunder.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Holdings or the Borrower relating to Holdings, the Borrower, any Subsidiary or their business, other than any such information that is available to the Administrative Agent or any Lender on a nonconfidential basis prior to disclosure by Holdings or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81" w:lineRule="exact"/>
        <w:rPr>
          <w:sz w:val="20"/>
          <w:szCs w:val="20"/>
          <w:color w:val="auto"/>
        </w:rPr>
      </w:pPr>
    </w:p>
    <w:p>
      <w:pPr>
        <w:jc w:val="both"/>
        <w:ind w:right="20" w:firstLine="436"/>
        <w:spacing w:after="0" w:line="255" w:lineRule="auto"/>
        <w:tabs>
          <w:tab w:leader="none" w:pos="71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EACH LENDER ACKNOWLEDGES THAT INFORMATION AS DEFINED IN </w:t>
      </w:r>
      <w:r>
        <w:rPr>
          <w:rFonts w:ascii="Arial" w:cs="Arial" w:eastAsia="Arial" w:hAnsi="Arial"/>
          <w:sz w:val="18"/>
          <w:szCs w:val="18"/>
          <w:u w:val="single" w:color="auto"/>
          <w:color w:val="auto"/>
        </w:rPr>
        <w:t>SECTION 9.12(a)</w:t>
      </w:r>
      <w:r>
        <w:rPr>
          <w:rFonts w:ascii="Arial" w:cs="Arial" w:eastAsia="Arial" w:hAnsi="Arial"/>
          <w:sz w:val="18"/>
          <w:szCs w:val="18"/>
          <w:color w:val="auto"/>
        </w:rPr>
        <w:t xml:space="preserve">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84" w:lineRule="exact"/>
        <w:rPr>
          <w:rFonts w:ascii="Arial" w:cs="Arial" w:eastAsia="Arial" w:hAnsi="Arial"/>
          <w:sz w:val="18"/>
          <w:szCs w:val="18"/>
          <w:color w:val="auto"/>
        </w:rPr>
      </w:pPr>
    </w:p>
    <w:p>
      <w:pPr>
        <w:ind w:right="20" w:firstLine="436"/>
        <w:spacing w:after="0" w:line="277" w:lineRule="auto"/>
        <w:tabs>
          <w:tab w:leader="none" w:pos="69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ALL INFORMATION, INCLUDING REQUESTS FOR WAIVERS AND AMENDMENTS FURNISHED BY THE BORROWER OR THE ADMINISTRATIVE AGENT PURSUANT TO, OR IN THE COURSE OF ADMINISTERING, THIS AGREEMENT, WILL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20"/>
          </w:cols>
          <w:pgMar w:left="440" w:top="274" w:right="439" w:bottom="1440" w:gutter="0" w:footer="0" w:header="0"/>
        </w:sectPr>
      </w:pPr>
    </w:p>
    <w:bookmarkStart w:id="249" w:name="page250"/>
    <w:bookmarkEnd w:id="249"/>
    <w:p>
      <w:pPr>
        <w:jc w:val="both"/>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SYNDICATE-LEVEL INFORMATION, WHICH MAY CONTAIN MATERIAL NON-PUBLIC INFORMATION ABOUT HOLDINGS,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2" w:lineRule="exact"/>
        <w:rPr>
          <w:sz w:val="20"/>
          <w:szCs w:val="20"/>
          <w:color w:val="auto"/>
        </w:rPr>
      </w:pPr>
    </w:p>
    <w:p>
      <w:pPr>
        <w:jc w:val="both"/>
        <w:ind w:left="4" w:firstLine="440"/>
        <w:spacing w:after="0" w:line="25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and the Administrative Agent (for itself and not on behalf of any Lender) hereby notifies each Loan Party that pursuant to the requirements of Title III of the USA Patriot Act and the Beneficial Ownership Regulation, it is required to obtain, verify and record information that identifies each Loan Party, which information includes the name and address of such Loan Party and other information that will allow such Lender or Administrative Agent, as applicable, to identify each Loan Party in accordance with the Title III of the USA Patriot Act and the Beneficial Ownership Regulation.</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117" w:lineRule="exact"/>
        <w:rPr>
          <w:sz w:val="20"/>
          <w:szCs w:val="20"/>
          <w:color w:val="auto"/>
        </w:rPr>
      </w:pPr>
    </w:p>
    <w:p>
      <w:pPr>
        <w:jc w:val="both"/>
        <w:ind w:left="4" w:firstLine="436"/>
        <w:spacing w:after="0" w:line="259" w:lineRule="auto"/>
        <w:tabs>
          <w:tab w:leader="none" w:pos="69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78" w:lineRule="exact"/>
        <w:rPr>
          <w:rFonts w:ascii="Arial" w:cs="Arial" w:eastAsia="Arial" w:hAnsi="Arial"/>
          <w:sz w:val="18"/>
          <w:szCs w:val="18"/>
          <w:color w:val="auto"/>
        </w:rPr>
      </w:pPr>
    </w:p>
    <w:p>
      <w:pPr>
        <w:jc w:val="both"/>
        <w:ind w:left="4" w:firstLine="436"/>
        <w:spacing w:after="0" w:line="271" w:lineRule="auto"/>
        <w:tabs>
          <w:tab w:leader="none" w:pos="735"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obligations of the Borrower in respect of any sum due to any party hereto or any holder of any obligation owing hereunder (the “</w:t>
      </w:r>
      <w:r>
        <w:rPr>
          <w:rFonts w:ascii="Arial" w:cs="Arial" w:eastAsia="Arial" w:hAnsi="Arial"/>
          <w:sz w:val="17"/>
          <w:szCs w:val="17"/>
          <w:u w:val="single" w:color="auto"/>
          <w:color w:val="auto"/>
        </w:rPr>
        <w:t>Applicable Creditor</w:t>
      </w:r>
      <w:r>
        <w:rPr>
          <w:rFonts w:ascii="Arial" w:cs="Arial" w:eastAsia="Arial" w:hAnsi="Arial"/>
          <w:sz w:val="17"/>
          <w:szCs w:val="17"/>
          <w:color w:val="auto"/>
        </w:rPr>
        <w:t>”)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such sum is stated to be due hereunder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under this Section shall survive the termination of this Agreement and the payment of all other amounts owing hereunder.</w:t>
      </w:r>
    </w:p>
    <w:p>
      <w:pPr>
        <w:spacing w:after="0" w:line="178" w:lineRule="exact"/>
        <w:rPr>
          <w:sz w:val="20"/>
          <w:szCs w:val="20"/>
          <w:color w:val="auto"/>
        </w:rPr>
      </w:pPr>
    </w:p>
    <w:p>
      <w:pPr>
        <w:jc w:val="both"/>
        <w:ind w:left="4" w:right="20" w:firstLine="440"/>
        <w:spacing w:after="0" w:line="291"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Release of Liens and Guarantees</w:t>
      </w:r>
      <w:r>
        <w:rPr>
          <w:rFonts w:ascii="Arial" w:cs="Arial" w:eastAsia="Arial" w:hAnsi="Arial"/>
          <w:sz w:val="16"/>
          <w:szCs w:val="16"/>
          <w:color w:val="auto"/>
        </w:rPr>
        <w:t>. A Subsidiary Loan Party shall automatically be released from its obligations under the Loan Documents, and all security interests created by the Security Documents in Collateral owned by such Subsidiary Loan Party shall be released,</w:t>
      </w:r>
    </w:p>
    <w:p>
      <w:pPr>
        <w:jc w:val="both"/>
        <w:ind w:left="4" w:hanging="4"/>
        <w:spacing w:after="0" w:line="268" w:lineRule="auto"/>
        <w:tabs>
          <w:tab w:leader="none" w:pos="275"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automatically upon the consummation of any single transaction or related series of transactions permitted by this Agreement as a result of which such Subsidiary Loan Party ceases to be a Restricted Subsidiary (including pursuant to a merger with a Subsidiary that is not a Loan Party or a designation as an Unrestricted Subsidiary), or (2) upon notice by the Borrower to the Administrative Agent, if a Subsidiary Loan Party becomes an Excluded Subsidiary, including, in connection with a transaction permitted under this Agreement, the result of which such Subsidiary Loan Party ceases to be a wholly-owned Subsidiary as contemplated by the definition of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Subsidiary Loan Party shall not be released from the Guarantee in connection with a de minimis transfer of Equity Interests in such Subsidiary Loan Party if there is no bona fide business purpose for each transfer of Equity Interests and such transfer of Equity Interests is intended solely to obtain a release of the Guarantee, in each case as determined in good faith by the Borrower. The security interests in any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024"/>
          </w:cols>
          <w:pgMar w:left="436" w:top="274" w:right="439" w:bottom="1440" w:gutter="0" w:footer="0" w:header="0"/>
        </w:sectPr>
      </w:pPr>
    </w:p>
    <w:bookmarkStart w:id="250" w:name="page251"/>
    <w:bookmarkEnd w:id="250"/>
    <w:p>
      <w:pPr>
        <w:jc w:val="both"/>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Collateral created by the Security Documents or any applicable Guarantee shall be released, (i) automatically upon any sale or other transfer as part of or in connection with a Disposition by any Loan Party (other than to Holdings, the Borrower or any other Loan Party) of any Collateral in a transaction permitted under this Agreement, (ii) upon notice by the Borrower to the Administrative Agent, if any property granted to or held by the Administrative Agent under any Loan Documents does not constitute (or ceases to constitute) Collateral, including by becoming an Excluded Asset or</w:t>
      </w:r>
    </w:p>
    <w:p>
      <w:pPr>
        <w:spacing w:after="0" w:line="1" w:lineRule="exact"/>
        <w:rPr>
          <w:sz w:val="20"/>
          <w:szCs w:val="20"/>
          <w:color w:val="auto"/>
        </w:rPr>
      </w:pPr>
    </w:p>
    <w:p>
      <w:pPr>
        <w:jc w:val="both"/>
        <w:ind w:left="4" w:hanging="4"/>
        <w:spacing w:after="0" w:line="281" w:lineRule="auto"/>
        <w:tabs>
          <w:tab w:leader="none" w:pos="32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upon the effectiveness of any written consent to the release of the Lien or security interest created under any Security Document in any Collateral or the release of any Loan Party from its Guarantee under the Guarantee Agreement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Upon the occurrence of the Termination Date, all obligations under the Loan Documents (other than obligations that by their terms survive the termination of the Loan Documents) and all security interests created by the Security Documents shall be automatically released. In connection with any termination or release pursuant to this Section or in connection with any subordination of its interest as required by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the Administrative Agent shall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The Lenders irrevocably authorize the Administrative Agent to release or subordinate any Lien on any property granted to or held by the Administrative Agent or the Collateral Agent under any Loan Document to the holder of any Lien on such property that is permitted by </w:t>
      </w:r>
      <w:r>
        <w:rPr>
          <w:rFonts w:ascii="Arial" w:cs="Arial" w:eastAsia="Arial" w:hAnsi="Arial"/>
          <w:sz w:val="16"/>
          <w:szCs w:val="16"/>
          <w:u w:val="single" w:color="auto"/>
          <w:color w:val="auto"/>
        </w:rPr>
        <w:t>Section 6.02(ii)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6.02(iv)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6.02(vi)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6.02(xiv)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6.02(xv)</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6.02(xxi)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6.02(xxv)</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4" w:right="2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6.02(xxvi)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6.02(xxix)</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6.02(xxxi)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6.02(xxxiv)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6.02(xxxv)</w:t>
      </w:r>
      <w:r>
        <w:rPr>
          <w:rFonts w:ascii="Arial" w:cs="Arial" w:eastAsia="Arial" w:hAnsi="Arial"/>
          <w:sz w:val="18"/>
          <w:szCs w:val="18"/>
          <w:color w:val="auto"/>
        </w:rPr>
        <w:t xml:space="preserve"> in each case, to the extent required by the terms of the obligations secured by such Liens pursuant to documents reasonably acceptable to the Administrative Agent.</w:t>
      </w:r>
    </w:p>
    <w:p>
      <w:pPr>
        <w:spacing w:after="0" w:line="185" w:lineRule="exact"/>
        <w:rPr>
          <w:sz w:val="20"/>
          <w:szCs w:val="20"/>
          <w:color w:val="auto"/>
        </w:rPr>
      </w:pPr>
    </w:p>
    <w:p>
      <w:pPr>
        <w:jc w:val="both"/>
        <w:ind w:left="4" w:firstLine="440"/>
        <w:spacing w:after="0" w:line="255"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No Fiduciary Relationship</w:t>
      </w:r>
      <w:r>
        <w:rPr>
          <w:rFonts w:ascii="Arial" w:cs="Arial" w:eastAsia="Arial" w:hAnsi="Arial"/>
          <w:sz w:val="18"/>
          <w:szCs w:val="18"/>
          <w:color w:val="auto"/>
        </w:rPr>
        <w:t>. Each of Holdings and the Borrower, on behalf of itself and its Subsidiaries, agrees that in connection with all aspects of the transactions contemplated hereby and any communications in connection therewith, Holdings, the Borrower, the other Subsidiaries and their Affiliates, on the one hand, and the Administrative Agent, the Agents, the Lenders and their respective Affiliates, and Agents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Permitted Intercreditor Agreements</w:t>
      </w:r>
      <w:r>
        <w:rPr>
          <w:rFonts w:ascii="Arial" w:cs="Arial" w:eastAsia="Arial" w:hAnsi="Arial"/>
          <w:sz w:val="18"/>
          <w:szCs w:val="18"/>
          <w:color w:val="auto"/>
        </w:rPr>
        <w:t>.</w:t>
      </w:r>
    </w:p>
    <w:p>
      <w:pPr>
        <w:spacing w:after="0" w:line="117" w:lineRule="exact"/>
        <w:rPr>
          <w:sz w:val="20"/>
          <w:szCs w:val="20"/>
          <w:color w:val="auto"/>
        </w:rPr>
      </w:pPr>
    </w:p>
    <w:p>
      <w:pPr>
        <w:jc w:val="both"/>
        <w:ind w:left="4" w:firstLine="436"/>
        <w:spacing w:after="0" w:line="269" w:lineRule="auto"/>
        <w:tabs>
          <w:tab w:leader="none" w:pos="693" w:val="left"/>
        </w:tabs>
        <w:numPr>
          <w:ilvl w:val="0"/>
          <w:numId w:val="314"/>
        </w:numPr>
        <w:rPr>
          <w:rFonts w:ascii="Arial" w:cs="Arial" w:eastAsia="Arial" w:hAnsi="Arial"/>
          <w:sz w:val="17"/>
          <w:szCs w:val="17"/>
          <w:color w:val="auto"/>
        </w:rPr>
      </w:pPr>
      <w:r>
        <w:rPr>
          <w:rFonts w:ascii="Arial" w:cs="Arial" w:eastAsia="Arial" w:hAnsi="Arial"/>
          <w:sz w:val="17"/>
          <w:szCs w:val="17"/>
          <w:color w:val="auto"/>
        </w:rPr>
        <w:t>Each of the Lenders, the Issuing Banks and the other Secured Parties acknowledges that obligations of the Borrower and the Guarantors under any Incremental Equivalent Debt, any Ratio Indebtedness, any Acquisition Debt, any Permitted Equal Priority Refinancing Debt and any Permitted Junior Priority Refinancing Debt may be secured by Liens on assets of the Borrower and the Guarantors that constitute Collateral. Each of the Lenders, the Issuing Banks and the other Secured Parties hereby irrevocably authorizes and directs each of the Administrative Agent and the Collateral Agent to execute and deliver, in each case on behalf of such Secured Party and without any further consent, authorization or other action by such Secured Party and the Administrative Agent and the Collateral Agent agree (to the extent consistent with the standards set forth in the definition of “Intercreditor Agreements”, as applicable) to so execute, (i) from time to time upon the request of the Borrower, in connection with the establishment, incurrence, amendment, refinancing or replacement of any such Indebtedness, any applicable Intercreditor Agreement (it being understood that each of the Administrative Agent and the Collateral Agent is hereby authorized and directed to determine the terms and conditions of any such Intercreditor Agreement as contemplated by, and subject to the provisions of, the definition of the terms “Intercreditor Agreement”), and (ii) any documents relating thereto.</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24"/>
          </w:cols>
          <w:pgMar w:left="436" w:top="274" w:right="439" w:bottom="1440" w:gutter="0" w:footer="0" w:header="0"/>
        </w:sectPr>
      </w:pPr>
    </w:p>
    <w:bookmarkStart w:id="251" w:name="page252"/>
    <w:bookmarkEnd w:id="251"/>
    <w:p>
      <w:pPr>
        <w:jc w:val="both"/>
        <w:ind w:left="4" w:firstLine="436"/>
        <w:spacing w:after="0" w:line="287" w:lineRule="auto"/>
        <w:tabs>
          <w:tab w:leader="none" w:pos="707" w:val="left"/>
        </w:tabs>
        <w:numPr>
          <w:ilvl w:val="1"/>
          <w:numId w:val="3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Lenders, the Issuing Banks and the other Secured Parties hereby irrevocably (i) consents to the treatment of Liens to be provided for under the Intercreditor Agreements, (ii) agrees that, upon the execution and delivery thereof, such Secured Party will be bound by the provisions of any Intercreditor Agreement as if it were a signatory thereto and will take no actions contrary to the provisions of any Intercreditor Agreement,</w:t>
      </w:r>
    </w:p>
    <w:p>
      <w:pPr>
        <w:spacing w:after="0" w:line="2" w:lineRule="exact"/>
        <w:rPr>
          <w:rFonts w:ascii="Arial" w:cs="Arial" w:eastAsia="Arial" w:hAnsi="Arial"/>
          <w:sz w:val="16"/>
          <w:szCs w:val="16"/>
          <w:color w:val="auto"/>
        </w:rPr>
      </w:pPr>
    </w:p>
    <w:p>
      <w:pPr>
        <w:jc w:val="both"/>
        <w:ind w:left="4" w:right="20" w:hanging="4"/>
        <w:spacing w:after="0" w:line="302" w:lineRule="auto"/>
        <w:tabs>
          <w:tab w:leader="none" w:pos="329"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agrees that no Secured Party shall have any right of action whatsoever against the Administrative Agent or the Collateral Agent as a result of any action taken by the Administrative Agent or the Collateral Agent pursuant to this Section or in accordance with the terms of any Intercreditor Agreement and (iv) authorizes and directs each of the Administrative Agent and the Collateral Agent to carry out the provisions and intent of each such document.</w:t>
      </w:r>
    </w:p>
    <w:p>
      <w:pPr>
        <w:spacing w:after="0" w:line="47" w:lineRule="exact"/>
        <w:rPr>
          <w:rFonts w:ascii="Arial" w:cs="Arial" w:eastAsia="Arial" w:hAnsi="Arial"/>
          <w:sz w:val="16"/>
          <w:szCs w:val="16"/>
          <w:color w:val="auto"/>
        </w:rPr>
      </w:pPr>
    </w:p>
    <w:p>
      <w:pPr>
        <w:jc w:val="both"/>
        <w:ind w:left="4" w:right="20" w:firstLine="436"/>
        <w:spacing w:after="0" w:line="290" w:lineRule="auto"/>
        <w:tabs>
          <w:tab w:leader="none" w:pos="736" w:val="left"/>
        </w:tabs>
        <w:numPr>
          <w:ilvl w:val="1"/>
          <w:numId w:val="316"/>
        </w:numPr>
        <w:rPr>
          <w:rFonts w:ascii="Arial" w:cs="Arial" w:eastAsia="Arial" w:hAnsi="Arial"/>
          <w:sz w:val="16"/>
          <w:szCs w:val="16"/>
          <w:color w:val="auto"/>
        </w:rPr>
      </w:pPr>
      <w:r>
        <w:rPr>
          <w:rFonts w:ascii="Arial" w:cs="Arial" w:eastAsia="Arial" w:hAnsi="Arial"/>
          <w:sz w:val="16"/>
          <w:szCs w:val="16"/>
          <w:color w:val="auto"/>
        </w:rPr>
        <w:t>Each of the Lenders, the Issuing Banks and the other Secured Parties hereby irrevocably further authorizes and directs each of the Administrative Agent and the Collateral Agent to execute and deliver, in each case on behalf of such Secured Party and without any further consent, authorization or other action by such Secured Party, any amendments, supplements or other modifications of any Intercreditor Agreement that the Borrower may from time to time request (i) to give effect to any establishment, incurrence, amendment, extension, renewal, Refinancing or replacement of any Incremental Equivalent Debt, any Ratio Indebtedness, any Acquisition Debt, any Permitted Equal Priority Refinancing Debt and any Permitted Junior Priority Refinancing Debt, (ii) to confirm for any party that such Intercreditor Agreement is effective and binding upon the Administrative Agent or the Collateral Agent, as applicable, on behalf of the Secured Parties or (iii) to effect any other amendment, supplement or modification so long as the resulting agreement would constitute an Intercreditor Agreement if executed at such time as a new agreement.</w:t>
      </w:r>
    </w:p>
    <w:p>
      <w:pPr>
        <w:spacing w:after="0" w:line="57" w:lineRule="exact"/>
        <w:rPr>
          <w:rFonts w:ascii="Arial" w:cs="Arial" w:eastAsia="Arial" w:hAnsi="Arial"/>
          <w:sz w:val="16"/>
          <w:szCs w:val="16"/>
          <w:color w:val="auto"/>
        </w:rPr>
      </w:pPr>
    </w:p>
    <w:p>
      <w:pPr>
        <w:jc w:val="both"/>
        <w:ind w:left="4" w:firstLine="436"/>
        <w:spacing w:after="0" w:line="259" w:lineRule="auto"/>
        <w:tabs>
          <w:tab w:leader="none" w:pos="746" w:val="left"/>
        </w:tabs>
        <w:numPr>
          <w:ilvl w:val="1"/>
          <w:numId w:val="316"/>
        </w:numPr>
        <w:rPr>
          <w:rFonts w:ascii="Arial" w:cs="Arial" w:eastAsia="Arial" w:hAnsi="Arial"/>
          <w:sz w:val="18"/>
          <w:szCs w:val="18"/>
          <w:color w:val="auto"/>
        </w:rPr>
      </w:pPr>
      <w:r>
        <w:rPr>
          <w:rFonts w:ascii="Arial" w:cs="Arial" w:eastAsia="Arial" w:hAnsi="Arial"/>
          <w:sz w:val="18"/>
          <w:szCs w:val="18"/>
          <w:color w:val="auto"/>
        </w:rPr>
        <w:t>Each of the Lenders, the Issuing Banks and the other Secured Parties hereby irrevocably further authorizes and directs each of the Administrative Agent and the Collateral Agent to execute and deliver, in each case on behalf of such Secured Party and without any further consent, authorization or other action by such Secured Party, any amendments, supplements or other modifications of any Security Document to add or remove any legend that may be required pursuant to any Intercreditor Agreement.</w:t>
      </w:r>
    </w:p>
    <w:p>
      <w:pPr>
        <w:spacing w:after="0" w:line="78" w:lineRule="exact"/>
        <w:rPr>
          <w:rFonts w:ascii="Arial" w:cs="Arial" w:eastAsia="Arial" w:hAnsi="Arial"/>
          <w:sz w:val="18"/>
          <w:szCs w:val="18"/>
          <w:color w:val="auto"/>
        </w:rPr>
      </w:pPr>
    </w:p>
    <w:p>
      <w:pPr>
        <w:ind w:left="4" w:right="20" w:firstLine="436"/>
        <w:spacing w:after="0" w:line="277" w:lineRule="auto"/>
        <w:tabs>
          <w:tab w:leader="none" w:pos="7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 xml:space="preserve">Each of the Administrative Agent and the Collateral Agent shall have the benefit of the provisions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with respect to all actions taken by it pursuant to this Section or in accordance with the terms of any Intercreditor Agreement to the full extent thereof.</w:t>
      </w:r>
    </w:p>
    <w:p>
      <w:pPr>
        <w:spacing w:after="0" w:line="170" w:lineRule="exact"/>
        <w:rPr>
          <w:sz w:val="20"/>
          <w:szCs w:val="20"/>
          <w:color w:val="auto"/>
        </w:rPr>
      </w:pPr>
    </w:p>
    <w:p>
      <w:pPr>
        <w:jc w:val="both"/>
        <w:ind w:left="4" w:firstLine="440"/>
        <w:spacing w:after="0" w:line="301" w:lineRule="auto"/>
        <w:rPr>
          <w:sz w:val="20"/>
          <w:szCs w:val="20"/>
          <w:color w:val="auto"/>
        </w:rPr>
      </w:pPr>
      <w:r>
        <w:rPr>
          <w:rFonts w:ascii="Arial" w:cs="Arial" w:eastAsia="Arial" w:hAnsi="Arial"/>
          <w:sz w:val="16"/>
          <w:szCs w:val="16"/>
          <w:color w:val="auto"/>
        </w:rPr>
        <w:t xml:space="preserve">SECTION 9.18 </w:t>
      </w:r>
      <w:r>
        <w:rPr>
          <w:rFonts w:ascii="Arial" w:cs="Arial" w:eastAsia="Arial" w:hAnsi="Arial"/>
          <w:sz w:val="16"/>
          <w:szCs w:val="16"/>
          <w:u w:val="single" w:color="auto"/>
          <w:color w:val="auto"/>
        </w:rPr>
        <w:t>Acknowledgement and Consent to Bail-In of EEA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Lender or Issuing Bank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49" w:lineRule="exact"/>
        <w:rPr>
          <w:sz w:val="20"/>
          <w:szCs w:val="20"/>
          <w:color w:val="auto"/>
        </w:rPr>
      </w:pPr>
    </w:p>
    <w:p>
      <w:pPr>
        <w:ind w:left="4" w:right="20" w:firstLine="436"/>
        <w:spacing w:after="0" w:line="277" w:lineRule="auto"/>
        <w:tabs>
          <w:tab w:leader="none" w:pos="70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3" w:lineRule="exact"/>
        <w:rPr>
          <w:rFonts w:ascii="Arial" w:cs="Arial" w:eastAsia="Arial" w:hAnsi="Arial"/>
          <w:sz w:val="18"/>
          <w:szCs w:val="18"/>
          <w:color w:val="auto"/>
        </w:rPr>
      </w:pPr>
    </w:p>
    <w:p>
      <w:pPr>
        <w:ind w:left="1084" w:hanging="221"/>
        <w:spacing w:after="0"/>
        <w:tabs>
          <w:tab w:leader="none" w:pos="1084"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02" w:lineRule="exact"/>
        <w:rPr>
          <w:rFonts w:ascii="Arial" w:cs="Arial" w:eastAsia="Arial" w:hAnsi="Arial"/>
          <w:sz w:val="18"/>
          <w:szCs w:val="18"/>
          <w:color w:val="auto"/>
        </w:rPr>
      </w:pPr>
    </w:p>
    <w:p>
      <w:pPr>
        <w:ind w:left="444" w:right="20" w:firstLine="419"/>
        <w:spacing w:after="0" w:line="308" w:lineRule="auto"/>
        <w:tabs>
          <w:tab w:leader="none" w:pos="1148" w:val="left"/>
        </w:tabs>
        <w:numPr>
          <w:ilvl w:val="1"/>
          <w:numId w:val="317"/>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024"/>
          </w:cols>
          <w:pgMar w:left="436" w:top="274" w:right="439" w:bottom="1440" w:gutter="0" w:footer="0" w:header="0"/>
        </w:sectPr>
      </w:pPr>
    </w:p>
    <w:bookmarkStart w:id="252" w:name="page253"/>
    <w:bookmarkEnd w:id="252"/>
    <w:p>
      <w:pPr>
        <w:ind w:left="44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instruments of ownership will be accepted by it in lieu of any rights with respect to any such liability under this Agreement or any other Loan Document; or</w:t>
      </w:r>
    </w:p>
    <w:p>
      <w:pPr>
        <w:spacing w:after="0" w:line="62" w:lineRule="exact"/>
        <w:rPr>
          <w:sz w:val="20"/>
          <w:szCs w:val="20"/>
          <w:color w:val="auto"/>
        </w:rPr>
      </w:pPr>
    </w:p>
    <w:p>
      <w:pPr>
        <w:ind w:left="440" w:right="20" w:firstLine="419"/>
        <w:spacing w:after="0" w:line="277" w:lineRule="auto"/>
        <w:tabs>
          <w:tab w:leader="none" w:pos="120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both"/>
        <w:ind w:firstLine="440"/>
        <w:spacing w:after="0" w:line="268"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Electronic Execution of Assignments and Certain Other Documents</w:t>
      </w:r>
      <w:r>
        <w:rPr>
          <w:rFonts w:ascii="Arial" w:cs="Arial" w:eastAsia="Arial" w:hAnsi="Arial"/>
          <w:sz w:val="17"/>
          <w:szCs w:val="17"/>
          <w:color w:val="auto"/>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further, that electronic signatures from Lenders (including assignees) delivered pursuant to procedures in effect on the site maintained by the Administrative Agent with respect to the Credit Facilities as of the Effective Date shall be acceptable to the Administrative Agent. For the avoidance of doubt, delivery of an executed counterpart of a signature page by facsimile or other electronic imaging means (e.g. “.pdf” or “.tif”) shall be effective as delivery of a manually executed counterpart, and shall not be considered an electronic signature.</w:t>
      </w:r>
    </w:p>
    <w:p>
      <w:pPr>
        <w:spacing w:after="0" w:line="184"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Other Agents and Arrangers</w:t>
      </w:r>
      <w:r>
        <w:rPr>
          <w:rFonts w:ascii="Arial" w:cs="Arial" w:eastAsia="Arial" w:hAnsi="Arial"/>
          <w:sz w:val="18"/>
          <w:szCs w:val="18"/>
          <w:color w:val="auto"/>
        </w:rPr>
        <w:t>. None of the Lenders or other Persons identified on the facing page or signature pages of this Agreement as a “syndication agent,” “documentation agent”, “joint lead arranger,” or “joint bookrunner”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9.21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342" w:lineRule="auto"/>
        <w:tabs>
          <w:tab w:leader="none" w:pos="695" w:val="left"/>
        </w:tabs>
        <w:numPr>
          <w:ilvl w:val="0"/>
          <w:numId w:val="319"/>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w:t>
      </w:r>
    </w:p>
    <w:p>
      <w:pPr>
        <w:spacing w:after="0" w:line="15" w:lineRule="exact"/>
        <w:rPr>
          <w:rFonts w:ascii="Arial" w:cs="Arial" w:eastAsia="Arial" w:hAnsi="Arial"/>
          <w:sz w:val="16"/>
          <w:szCs w:val="16"/>
          <w:color w:val="auto"/>
        </w:rPr>
      </w:pPr>
    </w:p>
    <w:p>
      <w:pPr>
        <w:jc w:val="both"/>
        <w:ind w:left="440" w:right="20" w:firstLine="419"/>
        <w:spacing w:after="0" w:line="263" w:lineRule="auto"/>
        <w:tabs>
          <w:tab w:leader="none" w:pos="1088" w:val="left"/>
        </w:tabs>
        <w:numPr>
          <w:ilvl w:val="1"/>
          <w:numId w:val="319"/>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5" w:lineRule="exact"/>
        <w:rPr>
          <w:rFonts w:ascii="Arial" w:cs="Arial" w:eastAsia="Arial" w:hAnsi="Arial"/>
          <w:sz w:val="18"/>
          <w:szCs w:val="18"/>
          <w:color w:val="auto"/>
        </w:rPr>
      </w:pPr>
    </w:p>
    <w:p>
      <w:pPr>
        <w:jc w:val="both"/>
        <w:ind w:left="440" w:right="20" w:firstLine="419"/>
        <w:spacing w:after="0" w:line="263" w:lineRule="auto"/>
        <w:tabs>
          <w:tab w:leader="none" w:pos="1153"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20"/>
          </w:cols>
          <w:pgMar w:left="440" w:top="274" w:right="439" w:bottom="1440" w:gutter="0" w:footer="0" w:header="0"/>
        </w:sectPr>
      </w:pPr>
    </w:p>
    <w:bookmarkStart w:id="253" w:name="page254"/>
    <w:bookmarkEnd w:id="253"/>
    <w:p>
      <w:pPr>
        <w:jc w:val="both"/>
        <w:ind w:left="44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ERISA Section 406 and Code Section 4975 such Lender’s entrance into, participation in, administration of and performance of the Loans, the Letters of Credit, the Commitments and this Agreement,</w:t>
      </w:r>
    </w:p>
    <w:p>
      <w:pPr>
        <w:spacing w:after="0" w:line="79" w:lineRule="exact"/>
        <w:rPr>
          <w:sz w:val="20"/>
          <w:szCs w:val="20"/>
          <w:color w:val="auto"/>
        </w:rPr>
      </w:pPr>
    </w:p>
    <w:p>
      <w:pPr>
        <w:jc w:val="both"/>
        <w:ind w:left="444" w:right="20" w:firstLine="419"/>
        <w:spacing w:after="0" w:line="254" w:lineRule="auto"/>
        <w:tabs>
          <w:tab w:leader="none" w:pos="1193" w:val="left"/>
        </w:tabs>
        <w:numPr>
          <w:ilvl w:val="2"/>
          <w:numId w:val="320"/>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6" w:lineRule="exact"/>
        <w:rPr>
          <w:rFonts w:ascii="Arial" w:cs="Arial" w:eastAsia="Arial" w:hAnsi="Arial"/>
          <w:sz w:val="18"/>
          <w:szCs w:val="18"/>
          <w:color w:val="auto"/>
        </w:rPr>
      </w:pPr>
    </w:p>
    <w:p>
      <w:pPr>
        <w:ind w:left="1184" w:hanging="321"/>
        <w:spacing w:after="0"/>
        <w:tabs>
          <w:tab w:leader="none" w:pos="1184" w:val="left"/>
        </w:tabs>
        <w:numPr>
          <w:ilvl w:val="2"/>
          <w:numId w:val="320"/>
        </w:numPr>
        <w:rPr>
          <w:rFonts w:ascii="Arial" w:cs="Arial" w:eastAsia="Arial" w:hAnsi="Arial"/>
          <w:sz w:val="16"/>
          <w:szCs w:val="16"/>
          <w:color w:val="auto"/>
        </w:rPr>
      </w:pPr>
      <w:r>
        <w:rPr>
          <w:rFonts w:ascii="Arial" w:cs="Arial" w:eastAsia="Arial" w:hAnsi="Arial"/>
          <w:sz w:val="16"/>
          <w:szCs w:val="16"/>
          <w:color w:val="auto"/>
        </w:rPr>
        <w:t>such other representation, warranty and covenant as may be agreed in writing between the Administrative Agent, Borrower, and such</w:t>
      </w:r>
    </w:p>
    <w:p>
      <w:pPr>
        <w:spacing w:after="0" w:line="4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Lender.</w:t>
      </w:r>
    </w:p>
    <w:p>
      <w:pPr>
        <w:spacing w:after="0" w:line="102" w:lineRule="exact"/>
        <w:rPr>
          <w:rFonts w:ascii="Arial" w:cs="Arial" w:eastAsia="Arial" w:hAnsi="Arial"/>
          <w:sz w:val="16"/>
          <w:szCs w:val="16"/>
          <w:color w:val="auto"/>
        </w:rPr>
      </w:pPr>
    </w:p>
    <w:p>
      <w:pPr>
        <w:jc w:val="both"/>
        <w:ind w:left="4" w:right="20" w:firstLine="436"/>
        <w:spacing w:after="0" w:line="291" w:lineRule="auto"/>
        <w:tabs>
          <w:tab w:leader="none" w:pos="699"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jc w:val="both"/>
        <w:ind w:left="4" w:hanging="4"/>
        <w:spacing w:after="0" w:line="251" w:lineRule="auto"/>
        <w:tabs>
          <w:tab w:leader="none" w:pos="27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acknowledges, from the date such Person became a Lender party hereto to the date such Person ceases being a Lender party hereto, for the benefit of the Administrative Agent and the Joint Lead Arrangers and not, for the avoidance of doubt, to or for the benefit of the Borrower or any other Loan Party, that none of the Administrative Agent, the Joint Lead Arrangers or any of their respective Affiliates (A) is or will be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or the Joint Lead Arrangers under this Agreement, any Loan Document or any documents related hereto or thereto) or (B) is undertaking to provide investment advice to such Lender in connection with the transactions contemplated hereby.</w:t>
      </w:r>
    </w:p>
    <w:p>
      <w:pPr>
        <w:spacing w:after="0" w:line="19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9.22 </w:t>
      </w:r>
      <w:r>
        <w:rPr>
          <w:rFonts w:ascii="Arial" w:cs="Arial" w:eastAsia="Arial" w:hAnsi="Arial"/>
          <w:sz w:val="18"/>
          <w:szCs w:val="18"/>
          <w:u w:val="single" w:color="auto"/>
          <w:color w:val="auto"/>
        </w:rPr>
        <w:t>Acknowledgment Regarding Any Supported QFCs</w:t>
      </w:r>
      <w:r>
        <w:rPr>
          <w:rFonts w:ascii="Arial" w:cs="Arial" w:eastAsia="Arial" w:hAnsi="Arial"/>
          <w:sz w:val="18"/>
          <w:szCs w:val="18"/>
          <w:color w:val="auto"/>
        </w:rPr>
        <w:t>.</w:t>
      </w:r>
    </w:p>
    <w:p>
      <w:pPr>
        <w:spacing w:after="0" w:line="117" w:lineRule="exact"/>
        <w:rPr>
          <w:sz w:val="20"/>
          <w:szCs w:val="20"/>
          <w:color w:val="auto"/>
        </w:rPr>
      </w:pPr>
    </w:p>
    <w:p>
      <w:pPr>
        <w:jc w:val="both"/>
        <w:ind w:left="4" w:firstLine="436"/>
        <w:spacing w:after="0" w:line="254" w:lineRule="auto"/>
        <w:tabs>
          <w:tab w:leader="none" w:pos="70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the extent that the Loan Documents provide support, through a guarantee or otherwise, for Swap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86" w:lineRule="exact"/>
        <w:rPr>
          <w:rFonts w:ascii="Arial" w:cs="Arial" w:eastAsia="Arial" w:hAnsi="Arial"/>
          <w:sz w:val="18"/>
          <w:szCs w:val="18"/>
          <w:color w:val="auto"/>
        </w:rPr>
      </w:pPr>
    </w:p>
    <w:p>
      <w:pPr>
        <w:ind w:left="4" w:right="20" w:firstLine="436"/>
        <w:spacing w:after="0" w:line="342" w:lineRule="auto"/>
        <w:tabs>
          <w:tab w:leader="none" w:pos="699" w:val="left"/>
        </w:tabs>
        <w:numPr>
          <w:ilvl w:val="0"/>
          <w:numId w:val="323"/>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024"/>
          </w:cols>
          <w:pgMar w:left="436" w:top="274" w:right="439" w:bottom="1440" w:gutter="0" w:footer="0" w:header="0"/>
        </w:sectPr>
      </w:pPr>
    </w:p>
    <w:bookmarkStart w:id="254" w:name="page255"/>
    <w:bookmarkEnd w:id="254"/>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6"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 xml:space="preserve">SECTION 9.23 </w:t>
      </w:r>
      <w:r>
        <w:rPr>
          <w:rFonts w:ascii="Arial" w:cs="Arial" w:eastAsia="Arial" w:hAnsi="Arial"/>
          <w:sz w:val="18"/>
          <w:szCs w:val="18"/>
          <w:u w:val="single" w:color="auto"/>
          <w:color w:val="auto"/>
        </w:rPr>
        <w:t>Consummation of Merger</w:t>
      </w:r>
      <w:r>
        <w:rPr>
          <w:rFonts w:ascii="Arial" w:cs="Arial" w:eastAsia="Arial" w:hAnsi="Arial"/>
          <w:sz w:val="18"/>
          <w:szCs w:val="18"/>
          <w:color w:val="auto"/>
        </w:rPr>
        <w:t>. It is understood that notwithstanding the execution and delivery of signature pages by Norvax with respect to this Agreement and the other Loan Documents prior to the effectiveness of the Merger, Norvax shall not be deemed to be a party to this Agreement or any other Loan Document until the consummation of the Merger. Upon consummation of the Merger, this Section 9.23 shall be of no further force or effect.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 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695DEC"/>
    <w:multiLevelType w:val="hybridMultilevel"/>
    <w:lvl w:ilvl="0">
      <w:lvlJc w:val="left"/>
      <w:lvlText w:val="☐"/>
      <w:numFmt w:val="bullet"/>
      <w:start w:val="1"/>
    </w:lvl>
  </w:abstractNum>
  <w:abstractNum w:abstractNumId="1">
    <w:nsid w:val="3FCFAED9"/>
    <w:multiLevelType w:val="hybridMultilevel"/>
    <w:lvl w:ilvl="0">
      <w:lvlJc w:val="left"/>
      <w:lvlText w:val="(%1)"/>
      <w:numFmt w:val="lowerRoman"/>
      <w:start w:val="1"/>
    </w:lvl>
  </w:abstractNum>
  <w:abstractNum w:abstractNumId="2">
    <w:nsid w:val="F856867"/>
    <w:multiLevelType w:val="hybridMultilevel"/>
    <w:lvl w:ilvl="0">
      <w:lvlJc w:val="left"/>
      <w:lvlText w:val="(%1)"/>
      <w:numFmt w:val="lowerLetter"/>
      <w:start w:val="4"/>
    </w:lvl>
  </w:abstractNum>
  <w:abstractNum w:abstractNumId="3">
    <w:nsid w:val="11B1CC33"/>
    <w:multiLevelType w:val="hybridMultilevel"/>
    <w:lvl w:ilvl="0">
      <w:lvlJc w:val="left"/>
      <w:lvlText w:val="(%1)"/>
      <w:numFmt w:val="lowerLetter"/>
      <w:start w:val="1"/>
    </w:lvl>
  </w:abstractNum>
  <w:abstractNum w:abstractNumId="4">
    <w:nsid w:val="2E22FBB7"/>
    <w:multiLevelType w:val="hybridMultilevel"/>
    <w:lvl w:ilvl="0">
      <w:lvlJc w:val="left"/>
      <w:lvlText w:val="(%1)"/>
      <w:numFmt w:val="lowerLetter"/>
      <w:start w:val="1"/>
    </w:lvl>
    <w:lvl w:ilvl="1">
      <w:lvlJc w:val="left"/>
      <w:lvlText w:val="\ldblquote"/>
      <w:numFmt w:val="bullet"/>
      <w:start w:val="1"/>
    </w:lvl>
  </w:abstractNum>
  <w:abstractNum w:abstractNumId="5">
    <w:nsid w:val="29934699"/>
    <w:multiLevelType w:val="hybridMultilevel"/>
    <w:lvl w:ilvl="0">
      <w:lvlJc w:val="left"/>
      <w:lvlText w:val="(%1)"/>
      <w:numFmt w:val="lowerLetter"/>
      <w:start w:val="2"/>
    </w:lvl>
    <w:lvl w:ilvl="1">
      <w:lvlJc w:val="left"/>
      <w:lvlText w:val="\ldblquote"/>
      <w:numFmt w:val="bullet"/>
      <w:start w:val="1"/>
    </w:lvl>
  </w:abstractNum>
  <w:abstractNum w:abstractNumId="6">
    <w:nsid w:val="77485850"/>
    <w:multiLevelType w:val="hybridMultilevel"/>
    <w:lvl w:ilvl="0">
      <w:lvlJc w:val="left"/>
      <w:lvlText w:val="(%1)"/>
      <w:numFmt w:val="lowerLetter"/>
      <w:start w:val="2"/>
    </w:lvl>
  </w:abstractNum>
  <w:abstractNum w:abstractNumId="7">
    <w:nsid w:val="744939A3"/>
    <w:multiLevelType w:val="hybridMultilevel"/>
    <w:lvl w:ilvl="0">
      <w:lvlJc w:val="left"/>
      <w:lvlText w:val="(%1)"/>
      <w:numFmt w:val="lowerLetter"/>
      <w:start w:val="1"/>
    </w:lvl>
  </w:abstractNum>
  <w:abstractNum w:abstractNumId="8">
    <w:nsid w:val="4FA0D2E3"/>
    <w:multiLevelType w:val="hybridMultilevel"/>
    <w:lvl w:ilvl="0">
      <w:lvlJc w:val="left"/>
      <w:lvlText w:val="%1"/>
      <w:numFmt w:val="lowerLetter"/>
      <w:start w:val="1"/>
    </w:lvl>
    <w:lvl w:ilvl="1">
      <w:lvlJc w:val="left"/>
      <w:lvlText w:val="(%2)"/>
      <w:numFmt w:val="lowerLetter"/>
      <w:start w:val="1"/>
    </w:lvl>
  </w:abstractNum>
  <w:abstractNum w:abstractNumId="9">
    <w:nsid w:val="6B1D2C14"/>
    <w:multiLevelType w:val="hybridMultilevel"/>
    <w:lvl w:ilvl="0">
      <w:lvlJc w:val="left"/>
      <w:lvlText w:val="(%1)"/>
      <w:numFmt w:val="lowerLetter"/>
      <w:start w:val="9"/>
    </w:lvl>
    <w:lvl w:ilvl="1">
      <w:lvlJc w:val="left"/>
      <w:lvlText w:val="(%2)"/>
      <w:numFmt w:val="lowerLetter"/>
      <w:start w:val="3"/>
    </w:lvl>
  </w:abstractNum>
  <w:abstractNum w:abstractNumId="10">
    <w:nsid w:val="68B867D3"/>
    <w:multiLevelType w:val="hybridMultilevel"/>
    <w:lvl w:ilvl="0">
      <w:lvlJc w:val="left"/>
      <w:lvlText w:val="(%1)"/>
      <w:numFmt w:val="lowerLetter"/>
      <w:start w:val="1"/>
    </w:lvl>
  </w:abstractNum>
  <w:abstractNum w:abstractNumId="11">
    <w:nsid w:val="3F7F5DD9"/>
    <w:multiLevelType w:val="hybridMultilevel"/>
    <w:lvl w:ilvl="0">
      <w:lvlJc w:val="left"/>
      <w:lvlText w:val="(%1)"/>
      <w:numFmt w:val="lowerLetter"/>
      <w:start w:val="4"/>
    </w:lvl>
  </w:abstractNum>
  <w:abstractNum w:abstractNumId="12">
    <w:nsid w:val="2AE05A34"/>
    <w:multiLevelType w:val="hybridMultilevel"/>
    <w:lvl w:ilvl="0">
      <w:lvlJc w:val="left"/>
      <w:lvlText w:val="(%1)"/>
      <w:numFmt w:val="lowerLetter"/>
      <w:start w:val="1"/>
    </w:lvl>
  </w:abstractNum>
  <w:abstractNum w:abstractNumId="13">
    <w:nsid w:val="32794FF7"/>
    <w:multiLevelType w:val="hybridMultilevel"/>
    <w:lvl w:ilvl="0">
      <w:lvlJc w:val="left"/>
      <w:lvlText w:val="(%1)"/>
      <w:numFmt w:val="decimal"/>
      <w:start w:val="1"/>
    </w:lvl>
  </w:abstractNum>
  <w:abstractNum w:abstractNumId="14">
    <w:nsid w:val="5454945E"/>
    <w:multiLevelType w:val="hybridMultilevel"/>
    <w:lvl w:ilvl="0">
      <w:lvlJc w:val="left"/>
      <w:lvlText w:val="%1"/>
      <w:numFmt w:val="lowerLetter"/>
      <w:start w:val="1"/>
    </w:lvl>
    <w:lvl w:ilvl="1">
      <w:lvlJc w:val="left"/>
      <w:lvlText w:val="(%2)"/>
      <w:numFmt w:val="lowerLetter"/>
      <w:start w:val="1"/>
    </w:lvl>
  </w:abstractNum>
  <w:abstractNum w:abstractNumId="15">
    <w:nsid w:val="4DEFDFA0"/>
    <w:multiLevelType w:val="hybridMultilevel"/>
    <w:lvl w:ilvl="0">
      <w:lvlJc w:val="left"/>
      <w:lvlText w:val="(%1)"/>
      <w:numFmt w:val="lowerLetter"/>
      <w:start w:val="61"/>
    </w:lvl>
    <w:lvl w:ilvl="1">
      <w:lvlJc w:val="left"/>
      <w:lvlText w:val="(%2)"/>
      <w:numFmt w:val="lowerLetter"/>
      <w:start w:val="4"/>
    </w:lvl>
  </w:abstractNum>
  <w:abstractNum w:abstractNumId="16">
    <w:nsid w:val="2123D5F2"/>
    <w:multiLevelType w:val="hybridMultilevel"/>
    <w:lvl w:ilvl="0">
      <w:lvlJc w:val="left"/>
      <w:lvlText w:val="(%1)"/>
      <w:numFmt w:val="lowerLetter"/>
      <w:start w:val="35"/>
    </w:lvl>
    <w:lvl w:ilvl="1">
      <w:lvlJc w:val="left"/>
      <w:lvlText w:val="(%2)"/>
      <w:numFmt w:val="lowerLetter"/>
      <w:start w:val="7"/>
    </w:lvl>
  </w:abstractNum>
  <w:abstractNum w:abstractNumId="17">
    <w:nsid w:val="135B8110"/>
    <w:multiLevelType w:val="hybridMultilevel"/>
    <w:lvl w:ilvl="0">
      <w:lvlJc w:val="left"/>
      <w:lvlText w:val="(%1)"/>
      <w:numFmt w:val="lowerLetter"/>
      <w:start w:val="35"/>
    </w:lvl>
    <w:lvl w:ilvl="1">
      <w:lvlJc w:val="left"/>
      <w:lvlText w:val="%2"/>
      <w:numFmt w:val="lowerLetter"/>
      <w:start w:val="1"/>
    </w:lvl>
  </w:abstractNum>
  <w:abstractNum w:abstractNumId="18">
    <w:nsid w:val="94927A8"/>
    <w:multiLevelType w:val="hybridMultilevel"/>
    <w:lvl w:ilvl="0">
      <w:lvlJc w:val="left"/>
      <w:lvlText w:val="(%1)"/>
      <w:numFmt w:val="lowerLetter"/>
      <w:start w:val="1"/>
    </w:lvl>
  </w:abstractNum>
  <w:abstractNum w:abstractNumId="19">
    <w:nsid w:val="DCDF8F6"/>
    <w:multiLevelType w:val="hybridMultilevel"/>
    <w:lvl w:ilvl="0">
      <w:lvlJc w:val="left"/>
      <w:lvlText w:val="(%1)"/>
      <w:numFmt w:val="lowerLetter"/>
      <w:start w:val="1"/>
    </w:lvl>
  </w:abstractNum>
  <w:abstractNum w:abstractNumId="20">
    <w:nsid w:val="52D7B105"/>
    <w:multiLevelType w:val="hybridMultilevel"/>
    <w:lvl w:ilvl="0">
      <w:lvlJc w:val="left"/>
      <w:lvlText w:val="(%1)"/>
      <w:numFmt w:val="lowerLetter"/>
      <w:start w:val="2"/>
    </w:lvl>
  </w:abstractNum>
  <w:abstractNum w:abstractNumId="21">
    <w:nsid w:val="2E8A6394"/>
    <w:multiLevelType w:val="hybridMultilevel"/>
    <w:lvl w:ilvl="0">
      <w:lvlJc w:val="left"/>
      <w:lvlText w:val="(%1)"/>
      <w:numFmt w:val="lowerLetter"/>
      <w:start w:val="1"/>
    </w:lvl>
  </w:abstractNum>
  <w:abstractNum w:abstractNumId="22">
    <w:nsid w:val="24E60401"/>
    <w:multiLevelType w:val="hybridMultilevel"/>
    <w:lvl w:ilvl="0">
      <w:lvlJc w:val="left"/>
      <w:lvlText w:val="(%1)"/>
      <w:numFmt w:val="lowerLetter"/>
      <w:start w:val="35"/>
    </w:lvl>
    <w:lvl w:ilvl="1">
      <w:lvlJc w:val="left"/>
      <w:lvlText w:val="(%2)"/>
      <w:numFmt w:val="lowerLetter"/>
      <w:start w:val="7"/>
    </w:lvl>
  </w:abstractNum>
  <w:abstractNum w:abstractNumId="23">
    <w:nsid w:val="2A6AD9BE"/>
    <w:multiLevelType w:val="hybridMultilevel"/>
    <w:lvl w:ilvl="0">
      <w:lvlJc w:val="left"/>
      <w:lvlText w:val="(%1)"/>
      <w:numFmt w:val="lowerLetter"/>
      <w:start w:val="9"/>
    </w:lvl>
    <w:lvl w:ilvl="1">
      <w:lvlJc w:val="left"/>
      <w:lvlText w:val="(%2)"/>
      <w:numFmt w:val="lowerLetter"/>
      <w:start w:val="11"/>
    </w:lvl>
  </w:abstractNum>
  <w:abstractNum w:abstractNumId="24">
    <w:nsid w:val="BAAC1B4"/>
    <w:multiLevelType w:val="hybridMultilevel"/>
    <w:lvl w:ilvl="0">
      <w:lvlJc w:val="left"/>
      <w:lvlText w:val="(%1)"/>
      <w:numFmt w:val="lowerLetter"/>
      <w:start w:val="1"/>
    </w:lvl>
  </w:abstractNum>
  <w:abstractNum w:abstractNumId="25">
    <w:nsid w:val="36B2ACBC"/>
    <w:multiLevelType w:val="hybridMultilevel"/>
    <w:lvl w:ilvl="0">
      <w:lvlJc w:val="left"/>
      <w:lvlText w:val="(%1)"/>
      <w:numFmt w:val="lowerLetter"/>
      <w:start w:val="3"/>
    </w:lvl>
  </w:abstractNum>
  <w:abstractNum w:abstractNumId="26">
    <w:nsid w:val="779D8544"/>
    <w:multiLevelType w:val="hybridMultilevel"/>
    <w:lvl w:ilvl="0">
      <w:lvlJc w:val="left"/>
      <w:lvlText w:val="(%1)"/>
      <w:numFmt w:val="lowerRoman"/>
      <w:start w:val="2"/>
    </w:lvl>
  </w:abstractNum>
  <w:abstractNum w:abstractNumId="27">
    <w:nsid w:val="4AB26E78"/>
    <w:multiLevelType w:val="hybridMultilevel"/>
    <w:lvl w:ilvl="0">
      <w:lvlJc w:val="left"/>
      <w:lvlText w:val="(%1)"/>
      <w:numFmt w:val="lowerLetter"/>
      <w:start w:val="1"/>
    </w:lvl>
  </w:abstractNum>
  <w:abstractNum w:abstractNumId="28">
    <w:nsid w:val="21FAA2FA"/>
    <w:multiLevelType w:val="hybridMultilevel"/>
    <w:lvl w:ilvl="0">
      <w:lvlJc w:val="left"/>
      <w:lvlText w:val="(%1)"/>
      <w:numFmt w:val="lowerLetter"/>
      <w:start w:val="2"/>
    </w:lvl>
  </w:abstractNum>
  <w:abstractNum w:abstractNumId="29">
    <w:nsid w:val="5451CF49"/>
    <w:multiLevelType w:val="hybridMultilevel"/>
    <w:lvl w:ilvl="0">
      <w:lvlJc w:val="left"/>
      <w:lvlText w:val="(%1)"/>
      <w:numFmt w:val="lowerRoman"/>
      <w:start w:val="6"/>
    </w:lvl>
  </w:abstractNum>
  <w:abstractNum w:abstractNumId="30">
    <w:nsid w:val="6181EF69"/>
    <w:multiLevelType w:val="hybridMultilevel"/>
    <w:lvl w:ilvl="0">
      <w:lvlJc w:val="left"/>
      <w:lvlText w:val="(%1)"/>
      <w:numFmt w:val="lowerRoman"/>
      <w:start w:val="8"/>
    </w:lvl>
  </w:abstractNum>
  <w:abstractNum w:abstractNumId="31">
    <w:nsid w:val="3E6400E6"/>
    <w:multiLevelType w:val="hybridMultilevel"/>
    <w:lvl w:ilvl="0">
      <w:lvlJc w:val="left"/>
      <w:lvlText w:val="(%1)"/>
      <w:numFmt w:val="lowerRoman"/>
      <w:start w:val="3"/>
    </w:lvl>
  </w:abstractNum>
  <w:abstractNum w:abstractNumId="32">
    <w:nsid w:val="14217E23"/>
    <w:multiLevelType w:val="hybridMultilevel"/>
    <w:lvl w:ilvl="0">
      <w:lvlJc w:val="left"/>
      <w:lvlText w:val="(%1)"/>
      <w:numFmt w:val="upperLetter"/>
      <w:start w:val="2"/>
    </w:lvl>
  </w:abstractNum>
  <w:abstractNum w:abstractNumId="33">
    <w:nsid w:val="710757D0"/>
    <w:multiLevelType w:val="hybridMultilevel"/>
    <w:lvl w:ilvl="0">
      <w:lvlJc w:val="left"/>
      <w:lvlText w:val="%1"/>
      <w:numFmt w:val="lowerRoman"/>
      <w:start w:val="1"/>
    </w:lvl>
    <w:lvl w:ilvl="1">
      <w:lvlJc w:val="left"/>
      <w:lvlText w:val="(%2)"/>
      <w:numFmt w:val="lowerLetter"/>
      <w:start w:val="1"/>
    </w:lvl>
  </w:abstractNum>
  <w:abstractNum w:abstractNumId="34">
    <w:nsid w:val="5015CD1A"/>
    <w:multiLevelType w:val="hybridMultilevel"/>
    <w:lvl w:ilvl="0">
      <w:lvlJc w:val="left"/>
      <w:lvlText w:val="(%1)"/>
      <w:numFmt w:val="lowerRoman"/>
      <w:start w:val="1"/>
    </w:lvl>
    <w:lvl w:ilvl="1">
      <w:lvlJc w:val="left"/>
      <w:lvlText w:val="%2"/>
      <w:numFmt w:val="lowerLetter"/>
      <w:start w:val="1"/>
    </w:lvl>
  </w:abstractNum>
  <w:abstractNum w:abstractNumId="35">
    <w:nsid w:val="424479DA"/>
    <w:multiLevelType w:val="hybridMultilevel"/>
    <w:lvl w:ilvl="0">
      <w:lvlJc w:val="left"/>
      <w:lvlText w:val="(%1)"/>
      <w:numFmt w:val="lowerRoman"/>
      <w:start w:val="3"/>
    </w:lvl>
  </w:abstractNum>
  <w:abstractNum w:abstractNumId="36">
    <w:nsid w:val="1A9A9E69"/>
    <w:multiLevelType w:val="hybridMultilevel"/>
    <w:lvl w:ilvl="0">
      <w:lvlJc w:val="left"/>
      <w:lvlText w:val="(%1)"/>
      <w:numFmt w:val="lowerRoman"/>
      <w:start w:val="10"/>
    </w:lvl>
  </w:abstractNum>
  <w:abstractNum w:abstractNumId="37">
    <w:nsid w:val="475E256A"/>
    <w:multiLevelType w:val="hybridMultilevel"/>
    <w:lvl w:ilvl="0">
      <w:lvlJc w:val="left"/>
      <w:lvlText w:val="%1"/>
      <w:numFmt w:val="lowerLetter"/>
      <w:start w:val="1"/>
    </w:lvl>
    <w:lvl w:ilvl="1">
      <w:lvlJc w:val="left"/>
      <w:lvlText w:val="(%2)"/>
      <w:numFmt w:val="lowerRoman"/>
      <w:start w:val="17"/>
    </w:lvl>
  </w:abstractNum>
  <w:abstractNum w:abstractNumId="38">
    <w:nsid w:val="368DB37E"/>
    <w:multiLevelType w:val="hybridMultilevel"/>
    <w:lvl w:ilvl="0">
      <w:lvlJc w:val="left"/>
      <w:lvlText w:val="(%1)"/>
      <w:numFmt w:val="lowerLetter"/>
      <w:start w:val="2"/>
    </w:lvl>
    <w:lvl w:ilvl="1">
      <w:lvlJc w:val="left"/>
      <w:lvlText w:val="(%2)"/>
      <w:numFmt w:val="lowerRoman"/>
      <w:start w:val="21"/>
    </w:lvl>
  </w:abstractNum>
  <w:abstractNum w:abstractNumId="39">
    <w:nsid w:val="6A3B714C"/>
    <w:multiLevelType w:val="hybridMultilevel"/>
    <w:lvl w:ilvl="0">
      <w:lvlJc w:val="left"/>
      <w:lvlText w:val="%1"/>
      <w:numFmt w:val="lowerLetter"/>
      <w:start w:val="1"/>
    </w:lvl>
    <w:lvl w:ilvl="1">
      <w:lvlJc w:val="left"/>
      <w:lvlText w:val="(%2)"/>
      <w:numFmt w:val="lowerLetter"/>
      <w:start w:val="2"/>
    </w:lvl>
  </w:abstractNum>
  <w:abstractNum w:abstractNumId="40">
    <w:nsid w:val="327B517E"/>
    <w:multiLevelType w:val="hybridMultilevel"/>
    <w:lvl w:ilvl="0">
      <w:lvlJc w:val="left"/>
      <w:lvlText w:val="(%1)"/>
      <w:numFmt w:val="lowerLetter"/>
      <w:start w:val="25"/>
    </w:lvl>
    <w:lvl w:ilvl="1">
      <w:lvlJc w:val="left"/>
      <w:lvlText w:val="%2"/>
      <w:numFmt w:val="lowerLetter"/>
      <w:start w:val="1"/>
    </w:lvl>
  </w:abstractNum>
  <w:abstractNum w:abstractNumId="41">
    <w:nsid w:val="1F461B51"/>
    <w:multiLevelType w:val="hybridMultilevel"/>
    <w:lvl w:ilvl="0">
      <w:lvlJc w:val="left"/>
      <w:lvlText w:val="(%1)"/>
      <w:numFmt w:val="lowerLetter"/>
      <w:start w:val="3"/>
    </w:lvl>
    <w:lvl w:ilvl="1">
      <w:lvlJc w:val="left"/>
      <w:lvlText w:val="(%2)"/>
      <w:numFmt w:val="lowerLetter"/>
      <w:start w:val="9"/>
    </w:lvl>
  </w:abstractNum>
  <w:abstractNum w:abstractNumId="42">
    <w:nsid w:val="29BACF25"/>
    <w:multiLevelType w:val="hybridMultilevel"/>
    <w:lvl w:ilvl="0">
      <w:lvlJc w:val="left"/>
      <w:lvlText w:val="(%1)"/>
      <w:numFmt w:val="lowerRoman"/>
      <w:start w:val="2"/>
    </w:lvl>
  </w:abstractNum>
  <w:abstractNum w:abstractNumId="43">
    <w:nsid w:val="5D5BABB3"/>
    <w:multiLevelType w:val="hybridMultilevel"/>
    <w:lvl w:ilvl="0">
      <w:lvlJc w:val="left"/>
      <w:lvlText w:val="(%1)"/>
      <w:numFmt w:val="upperLetter"/>
      <w:start w:val="9"/>
    </w:lvl>
  </w:abstractNum>
  <w:abstractNum w:abstractNumId="44">
    <w:nsid w:val="51BF6B48"/>
    <w:multiLevelType w:val="hybridMultilevel"/>
    <w:lvl w:ilvl="0">
      <w:lvlJc w:val="left"/>
      <w:lvlText w:val="(%1)"/>
      <w:numFmt w:val="upperLetter"/>
      <w:start w:val="35"/>
    </w:lvl>
  </w:abstractNum>
  <w:abstractNum w:abstractNumId="45">
    <w:nsid w:val="7E0F6384"/>
    <w:multiLevelType w:val="hybridMultilevel"/>
    <w:lvl w:ilvl="0">
      <w:lvlJc w:val="left"/>
      <w:lvlText w:val="(%1)"/>
      <w:numFmt w:val="upperLetter"/>
      <w:start w:val="61"/>
    </w:lvl>
  </w:abstractNum>
  <w:abstractNum w:abstractNumId="46">
    <w:nsid w:val="2B4B8B53"/>
    <w:multiLevelType w:val="hybridMultilevel"/>
    <w:lvl w:ilvl="0">
      <w:lvlJc w:val="left"/>
      <w:lvlText w:val="(%1)"/>
      <w:numFmt w:val="lowerLetter"/>
      <w:start w:val="1"/>
    </w:lvl>
  </w:abstractNum>
  <w:abstractNum w:abstractNumId="47">
    <w:nsid w:val="72E3413A"/>
    <w:multiLevelType w:val="hybridMultilevel"/>
    <w:lvl w:ilvl="0">
      <w:lvlJc w:val="left"/>
      <w:lvlText w:val="(%1)"/>
      <w:numFmt w:val="lowerLetter"/>
      <w:start w:val="3"/>
    </w:lvl>
  </w:abstractNum>
  <w:abstractNum w:abstractNumId="48">
    <w:nsid w:val="116AE494"/>
    <w:multiLevelType w:val="hybridMultilevel"/>
    <w:lvl w:ilvl="0">
      <w:lvlJc w:val="left"/>
      <w:lvlText w:val="(%1)"/>
      <w:numFmt w:val="lowerLetter"/>
      <w:start w:val="10"/>
    </w:lvl>
  </w:abstractNum>
  <w:abstractNum w:abstractNumId="49">
    <w:nsid w:val="3494B2FB"/>
    <w:multiLevelType w:val="hybridMultilevel"/>
    <w:lvl w:ilvl="0">
      <w:lvlJc w:val="left"/>
      <w:lvlText w:val="(%1)"/>
      <w:numFmt w:val="lowerRoman"/>
      <w:start w:val="1"/>
    </w:lvl>
  </w:abstractNum>
  <w:abstractNum w:abstractNumId="50">
    <w:nsid w:val="B13A31"/>
    <w:multiLevelType w:val="hybridMultilevel"/>
    <w:lvl w:ilvl="0">
      <w:lvlJc w:val="left"/>
      <w:lvlText w:val="(%1)"/>
      <w:numFmt w:val="lowerLetter"/>
      <w:start w:val="5"/>
    </w:lvl>
  </w:abstractNum>
  <w:abstractNum w:abstractNumId="51">
    <w:nsid w:val="64429599"/>
    <w:multiLevelType w:val="hybridMultilevel"/>
    <w:lvl w:ilvl="0">
      <w:lvlJc w:val="left"/>
      <w:lvlText w:val="(%1)"/>
      <w:numFmt w:val="lowerRoman"/>
      <w:start w:val="2"/>
    </w:lvl>
  </w:abstractNum>
  <w:abstractNum w:abstractNumId="52">
    <w:nsid w:val="631F1690"/>
    <w:multiLevelType w:val="hybridMultilevel"/>
    <w:lvl w:ilvl="0">
      <w:lvlJc w:val="left"/>
      <w:lvlText w:val="(%1)"/>
      <w:numFmt w:val="lowerLetter"/>
      <w:start w:val="1"/>
    </w:lvl>
  </w:abstractNum>
  <w:abstractNum w:abstractNumId="53">
    <w:nsid w:val="25973E32"/>
    <w:multiLevelType w:val="hybridMultilevel"/>
    <w:lvl w:ilvl="0">
      <w:lvlJc w:val="left"/>
      <w:lvlText w:val="(%1)"/>
      <w:numFmt w:val="lowerRoman"/>
      <w:start w:val="1"/>
    </w:lvl>
  </w:abstractNum>
  <w:abstractNum w:abstractNumId="54">
    <w:nsid w:val="EAD6F57"/>
    <w:multiLevelType w:val="hybridMultilevel"/>
    <w:lvl w:ilvl="0">
      <w:lvlJc w:val="left"/>
      <w:lvlText w:val="(%1)"/>
      <w:numFmt w:val="lowerRoman"/>
      <w:start w:val="3"/>
    </w:lvl>
  </w:abstractNum>
  <w:abstractNum w:abstractNumId="55">
    <w:nsid w:val="6EC9D844"/>
    <w:multiLevelType w:val="hybridMultilevel"/>
    <w:lvl w:ilvl="0">
      <w:lvlJc w:val="left"/>
      <w:lvlText w:val="(%1)"/>
      <w:numFmt w:val="lowerLetter"/>
      <w:start w:val="1"/>
    </w:lvl>
    <w:lvl w:ilvl="1">
      <w:lvlJc w:val="left"/>
      <w:lvlText w:val="(%2)"/>
      <w:numFmt w:val="lowerRoman"/>
      <w:start w:val="1"/>
    </w:lvl>
  </w:abstractNum>
  <w:abstractNum w:abstractNumId="56">
    <w:nsid w:val="5C49EAEE"/>
    <w:multiLevelType w:val="hybridMultilevel"/>
    <w:lvl w:ilvl="0">
      <w:lvlJc w:val="left"/>
      <w:lvlText w:val="%1"/>
      <w:numFmt w:val="lowerLetter"/>
      <w:start w:val="1"/>
    </w:lvl>
    <w:lvl w:ilvl="1">
      <w:lvlJc w:val="left"/>
      <w:lvlText w:val="(%2)"/>
      <w:numFmt w:val="lowerRoman"/>
      <w:start w:val="4"/>
    </w:lvl>
  </w:abstractNum>
  <w:abstractNum w:abstractNumId="57">
    <w:nsid w:val="64AF49B"/>
    <w:multiLevelType w:val="hybridMultilevel"/>
    <w:lvl w:ilvl="0">
      <w:lvlJc w:val="left"/>
      <w:lvlText w:val="(%1)"/>
      <w:numFmt w:val="lowerLetter"/>
      <w:start w:val="2"/>
    </w:lvl>
    <w:lvl w:ilvl="1">
      <w:lvlJc w:val="left"/>
      <w:lvlText w:val="(%2)"/>
      <w:numFmt w:val="lowerRoman"/>
      <w:start w:val="1"/>
    </w:lvl>
  </w:abstractNum>
  <w:abstractNum w:abstractNumId="58">
    <w:nsid w:val="397C46BC"/>
    <w:multiLevelType w:val="hybridMultilevel"/>
    <w:lvl w:ilvl="0">
      <w:lvlJc w:val="left"/>
      <w:lvlText w:val="(%1)"/>
      <w:numFmt w:val="lowerRoman"/>
      <w:start w:val="5"/>
    </w:lvl>
    <w:lvl w:ilvl="1">
      <w:lvlJc w:val="left"/>
      <w:lvlText w:val="(%2)"/>
      <w:numFmt w:val="lowerRoman"/>
      <w:start w:val="6"/>
    </w:lvl>
  </w:abstractNum>
  <w:abstractNum w:abstractNumId="59">
    <w:nsid w:val="7E448DE9"/>
    <w:multiLevelType w:val="hybridMultilevel"/>
    <w:lvl w:ilvl="0">
      <w:lvlJc w:val="left"/>
      <w:lvlText w:val="(%1)"/>
      <w:numFmt w:val="lowerRoman"/>
      <w:start w:val="9"/>
    </w:lvl>
  </w:abstractNum>
  <w:abstractNum w:abstractNumId="60">
    <w:nsid w:val="5A9CC3E5"/>
    <w:multiLevelType w:val="hybridMultilevel"/>
    <w:lvl w:ilvl="0">
      <w:lvlJc w:val="left"/>
      <w:lvlText w:val="(%1)"/>
      <w:numFmt w:val="lowerRoman"/>
      <w:start w:val="10"/>
    </w:lvl>
  </w:abstractNum>
  <w:abstractNum w:abstractNumId="61">
    <w:nsid w:val="1AFE3625"/>
    <w:multiLevelType w:val="hybridMultilevel"/>
    <w:lvl w:ilvl="0">
      <w:lvlJc w:val="left"/>
      <w:lvlText w:val="(%1)"/>
      <w:numFmt w:val="lowerRoman"/>
      <w:start w:val="11"/>
    </w:lvl>
  </w:abstractNum>
  <w:abstractNum w:abstractNumId="62">
    <w:nsid w:val="3CA88ECF"/>
    <w:multiLevelType w:val="hybridMultilevel"/>
    <w:lvl w:ilvl="0">
      <w:lvlJc w:val="left"/>
      <w:lvlText w:val="(%1)"/>
      <w:numFmt w:val="lowerRoman"/>
      <w:start w:val="2"/>
    </w:lvl>
  </w:abstractNum>
  <w:abstractNum w:abstractNumId="63">
    <w:nsid w:val="6EBE4208"/>
    <w:multiLevelType w:val="hybridMultilevel"/>
    <w:lvl w:ilvl="0">
      <w:lvlJc w:val="left"/>
      <w:lvlText w:val="(%1)"/>
      <w:numFmt w:val="lowerLetter"/>
      <w:start w:val="1"/>
    </w:lvl>
  </w:abstractNum>
  <w:abstractNum w:abstractNumId="64">
    <w:nsid w:val="C058DF5"/>
    <w:multiLevelType w:val="hybridMultilevel"/>
    <w:lvl w:ilvl="0">
      <w:lvlJc w:val="left"/>
      <w:lvlText w:val="(%1)"/>
      <w:numFmt w:val="lowerRoman"/>
      <w:start w:val="2"/>
    </w:lvl>
  </w:abstractNum>
  <w:abstractNum w:abstractNumId="65">
    <w:nsid w:val="CBE5BE9"/>
    <w:multiLevelType w:val="hybridMultilevel"/>
    <w:lvl w:ilvl="0">
      <w:lvlJc w:val="left"/>
      <w:lvlText w:val="(%1)"/>
      <w:numFmt w:val="lowerLetter"/>
      <w:start w:val="25"/>
    </w:lvl>
  </w:abstractNum>
  <w:abstractNum w:abstractNumId="66">
    <w:nsid w:val="3102BBE2"/>
    <w:multiLevelType w:val="hybridMultilevel"/>
    <w:lvl w:ilvl="0">
      <w:lvlJc w:val="left"/>
      <w:lvlText w:val="%1"/>
      <w:numFmt w:val="lowerLetter"/>
      <w:start w:val="1"/>
    </w:lvl>
    <w:lvl w:ilvl="1">
      <w:lvlJc w:val="left"/>
      <w:lvlText w:val="(%2)"/>
      <w:numFmt w:val="lowerLetter"/>
      <w:start w:val="1"/>
    </w:lvl>
  </w:abstractNum>
  <w:abstractNum w:abstractNumId="67">
    <w:nsid w:val="26A02C5E"/>
    <w:multiLevelType w:val="hybridMultilevel"/>
    <w:lvl w:ilvl="0">
      <w:lvlJc w:val="left"/>
      <w:lvlText w:val="(%1)"/>
      <w:numFmt w:val="lowerLetter"/>
      <w:start w:val="2"/>
    </w:lvl>
    <w:lvl w:ilvl="1">
      <w:lvlJc w:val="left"/>
      <w:lvlText w:val="%2"/>
      <w:numFmt w:val="lowerLetter"/>
      <w:start w:val="1"/>
    </w:lvl>
  </w:abstractNum>
  <w:abstractNum w:abstractNumId="68">
    <w:nsid w:val="541C8153"/>
    <w:multiLevelType w:val="hybridMultilevel"/>
    <w:lvl w:ilvl="0">
      <w:lvlJc w:val="left"/>
      <w:lvlText w:val="(%1)"/>
      <w:numFmt w:val="lowerLetter"/>
      <w:start w:val="4"/>
    </w:lvl>
  </w:abstractNum>
  <w:abstractNum w:abstractNumId="69">
    <w:nsid w:val="67906F60"/>
    <w:multiLevelType w:val="hybridMultilevel"/>
    <w:lvl w:ilvl="0">
      <w:lvlJc w:val="left"/>
      <w:lvlText w:val="(%1)"/>
      <w:numFmt w:val="lowerLetter"/>
      <w:start w:val="3"/>
    </w:lvl>
  </w:abstractNum>
  <w:abstractNum w:abstractNumId="70">
    <w:nsid w:val="10DB9DAA"/>
    <w:multiLevelType w:val="hybridMultilevel"/>
    <w:lvl w:ilvl="0">
      <w:lvlJc w:val="left"/>
      <w:lvlText w:val="(%1)"/>
      <w:numFmt w:val="lowerLetter"/>
      <w:start w:val="3"/>
    </w:lvl>
  </w:abstractNum>
  <w:abstractNum w:abstractNumId="71">
    <w:nsid w:val="697D2D2"/>
    <w:multiLevelType w:val="hybridMultilevel"/>
    <w:lvl w:ilvl="0">
      <w:lvlJc w:val="left"/>
      <w:lvlText w:val="(%1)"/>
      <w:numFmt w:val="lowerLetter"/>
      <w:start w:val="1"/>
    </w:lvl>
  </w:abstractNum>
  <w:abstractNum w:abstractNumId="72">
    <w:nsid w:val="6D68AB2"/>
    <w:multiLevelType w:val="hybridMultilevel"/>
    <w:lvl w:ilvl="0">
      <w:lvlJc w:val="left"/>
      <w:lvlText w:val="(%1)"/>
      <w:numFmt w:val="lowerLetter"/>
      <w:start w:val="2"/>
    </w:lvl>
  </w:abstractNum>
  <w:abstractNum w:abstractNumId="73">
    <w:nsid w:val="3A966CD0"/>
    <w:multiLevelType w:val="hybridMultilevel"/>
    <w:lvl w:ilvl="0">
      <w:lvlJc w:val="left"/>
      <w:lvlText w:val="(%1)"/>
      <w:numFmt w:val="lowerRoman"/>
      <w:start w:val="3"/>
    </w:lvl>
  </w:abstractNum>
  <w:abstractNum w:abstractNumId="74">
    <w:nsid w:val="63F37E85"/>
    <w:multiLevelType w:val="hybridMultilevel"/>
    <w:lvl w:ilvl="0">
      <w:lvlJc w:val="left"/>
      <w:lvlText w:val="(%1)"/>
      <w:numFmt w:val="lowerLetter"/>
      <w:start w:val="5"/>
    </w:lvl>
  </w:abstractNum>
  <w:abstractNum w:abstractNumId="75">
    <w:nsid w:val="5895F5FA"/>
    <w:multiLevelType w:val="hybridMultilevel"/>
    <w:lvl w:ilvl="0">
      <w:lvlJc w:val="left"/>
      <w:lvlText w:val="(%1)"/>
      <w:numFmt w:val="lowerRoman"/>
      <w:start w:val="1"/>
    </w:lvl>
  </w:abstractNum>
  <w:abstractNum w:abstractNumId="76">
    <w:nsid w:val="38A5D054"/>
    <w:multiLevelType w:val="hybridMultilevel"/>
    <w:lvl w:ilvl="0">
      <w:lvlJc w:val="left"/>
      <w:lvlText w:val="(%1)"/>
      <w:numFmt w:val="lowerRoman"/>
      <w:start w:val="3"/>
    </w:lvl>
  </w:abstractNum>
  <w:abstractNum w:abstractNumId="77">
    <w:nsid w:val="F3F09D8"/>
    <w:multiLevelType w:val="hybridMultilevel"/>
    <w:lvl w:ilvl="0">
      <w:lvlJc w:val="left"/>
      <w:lvlText w:val="(%1)"/>
      <w:numFmt w:val="lowerRoman"/>
      <w:start w:val="10"/>
    </w:lvl>
  </w:abstractNum>
  <w:abstractNum w:abstractNumId="78">
    <w:nsid w:val="4B793735"/>
    <w:multiLevelType w:val="hybridMultilevel"/>
    <w:lvl w:ilvl="0">
      <w:lvlJc w:val="left"/>
      <w:lvlText w:val="%1"/>
      <w:numFmt w:val="lowerLetter"/>
      <w:start w:val="1"/>
    </w:lvl>
    <w:lvl w:ilvl="1">
      <w:lvlJc w:val="left"/>
      <w:lvlText w:val="(%2)"/>
      <w:numFmt w:val="lowerLetter"/>
      <w:start w:val="1"/>
    </w:lvl>
  </w:abstractNum>
  <w:abstractNum w:abstractNumId="79">
    <w:nsid w:val="4A10B4E8"/>
    <w:multiLevelType w:val="hybridMultilevel"/>
    <w:lvl w:ilvl="0">
      <w:lvlJc w:val="left"/>
      <w:lvlText w:val="(%1)"/>
      <w:numFmt w:val="lowerLetter"/>
      <w:start w:val="2"/>
    </w:lvl>
    <w:lvl w:ilvl="1">
      <w:lvlJc w:val="left"/>
      <w:lvlText w:val="(%2)"/>
      <w:numFmt w:val="lowerLetter"/>
      <w:start w:val="3"/>
    </w:lvl>
  </w:abstractNum>
  <w:abstractNum w:abstractNumId="80">
    <w:nsid w:val="43D3BCD4"/>
    <w:multiLevelType w:val="hybridMultilevel"/>
    <w:lvl w:ilvl="0">
      <w:lvlJc w:val="left"/>
      <w:lvlText w:val="%1"/>
      <w:numFmt w:val="lowerLetter"/>
      <w:start w:val="1"/>
    </w:lvl>
    <w:lvl w:ilvl="1">
      <w:lvlJc w:val="left"/>
      <w:lvlText w:val="(%2)"/>
      <w:numFmt w:val="lowerLetter"/>
      <w:start w:val="4"/>
    </w:lvl>
  </w:abstractNum>
  <w:abstractNum w:abstractNumId="81">
    <w:nsid w:val="4C2A7166"/>
    <w:multiLevelType w:val="hybridMultilevel"/>
    <w:lvl w:ilvl="0">
      <w:lvlJc w:val="left"/>
      <w:lvlText w:val="(%1)"/>
      <w:numFmt w:val="lowerLetter"/>
      <w:start w:val="35"/>
    </w:lvl>
    <w:lvl w:ilvl="1">
      <w:lvlJc w:val="left"/>
      <w:lvlText w:val="(%2)"/>
      <w:numFmt w:val="lowerLetter"/>
      <w:start w:val="7"/>
    </w:lvl>
  </w:abstractNum>
  <w:abstractNum w:abstractNumId="82">
    <w:nsid w:val="2E534A82"/>
    <w:multiLevelType w:val="hybridMultilevel"/>
    <w:lvl w:ilvl="0">
      <w:lvlJc w:val="left"/>
      <w:lvlText w:val="(%1)"/>
      <w:numFmt w:val="lowerLetter"/>
      <w:start w:val="1"/>
    </w:lvl>
  </w:abstractNum>
  <w:abstractNum w:abstractNumId="83">
    <w:nsid w:val="26F2D364"/>
    <w:multiLevelType w:val="hybridMultilevel"/>
    <w:lvl w:ilvl="0">
      <w:lvlJc w:val="left"/>
      <w:lvlText w:val="(%1)"/>
      <w:numFmt w:val="lowerLetter"/>
      <w:start w:val="4"/>
    </w:lvl>
  </w:abstractNum>
  <w:abstractNum w:abstractNumId="84">
    <w:nsid w:val="71C1AF98"/>
    <w:multiLevelType w:val="hybridMultilevel"/>
    <w:lvl w:ilvl="0">
      <w:lvlJc w:val="left"/>
      <w:lvlText w:val="(%1)"/>
      <w:numFmt w:val="lowerLetter"/>
      <w:start w:val="1"/>
    </w:lvl>
  </w:abstractNum>
  <w:abstractNum w:abstractNumId="85">
    <w:nsid w:val="3D00B9D9"/>
    <w:multiLevelType w:val="hybridMultilevel"/>
    <w:lvl w:ilvl="0">
      <w:lvlJc w:val="left"/>
      <w:lvlText w:val="(%1)"/>
      <w:numFmt w:val="decimal"/>
      <w:start w:val="519"/>
    </w:lvl>
  </w:abstractNum>
  <w:abstractNum w:abstractNumId="86">
    <w:nsid w:val="15BCABA8"/>
    <w:multiLevelType w:val="hybridMultilevel"/>
    <w:lvl w:ilvl="0">
      <w:lvlJc w:val="left"/>
      <w:lvlText w:val="(%1)"/>
      <w:numFmt w:val="decimal"/>
      <w:start w:val="1"/>
    </w:lvl>
  </w:abstractNum>
  <w:abstractNum w:abstractNumId="87">
    <w:nsid w:val="4E0B9A87"/>
    <w:multiLevelType w:val="hybridMultilevel"/>
    <w:lvl w:ilvl="0">
      <w:lvlJc w:val="left"/>
      <w:lvlText w:val="(%1)"/>
      <w:numFmt w:val="lowerLetter"/>
      <w:start w:val="1"/>
    </w:lvl>
  </w:abstractNum>
  <w:abstractNum w:abstractNumId="88">
    <w:nsid w:val="434BAE75"/>
    <w:multiLevelType w:val="hybridMultilevel"/>
    <w:lvl w:ilvl="0">
      <w:lvlJc w:val="left"/>
      <w:lvlText w:val="(%1)"/>
      <w:numFmt w:val="lowerLetter"/>
      <w:start w:val="2"/>
    </w:lvl>
  </w:abstractNum>
  <w:abstractNum w:abstractNumId="89">
    <w:nsid w:val="4F38F265"/>
    <w:multiLevelType w:val="hybridMultilevel"/>
    <w:lvl w:ilvl="0">
      <w:lvlJc w:val="left"/>
      <w:lvlText w:val="(%1)"/>
      <w:numFmt w:val="lowerLetter"/>
      <w:start w:val="3"/>
    </w:lvl>
  </w:abstractNum>
  <w:abstractNum w:abstractNumId="90">
    <w:nsid w:val="4C502870"/>
    <w:multiLevelType w:val="hybridMultilevel"/>
    <w:lvl w:ilvl="0">
      <w:lvlJc w:val="left"/>
      <w:lvlText w:val="(%1)"/>
      <w:numFmt w:val="lowerLetter"/>
      <w:start w:val="1"/>
    </w:lvl>
  </w:abstractNum>
  <w:abstractNum w:abstractNumId="91">
    <w:nsid w:val="1DE8725A"/>
    <w:multiLevelType w:val="hybridMultilevel"/>
    <w:lvl w:ilvl="0">
      <w:lvlJc w:val="left"/>
      <w:lvlText w:val="(%1)"/>
      <w:numFmt w:val="lowerLetter"/>
      <w:start w:val="1"/>
    </w:lvl>
  </w:abstractNum>
  <w:abstractNum w:abstractNumId="92">
    <w:nsid w:val="6A37288A"/>
    <w:multiLevelType w:val="hybridMultilevel"/>
    <w:lvl w:ilvl="0">
      <w:lvlJc w:val="left"/>
      <w:lvlText w:val="(%1)"/>
      <w:numFmt w:val="lowerLetter"/>
      <w:start w:val="5"/>
    </w:lvl>
  </w:abstractNum>
  <w:abstractNum w:abstractNumId="93">
    <w:nsid w:val="8F8B73F"/>
    <w:multiLevelType w:val="hybridMultilevel"/>
    <w:lvl w:ilvl="0">
      <w:lvlJc w:val="left"/>
      <w:lvlText w:val="(%1)"/>
      <w:numFmt w:val="lowerLetter"/>
      <w:start w:val="1"/>
    </w:lvl>
  </w:abstractNum>
  <w:abstractNum w:abstractNumId="94">
    <w:nsid w:val="CA6B462"/>
    <w:multiLevelType w:val="hybridMultilevel"/>
    <w:lvl w:ilvl="0">
      <w:lvlJc w:val="left"/>
      <w:lvlText w:val="(%1)"/>
      <w:numFmt w:val="lowerLetter"/>
      <w:start w:val="2"/>
    </w:lvl>
  </w:abstractNum>
  <w:abstractNum w:abstractNumId="95">
    <w:nsid w:val="763CB680"/>
    <w:multiLevelType w:val="hybridMultilevel"/>
    <w:lvl w:ilvl="0">
      <w:lvlJc w:val="left"/>
      <w:lvlText w:val="(%1)"/>
      <w:numFmt w:val="lowerRoman"/>
      <w:start w:val="10"/>
    </w:lvl>
  </w:abstractNum>
  <w:abstractNum w:abstractNumId="96">
    <w:nsid w:val="15B71329"/>
    <w:multiLevelType w:val="hybridMultilevel"/>
    <w:lvl w:ilvl="0">
      <w:lvlJc w:val="left"/>
      <w:lvlText w:val="%1"/>
      <w:numFmt w:val="lowerLetter"/>
      <w:start w:val="1"/>
    </w:lvl>
    <w:lvl w:ilvl="1">
      <w:lvlJc w:val="left"/>
      <w:lvlText w:val="(%2)"/>
      <w:numFmt w:val="lowerLetter"/>
      <w:start w:val="1"/>
    </w:lvl>
  </w:abstractNum>
  <w:abstractNum w:abstractNumId="97">
    <w:nsid w:val="3DA97044"/>
    <w:multiLevelType w:val="hybridMultilevel"/>
    <w:lvl w:ilvl="0">
      <w:lvlJc w:val="left"/>
      <w:lvlText w:val="(%1)"/>
      <w:numFmt w:val="lowerLetter"/>
      <w:start w:val="35"/>
    </w:lvl>
    <w:lvl w:ilvl="1">
      <w:lvlJc w:val="left"/>
      <w:lvlText w:val="%2"/>
      <w:numFmt w:val="lowerLetter"/>
      <w:start w:val="1"/>
    </w:lvl>
  </w:abstractNum>
  <w:abstractNum w:abstractNumId="98">
    <w:nsid w:val="1CDCE2DE"/>
    <w:multiLevelType w:val="hybridMultilevel"/>
    <w:lvl w:ilvl="0">
      <w:lvlJc w:val="left"/>
      <w:lvlText w:val="(%1)"/>
      <w:numFmt w:val="lowerLetter"/>
      <w:start w:val="2"/>
    </w:lvl>
  </w:abstractNum>
  <w:abstractNum w:abstractNumId="99">
    <w:nsid w:val="69D3947C"/>
    <w:multiLevelType w:val="hybridMultilevel"/>
    <w:lvl w:ilvl="0">
      <w:lvlJc w:val="left"/>
      <w:lvlText w:val="(%1)"/>
      <w:numFmt w:val="lowerLetter"/>
      <w:start w:val="4"/>
    </w:lvl>
  </w:abstractNum>
  <w:abstractNum w:abstractNumId="100">
    <w:nsid w:val="2539DFA5"/>
    <w:multiLevelType w:val="hybridMultilevel"/>
    <w:lvl w:ilvl="0">
      <w:lvlJc w:val="left"/>
      <w:lvlText w:val="(%1)"/>
      <w:numFmt w:val="lowerLetter"/>
      <w:start w:val="1"/>
    </w:lvl>
  </w:abstractNum>
  <w:abstractNum w:abstractNumId="101">
    <w:nsid w:val="2DB88089"/>
    <w:multiLevelType w:val="hybridMultilevel"/>
    <w:lvl w:ilvl="0">
      <w:lvlJc w:val="left"/>
      <w:lvlText w:val="(%1)"/>
      <w:numFmt w:val="lowerLetter"/>
      <w:start w:val="2"/>
    </w:lvl>
  </w:abstractNum>
  <w:abstractNum w:abstractNumId="102">
    <w:nsid w:val="706B674E"/>
    <w:multiLevelType w:val="hybridMultilevel"/>
    <w:lvl w:ilvl="0">
      <w:lvlJc w:val="left"/>
      <w:lvlText w:val="(%1)"/>
      <w:numFmt w:val="lowerLetter"/>
      <w:start w:val="1"/>
    </w:lvl>
  </w:abstractNum>
  <w:abstractNum w:abstractNumId="103">
    <w:nsid w:val="2C106A57"/>
    <w:multiLevelType w:val="hybridMultilevel"/>
    <w:lvl w:ilvl="0">
      <w:lvlJc w:val="left"/>
      <w:lvlText w:val="(%1)"/>
      <w:numFmt w:val="lowerLetter"/>
      <w:start w:val="3"/>
    </w:lvl>
  </w:abstractNum>
  <w:abstractNum w:abstractNumId="104">
    <w:nsid w:val="684EED59"/>
    <w:multiLevelType w:val="hybridMultilevel"/>
    <w:lvl w:ilvl="0">
      <w:lvlJc w:val="left"/>
      <w:lvlText w:val="(%1)"/>
      <w:numFmt w:val="lowerRoman"/>
      <w:start w:val="1"/>
    </w:lvl>
  </w:abstractNum>
  <w:abstractNum w:abstractNumId="105">
    <w:nsid w:val="545EE5D3"/>
    <w:multiLevelType w:val="hybridMultilevel"/>
    <w:lvl w:ilvl="0">
      <w:lvlJc w:val="left"/>
      <w:lvlText w:val="(%1)"/>
      <w:numFmt w:val="lowerRoman"/>
      <w:start w:val="7"/>
    </w:lvl>
  </w:abstractNum>
  <w:abstractNum w:abstractNumId="106">
    <w:nsid w:val="4A66051"/>
    <w:multiLevelType w:val="hybridMultilevel"/>
    <w:lvl w:ilvl="0">
      <w:lvlJc w:val="left"/>
      <w:lvlText w:val="(%1)"/>
      <w:numFmt w:val="lowerLetter"/>
      <w:start w:val="1"/>
    </w:lvl>
  </w:abstractNum>
  <w:abstractNum w:abstractNumId="107">
    <w:nsid w:val="20F4BDAD"/>
    <w:multiLevelType w:val="hybridMultilevel"/>
    <w:lvl w:ilvl="0">
      <w:lvlJc w:val="left"/>
      <w:lvlText w:val="(%1)"/>
      <w:numFmt w:val="lowerLetter"/>
      <w:start w:val="4"/>
    </w:lvl>
  </w:abstractNum>
  <w:abstractNum w:abstractNumId="108">
    <w:nsid w:val="639DEFAC"/>
    <w:multiLevelType w:val="hybridMultilevel"/>
    <w:lvl w:ilvl="0">
      <w:lvlJc w:val="left"/>
      <w:lvlText w:val="(%1)"/>
      <w:numFmt w:val="lowerLetter"/>
      <w:start w:val="1"/>
    </w:lvl>
  </w:abstractNum>
  <w:abstractNum w:abstractNumId="109">
    <w:nsid w:val="501F9786"/>
    <w:multiLevelType w:val="hybridMultilevel"/>
    <w:lvl w:ilvl="0">
      <w:lvlJc w:val="left"/>
      <w:lvlText w:val="%1"/>
      <w:numFmt w:val="upperLetter"/>
      <w:start w:val="1"/>
    </w:lvl>
    <w:lvl w:ilvl="1">
      <w:lvlJc w:val="left"/>
      <w:lvlText w:val="(%2)"/>
      <w:numFmt w:val="lowerLetter"/>
      <w:start w:val="2"/>
    </w:lvl>
  </w:abstractNum>
  <w:abstractNum w:abstractNumId="110">
    <w:nsid w:val="6B057295"/>
    <w:multiLevelType w:val="hybridMultilevel"/>
    <w:lvl w:ilvl="0">
      <w:lvlJc w:val="left"/>
      <w:lvlText w:val="(%1)"/>
      <w:numFmt w:val="upperLetter"/>
      <w:start w:val="5"/>
    </w:lvl>
    <w:lvl w:ilvl="1">
      <w:lvlJc w:val="left"/>
      <w:lvlText w:val="%2"/>
      <w:numFmt w:val="lowerLetter"/>
      <w:start w:val="1"/>
    </w:lvl>
  </w:abstractNum>
  <w:abstractNum w:abstractNumId="111">
    <w:nsid w:val="2771AC80"/>
    <w:multiLevelType w:val="hybridMultilevel"/>
    <w:lvl w:ilvl="0">
      <w:lvlJc w:val="left"/>
      <w:lvlText w:val="%1"/>
      <w:numFmt w:val="lowerRoman"/>
      <w:start w:val="1"/>
    </w:lvl>
    <w:lvl w:ilvl="1">
      <w:lvlJc w:val="left"/>
      <w:lvlText w:val="(%2)"/>
      <w:numFmt w:val="lowerLetter"/>
      <w:start w:val="3"/>
    </w:lvl>
  </w:abstractNum>
  <w:abstractNum w:abstractNumId="112">
    <w:nsid w:val="1C4A08EC"/>
    <w:multiLevelType w:val="hybridMultilevel"/>
    <w:lvl w:ilvl="0">
      <w:lvlJc w:val="left"/>
      <w:lvlText w:val="(%1)"/>
      <w:numFmt w:val="lowerRoman"/>
      <w:start w:val="6"/>
    </w:lvl>
    <w:lvl w:ilvl="1">
      <w:lvlJc w:val="left"/>
      <w:lvlText w:val="%2"/>
      <w:numFmt w:val="lowerLetter"/>
      <w:start w:val="1"/>
    </w:lvl>
  </w:abstractNum>
  <w:abstractNum w:abstractNumId="113">
    <w:nsid w:val="1958BD17"/>
    <w:multiLevelType w:val="hybridMultilevel"/>
    <w:lvl w:ilvl="0">
      <w:lvlJc w:val="left"/>
      <w:lvlText w:val="%1"/>
      <w:numFmt w:val="upperLetter"/>
      <w:start w:val="1"/>
    </w:lvl>
    <w:lvl w:ilvl="1">
      <w:lvlJc w:val="left"/>
      <w:lvlText w:val="(%2)"/>
      <w:numFmt w:val="lowerLetter"/>
      <w:start w:val="6"/>
    </w:lvl>
  </w:abstractNum>
  <w:abstractNum w:abstractNumId="114">
    <w:nsid w:val="4E647FE4"/>
    <w:multiLevelType w:val="hybridMultilevel"/>
    <w:lvl w:ilvl="0">
      <w:lvlJc w:val="left"/>
      <w:lvlText w:val="(%1)"/>
      <w:numFmt w:val="upperLetter"/>
      <w:start w:val="1"/>
    </w:lvl>
    <w:lvl w:ilvl="1">
      <w:lvlJc w:val="left"/>
      <w:lvlText w:val="(%2)"/>
      <w:numFmt w:val="lowerLetter"/>
      <w:start w:val="7"/>
    </w:lvl>
  </w:abstractNum>
  <w:abstractNum w:abstractNumId="115">
    <w:nsid w:val="E0BB885"/>
    <w:multiLevelType w:val="hybridMultilevel"/>
    <w:lvl w:ilvl="0">
      <w:lvlJc w:val="left"/>
      <w:lvlText w:val="(%1)"/>
      <w:numFmt w:val="lowerLetter"/>
      <w:start w:val="8"/>
    </w:lvl>
  </w:abstractNum>
  <w:abstractNum w:abstractNumId="116">
    <w:nsid w:val="565976F1"/>
    <w:multiLevelType w:val="hybridMultilevel"/>
    <w:lvl w:ilvl="0">
      <w:lvlJc w:val="left"/>
      <w:lvlText w:val="%1"/>
      <w:numFmt w:val="upperLetter"/>
      <w:start w:val="1"/>
    </w:lvl>
    <w:lvl w:ilvl="1">
      <w:lvlJc w:val="left"/>
      <w:lvlText w:val="(%2)"/>
      <w:numFmt w:val="lowerLetter"/>
      <w:start w:val="11"/>
    </w:lvl>
  </w:abstractNum>
  <w:abstractNum w:abstractNumId="117">
    <w:nsid w:val="64212B8C"/>
    <w:multiLevelType w:val="hybridMultilevel"/>
    <w:lvl w:ilvl="0">
      <w:lvlJc w:val="left"/>
      <w:lvlText w:val="(%1)"/>
      <w:numFmt w:val="upperLetter"/>
      <w:start w:val="1"/>
    </w:lvl>
    <w:lvl w:ilvl="1">
      <w:lvlJc w:val="left"/>
      <w:lvlText w:val="%2"/>
      <w:numFmt w:val="lowerLetter"/>
      <w:start w:val="1"/>
    </w:lvl>
  </w:abstractNum>
  <w:abstractNum w:abstractNumId="118">
    <w:nsid w:val="5C17530C"/>
    <w:multiLevelType w:val="hybridMultilevel"/>
    <w:lvl w:ilvl="0">
      <w:lvlJc w:val="left"/>
      <w:lvlText w:val="%1"/>
      <w:numFmt w:val="upperLetter"/>
      <w:start w:val="1"/>
    </w:lvl>
    <w:lvl w:ilvl="1">
      <w:lvlJc w:val="left"/>
      <w:lvlText w:val="(%2)"/>
      <w:numFmt w:val="lowerLetter"/>
      <w:start w:val="13"/>
    </w:lvl>
  </w:abstractNum>
  <w:abstractNum w:abstractNumId="119">
    <w:nsid w:val="19A52566"/>
    <w:multiLevelType w:val="hybridMultilevel"/>
    <w:lvl w:ilvl="0">
      <w:lvlJc w:val="left"/>
      <w:lvlText w:val="(%1)"/>
      <w:numFmt w:val="upperLetter"/>
      <w:start w:val="1"/>
    </w:lvl>
    <w:lvl w:ilvl="1">
      <w:lvlJc w:val="left"/>
      <w:lvlText w:val="(%2)"/>
      <w:numFmt w:val="lowerLetter"/>
      <w:start w:val="15"/>
    </w:lvl>
  </w:abstractNum>
  <w:abstractNum w:abstractNumId="120">
    <w:nsid w:val="335A1DF1"/>
    <w:multiLevelType w:val="hybridMultilevel"/>
    <w:lvl w:ilvl="0">
      <w:lvlJc w:val="left"/>
      <w:lvlText w:val="(%1)"/>
      <w:numFmt w:val="lowerLetter"/>
      <w:start w:val="1"/>
    </w:lvl>
  </w:abstractNum>
  <w:abstractNum w:abstractNumId="121">
    <w:nsid w:val="28677B7C"/>
    <w:multiLevelType w:val="hybridMultilevel"/>
    <w:lvl w:ilvl="0">
      <w:lvlJc w:val="left"/>
      <w:lvlText w:val="(%1)"/>
      <w:numFmt w:val="lowerLetter"/>
      <w:start w:val="3"/>
    </w:lvl>
  </w:abstractNum>
  <w:abstractNum w:abstractNumId="122">
    <w:nsid w:val="378D97C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3">
    <w:nsid w:val="1D91467C"/>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24">
    <w:nsid w:val="316032BB"/>
    <w:multiLevelType w:val="hybridMultilevel"/>
    <w:lvl w:ilvl="0">
      <w:lvlJc w:val="left"/>
      <w:lvlText w:val="(%1)"/>
      <w:numFmt w:val="lowerRoman"/>
      <w:start w:val="2"/>
    </w:lvl>
  </w:abstractNum>
  <w:abstractNum w:abstractNumId="125">
    <w:nsid w:val="44344C22"/>
    <w:multiLevelType w:val="hybridMultilevel"/>
    <w:lvl w:ilvl="0">
      <w:lvlJc w:val="left"/>
      <w:lvlText w:val="(%1)"/>
      <w:numFmt w:val="lowerLetter"/>
      <w:start w:val="4"/>
    </w:lvl>
  </w:abstractNum>
  <w:abstractNum w:abstractNumId="126">
    <w:nsid w:val="13CDFCFC"/>
    <w:multiLevelType w:val="hybridMultilevel"/>
    <w:lvl w:ilvl="0">
      <w:lvlJc w:val="left"/>
      <w:lvlText w:val="%1"/>
      <w:numFmt w:val="lowerRoman"/>
      <w:start w:val="1"/>
    </w:lvl>
    <w:lvl w:ilvl="1">
      <w:lvlJc w:val="left"/>
      <w:lvlText w:val="(%2)"/>
      <w:numFmt w:val="lowerLetter"/>
      <w:start w:val="1"/>
    </w:lvl>
  </w:abstractNum>
  <w:abstractNum w:abstractNumId="127">
    <w:nsid w:val="471745E4"/>
    <w:multiLevelType w:val="hybridMultilevel"/>
    <w:lvl w:ilvl="0">
      <w:lvlJc w:val="left"/>
      <w:lvlText w:val="(%1)"/>
      <w:numFmt w:val="lowerRoman"/>
      <w:start w:val="1"/>
    </w:lvl>
    <w:lvl w:ilvl="1">
      <w:lvlJc w:val="left"/>
      <w:lvlText w:val="%2"/>
      <w:numFmt w:val="lowerLetter"/>
      <w:start w:val="1"/>
    </w:lvl>
  </w:abstractNum>
  <w:abstractNum w:abstractNumId="128">
    <w:nsid w:val="1DDBC66"/>
    <w:multiLevelType w:val="hybridMultilevel"/>
    <w:lvl w:ilvl="0">
      <w:lvlJc w:val="left"/>
      <w:lvlText w:val="(%1)"/>
      <w:numFmt w:val="lowerLetter"/>
      <w:start w:val="3"/>
    </w:lvl>
  </w:abstractNum>
  <w:abstractNum w:abstractNumId="129">
    <w:nsid w:val="30AADFDA"/>
    <w:multiLevelType w:val="hybridMultilevel"/>
    <w:lvl w:ilvl="0">
      <w:lvlJc w:val="left"/>
      <w:lvlText w:val="%1"/>
      <w:numFmt w:val="lowerRoman"/>
      <w:start w:val="1"/>
    </w:lvl>
    <w:lvl w:ilvl="1">
      <w:lvlJc w:val="left"/>
      <w:lvlText w:val="(%2)"/>
      <w:numFmt w:val="lowerLetter"/>
      <w:start w:val="1"/>
    </w:lvl>
  </w:abstractNum>
  <w:abstractNum w:abstractNumId="130">
    <w:nsid w:val="30EADA61"/>
    <w:multiLevelType w:val="hybridMultilevel"/>
    <w:lvl w:ilvl="0">
      <w:lvlJc w:val="left"/>
      <w:lvlText w:val="(%1)"/>
      <w:numFmt w:val="lowerRoman"/>
      <w:start w:val="4"/>
    </w:lvl>
    <w:lvl w:ilvl="1">
      <w:lvlJc w:val="left"/>
      <w:lvlText w:val="(%2)"/>
      <w:numFmt w:val="lowerLetter"/>
      <w:start w:val="5"/>
    </w:lvl>
  </w:abstractNum>
  <w:abstractNum w:abstractNumId="131">
    <w:nsid w:val="27179C0B"/>
    <w:multiLevelType w:val="hybridMultilevel"/>
    <w:lvl w:ilvl="0">
      <w:lvlJc w:val="left"/>
      <w:lvlText w:val="(%1)"/>
      <w:numFmt w:val="lowerLetter"/>
      <w:start w:val="7"/>
    </w:lvl>
  </w:abstractNum>
  <w:abstractNum w:abstractNumId="132">
    <w:nsid w:val="5E636063"/>
    <w:multiLevelType w:val="hybridMultilevel"/>
    <w:lvl w:ilvl="0">
      <w:lvlJc w:val="left"/>
      <w:lvlText w:val="(%1)"/>
      <w:numFmt w:val="lowerLetter"/>
      <w:start w:val="1"/>
    </w:lvl>
  </w:abstractNum>
  <w:abstractNum w:abstractNumId="133">
    <w:nsid w:val="215641AF"/>
    <w:multiLevelType w:val="hybridMultilevel"/>
    <w:lvl w:ilvl="0">
      <w:lvlJc w:val="left"/>
      <w:lvlText w:val="%1"/>
      <w:numFmt w:val="lowerLetter"/>
      <w:start w:val="1"/>
    </w:lvl>
    <w:lvl w:ilvl="1">
      <w:lvlJc w:val="left"/>
      <w:lvlText w:val="(%2)"/>
      <w:numFmt w:val="lowerLetter"/>
      <w:start w:val="1"/>
    </w:lvl>
  </w:abstractNum>
  <w:abstractNum w:abstractNumId="134">
    <w:nsid w:val="53280662"/>
    <w:multiLevelType w:val="hybridMultilevel"/>
    <w:lvl w:ilvl="0">
      <w:lvlJc w:val="left"/>
      <w:lvlText w:val="(%1)"/>
      <w:numFmt w:val="lowerLetter"/>
      <w:start w:val="22"/>
    </w:lvl>
    <w:lvl w:ilvl="1">
      <w:lvlJc w:val="left"/>
      <w:lvlText w:val="%2"/>
      <w:numFmt w:val="lowerLetter"/>
      <w:start w:val="1"/>
    </w:lvl>
  </w:abstractNum>
  <w:abstractNum w:abstractNumId="135">
    <w:nsid w:val="46B24DBC"/>
    <w:multiLevelType w:val="hybridMultilevel"/>
    <w:lvl w:ilvl="0">
      <w:lvlJc w:val="left"/>
      <w:lvlText w:val="(%1)"/>
      <w:numFmt w:val="lowerLetter"/>
      <w:start w:val="26"/>
    </w:lvl>
    <w:lvl w:ilvl="1">
      <w:lvlJc w:val="left"/>
      <w:lvlText w:val="%2"/>
      <w:numFmt w:val="lowerLetter"/>
      <w:start w:val="1"/>
    </w:lvl>
  </w:abstractNum>
  <w:abstractNum w:abstractNumId="136">
    <w:nsid w:val="75B52783"/>
    <w:multiLevelType w:val="hybridMultilevel"/>
    <w:lvl w:ilvl="0">
      <w:lvlJc w:val="left"/>
      <w:lvlText w:val="(%1)"/>
      <w:numFmt w:val="lowerLetter"/>
      <w:start w:val="9"/>
    </w:lvl>
    <w:lvl w:ilvl="1">
      <w:lvlJc w:val="left"/>
      <w:lvlText w:val="(%2)"/>
      <w:numFmt w:val="lowerLetter"/>
      <w:start w:val="2"/>
    </w:lvl>
  </w:abstractNum>
  <w:abstractNum w:abstractNumId="137">
    <w:nsid w:val="57CE66B4"/>
    <w:multiLevelType w:val="hybridMultilevel"/>
    <w:lvl w:ilvl="0">
      <w:lvlJc w:val="left"/>
      <w:lvlText w:val="%1"/>
      <w:numFmt w:val="lowerLetter"/>
      <w:start w:val="1"/>
    </w:lvl>
    <w:lvl w:ilvl="1">
      <w:lvlJc w:val="left"/>
      <w:lvlText w:val="(%2)"/>
      <w:numFmt w:val="lowerLetter"/>
      <w:start w:val="4"/>
    </w:lvl>
  </w:abstractNum>
  <w:abstractNum w:abstractNumId="138">
    <w:nsid w:val="67A70B69"/>
    <w:multiLevelType w:val="hybridMultilevel"/>
    <w:lvl w:ilvl="0">
      <w:lvlJc w:val="left"/>
      <w:lvlText w:val="(%1)"/>
      <w:numFmt w:val="lowerLetter"/>
      <w:start w:val="9"/>
    </w:lvl>
    <w:lvl w:ilvl="1">
      <w:lvlJc w:val="left"/>
      <w:lvlText w:val="%2"/>
      <w:numFmt w:val="lowerLetter"/>
      <w:start w:val="1"/>
    </w:lvl>
  </w:abstractNum>
  <w:abstractNum w:abstractNumId="139">
    <w:nsid w:val="5953172F"/>
    <w:multiLevelType w:val="hybridMultilevel"/>
    <w:lvl w:ilvl="0">
      <w:lvlJc w:val="left"/>
      <w:lvlText w:val="(%1)"/>
      <w:numFmt w:val="lowerLetter"/>
      <w:start w:val="5"/>
    </w:lvl>
    <w:lvl w:ilvl="1">
      <w:lvlJc w:val="left"/>
      <w:lvlText w:val="(%2)"/>
      <w:numFmt w:val="lowerLetter"/>
      <w:start w:val="9"/>
    </w:lvl>
  </w:abstractNum>
  <w:abstractNum w:abstractNumId="140">
    <w:nsid w:val="27EDFE3A"/>
    <w:multiLevelType w:val="hybridMultilevel"/>
    <w:lvl w:ilvl="0">
      <w:lvlJc w:val="left"/>
      <w:lvlText w:val="%1"/>
      <w:numFmt w:val="lowerRoman"/>
      <w:start w:val="1"/>
    </w:lvl>
    <w:lvl w:ilvl="1">
      <w:lvlJc w:val="left"/>
      <w:lvlText w:val="(%2)"/>
      <w:numFmt w:val="lowerRoman"/>
      <w:start w:val="2"/>
    </w:lvl>
  </w:abstractNum>
  <w:abstractNum w:abstractNumId="141">
    <w:nsid w:val="52AC7DFF"/>
    <w:multiLevelType w:val="hybridMultilevel"/>
    <w:lvl w:ilvl="0">
      <w:lvlJc w:val="left"/>
      <w:lvlText w:val="(%1)"/>
      <w:numFmt w:val="lowerRoman"/>
      <w:start w:val="2"/>
    </w:lvl>
    <w:lvl w:ilvl="1">
      <w:lvlJc w:val="left"/>
      <w:lvlText w:val="%2"/>
      <w:numFmt w:val="lowerRoman"/>
      <w:start w:val="1"/>
    </w:lvl>
  </w:abstractNum>
  <w:abstractNum w:abstractNumId="142">
    <w:nsid w:val="C4C3AF"/>
    <w:multiLevelType w:val="hybridMultilevel"/>
    <w:lvl w:ilvl="0">
      <w:lvlJc w:val="left"/>
      <w:lvlText w:val="(%1)"/>
      <w:numFmt w:val="lowerLetter"/>
      <w:start w:val="6"/>
    </w:lvl>
    <w:lvl w:ilvl="1">
      <w:lvlJc w:val="left"/>
      <w:lvlText w:val="(%2)"/>
      <w:numFmt w:val="lowerRoman"/>
      <w:start w:val="1"/>
    </w:lvl>
  </w:abstractNum>
  <w:abstractNum w:abstractNumId="143">
    <w:nsid w:val="44380727"/>
    <w:multiLevelType w:val="hybridMultilevel"/>
    <w:lvl w:ilvl="0">
      <w:lvlJc w:val="left"/>
      <w:lvlText w:val="%1"/>
      <w:numFmt w:val="lowerLetter"/>
      <w:start w:val="1"/>
    </w:lvl>
    <w:lvl w:ilvl="1">
      <w:lvlJc w:val="left"/>
      <w:lvlText w:val="(%2)"/>
      <w:numFmt w:val="lowerLetter"/>
      <w:start w:val="7"/>
    </w:lvl>
  </w:abstractNum>
  <w:abstractNum w:abstractNumId="144">
    <w:nsid w:val="6C053B16"/>
    <w:multiLevelType w:val="hybridMultilevel"/>
    <w:lvl w:ilvl="0">
      <w:lvlJc w:val="left"/>
      <w:lvlText w:val="(%1)"/>
      <w:numFmt w:val="lowerLetter"/>
      <w:start w:val="25"/>
    </w:lvl>
    <w:lvl w:ilvl="1">
      <w:lvlJc w:val="left"/>
      <w:lvlText w:val="(%2)"/>
      <w:numFmt w:val="lowerLetter"/>
      <w:start w:val="8"/>
    </w:lvl>
  </w:abstractNum>
  <w:abstractNum w:abstractNumId="145">
    <w:nsid w:val="4F294393"/>
    <w:multiLevelType w:val="hybridMultilevel"/>
    <w:lvl w:ilvl="0">
      <w:lvlJc w:val="left"/>
      <w:lvlText w:val="(%1)"/>
      <w:numFmt w:val="lowerLetter"/>
      <w:start w:val="1"/>
    </w:lvl>
  </w:abstractNum>
  <w:abstractNum w:abstractNumId="146">
    <w:nsid w:val="5243BFAC"/>
    <w:multiLevelType w:val="hybridMultilevel"/>
    <w:lvl w:ilvl="0">
      <w:lvlJc w:val="left"/>
      <w:lvlText w:val="(%1)"/>
      <w:numFmt w:val="lowerLetter"/>
      <w:start w:val="6"/>
    </w:lvl>
  </w:abstractNum>
  <w:abstractNum w:abstractNumId="147">
    <w:nsid w:val="425EB207"/>
    <w:multiLevelType w:val="hybridMultilevel"/>
    <w:lvl w:ilvl="0">
      <w:lvlJc w:val="left"/>
      <w:lvlText w:val="(%1)"/>
      <w:numFmt w:val="lowerLetter"/>
      <w:start w:val="2"/>
    </w:lvl>
  </w:abstractNum>
  <w:abstractNum w:abstractNumId="148">
    <w:nsid w:val="334A6F1F"/>
    <w:multiLevelType w:val="hybridMultilevel"/>
    <w:lvl w:ilvl="0">
      <w:lvlJc w:val="left"/>
      <w:lvlText w:val="(%1)"/>
      <w:numFmt w:val="lowerLetter"/>
      <w:start w:val="1"/>
    </w:lvl>
    <w:lvl w:ilvl="1">
      <w:lvlJc w:val="left"/>
      <w:lvlText w:val="(%2)"/>
      <w:numFmt w:val="lowerRoman"/>
      <w:start w:val="1"/>
    </w:lvl>
  </w:abstractNum>
  <w:abstractNum w:abstractNumId="149">
    <w:nsid w:val="2E5B12B8"/>
    <w:multiLevelType w:val="hybridMultilevel"/>
    <w:lvl w:ilvl="0">
      <w:lvlJc w:val="left"/>
      <w:lvlText w:val="(%1)"/>
      <w:numFmt w:val="lowerLetter"/>
      <w:start w:val="2"/>
    </w:lvl>
  </w:abstractNum>
  <w:abstractNum w:abstractNumId="150">
    <w:nsid w:val="5C03D76D"/>
    <w:multiLevelType w:val="hybridMultilevel"/>
    <w:lvl w:ilvl="0">
      <w:lvlJc w:val="left"/>
      <w:lvlText w:val="(%1)"/>
      <w:numFmt w:val="lowerLetter"/>
      <w:start w:val="1"/>
    </w:lvl>
    <w:lvl w:ilvl="1">
      <w:lvlJc w:val="left"/>
      <w:lvlText w:val="(%2)"/>
      <w:numFmt w:val="lowerRoman"/>
      <w:start w:val="1"/>
    </w:lvl>
  </w:abstractNum>
  <w:abstractNum w:abstractNumId="151">
    <w:nsid w:val="66A48D11"/>
    <w:multiLevelType w:val="hybridMultilevel"/>
    <w:lvl w:ilvl="0">
      <w:lvlJc w:val="left"/>
      <w:lvlText w:val="(%1)"/>
      <w:numFmt w:val="lowerLetter"/>
      <w:start w:val="2"/>
    </w:lvl>
  </w:abstractNum>
  <w:abstractNum w:abstractNumId="152">
    <w:nsid w:val="56C28E34"/>
    <w:multiLevelType w:val="hybridMultilevel"/>
    <w:lvl w:ilvl="0">
      <w:lvlJc w:val="left"/>
      <w:lvlText w:val="(%1)"/>
      <w:numFmt w:val="lowerLetter"/>
      <w:start w:val="3"/>
    </w:lvl>
    <w:lvl w:ilvl="1">
      <w:lvlJc w:val="left"/>
      <w:lvlText w:val="(%2)"/>
      <w:numFmt w:val="lowerLetter"/>
      <w:start w:val="3"/>
    </w:lvl>
  </w:abstractNum>
  <w:abstractNum w:abstractNumId="153">
    <w:nsid w:val="13916F2D"/>
    <w:multiLevelType w:val="hybridMultilevel"/>
    <w:lvl w:ilvl="0">
      <w:lvlJc w:val="left"/>
      <w:lvlText w:val="(%1)"/>
      <w:numFmt w:val="lowerLetter"/>
      <w:start w:val="9"/>
    </w:lvl>
    <w:lvl w:ilvl="1">
      <w:lvlJc w:val="left"/>
      <w:lvlText w:val="(%2)"/>
      <w:numFmt w:val="lowerLetter"/>
      <w:start w:val="4"/>
    </w:lvl>
  </w:abstractNum>
  <w:abstractNum w:abstractNumId="154">
    <w:nsid w:val="435D38D"/>
    <w:multiLevelType w:val="hybridMultilevel"/>
    <w:lvl w:ilvl="0">
      <w:lvlJc w:val="left"/>
      <w:lvlText w:val="(%1)"/>
      <w:numFmt w:val="lowerLetter"/>
      <w:start w:val="3"/>
    </w:lvl>
  </w:abstractNum>
  <w:abstractNum w:abstractNumId="155">
    <w:nsid w:val="822C0EF"/>
    <w:multiLevelType w:val="hybridMultilevel"/>
    <w:lvl w:ilvl="0">
      <w:lvlJc w:val="left"/>
      <w:lvlText w:val="(%1)"/>
      <w:numFmt w:val="lowerLetter"/>
      <w:start w:val="1"/>
    </w:lvl>
  </w:abstractNum>
  <w:abstractNum w:abstractNumId="156">
    <w:nsid w:val="57C5BB4F"/>
    <w:multiLevelType w:val="hybridMultilevel"/>
    <w:lvl w:ilvl="0">
      <w:lvlJc w:val="left"/>
      <w:lvlText w:val="(%1)"/>
      <w:numFmt w:val="lowerLetter"/>
      <w:start w:val="9"/>
    </w:lvl>
    <w:lvl w:ilvl="1">
      <w:lvlJc w:val="left"/>
      <w:lvlText w:val="(%2)"/>
      <w:numFmt w:val="lowerLetter"/>
      <w:start w:val="2"/>
    </w:lvl>
  </w:abstractNum>
  <w:abstractNum w:abstractNumId="157">
    <w:nsid w:val="1803D089"/>
    <w:multiLevelType w:val="hybridMultilevel"/>
    <w:lvl w:ilvl="0">
      <w:lvlJc w:val="left"/>
      <w:lvlText w:val="(%1)"/>
      <w:numFmt w:val="decimal"/>
      <w:start w:val="1"/>
    </w:lvl>
    <w:lvl w:ilvl="1">
      <w:lvlJc w:val="left"/>
      <w:lvlText w:val="(%2)"/>
      <w:numFmt w:val="upperLetter"/>
      <w:start w:val="1"/>
    </w:lvl>
  </w:abstractNum>
  <w:abstractNum w:abstractNumId="158">
    <w:nsid w:val="4F3A06D4"/>
    <w:multiLevelType w:val="hybridMultilevel"/>
    <w:lvl w:ilvl="0">
      <w:lvlJc w:val="left"/>
      <w:lvlText w:val="(%1)"/>
      <w:numFmt w:val="decimal"/>
      <w:start w:val="3"/>
    </w:lvl>
  </w:abstractNum>
  <w:abstractNum w:abstractNumId="159">
    <w:nsid w:val="59A377B6"/>
    <w:multiLevelType w:val="hybridMultilevel"/>
    <w:lvl w:ilvl="0">
      <w:lvlJc w:val="left"/>
      <w:lvlText w:val="(%1)"/>
      <w:numFmt w:val="lowerLetter"/>
      <w:start w:val="6"/>
    </w:lvl>
  </w:abstractNum>
  <w:abstractNum w:abstractNumId="160">
    <w:nsid w:val="48AEB063"/>
    <w:multiLevelType w:val="hybridMultilevel"/>
    <w:lvl w:ilvl="0">
      <w:lvlJc w:val="left"/>
      <w:lvlText w:val="(%1)"/>
      <w:numFmt w:val="lowerLetter"/>
      <w:start w:val="7"/>
    </w:lvl>
  </w:abstractNum>
  <w:abstractNum w:abstractNumId="161">
    <w:nsid w:val="24E135"/>
    <w:multiLevelType w:val="hybridMultilevel"/>
    <w:lvl w:ilvl="0">
      <w:lvlJc w:val="left"/>
      <w:lvlText w:val="(%1)"/>
      <w:numFmt w:val="lowerLetter"/>
      <w:start w:val="1"/>
    </w:lvl>
  </w:abstractNum>
  <w:abstractNum w:abstractNumId="162">
    <w:nsid w:val="BB13C1"/>
    <w:multiLevelType w:val="hybridMultilevel"/>
    <w:lvl w:ilvl="0">
      <w:lvlJc w:val="left"/>
      <w:lvlText w:val="(%1)"/>
      <w:numFmt w:val="upperLetter"/>
      <w:start w:val="3"/>
    </w:lvl>
    <w:lvl w:ilvl="1">
      <w:lvlJc w:val="left"/>
      <w:lvlText w:val="(%2)"/>
      <w:numFmt w:val="lowerLetter"/>
      <w:start w:val="4"/>
    </w:lvl>
  </w:abstractNum>
  <w:abstractNum w:abstractNumId="163">
    <w:nsid w:val="271210C7"/>
    <w:multiLevelType w:val="hybridMultilevel"/>
    <w:lvl w:ilvl="0">
      <w:lvlJc w:val="left"/>
      <w:lvlText w:val="(%1)"/>
      <w:numFmt w:val="lowerLetter"/>
      <w:start w:val="1"/>
    </w:lvl>
  </w:abstractNum>
  <w:abstractNum w:abstractNumId="164">
    <w:nsid w:val="217B22E4"/>
    <w:multiLevelType w:val="hybridMultilevel"/>
    <w:lvl w:ilvl="0">
      <w:lvlJc w:val="left"/>
      <w:lvlText w:val="(%1)"/>
      <w:numFmt w:val="lowerLetter"/>
      <w:start w:val="1"/>
    </w:lvl>
  </w:abstractNum>
  <w:abstractNum w:abstractNumId="165">
    <w:nsid w:val="53E31A24"/>
    <w:multiLevelType w:val="hybridMultilevel"/>
    <w:lvl w:ilvl="0">
      <w:lvlJc w:val="left"/>
      <w:lvlText w:val="(%1)"/>
      <w:numFmt w:val="lowerLetter"/>
      <w:start w:val="2"/>
    </w:lvl>
  </w:abstractNum>
  <w:abstractNum w:abstractNumId="166">
    <w:nsid w:val="6DC45E83"/>
    <w:multiLevelType w:val="hybridMultilevel"/>
    <w:lvl w:ilvl="0">
      <w:lvlJc w:val="left"/>
      <w:lvlText w:val="(%1)"/>
      <w:numFmt w:val="lowerLetter"/>
      <w:start w:val="3"/>
    </w:lvl>
  </w:abstractNum>
  <w:abstractNum w:abstractNumId="167">
    <w:nsid w:val="17304A67"/>
    <w:multiLevelType w:val="hybridMultilevel"/>
    <w:lvl w:ilvl="0">
      <w:lvlJc w:val="left"/>
      <w:lvlText w:val="(%1)"/>
      <w:numFmt w:val="lowerLetter"/>
      <w:start w:val="5"/>
    </w:lvl>
  </w:abstractNum>
  <w:abstractNum w:abstractNumId="168">
    <w:nsid w:val="2BB180D8"/>
    <w:multiLevelType w:val="hybridMultilevel"/>
    <w:lvl w:ilvl="0">
      <w:lvlJc w:val="left"/>
      <w:lvlText w:val="(%1)"/>
      <w:numFmt w:val="lowerLetter"/>
      <w:start w:val="8"/>
    </w:lvl>
  </w:abstractNum>
  <w:abstractNum w:abstractNumId="169">
    <w:nsid w:val="556B69ED"/>
    <w:multiLevelType w:val="hybridMultilevel"/>
    <w:lvl w:ilvl="0">
      <w:lvlJc w:val="left"/>
      <w:lvlText w:val="(%1)"/>
      <w:numFmt w:val="lowerLetter"/>
      <w:start w:val="1"/>
    </w:lvl>
    <w:lvl w:ilvl="1">
      <w:lvlJc w:val="left"/>
      <w:lvlText w:val="(%2)"/>
      <w:numFmt w:val="lowerRoman"/>
      <w:start w:val="1"/>
    </w:lvl>
  </w:abstractNum>
  <w:abstractNum w:abstractNumId="170">
    <w:nsid w:val="70836196"/>
    <w:multiLevelType w:val="hybridMultilevel"/>
    <w:lvl w:ilvl="0">
      <w:lvlJc w:val="left"/>
      <w:lvlText w:val="(%1)"/>
      <w:numFmt w:val="lowerLetter"/>
      <w:start w:val="1"/>
    </w:lvl>
    <w:lvl w:ilvl="1">
      <w:lvlJc w:val="left"/>
      <w:lvlText w:val="(%2)"/>
      <w:numFmt w:val="lowerRoman"/>
      <w:start w:val="3"/>
    </w:lvl>
  </w:abstractNum>
  <w:abstractNum w:abstractNumId="171">
    <w:nsid w:val="539F7F12"/>
    <w:multiLevelType w:val="hybridMultilevel"/>
    <w:lvl w:ilvl="0">
      <w:lvlJc w:val="left"/>
      <w:lvlText w:val="(%1)"/>
      <w:numFmt w:val="lowerLetter"/>
      <w:start w:val="1"/>
    </w:lvl>
  </w:abstractNum>
  <w:abstractNum w:abstractNumId="172">
    <w:nsid w:val="2817E7EC"/>
    <w:multiLevelType w:val="hybridMultilevel"/>
    <w:lvl w:ilvl="0">
      <w:lvlJc w:val="left"/>
      <w:lvlText w:val="(%1)"/>
      <w:numFmt w:val="lowerLetter"/>
      <w:start w:val="2"/>
    </w:lvl>
  </w:abstractNum>
  <w:abstractNum w:abstractNumId="173">
    <w:nsid w:val="71482545"/>
    <w:multiLevelType w:val="hybridMultilevel"/>
    <w:lvl w:ilvl="0">
      <w:lvlJc w:val="left"/>
      <w:lvlText w:val="(%1)"/>
      <w:numFmt w:val="lowerLetter"/>
      <w:start w:val="3"/>
    </w:lvl>
  </w:abstractNum>
  <w:abstractNum w:abstractNumId="174">
    <w:nsid w:val="17D78639"/>
    <w:multiLevelType w:val="hybridMultilevel"/>
    <w:lvl w:ilvl="0">
      <w:lvlJc w:val="left"/>
      <w:lvlText w:val="(%1)"/>
      <w:numFmt w:val="lowerLetter"/>
      <w:start w:val="5"/>
    </w:lvl>
  </w:abstractNum>
  <w:abstractNum w:abstractNumId="175">
    <w:nsid w:val="141D2302"/>
    <w:multiLevelType w:val="hybridMultilevel"/>
    <w:lvl w:ilvl="0">
      <w:lvlJc w:val="left"/>
      <w:lvlText w:val="(%1)"/>
      <w:numFmt w:val="lowerLetter"/>
      <w:start w:val="61"/>
    </w:lvl>
    <w:lvl w:ilvl="1">
      <w:lvlJc w:val="left"/>
      <w:lvlText w:val="(%2)"/>
      <w:numFmt w:val="lowerLetter"/>
      <w:start w:val="7"/>
    </w:lvl>
  </w:abstractNum>
  <w:abstractNum w:abstractNumId="176">
    <w:nsid w:val="407168D8"/>
    <w:multiLevelType w:val="hybridMultilevel"/>
    <w:lvl w:ilvl="0">
      <w:lvlJc w:val="left"/>
      <w:lvlText w:val="(%1)"/>
      <w:numFmt w:val="lowerLetter"/>
      <w:start w:val="3"/>
    </w:lvl>
    <w:lvl w:ilvl="1">
      <w:lvlJc w:val="left"/>
      <w:lvlText w:val="(%2)"/>
      <w:numFmt w:val="lowerLetter"/>
      <w:start w:val="9"/>
    </w:lvl>
  </w:abstractNum>
  <w:abstractNum w:abstractNumId="177">
    <w:nsid w:val="6A1B45E5"/>
    <w:multiLevelType w:val="hybridMultilevel"/>
    <w:lvl w:ilvl="0">
      <w:lvlJc w:val="left"/>
      <w:lvlText w:val="(%1)"/>
      <w:numFmt w:val="lowerLetter"/>
      <w:start w:val="1"/>
    </w:lvl>
  </w:abstractNum>
  <w:abstractNum w:abstractNumId="178">
    <w:nsid w:val="567BD50A"/>
    <w:multiLevelType w:val="hybridMultilevel"/>
    <w:lvl w:ilvl="0">
      <w:lvlJc w:val="left"/>
      <w:lvlText w:val="(%1)"/>
      <w:numFmt w:val="lowerLetter"/>
      <w:start w:val="9"/>
    </w:lvl>
  </w:abstractNum>
  <w:abstractNum w:abstractNumId="179">
    <w:nsid w:val="73BBD7F8"/>
    <w:multiLevelType w:val="hybridMultilevel"/>
    <w:lvl w:ilvl="0">
      <w:lvlJc w:val="left"/>
      <w:lvlText w:val="(%1)"/>
      <w:numFmt w:val="lowerLetter"/>
      <w:start w:val="1"/>
    </w:lvl>
  </w:abstractNum>
  <w:abstractNum w:abstractNumId="180">
    <w:nsid w:val="1876589D"/>
    <w:multiLevelType w:val="hybridMultilevel"/>
    <w:lvl w:ilvl="0">
      <w:lvlJc w:val="left"/>
      <w:lvlText w:val="(%1)"/>
      <w:numFmt w:val="lowerLetter"/>
      <w:start w:val="1"/>
    </w:lvl>
  </w:abstractNum>
  <w:abstractNum w:abstractNumId="181">
    <w:nsid w:val="327FAC77"/>
    <w:multiLevelType w:val="hybridMultilevel"/>
    <w:lvl w:ilvl="0">
      <w:lvlJc w:val="left"/>
      <w:lvlText w:val="(%1)"/>
      <w:numFmt w:val="lowerLetter"/>
      <w:start w:val="1"/>
    </w:lvl>
  </w:abstractNum>
  <w:abstractNum w:abstractNumId="182">
    <w:nsid w:val="5A606509"/>
    <w:multiLevelType w:val="hybridMultilevel"/>
    <w:lvl w:ilvl="0">
      <w:lvlJc w:val="left"/>
      <w:lvlText w:val="(%1)"/>
      <w:numFmt w:val="lowerLetter"/>
      <w:start w:val="1"/>
    </w:lvl>
  </w:abstractNum>
  <w:abstractNum w:abstractNumId="183">
    <w:nsid w:val="6F38E6D1"/>
    <w:multiLevelType w:val="hybridMultilevel"/>
    <w:lvl w:ilvl="0">
      <w:lvlJc w:val="left"/>
      <w:lvlText w:val="(%1)"/>
      <w:numFmt w:val="lowerLetter"/>
      <w:start w:val="1"/>
    </w:lvl>
  </w:abstractNum>
  <w:abstractNum w:abstractNumId="184">
    <w:nsid w:val="46111BA5"/>
    <w:multiLevelType w:val="hybridMultilevel"/>
    <w:lvl w:ilvl="0">
      <w:lvlJc w:val="left"/>
      <w:lvlText w:val="(%1)"/>
      <w:numFmt w:val="lowerLetter"/>
      <w:start w:val="2"/>
    </w:lvl>
  </w:abstractNum>
  <w:abstractNum w:abstractNumId="185">
    <w:nsid w:val="5E963896"/>
    <w:multiLevelType w:val="hybridMultilevel"/>
    <w:lvl w:ilvl="0">
      <w:lvlJc w:val="left"/>
      <w:lvlText w:val="(%1)"/>
      <w:numFmt w:val="lowerLetter"/>
      <w:start w:val="1"/>
    </w:lvl>
  </w:abstractNum>
  <w:abstractNum w:abstractNumId="186">
    <w:nsid w:val="775BA7C1"/>
    <w:multiLevelType w:val="hybridMultilevel"/>
    <w:lvl w:ilvl="0">
      <w:lvlJc w:val="left"/>
      <w:lvlText w:val="(%1)"/>
      <w:numFmt w:val="lowerLetter"/>
      <w:start w:val="1"/>
    </w:lvl>
  </w:abstractNum>
  <w:abstractNum w:abstractNumId="187">
    <w:nsid w:val="1DD6D6F4"/>
    <w:multiLevelType w:val="hybridMultilevel"/>
    <w:lvl w:ilvl="0">
      <w:lvlJc w:val="left"/>
      <w:lvlText w:val="%1"/>
      <w:numFmt w:val="lowerRoman"/>
      <w:start w:val="1"/>
    </w:lvl>
    <w:lvl w:ilvl="1">
      <w:lvlJc w:val="left"/>
      <w:lvlText w:val="(%2)"/>
      <w:numFmt w:val="lowerLetter"/>
      <w:start w:val="4"/>
    </w:lvl>
  </w:abstractNum>
  <w:abstractNum w:abstractNumId="188">
    <w:nsid w:val="769A091F"/>
    <w:multiLevelType w:val="hybridMultilevel"/>
    <w:lvl w:ilvl="0">
      <w:lvlJc w:val="left"/>
      <w:lvlText w:val="(%1)"/>
      <w:numFmt w:val="lowerRoman"/>
      <w:start w:val="1"/>
    </w:lvl>
    <w:lvl w:ilvl="1">
      <w:lvlJc w:val="left"/>
      <w:lvlText w:val="(%2)"/>
      <w:numFmt w:val="lowerLetter"/>
      <w:start w:val="5"/>
    </w:lvl>
  </w:abstractNum>
  <w:abstractNum w:abstractNumId="189">
    <w:nsid w:val="4695AE95"/>
    <w:multiLevelType w:val="hybridMultilevel"/>
    <w:lvl w:ilvl="0">
      <w:lvlJc w:val="left"/>
      <w:lvlText w:val="(%1)"/>
      <w:numFmt w:val="lowerLetter"/>
      <w:start w:val="9"/>
    </w:lvl>
  </w:abstractNum>
  <w:abstractNum w:abstractNumId="190">
    <w:nsid w:val="777A4EAA"/>
    <w:multiLevelType w:val="hybridMultilevel"/>
    <w:lvl w:ilvl="0">
      <w:lvlJc w:val="left"/>
      <w:lvlText w:val="(%1)"/>
      <w:numFmt w:val="lowerLetter"/>
      <w:start w:val="1"/>
    </w:lvl>
  </w:abstractNum>
  <w:abstractNum w:abstractNumId="191">
    <w:nsid w:val="3F48B982"/>
    <w:multiLevelType w:val="hybridMultilevel"/>
    <w:lvl w:ilvl="0">
      <w:lvlJc w:val="left"/>
      <w:lvlText w:val="(%1)"/>
      <w:numFmt w:val="lowerLetter"/>
      <w:start w:val="1"/>
    </w:lvl>
  </w:abstractNum>
  <w:abstractNum w:abstractNumId="192">
    <w:nsid w:val="46BA8FCA"/>
    <w:multiLevelType w:val="hybridMultilevel"/>
    <w:lvl w:ilvl="0">
      <w:lvlJc w:val="left"/>
      <w:lvlText w:val="%1"/>
      <w:numFmt w:val="lowerLetter"/>
      <w:start w:val="1"/>
    </w:lvl>
    <w:lvl w:ilvl="1">
      <w:lvlJc w:val="left"/>
      <w:lvlText w:val="(%2)"/>
      <w:numFmt w:val="lowerLetter"/>
      <w:start w:val="2"/>
    </w:lvl>
  </w:abstractNum>
  <w:abstractNum w:abstractNumId="193">
    <w:nsid w:val="7835626C"/>
    <w:multiLevelType w:val="hybridMultilevel"/>
    <w:lvl w:ilvl="0">
      <w:lvlJc w:val="left"/>
      <w:lvlText w:val="(%1)"/>
      <w:numFmt w:val="lowerLetter"/>
      <w:start w:val="2"/>
    </w:lvl>
    <w:lvl w:ilvl="1">
      <w:lvlJc w:val="left"/>
      <w:lvlText w:val="(%2)"/>
      <w:numFmt w:val="lowerLetter"/>
      <w:start w:val="5"/>
    </w:lvl>
  </w:abstractNum>
  <w:abstractNum w:abstractNumId="194">
    <w:nsid w:val="665ACA49"/>
    <w:multiLevelType w:val="hybridMultilevel"/>
    <w:lvl w:ilvl="0">
      <w:lvlJc w:val="left"/>
      <w:lvlText w:val="(%1)"/>
      <w:numFmt w:val="lowerLetter"/>
      <w:start w:val="6"/>
    </w:lvl>
  </w:abstractNum>
  <w:abstractNum w:abstractNumId="195">
    <w:nsid w:val="6835B2AE"/>
    <w:multiLevelType w:val="hybridMultilevel"/>
    <w:lvl w:ilvl="0">
      <w:lvlJc w:val="left"/>
      <w:lvlText w:val="(%1)"/>
      <w:numFmt w:val="decimal"/>
      <w:start w:val="2"/>
    </w:lvl>
  </w:abstractNum>
  <w:abstractNum w:abstractNumId="196">
    <w:nsid w:val="4C187C90"/>
    <w:multiLevelType w:val="hybridMultilevel"/>
    <w:lvl w:ilvl="0">
      <w:lvlJc w:val="left"/>
      <w:lvlText w:val="(%1)"/>
      <w:numFmt w:val="lowerLetter"/>
      <w:start w:val="1"/>
    </w:lvl>
  </w:abstractNum>
  <w:abstractNum w:abstractNumId="197">
    <w:nsid w:val="541F28CD"/>
    <w:multiLevelType w:val="hybridMultilevel"/>
    <w:lvl w:ilvl="0">
      <w:lvlJc w:val="left"/>
      <w:lvlText w:val="(%1)"/>
      <w:numFmt w:val="lowerLetter"/>
      <w:start w:val="1"/>
    </w:lvl>
  </w:abstractNum>
  <w:abstractNum w:abstractNumId="198">
    <w:nsid w:val="7F65FD16"/>
    <w:multiLevelType w:val="hybridMultilevel"/>
    <w:lvl w:ilvl="0">
      <w:lvlJc w:val="left"/>
      <w:lvlText w:val="(%1)"/>
      <w:numFmt w:val="lowerLetter"/>
      <w:start w:val="1"/>
    </w:lvl>
  </w:abstractNum>
  <w:abstractNum w:abstractNumId="199">
    <w:nsid w:val="77C9FD68"/>
    <w:multiLevelType w:val="hybridMultilevel"/>
    <w:lvl w:ilvl="0">
      <w:lvlJc w:val="left"/>
      <w:lvlText w:val="(%1)"/>
      <w:numFmt w:val="lowerLetter"/>
      <w:start w:val="1"/>
    </w:lvl>
  </w:abstractNum>
  <w:abstractNum w:abstractNumId="200">
    <w:nsid w:val="298A92BA"/>
    <w:multiLevelType w:val="hybridMultilevel"/>
    <w:lvl w:ilvl="0">
      <w:lvlJc w:val="left"/>
      <w:lvlText w:val="(%1)"/>
      <w:numFmt w:val="lowerLetter"/>
      <w:start w:val="1"/>
    </w:lvl>
    <w:lvl w:ilvl="1">
      <w:lvlJc w:val="left"/>
      <w:lvlText w:val="(%2)"/>
      <w:numFmt w:val="lowerRoman"/>
      <w:start w:val="1"/>
    </w:lvl>
  </w:abstractNum>
  <w:abstractNum w:abstractNumId="201">
    <w:nsid w:val="6FE95EAC"/>
    <w:multiLevelType w:val="hybridMultilevel"/>
    <w:lvl w:ilvl="0">
      <w:lvlJc w:val="left"/>
      <w:lvlText w:val="(%1)"/>
      <w:numFmt w:val="lowerRoman"/>
      <w:start w:val="8"/>
    </w:lvl>
  </w:abstractNum>
  <w:abstractNum w:abstractNumId="202">
    <w:nsid w:val="4B697C7A"/>
    <w:multiLevelType w:val="hybridMultilevel"/>
    <w:lvl w:ilvl="0">
      <w:lvlJc w:val="left"/>
      <w:lvlText w:val="%1"/>
      <w:numFmt w:val="lowerRoman"/>
      <w:start w:val="1"/>
    </w:lvl>
    <w:lvl w:ilvl="1">
      <w:lvlJc w:val="left"/>
      <w:lvlText w:val="(%2)"/>
      <w:numFmt w:val="lowerRoman"/>
      <w:start w:val="14"/>
    </w:lvl>
  </w:abstractNum>
  <w:abstractNum w:abstractNumId="203">
    <w:nsid w:val="51A27AA6"/>
    <w:multiLevelType w:val="hybridMultilevel"/>
    <w:lvl w:ilvl="0">
      <w:lvlJc w:val="left"/>
      <w:lvlText w:val="(%1)"/>
      <w:numFmt w:val="lowerRoman"/>
      <w:start w:val="14"/>
    </w:lvl>
    <w:lvl w:ilvl="1">
      <w:lvlJc w:val="left"/>
      <w:lvlText w:val="(%2)"/>
      <w:numFmt w:val="lowerRoman"/>
      <w:start w:val="15"/>
    </w:lvl>
  </w:abstractNum>
  <w:abstractNum w:abstractNumId="204">
    <w:nsid w:val="613183F2"/>
    <w:multiLevelType w:val="hybridMultilevel"/>
    <w:lvl w:ilvl="0">
      <w:lvlJc w:val="left"/>
      <w:lvlText w:val="(%1)"/>
      <w:numFmt w:val="lowerRoman"/>
      <w:start w:val="20"/>
    </w:lvl>
    <w:lvl w:ilvl="1">
      <w:lvlJc w:val="left"/>
      <w:lvlText w:val="(%2)"/>
      <w:numFmt w:val="decimal"/>
      <w:start w:val="1"/>
    </w:lvl>
  </w:abstractNum>
  <w:abstractNum w:abstractNumId="205">
    <w:nsid w:val="634102B4"/>
    <w:multiLevelType w:val="hybridMultilevel"/>
    <w:lvl w:ilvl="0">
      <w:lvlJc w:val="left"/>
      <w:lvlText w:val="%1"/>
      <w:numFmt w:val="upperLetter"/>
      <w:start w:val="1"/>
    </w:lvl>
    <w:lvl w:ilvl="1">
      <w:lvlJc w:val="left"/>
      <w:lvlText w:val="(%2)"/>
      <w:numFmt w:val="lowerRoman"/>
      <w:start w:val="24"/>
    </w:lvl>
    <w:lvl w:ilvl="2">
      <w:lvlJc w:val="left"/>
      <w:lvlText w:val="%3"/>
      <w:numFmt w:val="upperLetter"/>
      <w:start w:val="1"/>
    </w:lvl>
  </w:abstractNum>
  <w:abstractNum w:abstractNumId="206">
    <w:nsid w:val="65BF9DA8"/>
    <w:multiLevelType w:val="hybridMultilevel"/>
    <w:lvl w:ilvl="0">
      <w:lvlJc w:val="left"/>
      <w:lvlText w:val="(%1)"/>
      <w:numFmt w:val="upperLetter"/>
      <w:start w:val="2"/>
    </w:lvl>
    <w:lvl w:ilvl="1">
      <w:lvlJc w:val="left"/>
      <w:lvlText w:val="(%2)"/>
      <w:numFmt w:val="lowerRoman"/>
      <w:start w:val="26"/>
    </w:lvl>
    <w:lvl w:ilvl="2">
      <w:lvlJc w:val="left"/>
      <w:lvlText w:val="(%3)"/>
      <w:numFmt w:val="upperLetter"/>
      <w:start w:val="9"/>
    </w:lvl>
  </w:abstractNum>
  <w:abstractNum w:abstractNumId="207">
    <w:nsid w:val="21A2ECCA"/>
    <w:multiLevelType w:val="hybridMultilevel"/>
    <w:lvl w:ilvl="0">
      <w:lvlJc w:val="left"/>
      <w:lvlText w:val="(%1)"/>
      <w:numFmt w:val="upperLetter"/>
      <w:start w:val="35"/>
    </w:lvl>
  </w:abstractNum>
  <w:abstractNum w:abstractNumId="208">
    <w:nsid w:val="4D5C4899"/>
    <w:multiLevelType w:val="hybridMultilevel"/>
    <w:lvl w:ilvl="0">
      <w:lvlJc w:val="left"/>
      <w:lvlText w:val="(%1)"/>
      <w:numFmt w:val="lowerLetter"/>
      <w:start w:val="25"/>
    </w:lvl>
  </w:abstractNum>
  <w:abstractNum w:abstractNumId="209">
    <w:nsid w:val="3C3B72B2"/>
    <w:multiLevelType w:val="hybridMultilevel"/>
    <w:lvl w:ilvl="0">
      <w:lvlJc w:val="left"/>
      <w:lvlText w:val="%1"/>
      <w:numFmt w:val="lowerLetter"/>
      <w:start w:val="1"/>
    </w:lvl>
    <w:lvl w:ilvl="1">
      <w:lvlJc w:val="left"/>
      <w:lvlText w:val="(%2)"/>
      <w:numFmt w:val="lowerRoman"/>
      <w:start w:val="27"/>
    </w:lvl>
  </w:abstractNum>
  <w:abstractNum w:abstractNumId="210">
    <w:nsid w:val="155EC4C2"/>
    <w:multiLevelType w:val="hybridMultilevel"/>
    <w:lvl w:ilvl="0">
      <w:lvlJc w:val="left"/>
      <w:lvlText w:val="(%1)"/>
      <w:numFmt w:val="lowerLetter"/>
      <w:start w:val="2"/>
    </w:lvl>
    <w:lvl w:ilvl="1">
      <w:lvlJc w:val="left"/>
      <w:lvlText w:val="%2"/>
      <w:numFmt w:val="lowerRoman"/>
      <w:start w:val="1"/>
    </w:lvl>
  </w:abstractNum>
  <w:abstractNum w:abstractNumId="211">
    <w:nsid w:val="65D2A137"/>
    <w:multiLevelType w:val="hybridMultilevel"/>
    <w:lvl w:ilvl="0">
      <w:lvlJc w:val="left"/>
      <w:lvlText w:val="(%1)"/>
      <w:numFmt w:val="lowerRoman"/>
      <w:start w:val="1"/>
    </w:lvl>
  </w:abstractNum>
  <w:abstractNum w:abstractNumId="212">
    <w:nsid w:val="6EBB1F2A"/>
    <w:multiLevelType w:val="hybridMultilevel"/>
    <w:lvl w:ilvl="0">
      <w:lvlJc w:val="left"/>
      <w:lvlText w:val="%1"/>
      <w:numFmt w:val="upperLetter"/>
      <w:start w:val="1"/>
    </w:lvl>
    <w:lvl w:ilvl="1">
      <w:lvlJc w:val="left"/>
      <w:lvlText w:val="(%2)"/>
      <w:numFmt w:val="lowerRoman"/>
      <w:start w:val="6"/>
    </w:lvl>
  </w:abstractNum>
  <w:abstractNum w:abstractNumId="213">
    <w:nsid w:val="6FBF29CB"/>
    <w:multiLevelType w:val="hybridMultilevel"/>
    <w:lvl w:ilvl="0">
      <w:lvlJc w:val="left"/>
      <w:lvlText w:val="(%1)"/>
      <w:numFmt w:val="upperLetter"/>
      <w:start w:val="2"/>
    </w:lvl>
    <w:lvl w:ilvl="1">
      <w:lvlJc w:val="left"/>
      <w:lvlText w:val="(%2)"/>
      <w:numFmt w:val="lowerRoman"/>
      <w:start w:val="8"/>
    </w:lvl>
  </w:abstractNum>
  <w:abstractNum w:abstractNumId="214">
    <w:nsid w:val="550B8808"/>
    <w:multiLevelType w:val="hybridMultilevel"/>
    <w:lvl w:ilvl="0">
      <w:lvlJc w:val="left"/>
      <w:lvlText w:val="%1"/>
      <w:numFmt w:val="upperLetter"/>
      <w:start w:val="1"/>
    </w:lvl>
    <w:lvl w:ilvl="1">
      <w:lvlJc w:val="left"/>
      <w:lvlText w:val="(%2)"/>
      <w:numFmt w:val="lowerRoman"/>
      <w:start w:val="14"/>
    </w:lvl>
  </w:abstractNum>
  <w:abstractNum w:abstractNumId="215">
    <w:nsid w:val="34CC3ACF"/>
    <w:multiLevelType w:val="hybridMultilevel"/>
    <w:lvl w:ilvl="0">
      <w:lvlJc w:val="left"/>
      <w:lvlText w:val="(%1)"/>
      <w:numFmt w:val="upperLetter"/>
      <w:start w:val="3"/>
    </w:lvl>
    <w:lvl w:ilvl="1">
      <w:lvlJc w:val="left"/>
      <w:lvlText w:val="%2"/>
      <w:numFmt w:val="lowerRoman"/>
      <w:start w:val="1"/>
    </w:lvl>
  </w:abstractNum>
  <w:abstractNum w:abstractNumId="216">
    <w:nsid w:val="4E556261"/>
    <w:multiLevelType w:val="hybridMultilevel"/>
    <w:lvl w:ilvl="0">
      <w:lvlJc w:val="left"/>
      <w:lvlText w:val="%1"/>
      <w:numFmt w:val="lowerRoman"/>
      <w:start w:val="1"/>
    </w:lvl>
    <w:lvl w:ilvl="1">
      <w:lvlJc w:val="left"/>
      <w:lvlText w:val="(%2)"/>
      <w:numFmt w:val="lowerRoman"/>
      <w:start w:val="20"/>
    </w:lvl>
  </w:abstractNum>
  <w:abstractNum w:abstractNumId="217">
    <w:nsid w:val="4C672FC9"/>
    <w:multiLevelType w:val="hybridMultilevel"/>
    <w:lvl w:ilvl="0">
      <w:lvlJc w:val="left"/>
      <w:lvlText w:val="(%1)"/>
      <w:numFmt w:val="lowerRoman"/>
      <w:start w:val="20"/>
    </w:lvl>
    <w:lvl w:ilvl="1">
      <w:lvlJc w:val="left"/>
      <w:lvlText w:val="(%2)"/>
      <w:numFmt w:val="lowerRoman"/>
      <w:start w:val="21"/>
    </w:lvl>
  </w:abstractNum>
  <w:abstractNum w:abstractNumId="218">
    <w:nsid w:val="52A311C3"/>
    <w:multiLevelType w:val="hybridMultilevel"/>
    <w:lvl w:ilvl="0">
      <w:lvlJc w:val="left"/>
      <w:lvlText w:val="%1"/>
      <w:numFmt w:val="lowerRoman"/>
      <w:start w:val="1"/>
    </w:lvl>
    <w:lvl w:ilvl="1">
      <w:lvlJc w:val="left"/>
      <w:lvlText w:val="(%2)"/>
      <w:numFmt w:val="lowerRoman"/>
      <w:start w:val="26"/>
    </w:lvl>
  </w:abstractNum>
  <w:abstractNum w:abstractNumId="219">
    <w:nsid w:val="44EF6B80"/>
    <w:multiLevelType w:val="hybridMultilevel"/>
    <w:lvl w:ilvl="0">
      <w:lvlJc w:val="left"/>
      <w:lvlText w:val="(%1)"/>
      <w:numFmt w:val="lowerRoman"/>
      <w:start w:val="23"/>
    </w:lvl>
    <w:lvl w:ilvl="1">
      <w:lvlJc w:val="left"/>
      <w:lvlText w:val="(%2)"/>
      <w:numFmt w:val="lowerRoman"/>
      <w:start w:val="31"/>
    </w:lvl>
  </w:abstractNum>
  <w:abstractNum w:abstractNumId="220">
    <w:nsid w:val="12FCDE5E"/>
    <w:multiLevelType w:val="hybridMultilevel"/>
    <w:lvl w:ilvl="0">
      <w:lvlJc w:val="left"/>
      <w:lvlText w:val="(%1)"/>
      <w:numFmt w:val="lowerRoman"/>
      <w:start w:val="35"/>
    </w:lvl>
  </w:abstractNum>
  <w:abstractNum w:abstractNumId="221">
    <w:nsid w:val="4A1D606E"/>
    <w:multiLevelType w:val="hybridMultilevel"/>
    <w:lvl w:ilvl="0">
      <w:lvlJc w:val="left"/>
      <w:lvlText w:val="%1"/>
      <w:numFmt w:val="upperLetter"/>
      <w:start w:val="1"/>
    </w:lvl>
    <w:lvl w:ilvl="1">
      <w:lvlJc w:val="left"/>
      <w:lvlText w:val="(%2)"/>
      <w:numFmt w:val="lowerLetter"/>
      <w:start w:val="1"/>
    </w:lvl>
  </w:abstractNum>
  <w:abstractNum w:abstractNumId="222">
    <w:nsid w:val="4382503"/>
    <w:multiLevelType w:val="hybridMultilevel"/>
    <w:lvl w:ilvl="0">
      <w:lvlJc w:val="left"/>
      <w:lvlText w:val="(%1)"/>
      <w:numFmt w:val="upperLetter"/>
      <w:start w:val="1"/>
    </w:lvl>
    <w:lvl w:ilvl="1">
      <w:lvlJc w:val="left"/>
      <w:lvlText w:val="(%2)"/>
      <w:numFmt w:val="lowerLetter"/>
      <w:start w:val="4"/>
    </w:lvl>
  </w:abstractNum>
  <w:abstractNum w:abstractNumId="223">
    <w:nsid w:val="59B76E28"/>
    <w:multiLevelType w:val="hybridMultilevel"/>
    <w:lvl w:ilvl="0">
      <w:lvlJc w:val="left"/>
      <w:lvlText w:val="%1"/>
      <w:numFmt w:val="lowerLetter"/>
      <w:start w:val="1"/>
    </w:lvl>
    <w:lvl w:ilvl="1">
      <w:lvlJc w:val="left"/>
      <w:lvlText w:val="(%2)"/>
      <w:numFmt w:val="lowerLetter"/>
      <w:start w:val="5"/>
    </w:lvl>
  </w:abstractNum>
  <w:abstractNum w:abstractNumId="224">
    <w:nsid w:val="4252C2DA"/>
    <w:multiLevelType w:val="hybridMultilevel"/>
    <w:lvl w:ilvl="0">
      <w:lvlJc w:val="left"/>
      <w:lvlText w:val="(%1)"/>
      <w:numFmt w:val="lowerLetter"/>
      <w:start w:val="8"/>
    </w:lvl>
    <w:lvl w:ilvl="1">
      <w:lvlJc w:val="left"/>
      <w:lvlText w:val="(%2)"/>
      <w:numFmt w:val="lowerLetter"/>
      <w:start w:val="9"/>
    </w:lvl>
  </w:abstractNum>
  <w:abstractNum w:abstractNumId="225">
    <w:nsid w:val="6A92EF4C"/>
    <w:multiLevelType w:val="hybridMultilevel"/>
    <w:lvl w:ilvl="0">
      <w:lvlJc w:val="left"/>
      <w:lvlText w:val="(%1)"/>
      <w:numFmt w:val="lowerLetter"/>
      <w:start w:val="1"/>
    </w:lvl>
  </w:abstractNum>
  <w:abstractNum w:abstractNumId="226">
    <w:nsid w:val="41ED20D7"/>
    <w:multiLevelType w:val="hybridMultilevel"/>
    <w:lvl w:ilvl="0">
      <w:lvlJc w:val="left"/>
      <w:lvlText w:val="(%1)"/>
      <w:numFmt w:val="lowerLetter"/>
      <w:start w:val="3"/>
    </w:lvl>
  </w:abstractNum>
  <w:abstractNum w:abstractNumId="227">
    <w:nsid w:val="E6B3F6A"/>
    <w:multiLevelType w:val="hybridMultilevel"/>
    <w:lvl w:ilvl="0">
      <w:lvlJc w:val="left"/>
      <w:lvlText w:val="(%1)"/>
      <w:numFmt w:val="lowerRoman"/>
      <w:start w:val="2"/>
    </w:lvl>
  </w:abstractNum>
  <w:abstractNum w:abstractNumId="228">
    <w:nsid w:val="3EB21819"/>
    <w:multiLevelType w:val="hybridMultilevel"/>
    <w:lvl w:ilvl="0">
      <w:lvlJc w:val="left"/>
      <w:lvlText w:val="(%1)"/>
      <w:numFmt w:val="lowerLetter"/>
      <w:start w:val="7"/>
    </w:lvl>
    <w:lvl w:ilvl="1">
      <w:lvlJc w:val="left"/>
      <w:lvlText w:val="(%2)"/>
      <w:numFmt w:val="lowerLetter"/>
      <w:start w:val="8"/>
    </w:lvl>
  </w:abstractNum>
  <w:abstractNum w:abstractNumId="229">
    <w:nsid w:val="41531DED"/>
    <w:multiLevelType w:val="hybridMultilevel"/>
    <w:lvl w:ilvl="0">
      <w:lvlJc w:val="left"/>
      <w:lvlText w:val="%1"/>
      <w:numFmt w:val="lowerLetter"/>
      <w:start w:val="1"/>
    </w:lvl>
    <w:lvl w:ilvl="1">
      <w:lvlJc w:val="left"/>
      <w:lvlText w:val="(%2)"/>
      <w:numFmt w:val="lowerLetter"/>
      <w:start w:val="13"/>
    </w:lvl>
  </w:abstractNum>
  <w:abstractNum w:abstractNumId="230">
    <w:nsid w:val="6353CD2"/>
    <w:multiLevelType w:val="hybridMultilevel"/>
    <w:lvl w:ilvl="0">
      <w:lvlJc w:val="left"/>
      <w:lvlText w:val="(%1)"/>
      <w:numFmt w:val="lowerLetter"/>
      <w:start w:val="35"/>
    </w:lvl>
    <w:lvl w:ilvl="1">
      <w:lvlJc w:val="left"/>
      <w:lvlText w:val="%2"/>
      <w:numFmt w:val="lowerLetter"/>
      <w:start w:val="1"/>
    </w:lvl>
  </w:abstractNum>
  <w:abstractNum w:abstractNumId="231">
    <w:nsid w:val="683CAAD3"/>
    <w:multiLevelType w:val="hybridMultilevel"/>
    <w:lvl w:ilvl="0">
      <w:lvlJc w:val="left"/>
      <w:lvlText w:val="(%1)"/>
      <w:numFmt w:val="lowerLetter"/>
      <w:start w:val="15"/>
    </w:lvl>
    <w:lvl w:ilvl="1">
      <w:lvlJc w:val="left"/>
      <w:lvlText w:val="(%2)"/>
      <w:numFmt w:val="lowerLetter"/>
      <w:start w:val="16"/>
    </w:lvl>
  </w:abstractNum>
  <w:abstractNum w:abstractNumId="232">
    <w:nsid w:val="313C7C99"/>
    <w:multiLevelType w:val="hybridMultilevel"/>
    <w:lvl w:ilvl="0">
      <w:lvlJc w:val="left"/>
      <w:lvlText w:val="%1"/>
      <w:numFmt w:val="lowerLetter"/>
      <w:start w:val="1"/>
    </w:lvl>
    <w:lvl w:ilvl="1">
      <w:lvlJc w:val="left"/>
      <w:lvlText w:val="(%2)"/>
      <w:numFmt w:val="lowerLetter"/>
      <w:start w:val="18"/>
    </w:lvl>
  </w:abstractNum>
  <w:abstractNum w:abstractNumId="233">
    <w:nsid w:val="519EB94C"/>
    <w:multiLevelType w:val="hybridMultilevel"/>
    <w:lvl w:ilvl="0">
      <w:lvlJc w:val="left"/>
      <w:lvlText w:val="(%1)"/>
      <w:numFmt w:val="lowerLetter"/>
      <w:start w:val="5"/>
    </w:lvl>
    <w:lvl w:ilvl="1">
      <w:lvlJc w:val="left"/>
      <w:lvlText w:val="%2"/>
      <w:numFmt w:val="lowerLetter"/>
      <w:start w:val="1"/>
    </w:lvl>
  </w:abstractNum>
  <w:abstractNum w:abstractNumId="234">
    <w:nsid w:val="39DF2579"/>
    <w:multiLevelType w:val="hybridMultilevel"/>
    <w:lvl w:ilvl="0">
      <w:lvlJc w:val="left"/>
      <w:lvlText w:val="(%1)"/>
      <w:numFmt w:val="lowerLetter"/>
      <w:start w:val="21"/>
    </w:lvl>
    <w:lvl w:ilvl="1">
      <w:lvlJc w:val="left"/>
      <w:lvlText w:val="(%2)"/>
      <w:numFmt w:val="lowerLetter"/>
      <w:start w:val="22"/>
    </w:lvl>
  </w:abstractNum>
  <w:abstractNum w:abstractNumId="235">
    <w:nsid w:val="126E008B"/>
    <w:multiLevelType w:val="hybridMultilevel"/>
    <w:lvl w:ilvl="0">
      <w:lvlJc w:val="left"/>
      <w:lvlText w:val="(%1)"/>
      <w:numFmt w:val="lowerLetter"/>
      <w:start w:val="25"/>
    </w:lvl>
    <w:lvl w:ilvl="1">
      <w:lvlJc w:val="left"/>
      <w:lvlText w:val="(%2)"/>
      <w:numFmt w:val="lowerLetter"/>
      <w:start w:val="26"/>
    </w:lvl>
  </w:abstractNum>
  <w:abstractNum w:abstractNumId="236">
    <w:nsid w:val="34DFBC00"/>
    <w:multiLevelType w:val="hybridMultilevel"/>
    <w:lvl w:ilvl="0">
      <w:lvlJc w:val="left"/>
      <w:lvlText w:val="(%1)"/>
      <w:numFmt w:val="lowerLetter"/>
      <w:start w:val="27"/>
    </w:lvl>
  </w:abstractNum>
  <w:abstractNum w:abstractNumId="237">
    <w:nsid w:val="1F9EC322"/>
    <w:multiLevelType w:val="hybridMultilevel"/>
    <w:lvl w:ilvl="0">
      <w:lvlJc w:val="left"/>
      <w:lvlText w:val="(%1)"/>
      <w:numFmt w:val="lowerLetter"/>
      <w:start w:val="28"/>
    </w:lvl>
  </w:abstractNum>
  <w:abstractNum w:abstractNumId="238">
    <w:nsid w:val="3410ED56"/>
    <w:multiLevelType w:val="hybridMultilevel"/>
    <w:lvl w:ilvl="0">
      <w:lvlJc w:val="left"/>
      <w:lvlText w:val="(%1)"/>
      <w:numFmt w:val="upperLetter"/>
      <w:start w:val="2"/>
    </w:lvl>
    <w:lvl w:ilvl="1">
      <w:lvlJc w:val="left"/>
      <w:lvlText w:val="(%2)"/>
      <w:numFmt w:val="lowerLetter"/>
      <w:start w:val="1"/>
    </w:lvl>
  </w:abstractNum>
  <w:abstractNum w:abstractNumId="239">
    <w:nsid w:val="23C049A"/>
    <w:multiLevelType w:val="hybridMultilevel"/>
    <w:lvl w:ilvl="0">
      <w:lvlJc w:val="left"/>
      <w:lvlText w:val="%1"/>
      <w:numFmt w:val="lowerLetter"/>
      <w:start w:val="1"/>
    </w:lvl>
    <w:lvl w:ilvl="1">
      <w:lvlJc w:val="left"/>
      <w:lvlText w:val="(%2)"/>
      <w:numFmt w:val="lowerLetter"/>
      <w:start w:val="2"/>
    </w:lvl>
  </w:abstractNum>
  <w:abstractNum w:abstractNumId="240">
    <w:nsid w:val="5BDA35D4"/>
    <w:multiLevelType w:val="hybridMultilevel"/>
    <w:lvl w:ilvl="0">
      <w:lvlJc w:val="left"/>
      <w:lvlText w:val="(%1)"/>
      <w:numFmt w:val="lowerLetter"/>
      <w:start w:val="25"/>
    </w:lvl>
    <w:lvl w:ilvl="1">
      <w:lvlJc w:val="left"/>
      <w:lvlText w:val="(%2)"/>
      <w:numFmt w:val="lowerLetter"/>
      <w:start w:val="8"/>
    </w:lvl>
  </w:abstractNum>
  <w:abstractNum w:abstractNumId="241">
    <w:nsid w:val="496FB218"/>
    <w:multiLevelType w:val="hybridMultilevel"/>
    <w:lvl w:ilvl="0">
      <w:lvlJc w:val="left"/>
      <w:lvlText w:val="(%1)"/>
      <w:numFmt w:val="lowerLetter"/>
      <w:start w:val="24"/>
    </w:lvl>
    <w:lvl w:ilvl="1">
      <w:lvlJc w:val="left"/>
      <w:lvlText w:val="(%2)"/>
      <w:numFmt w:val="lowerLetter"/>
      <w:start w:val="11"/>
    </w:lvl>
  </w:abstractNum>
  <w:abstractNum w:abstractNumId="242">
    <w:nsid w:val="680EA5D1"/>
    <w:multiLevelType w:val="hybridMultilevel"/>
    <w:lvl w:ilvl="0">
      <w:lvlJc w:val="left"/>
      <w:lvlText w:val="%1"/>
      <w:numFmt w:val="lowerLetter"/>
      <w:start w:val="1"/>
    </w:lvl>
    <w:lvl w:ilvl="1">
      <w:lvlJc w:val="left"/>
      <w:lvlText w:val="(%2)"/>
      <w:numFmt w:val="lowerLetter"/>
      <w:start w:val="15"/>
    </w:lvl>
  </w:abstractNum>
  <w:abstractNum w:abstractNumId="243">
    <w:nsid w:val="4A9554FE"/>
    <w:multiLevelType w:val="hybridMultilevel"/>
    <w:lvl w:ilvl="0">
      <w:lvlJc w:val="left"/>
      <w:lvlText w:val="(%1)"/>
      <w:numFmt w:val="lowerLetter"/>
      <w:start w:val="18"/>
    </w:lvl>
    <w:lvl w:ilvl="1">
      <w:lvlJc w:val="left"/>
      <w:lvlText w:val="(%2)"/>
      <w:numFmt w:val="lowerLetter"/>
      <w:start w:val="19"/>
    </w:lvl>
  </w:abstractNum>
  <w:abstractNum w:abstractNumId="244">
    <w:nsid w:val="392EDBE4"/>
    <w:multiLevelType w:val="hybridMultilevel"/>
    <w:lvl w:ilvl="0">
      <w:lvlJc w:val="left"/>
      <w:lvlText w:val="(%1)"/>
      <w:numFmt w:val="lowerLetter"/>
      <w:start w:val="20"/>
    </w:lvl>
    <w:lvl w:ilvl="1">
      <w:lvlJc w:val="left"/>
      <w:lvlText w:val="(%2)"/>
      <w:numFmt w:val="lowerLetter"/>
      <w:start w:val="21"/>
    </w:lvl>
  </w:abstractNum>
  <w:abstractNum w:abstractNumId="245">
    <w:nsid w:val="3D1A2DD9"/>
    <w:multiLevelType w:val="hybridMultilevel"/>
    <w:lvl w:ilvl="0">
      <w:lvlJc w:val="left"/>
      <w:lvlText w:val="(%1)"/>
      <w:numFmt w:val="lowerLetter"/>
      <w:start w:val="1"/>
    </w:lvl>
  </w:abstractNum>
  <w:abstractNum w:abstractNumId="246">
    <w:nsid w:val="7F618FCD"/>
    <w:multiLevelType w:val="hybridMultilevel"/>
    <w:lvl w:ilvl="0">
      <w:lvlJc w:val="left"/>
      <w:lvlText w:val="(%1)"/>
      <w:numFmt w:val="lowerLetter"/>
      <w:start w:val="11"/>
    </w:lvl>
  </w:abstractNum>
  <w:abstractNum w:abstractNumId="247">
    <w:nsid w:val="7843E45"/>
    <w:multiLevelType w:val="hybridMultilevel"/>
    <w:lvl w:ilvl="0">
      <w:lvlJc w:val="left"/>
      <w:lvlText w:val="(%1)"/>
      <w:numFmt w:val="lowerLetter"/>
      <w:start w:val="1"/>
    </w:lvl>
  </w:abstractNum>
  <w:abstractNum w:abstractNumId="248">
    <w:nsid w:val="9815DA3"/>
    <w:multiLevelType w:val="hybridMultilevel"/>
    <w:lvl w:ilvl="0">
      <w:lvlJc w:val="left"/>
      <w:lvlText w:val="(%1)"/>
      <w:numFmt w:val="lowerLetter"/>
      <w:start w:val="2"/>
    </w:lvl>
  </w:abstractNum>
  <w:abstractNum w:abstractNumId="249">
    <w:nsid w:val="5204A191"/>
    <w:multiLevelType w:val="hybridMultilevel"/>
    <w:lvl w:ilvl="0">
      <w:lvlJc w:val="left"/>
      <w:lvlText w:val="%1"/>
      <w:numFmt w:val="lowerLetter"/>
      <w:start w:val="1"/>
    </w:lvl>
    <w:lvl w:ilvl="1">
      <w:lvlJc w:val="left"/>
      <w:lvlText w:val="(%2)"/>
      <w:numFmt w:val="lowerLetter"/>
      <w:start w:val="10"/>
    </w:lvl>
  </w:abstractNum>
  <w:abstractNum w:abstractNumId="250">
    <w:nsid w:val="4C73A9C6"/>
    <w:multiLevelType w:val="hybridMultilevel"/>
    <w:lvl w:ilvl="0">
      <w:lvlJc w:val="left"/>
      <w:lvlText w:val="(%1)"/>
      <w:numFmt w:val="lowerLetter"/>
      <w:start w:val="12"/>
    </w:lvl>
    <w:lvl w:ilvl="1">
      <w:lvlJc w:val="left"/>
      <w:lvlText w:val="(%2)"/>
      <w:numFmt w:val="lowerLetter"/>
      <w:start w:val="13"/>
    </w:lvl>
  </w:abstractNum>
  <w:abstractNum w:abstractNumId="251">
    <w:nsid w:val="1C7E3C01"/>
    <w:multiLevelType w:val="hybridMultilevel"/>
    <w:lvl w:ilvl="0">
      <w:lvlJc w:val="left"/>
      <w:lvlText w:val="(%1)"/>
      <w:numFmt w:val="lowerLetter"/>
      <w:start w:val="1"/>
    </w:lvl>
    <w:lvl w:ilvl="1">
      <w:lvlJc w:val="left"/>
      <w:lvlText w:val="(%2)"/>
      <w:numFmt w:val="lowerRoman"/>
      <w:start w:val="1"/>
    </w:lvl>
  </w:abstractNum>
  <w:abstractNum w:abstractNumId="252">
    <w:nsid w:val="1C2201FF"/>
    <w:multiLevelType w:val="hybridMultilevel"/>
    <w:lvl w:ilvl="0">
      <w:lvlJc w:val="left"/>
      <w:lvlText w:val="(%1)"/>
      <w:numFmt w:val="lowerRoman"/>
      <w:start w:val="5"/>
    </w:lvl>
    <w:lvl w:ilvl="1">
      <w:lvlJc w:val="left"/>
      <w:lvlText w:val="(%2)"/>
      <w:numFmt w:val="upperLetter"/>
      <w:start w:val="1"/>
    </w:lvl>
  </w:abstractNum>
  <w:abstractNum w:abstractNumId="253">
    <w:nsid w:val="50ABCEC9"/>
    <w:multiLevelType w:val="hybridMultilevel"/>
    <w:lvl w:ilvl="0">
      <w:lvlJc w:val="left"/>
      <w:lvlText w:val="(%1)"/>
      <w:numFmt w:val="upperLetter"/>
      <w:start w:val="2"/>
    </w:lvl>
  </w:abstractNum>
  <w:abstractNum w:abstractNumId="254">
    <w:nsid w:val="7635AA2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6"/>
    </w:lvl>
  </w:abstractNum>
  <w:abstractNum w:abstractNumId="255">
    <w:nsid w:val="5E74C4D9"/>
    <w:multiLevelType w:val="hybridMultilevel"/>
    <w:lvl w:ilvl="0">
      <w:lvlJc w:val="left"/>
      <w:lvlText w:val="%1"/>
      <w:numFmt w:val="upperLetter"/>
      <w:start w:val="1"/>
    </w:lvl>
    <w:lvl w:ilvl="1">
      <w:lvlJc w:val="left"/>
      <w:lvlText w:val="(%2)"/>
      <w:numFmt w:val="lowerRoman"/>
      <w:start w:val="8"/>
    </w:lvl>
    <w:lvl w:ilvl="2">
      <w:lvlJc w:val="left"/>
      <w:lvlText w:val="%3"/>
      <w:numFmt w:val="upperLetter"/>
      <w:start w:val="1"/>
    </w:lvl>
  </w:abstractNum>
  <w:abstractNum w:abstractNumId="256">
    <w:nsid w:val="3B3EBE15"/>
    <w:multiLevelType w:val="hybridMultilevel"/>
    <w:lvl w:ilvl="0">
      <w:lvlJc w:val="left"/>
      <w:lvlText w:val="(%1)"/>
      <w:numFmt w:val="upperLetter"/>
      <w:start w:val="9"/>
    </w:lvl>
    <w:lvl w:ilvl="1">
      <w:lvlJc w:val="left"/>
      <w:lvlText w:val="(%2)"/>
      <w:numFmt w:val="lowerRoman"/>
      <w:start w:val="9"/>
    </w:lvl>
    <w:lvl w:ilvl="2">
      <w:lvlJc w:val="left"/>
      <w:lvlText w:val="%3"/>
      <w:numFmt w:val="upperLetter"/>
      <w:start w:val="1"/>
    </w:lvl>
  </w:abstractNum>
  <w:abstractNum w:abstractNumId="257">
    <w:nsid w:val="3822CB01"/>
    <w:multiLevelType w:val="hybridMultilevel"/>
    <w:lvl w:ilvl="0">
      <w:lvlJc w:val="left"/>
      <w:lvlText w:val="%1"/>
      <w:numFmt w:val="lowerRoman"/>
      <w:start w:val="1"/>
    </w:lvl>
    <w:lvl w:ilvl="1">
      <w:lvlJc w:val="left"/>
      <w:lvlText w:val="(%2)"/>
      <w:numFmt w:val="lowerRoman"/>
      <w:start w:val="12"/>
    </w:lvl>
  </w:abstractNum>
  <w:abstractNum w:abstractNumId="258">
    <w:nsid w:val="6CE00443"/>
    <w:multiLevelType w:val="hybridMultilevel"/>
    <w:lvl w:ilvl="0">
      <w:lvlJc w:val="left"/>
      <w:lvlText w:val="(%1)"/>
      <w:numFmt w:val="lowerRoman"/>
      <w:start w:val="12"/>
    </w:lvl>
    <w:lvl w:ilvl="1">
      <w:lvlJc w:val="left"/>
      <w:lvlText w:val="(%2)"/>
      <w:numFmt w:val="lowerRoman"/>
      <w:start w:val="13"/>
    </w:lvl>
  </w:abstractNum>
  <w:abstractNum w:abstractNumId="259">
    <w:nsid w:val="79F0D62F"/>
    <w:multiLevelType w:val="hybridMultilevel"/>
    <w:lvl w:ilvl="0">
      <w:lvlJc w:val="left"/>
      <w:lvlText w:val="(%1)"/>
      <w:numFmt w:val="lowerLetter"/>
      <w:start w:val="2"/>
    </w:lvl>
    <w:lvl w:ilvl="1">
      <w:lvlJc w:val="left"/>
      <w:lvlText w:val="(%2)"/>
      <w:numFmt w:val="lowerRoman"/>
      <w:start w:val="1"/>
    </w:lvl>
  </w:abstractNum>
  <w:abstractNum w:abstractNumId="260">
    <w:nsid w:val="7975E8EE"/>
    <w:multiLevelType w:val="hybridMultilevel"/>
    <w:lvl w:ilvl="0">
      <w:lvlJc w:val="left"/>
      <w:lvlText w:val="(%1)"/>
      <w:numFmt w:val="lowerLetter"/>
      <w:start w:val="25"/>
    </w:lvl>
    <w:lvl w:ilvl="1">
      <w:lvlJc w:val="left"/>
      <w:lvlText w:val="(%2)"/>
      <w:numFmt w:val="lowerRoman"/>
      <w:start w:val="5"/>
    </w:lvl>
  </w:abstractNum>
  <w:abstractNum w:abstractNumId="261">
    <w:nsid w:val="73154115"/>
    <w:multiLevelType w:val="hybridMultilevel"/>
    <w:lvl w:ilvl="0">
      <w:lvlJc w:val="left"/>
      <w:lvlText w:val="%1"/>
      <w:numFmt w:val="lowerLetter"/>
      <w:start w:val="1"/>
    </w:lvl>
    <w:lvl w:ilvl="1">
      <w:lvlJc w:val="left"/>
      <w:lvlText w:val="(%2)"/>
      <w:numFmt w:val="lowerRoman"/>
      <w:start w:val="7"/>
    </w:lvl>
  </w:abstractNum>
  <w:abstractNum w:abstractNumId="262">
    <w:nsid w:val="622D8102"/>
    <w:multiLevelType w:val="hybridMultilevel"/>
    <w:lvl w:ilvl="0">
      <w:lvlJc w:val="left"/>
      <w:lvlText w:val="(%1)"/>
      <w:numFmt w:val="lowerLetter"/>
      <w:start w:val="3"/>
    </w:lvl>
    <w:lvl w:ilvl="1">
      <w:lvlJc w:val="left"/>
      <w:lvlText w:val="%2"/>
      <w:numFmt w:val="lowerRoman"/>
      <w:start w:val="1"/>
    </w:lvl>
  </w:abstractNum>
  <w:abstractNum w:abstractNumId="263">
    <w:nsid w:val="2AB26587"/>
    <w:multiLevelType w:val="hybridMultilevel"/>
    <w:lvl w:ilvl="0">
      <w:lvlJc w:val="left"/>
      <w:lvlText w:val="(%1)"/>
      <w:numFmt w:val="lowerRoman"/>
      <w:start w:val="1"/>
    </w:lvl>
  </w:abstractNum>
  <w:abstractNum w:abstractNumId="264">
    <w:nsid w:val="44B3FA61"/>
    <w:multiLevelType w:val="hybridMultilevel"/>
    <w:lvl w:ilvl="0">
      <w:lvlJc w:val="left"/>
      <w:lvlText w:val="(%1)"/>
      <w:numFmt w:val="lowerRoman"/>
      <w:start w:val="1"/>
    </w:lvl>
    <w:lvl w:ilvl="1">
      <w:lvlJc w:val="left"/>
      <w:lvlText w:val="(%2)"/>
      <w:numFmt w:val="lowerRoman"/>
      <w:start w:val="6"/>
    </w:lvl>
  </w:abstractNum>
  <w:abstractNum w:abstractNumId="265">
    <w:nsid w:val="1C0CA67C"/>
    <w:multiLevelType w:val="hybridMultilevel"/>
    <w:lvl w:ilvl="0">
      <w:lvlJc w:val="left"/>
      <w:lvlText w:val="(%1)"/>
      <w:numFmt w:val="lowerRoman"/>
      <w:start w:val="15"/>
    </w:lvl>
  </w:abstractNum>
  <w:abstractNum w:abstractNumId="266">
    <w:nsid w:val="3D206613"/>
    <w:multiLevelType w:val="hybridMultilevel"/>
    <w:lvl w:ilvl="0">
      <w:lvlJc w:val="left"/>
      <w:lvlText w:val="(%1)"/>
      <w:numFmt w:val="lowerLetter"/>
      <w:start w:val="1"/>
    </w:lvl>
  </w:abstractNum>
  <w:abstractNum w:abstractNumId="267">
    <w:nsid w:val="7993B662"/>
    <w:multiLevelType w:val="hybridMultilevel"/>
    <w:lvl w:ilvl="0">
      <w:lvlJc w:val="left"/>
      <w:lvlText w:val="(%1)"/>
      <w:numFmt w:val="lowerLetter"/>
      <w:start w:val="2"/>
    </w:lvl>
  </w:abstractNum>
  <w:abstractNum w:abstractNumId="268">
    <w:nsid w:val="3BAB699E"/>
    <w:multiLevelType w:val="hybridMultilevel"/>
    <w:lvl w:ilvl="0">
      <w:lvlJc w:val="left"/>
      <w:lvlText w:val="(%1)"/>
      <w:numFmt w:val="lowerLetter"/>
      <w:start w:val="3"/>
    </w:lvl>
  </w:abstractNum>
  <w:abstractNum w:abstractNumId="269">
    <w:nsid w:val="71315369"/>
    <w:multiLevelType w:val="hybridMultilevel"/>
    <w:lvl w:ilvl="0">
      <w:lvlJc w:val="left"/>
      <w:lvlText w:val="%1"/>
      <w:numFmt w:val="lowerLetter"/>
      <w:start w:val="1"/>
    </w:lvl>
    <w:lvl w:ilvl="1">
      <w:lvlJc w:val="left"/>
      <w:lvlText w:val="(%2)"/>
      <w:numFmt w:val="lowerLetter"/>
      <w:start w:val="1"/>
    </w:lvl>
  </w:abstractNum>
  <w:abstractNum w:abstractNumId="270">
    <w:nsid w:val="7BCFBAFC"/>
    <w:multiLevelType w:val="hybridMultilevel"/>
    <w:lvl w:ilvl="0">
      <w:lvlJc w:val="left"/>
      <w:lvlText w:val="(%1)"/>
      <w:numFmt w:val="lowerLetter"/>
      <w:start w:val="9"/>
    </w:lvl>
    <w:lvl w:ilvl="1">
      <w:lvlJc w:val="left"/>
      <w:lvlText w:val="(%2)"/>
      <w:numFmt w:val="lowerLetter"/>
      <w:start w:val="3"/>
    </w:lvl>
  </w:abstractNum>
  <w:abstractNum w:abstractNumId="271">
    <w:nsid w:val="17859F72"/>
    <w:multiLevelType w:val="hybridMultilevel"/>
    <w:lvl w:ilvl="0">
      <w:lvlJc w:val="left"/>
      <w:lvlText w:val="(%1)"/>
      <w:numFmt w:val="lowerLetter"/>
      <w:start w:val="8"/>
    </w:lvl>
  </w:abstractNum>
  <w:abstractNum w:abstractNumId="272">
    <w:nsid w:val="3AA10581"/>
    <w:multiLevelType w:val="hybridMultilevel"/>
    <w:lvl w:ilvl="0">
      <w:lvlJc w:val="left"/>
      <w:lvlText w:val="%1"/>
      <w:numFmt w:val="upperLetter"/>
      <w:start w:val="1"/>
    </w:lvl>
    <w:lvl w:ilvl="1">
      <w:lvlJc w:val="left"/>
      <w:lvlText w:val="(%2)"/>
      <w:numFmt w:val="lowerLetter"/>
      <w:start w:val="12"/>
    </w:lvl>
  </w:abstractNum>
  <w:abstractNum w:abstractNumId="273">
    <w:nsid w:val="63DE60CD"/>
    <w:multiLevelType w:val="hybridMultilevel"/>
    <w:lvl w:ilvl="0">
      <w:lvlJc w:val="left"/>
      <w:lvlText w:val="(%1)"/>
      <w:numFmt w:val="upperLetter"/>
      <w:start w:val="1"/>
    </w:lvl>
    <w:lvl w:ilvl="1">
      <w:lvlJc w:val="left"/>
      <w:lvlText w:val="(%2)"/>
      <w:numFmt w:val="lowerLetter"/>
      <w:start w:val="13"/>
    </w:lvl>
  </w:abstractNum>
  <w:abstractNum w:abstractNumId="274">
    <w:nsid w:val="621AF471"/>
    <w:multiLevelType w:val="hybridMultilevel"/>
    <w:lvl w:ilvl="0">
      <w:lvlJc w:val="left"/>
      <w:lvlText w:val="(%1)"/>
      <w:numFmt w:val="lowerRoman"/>
      <w:start w:val="2"/>
    </w:lvl>
  </w:abstractNum>
  <w:abstractNum w:abstractNumId="275">
    <w:nsid w:val="73CFE165"/>
    <w:multiLevelType w:val="hybridMultilevel"/>
    <w:lvl w:ilvl="0">
      <w:lvlJc w:val="left"/>
      <w:lvlText w:val="(%1)"/>
      <w:numFmt w:val="lowerLetter"/>
      <w:start w:val="14"/>
    </w:lvl>
  </w:abstractNum>
  <w:abstractNum w:abstractNumId="276">
    <w:nsid w:val="20F88EA6"/>
    <w:multiLevelType w:val="hybridMultilevel"/>
    <w:lvl w:ilvl="0">
      <w:lvlJc w:val="left"/>
      <w:lvlText w:val="%1"/>
      <w:numFmt w:val="lowerLetter"/>
      <w:start w:val="1"/>
    </w:lvl>
    <w:lvl w:ilvl="1">
      <w:lvlJc w:val="left"/>
      <w:lvlText w:val="(%2)"/>
      <w:numFmt w:val="lowerLetter"/>
      <w:start w:val="1"/>
    </w:lvl>
  </w:abstractNum>
  <w:abstractNum w:abstractNumId="277">
    <w:nsid w:val="617C843E"/>
    <w:multiLevelType w:val="hybridMultilevel"/>
    <w:lvl w:ilvl="0">
      <w:lvlJc w:val="left"/>
      <w:lvlText w:val="(%1)"/>
      <w:numFmt w:val="lowerLetter"/>
      <w:start w:val="35"/>
    </w:lvl>
    <w:lvl w:ilvl="1">
      <w:lvlJc w:val="left"/>
      <w:lvlText w:val="(%2)"/>
      <w:numFmt w:val="lowerLetter"/>
      <w:start w:val="2"/>
    </w:lvl>
  </w:abstractNum>
  <w:abstractNum w:abstractNumId="278">
    <w:nsid w:val="7B541FAB"/>
    <w:multiLevelType w:val="hybridMultilevel"/>
    <w:lvl w:ilvl="0">
      <w:lvlJc w:val="left"/>
      <w:lvlText w:val="(%1)"/>
      <w:numFmt w:val="lowerLetter"/>
      <w:start w:val="6"/>
    </w:lvl>
  </w:abstractNum>
  <w:abstractNum w:abstractNumId="279">
    <w:nsid w:val="2A79EC49"/>
    <w:multiLevelType w:val="hybridMultilevel"/>
    <w:lvl w:ilvl="0">
      <w:lvlJc w:val="left"/>
      <w:lvlText w:val="(%1)"/>
      <w:numFmt w:val="lowerLetter"/>
      <w:start w:val="61"/>
    </w:lvl>
  </w:abstractNum>
  <w:abstractNum w:abstractNumId="280">
    <w:nsid w:val="338125CF"/>
    <w:multiLevelType w:val="hybridMultilevel"/>
    <w:lvl w:ilvl="0">
      <w:lvlJc w:val="left"/>
      <w:lvlText w:val="(%1)"/>
      <w:numFmt w:val="lowerLetter"/>
      <w:start w:val="22"/>
    </w:lvl>
  </w:abstractNum>
  <w:abstractNum w:abstractNumId="281">
    <w:nsid w:val="47C7C971"/>
    <w:multiLevelType w:val="hybridMultilevel"/>
    <w:lvl w:ilvl="0">
      <w:lvlJc w:val="left"/>
      <w:lvlText w:val="(%1)"/>
      <w:numFmt w:val="lowerLetter"/>
      <w:start w:val="26"/>
    </w:lvl>
  </w:abstractNum>
  <w:abstractNum w:abstractNumId="282">
    <w:nsid w:val="46F8284B"/>
    <w:multiLevelType w:val="hybridMultilevel"/>
    <w:lvl w:ilvl="0">
      <w:lvlJc w:val="left"/>
      <w:lvlText w:val="(%1)"/>
      <w:numFmt w:val="lowerLetter"/>
      <w:start w:val="1"/>
    </w:lvl>
  </w:abstractNum>
  <w:abstractNum w:abstractNumId="283">
    <w:nsid w:val="4FA327CE"/>
    <w:multiLevelType w:val="hybridMultilevel"/>
    <w:lvl w:ilvl="0">
      <w:lvlJc w:val="left"/>
      <w:lvlText w:val="(%1)"/>
      <w:numFmt w:val="lowerLetter"/>
      <w:start w:val="1"/>
    </w:lvl>
  </w:abstractNum>
  <w:abstractNum w:abstractNumId="284">
    <w:nsid w:val="1873983A"/>
    <w:multiLevelType w:val="hybridMultilevel"/>
    <w:lvl w:ilvl="0">
      <w:lvlJc w:val="left"/>
      <w:lvlText w:val="(%1)"/>
      <w:numFmt w:val="lowerLetter"/>
      <w:start w:val="4"/>
    </w:lvl>
  </w:abstractNum>
  <w:abstractNum w:abstractNumId="285">
    <w:nsid w:val="3D2DD275"/>
    <w:multiLevelType w:val="hybridMultilevel"/>
    <w:lvl w:ilvl="0">
      <w:lvlJc w:val="left"/>
      <w:lvlText w:val="(%1)"/>
      <w:numFmt w:val="lowerLetter"/>
      <w:start w:val="1"/>
    </w:lvl>
  </w:abstractNum>
  <w:abstractNum w:abstractNumId="286">
    <w:nsid w:val="2E17ECA7"/>
    <w:multiLevelType w:val="hybridMultilevel"/>
    <w:lvl w:ilvl="0">
      <w:lvlJc w:val="left"/>
      <w:lvlText w:val="(%1)"/>
      <w:numFmt w:val="lowerRoman"/>
      <w:start w:val="1"/>
    </w:lvl>
    <w:lvl w:ilvl="1">
      <w:lvlJc w:val="left"/>
      <w:lvlText w:val="(%2)"/>
      <w:numFmt w:val="upperLetter"/>
      <w:start w:val="1"/>
    </w:lvl>
  </w:abstractNum>
  <w:abstractNum w:abstractNumId="287">
    <w:nsid w:val="53B2564F"/>
    <w:multiLevelType w:val="hybridMultilevel"/>
    <w:lvl w:ilvl="0">
      <w:lvlJc w:val="left"/>
      <w:lvlText w:val="(%1)"/>
      <w:numFmt w:val="lowerRoman"/>
      <w:start w:val="2"/>
    </w:lvl>
  </w:abstractNum>
  <w:abstractNum w:abstractNumId="288">
    <w:nsid w:val="75509D76"/>
    <w:multiLevelType w:val="hybridMultilevel"/>
    <w:lvl w:ilvl="0">
      <w:lvlJc w:val="left"/>
      <w:lvlText w:val="(%1)"/>
      <w:numFmt w:val="lowerRoman"/>
      <w:start w:val="3"/>
    </w:lvl>
  </w:abstractNum>
  <w:abstractNum w:abstractNumId="289">
    <w:nsid w:val="1AF7F0EA"/>
    <w:multiLevelType w:val="hybridMultilevel"/>
    <w:lvl w:ilvl="0">
      <w:lvlJc w:val="left"/>
      <w:lvlText w:val="(%1)"/>
      <w:numFmt w:val="lowerLetter"/>
      <w:start w:val="3"/>
    </w:lvl>
  </w:abstractNum>
  <w:abstractNum w:abstractNumId="290">
    <w:nsid w:val="4DA32C7E"/>
    <w:multiLevelType w:val="hybridMultilevel"/>
    <w:lvl w:ilvl="0">
      <w:lvlJc w:val="left"/>
      <w:lvlText w:val="%1"/>
      <w:numFmt w:val="lowerLetter"/>
      <w:start w:val="1"/>
    </w:lvl>
    <w:lvl w:ilvl="1">
      <w:lvlJc w:val="left"/>
      <w:lvlText w:val="(%2)"/>
      <w:numFmt w:val="lowerLetter"/>
      <w:start w:val="4"/>
    </w:lvl>
  </w:abstractNum>
  <w:abstractNum w:abstractNumId="291">
    <w:nsid w:val="6EC68664"/>
    <w:multiLevelType w:val="hybridMultilevel"/>
    <w:lvl w:ilvl="0">
      <w:lvlJc w:val="left"/>
      <w:lvlText w:val="(%1)"/>
      <w:numFmt w:val="lowerLetter"/>
      <w:start w:val="5"/>
    </w:lvl>
    <w:lvl w:ilvl="1">
      <w:lvlJc w:val="left"/>
      <w:lvlText w:val="(%2)"/>
      <w:numFmt w:val="lowerLetter"/>
      <w:start w:val="6"/>
    </w:lvl>
  </w:abstractNum>
  <w:abstractNum w:abstractNumId="292">
    <w:nsid w:val="E0D31FF"/>
    <w:multiLevelType w:val="hybridMultilevel"/>
    <w:lvl w:ilvl="0">
      <w:lvlJc w:val="left"/>
      <w:lvlText w:val="(%1)"/>
      <w:numFmt w:val="lowerLetter"/>
      <w:start w:val="1"/>
    </w:lvl>
  </w:abstractNum>
  <w:abstractNum w:abstractNumId="293">
    <w:nsid w:val="2FD0AD81"/>
    <w:multiLevelType w:val="hybridMultilevel"/>
    <w:lvl w:ilvl="0">
      <w:lvlJc w:val="left"/>
      <w:lvlText w:val="%1"/>
      <w:numFmt w:val="lowerLetter"/>
      <w:start w:val="1"/>
    </w:lvl>
    <w:lvl w:ilvl="1">
      <w:lvlJc w:val="left"/>
      <w:lvlText w:val="(%2)"/>
      <w:numFmt w:val="lowerLetter"/>
      <w:start w:val="3"/>
    </w:lvl>
  </w:abstractNum>
  <w:abstractNum w:abstractNumId="294">
    <w:nsid w:val="1978EBEB"/>
    <w:multiLevelType w:val="hybridMultilevel"/>
    <w:lvl w:ilvl="0">
      <w:lvlJc w:val="left"/>
      <w:lvlText w:val="(%1)"/>
      <w:numFmt w:val="lowerLetter"/>
      <w:start w:val="1"/>
    </w:lvl>
    <w:lvl w:ilvl="1">
      <w:lvlJc w:val="left"/>
      <w:lvlText w:val="(%2)"/>
      <w:numFmt w:val="lowerLetter"/>
      <w:start w:val="4"/>
    </w:lvl>
  </w:abstractNum>
  <w:abstractNum w:abstractNumId="295">
    <w:nsid w:val="52C12C61"/>
    <w:multiLevelType w:val="hybridMultilevel"/>
    <w:lvl w:ilvl="0">
      <w:lvlJc w:val="left"/>
      <w:lvlText w:val="(%1)"/>
      <w:numFmt w:val="lowerLetter"/>
      <w:start w:val="5"/>
    </w:lvl>
  </w:abstractNum>
  <w:abstractNum w:abstractNumId="296">
    <w:nsid w:val="4BDD53FD"/>
    <w:multiLevelType w:val="hybridMultilevel"/>
    <w:lvl w:ilvl="0">
      <w:lvlJc w:val="left"/>
      <w:lvlText w:val="%1"/>
      <w:numFmt w:val="upperLetter"/>
      <w:start w:val="1"/>
    </w:lvl>
    <w:lvl w:ilvl="1">
      <w:lvlJc w:val="left"/>
      <w:lvlText w:val="(%2)"/>
      <w:numFmt w:val="lowerLetter"/>
      <w:start w:val="1"/>
    </w:lvl>
  </w:abstractNum>
  <w:abstractNum w:abstractNumId="297">
    <w:nsid w:val="569951FE"/>
    <w:multiLevelType w:val="hybridMultilevel"/>
    <w:lvl w:ilvl="0">
      <w:lvlJc w:val="left"/>
      <w:lvlText w:val="(%1)"/>
      <w:numFmt w:val="upperLetter"/>
      <w:start w:val="1"/>
    </w:lvl>
    <w:lvl w:ilvl="1">
      <w:lvlJc w:val="left"/>
      <w:lvlText w:val="%2"/>
      <w:numFmt w:val="lowerLetter"/>
      <w:start w:val="1"/>
    </w:lvl>
  </w:abstractNum>
  <w:abstractNum w:abstractNumId="298">
    <w:nsid w:val="4C54E2C3"/>
    <w:multiLevelType w:val="hybridMultilevel"/>
    <w:lvl w:ilvl="0">
      <w:lvlJc w:val="left"/>
      <w:lvlText w:val="(%1)"/>
      <w:numFmt w:val="lowerRoman"/>
      <w:start w:val="2"/>
    </w:lvl>
  </w:abstractNum>
  <w:abstractNum w:abstractNumId="299">
    <w:nsid w:val="788BD9B"/>
    <w:multiLevelType w:val="hybridMultilevel"/>
    <w:lvl w:ilvl="0">
      <w:lvlJc w:val="left"/>
      <w:lvlText w:val="(%1)"/>
      <w:numFmt w:val="lowerRoman"/>
      <w:start w:val="3"/>
    </w:lvl>
  </w:abstractNum>
  <w:abstractNum w:abstractNumId="300">
    <w:nsid w:val="47CAA56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01">
    <w:nsid w:val="48249DBF"/>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2"/>
    </w:lvl>
  </w:abstractNum>
  <w:abstractNum w:abstractNumId="302">
    <w:nsid w:val="1F0E5D0D"/>
    <w:multiLevelType w:val="hybridMultilevel"/>
    <w:lvl w:ilvl="0">
      <w:lvlJc w:val="left"/>
      <w:lvlText w:val="(%1)"/>
      <w:numFmt w:val="lowerLetter"/>
      <w:start w:val="4"/>
    </w:lvl>
  </w:abstractNum>
  <w:abstractNum w:abstractNumId="303">
    <w:nsid w:val="26BAAE9"/>
    <w:multiLevelType w:val="hybridMultilevel"/>
    <w:lvl w:ilvl="0">
      <w:lvlJc w:val="left"/>
      <w:lvlText w:val="(%1)"/>
      <w:numFmt w:val="lowerLetter"/>
      <w:start w:val="7"/>
    </w:lvl>
    <w:lvl w:ilvl="1">
      <w:lvlJc w:val="left"/>
      <w:lvlText w:val="(%2)"/>
      <w:numFmt w:val="lowerLetter"/>
      <w:start w:val="35"/>
    </w:lvl>
  </w:abstractNum>
  <w:abstractNum w:abstractNumId="304">
    <w:nsid w:val="2C02FE8C"/>
    <w:multiLevelType w:val="hybridMultilevel"/>
    <w:lvl w:ilvl="0">
      <w:lvlJc w:val="left"/>
      <w:lvlText w:val="(%1)"/>
      <w:numFmt w:val="lowerLetter"/>
      <w:start w:val="9"/>
    </w:lvl>
  </w:abstractNum>
  <w:abstractNum w:abstractNumId="305">
    <w:nsid w:val="129517E"/>
    <w:multiLevelType w:val="hybridMultilevel"/>
    <w:lvl w:ilvl="0">
      <w:lvlJc w:val="left"/>
      <w:lvlText w:val="(%1)"/>
      <w:numFmt w:val="lowerLetter"/>
      <w:start w:val="1"/>
    </w:lvl>
  </w:abstractNum>
  <w:abstractNum w:abstractNumId="306">
    <w:nsid w:val="763B8C4E"/>
    <w:multiLevelType w:val="hybridMultilevel"/>
    <w:lvl w:ilvl="0">
      <w:lvlJc w:val="left"/>
      <w:lvlText w:val="(%1)"/>
      <w:numFmt w:val="lowerLetter"/>
      <w:start w:val="2"/>
    </w:lvl>
  </w:abstractNum>
  <w:abstractNum w:abstractNumId="307">
    <w:nsid w:val="4CFB8D32"/>
    <w:multiLevelType w:val="hybridMultilevel"/>
    <w:lvl w:ilvl="0">
      <w:lvlJc w:val="left"/>
      <w:lvlText w:val="(%1)"/>
      <w:numFmt w:val="upperLetter"/>
      <w:start w:val="2"/>
    </w:lvl>
  </w:abstractNum>
  <w:abstractNum w:abstractNumId="308">
    <w:nsid w:val="62A5D5BD"/>
    <w:multiLevelType w:val="hybridMultilevel"/>
    <w:lvl w:ilvl="0">
      <w:lvlJc w:val="left"/>
      <w:lvlText w:val="(%1)"/>
      <w:numFmt w:val="lowerLetter"/>
      <w:start w:val="1"/>
    </w:lvl>
  </w:abstractNum>
  <w:abstractNum w:abstractNumId="309">
    <w:nsid w:val="718FABF9"/>
    <w:multiLevelType w:val="hybridMultilevel"/>
    <w:lvl w:ilvl="0">
      <w:lvlJc w:val="left"/>
      <w:lvlText w:val="(%1)"/>
      <w:numFmt w:val="lowerLetter"/>
      <w:start w:val="2"/>
    </w:lvl>
  </w:abstractNum>
  <w:abstractNum w:abstractNumId="310">
    <w:nsid w:val="7775797C"/>
    <w:multiLevelType w:val="hybridMultilevel"/>
    <w:lvl w:ilvl="0">
      <w:lvlJc w:val="left"/>
      <w:lvlText w:val="(%1)"/>
      <w:numFmt w:val="lowerLetter"/>
      <w:start w:val="1"/>
    </w:lvl>
  </w:abstractNum>
  <w:abstractNum w:abstractNumId="311">
    <w:nsid w:val="1626FB8C"/>
    <w:multiLevelType w:val="hybridMultilevel"/>
    <w:lvl w:ilvl="0">
      <w:lvlJc w:val="left"/>
      <w:lvlText w:val="(%1)"/>
      <w:numFmt w:val="decimal"/>
      <w:start w:val="1"/>
    </w:lvl>
  </w:abstractNum>
  <w:abstractNum w:abstractNumId="312">
    <w:nsid w:val="3957756A"/>
    <w:multiLevelType w:val="hybridMultilevel"/>
    <w:lvl w:ilvl="0">
      <w:lvlJc w:val="left"/>
      <w:lvlText w:val="(%1)"/>
      <w:numFmt w:val="lowerRoman"/>
      <w:start w:val="3"/>
    </w:lvl>
  </w:abstractNum>
  <w:abstractNum w:abstractNumId="313">
    <w:nsid w:val="3E6DA1C7"/>
    <w:multiLevelType w:val="hybridMultilevel"/>
    <w:lvl w:ilvl="0">
      <w:lvlJc w:val="left"/>
      <w:lvlText w:val="(%1)"/>
      <w:numFmt w:val="lowerLetter"/>
      <w:start w:val="1"/>
    </w:lvl>
  </w:abstractNum>
  <w:abstractNum w:abstractNumId="314">
    <w:nsid w:val="65CA235B"/>
    <w:multiLevelType w:val="hybridMultilevel"/>
    <w:lvl w:ilvl="0">
      <w:lvlJc w:val="left"/>
      <w:lvlText w:val="%1"/>
      <w:numFmt w:val="lowerLetter"/>
      <w:start w:val="1"/>
    </w:lvl>
    <w:lvl w:ilvl="1">
      <w:lvlJc w:val="left"/>
      <w:lvlText w:val="(%2)"/>
      <w:numFmt w:val="lowerLetter"/>
      <w:start w:val="2"/>
    </w:lvl>
  </w:abstractNum>
  <w:abstractNum w:abstractNumId="315">
    <w:nsid w:val="51CB0DA4"/>
    <w:multiLevelType w:val="hybridMultilevel"/>
    <w:lvl w:ilvl="0">
      <w:lvlJc w:val="left"/>
      <w:lvlText w:val="(%1)"/>
      <w:numFmt w:val="lowerLetter"/>
      <w:start w:val="61"/>
    </w:lvl>
    <w:lvl w:ilvl="1">
      <w:lvlJc w:val="left"/>
      <w:lvlText w:val="(%2)"/>
      <w:numFmt w:val="lowerLetter"/>
      <w:start w:val="3"/>
    </w:lvl>
  </w:abstractNum>
  <w:abstractNum w:abstractNumId="316">
    <w:nsid w:val="7B9B743C"/>
    <w:multiLevelType w:val="hybridMultilevel"/>
    <w:lvl w:ilvl="0">
      <w:lvlJc w:val="left"/>
      <w:lvlText w:val="(%1)"/>
      <w:numFmt w:val="lowerLetter"/>
      <w:start w:val="1"/>
    </w:lvl>
    <w:lvl w:ilvl="1">
      <w:lvlJc w:val="left"/>
      <w:lvlText w:val="(%2)"/>
      <w:numFmt w:val="lowerRoman"/>
      <w:start w:val="1"/>
    </w:lvl>
  </w:abstractNum>
  <w:abstractNum w:abstractNumId="317">
    <w:nsid w:val="13E21002"/>
    <w:multiLevelType w:val="hybridMultilevel"/>
    <w:lvl w:ilvl="0">
      <w:lvlJc w:val="left"/>
      <w:lvlText w:val="(%1)"/>
      <w:numFmt w:val="lowerRoman"/>
      <w:start w:val="3"/>
    </w:lvl>
  </w:abstractNum>
  <w:abstractNum w:abstractNumId="318">
    <w:nsid w:val="257D63F4"/>
    <w:multiLevelType w:val="hybridMultilevel"/>
    <w:lvl w:ilvl="0">
      <w:lvlJc w:val="left"/>
      <w:lvlText w:val="(%1)"/>
      <w:numFmt w:val="lowerLetter"/>
      <w:start w:val="1"/>
    </w:lvl>
    <w:lvl w:ilvl="1">
      <w:lvlJc w:val="left"/>
      <w:lvlText w:val="(%2)"/>
      <w:numFmt w:val="lowerRoman"/>
      <w:start w:val="1"/>
    </w:lvl>
  </w:abstractNum>
  <w:abstractNum w:abstractNumId="319">
    <w:nsid w:val="70EC11B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320">
    <w:nsid w:val="2EDA00ED"/>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21">
    <w:nsid w:val="73209072"/>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322">
    <w:nsid w:val="5FB2981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2022-03-16T10:39:11Z</dcterms:created>
  <dcterms:modified xsi:type="dcterms:W3CDTF">2022-03-16T10:39:11Z</dcterms:modified>
</cp:coreProperties>
</file>