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13G/A</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38046W204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December 31 ,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322"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20" w:hanging="95"/>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225" w:lineRule="exact"/>
        <w:rPr>
          <w:rFonts w:ascii="Arial" w:cs="Arial" w:eastAsia="Arial" w:hAnsi="Arial"/>
          <w:sz w:val="18"/>
          <w:szCs w:val="18"/>
          <w:color w:val="auto"/>
        </w:rPr>
      </w:pPr>
    </w:p>
    <w:p>
      <w:pPr>
        <w:ind w:left="1720" w:hanging="195"/>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225" w:lineRule="exact"/>
        <w:rPr>
          <w:rFonts w:ascii="Arial" w:cs="Arial" w:eastAsia="Arial" w:hAnsi="Arial"/>
          <w:sz w:val="18"/>
          <w:szCs w:val="18"/>
          <w:color w:val="auto"/>
        </w:rPr>
      </w:pPr>
    </w:p>
    <w:p>
      <w:pPr>
        <w:ind w:left="1720" w:hanging="195"/>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left="1120" w:right="144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00" w:lineRule="exact"/>
        <w:rPr>
          <w:sz w:val="24"/>
          <w:szCs w:val="24"/>
          <w:color w:val="auto"/>
        </w:rPr>
      </w:pPr>
    </w:p>
    <w:p>
      <w:pPr>
        <w:ind w:left="1120" w:right="120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136130" cy="2862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862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38046W204</w:t>
      </w:r>
    </w:p>
    <w:p>
      <w:pPr>
        <w:spacing w:after="0" w:line="32" w:lineRule="exact"/>
        <w:rPr>
          <w:sz w:val="24"/>
          <w:szCs w:val="24"/>
          <w:color w:val="auto"/>
        </w:rPr>
      </w:pPr>
    </w:p>
    <w:p>
      <w:pPr>
        <w:ind w:left="22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Harris Associates L.P.</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04-3276558</w:t>
      </w:r>
    </w:p>
    <w:p>
      <w:pPr>
        <w:spacing w:after="0" w:line="28" w:lineRule="exact"/>
        <w:rPr>
          <w:sz w:val="24"/>
          <w:szCs w:val="24"/>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0"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US</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Borders>
              <w:top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Number of</w:t>
            </w:r>
          </w:p>
        </w:tc>
        <w:tc>
          <w:tcPr>
            <w:tcW w:w="3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Shares</w:t>
            </w:r>
          </w:p>
        </w:tc>
        <w:tc>
          <w:tcPr>
            <w:tcW w:w="360" w:type="dxa"/>
            <w:vAlign w:val="bottom"/>
            <w:tcBorders>
              <w:right w:val="single" w:sz="8" w:color="auto"/>
            </w:tcBorders>
          </w:tcPr>
          <w:p>
            <w:pPr>
              <w:spacing w:after="0"/>
              <w:rPr>
                <w:sz w:val="18"/>
                <w:szCs w:val="18"/>
                <w:color w:val="auto"/>
              </w:rPr>
            </w:pPr>
          </w:p>
        </w:tc>
        <w:tc>
          <w:tcPr>
            <w:tcW w:w="9740" w:type="dxa"/>
            <w:vAlign w:val="bottom"/>
            <w:vMerge w:val="restart"/>
          </w:tcPr>
          <w:p>
            <w:pPr>
              <w:jc w:val="right"/>
              <w:ind w:right="92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94"/>
              </w:rPr>
              <w:t>Beneficially</w:t>
            </w:r>
          </w:p>
        </w:tc>
        <w:tc>
          <w:tcPr>
            <w:tcW w:w="36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Borders>
              <w:right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88"/>
              </w:rPr>
              <w:t>Owned by</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
        </w:trPr>
        <w:tc>
          <w:tcPr>
            <w:tcW w:w="1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74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01" w:right="3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40" w:type="dxa"/>
            <w:vAlign w:val="bottom"/>
            <w:tcBorders>
              <w:left w:val="single" w:sz="8" w:color="auto"/>
              <w:right w:val="single" w:sz="8" w:color="auto"/>
            </w:tcBorders>
            <w:gridSpan w:val="2"/>
          </w:tcPr>
          <w:p>
            <w:pPr>
              <w:jc w:val="center"/>
              <w:ind w:left="12"/>
              <w:spacing w:after="0"/>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vMerge w:val="restart"/>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Borders>
              <w:left w:val="single" w:sz="8" w:color="auto"/>
              <w:right w:val="single" w:sz="8" w:color="auto"/>
            </w:tcBorders>
            <w:gridSpan w:val="2"/>
          </w:tcPr>
          <w:p>
            <w:pPr>
              <w:jc w:val="center"/>
              <w:ind w:left="12"/>
              <w:spacing w:after="0" w:line="189" w:lineRule="exact"/>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(7)</w:t>
            </w:r>
          </w:p>
        </w:tc>
        <w:tc>
          <w:tcPr>
            <w:tcW w:w="97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With</w:t>
            </w:r>
          </w:p>
        </w:tc>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740" w:type="dxa"/>
            <w:vAlign w:val="bottom"/>
            <w:tcBorders>
              <w:right w:val="single" w:sz="8" w:color="auto"/>
            </w:tcBorders>
            <w:vMerge w:val="restart"/>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9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7"/>
              </w:rPr>
              <w:t>0.0%</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38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835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38046W204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7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 I.R.S. Identification Nos. of Above Persons (Entities Only)</w:t>
            </w: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760" w:type="dxa"/>
            <w:vAlign w:val="bottom"/>
            <w:gridSpan w:val="4"/>
          </w:tcPr>
          <w:p>
            <w:pPr>
              <w:ind w:left="2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04-3276549</w:t>
            </w: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rPr>
                <w:sz w:val="23"/>
                <w:szCs w:val="23"/>
                <w:color w:val="auto"/>
              </w:rPr>
            </w:pPr>
          </w:p>
        </w:tc>
        <w:tc>
          <w:tcPr>
            <w:tcW w:w="9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2"/>
          </w:tcPr>
          <w:p>
            <w:pPr>
              <w:spacing w:after="0"/>
              <w:rPr>
                <w:sz w:val="6"/>
                <w:szCs w:val="6"/>
                <w:color w:val="auto"/>
              </w:rPr>
            </w:pPr>
          </w:p>
        </w:tc>
        <w:tc>
          <w:tcPr>
            <w:tcW w:w="9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w:t>
            </w:r>
          </w:p>
        </w:tc>
        <w:tc>
          <w:tcPr>
            <w:tcW w:w="97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0"/>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tcBorders>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140" w:type="dxa"/>
            <w:vAlign w:val="bottom"/>
            <w:tcBorders>
              <w:right w:val="single" w:sz="8" w:color="auto"/>
            </w:tcBorders>
            <w:gridSpan w:val="3"/>
          </w:tcPr>
          <w:p>
            <w:pPr>
              <w:jc w:val="center"/>
              <w:ind w:left="12"/>
              <w:spacing w:after="0" w:line="201" w:lineRule="exact"/>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7"/>
                <w:szCs w:val="17"/>
                <w:color w:val="auto"/>
              </w:rPr>
            </w:pPr>
          </w:p>
        </w:tc>
        <w:tc>
          <w:tcPr>
            <w:tcW w:w="3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(6)</w:t>
            </w:r>
          </w:p>
        </w:tc>
        <w:tc>
          <w:tcPr>
            <w:tcW w:w="97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restart"/>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8"/>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700" w:type="dxa"/>
            <w:vAlign w:val="bottom"/>
            <w:tcBorders>
              <w:right w:val="single" w:sz="8" w:color="auto"/>
            </w:tcBorders>
            <w:gridSpan w:val="2"/>
          </w:tcPr>
          <w:p>
            <w:pPr>
              <w:jc w:val="center"/>
              <w:ind w:right="251"/>
              <w:spacing w:after="0" w:line="189"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(7)</w:t>
            </w:r>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restart"/>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9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tcBorders>
          </w:tcPr>
          <w:p>
            <w:pPr>
              <w:jc w:val="right"/>
              <w:ind w:right="92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7"/>
              </w:rPr>
              <w:t>0.0%</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39" w:lineRule="exact"/>
        <w:rPr>
          <w:sz w:val="20"/>
          <w:szCs w:val="20"/>
          <w:color w:val="auto"/>
        </w:rPr>
      </w:pPr>
    </w:p>
    <w:p>
      <w:pPr>
        <w:ind w:left="280" w:right="9540" w:hanging="2"/>
        <w:spacing w:after="0" w:line="405" w:lineRule="auto"/>
        <w:tabs>
          <w:tab w:leader="none" w:pos="5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GoHealth, Inc.</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214 West Huron St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Chicago, Illinois, 60654</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Person Filing</w:t>
      </w:r>
    </w:p>
    <w:p>
      <w:pPr>
        <w:sectPr>
          <w:pgSz w:w="11900" w:h="16838" w:orient="portrait"/>
          <w:cols w:equalWidth="0" w:num="1">
            <w:col w:w="11240"/>
          </w:cols>
          <w:pgMar w:left="320" w:top="140" w:right="339" w:bottom="0" w:gutter="0" w:footer="0" w:header="0"/>
        </w:sectPr>
      </w:pPr>
    </w:p>
    <w:bookmarkStart w:id="2" w:name="page3"/>
    <w:bookmarkEnd w:id="2"/>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L.P. ("Harris")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Inc. ("General Partner")</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Inc., for itself and as General Partner</w:t>
      </w:r>
    </w:p>
    <w:p>
      <w:pPr>
        <w:spacing w:after="0" w:line="100" w:lineRule="exact"/>
        <w:rPr>
          <w:sz w:val="20"/>
          <w:szCs w:val="20"/>
          <w:color w:val="auto"/>
        </w:rPr>
      </w:pPr>
    </w:p>
    <w:p>
      <w:pPr>
        <w:ind w:left="540" w:hanging="26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07"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111 South Wacker Drive Suite 4600, Chicago, Illinois, 60606</w:t>
      </w:r>
    </w:p>
    <w:p>
      <w:pPr>
        <w:spacing w:after="0" w:line="99" w:lineRule="exact"/>
        <w:rPr>
          <w:rFonts w:ascii="Arial" w:cs="Arial" w:eastAsia="Arial" w:hAnsi="Arial"/>
          <w:sz w:val="18"/>
          <w:szCs w:val="18"/>
          <w:b w:val="1"/>
          <w:bCs w:val="1"/>
          <w:color w:val="auto"/>
        </w:rPr>
      </w:pPr>
    </w:p>
    <w:p>
      <w:pPr>
        <w:ind w:left="520" w:hanging="24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Item 4 on the cover page(s) hereto.</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Title of Class of Securities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Class A Common Stock, $0.0001 par value per share</w:t>
      </w:r>
    </w:p>
    <w:p>
      <w:pPr>
        <w:spacing w:after="0" w:line="100" w:lineRule="exact"/>
        <w:rPr>
          <w:sz w:val="20"/>
          <w:szCs w:val="20"/>
          <w:color w:val="auto"/>
        </w:rPr>
      </w:pPr>
    </w:p>
    <w:p>
      <w:pPr>
        <w:ind w:left="280" w:right="9300" w:hanging="2"/>
        <w:spacing w:after="0" w:line="428" w:lineRule="auto"/>
        <w:tabs>
          <w:tab w:leader="none" w:pos="52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38046W204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ind w:left="620" w:hanging="342"/>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 ] An investment adviser in accordance with §240.13d-1(b)(1)(ii)(E);</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20"/>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80" w:type="dxa"/>
            <w:vAlign w:val="bottom"/>
          </w:tcPr>
          <w:p>
            <w:pPr>
              <w:ind w:left="40"/>
              <w:spacing w:after="0"/>
              <w:rPr>
                <w:sz w:val="20"/>
                <w:szCs w:val="20"/>
                <w:color w:val="auto"/>
              </w:rPr>
            </w:pPr>
            <w:r>
              <w:rPr>
                <w:rFonts w:ascii="Arial" w:cs="Arial" w:eastAsia="Arial" w:hAnsi="Arial"/>
                <w:sz w:val="18"/>
                <w:szCs w:val="18"/>
                <w:color w:val="auto"/>
              </w:rPr>
              <w:t>Act of 1940 (15 U.S.C. 80a-3);</w:t>
            </w:r>
          </w:p>
        </w:tc>
      </w:tr>
    </w:tbl>
    <w:p>
      <w:pPr>
        <w:ind w:left="620" w:hanging="342"/>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 Group, in accordance with §240.13d-1(b)(1)(ii)(J).</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Amount beneficially owned:</w:t>
      </w:r>
    </w:p>
    <w:p>
      <w:pPr>
        <w:spacing w:after="0" w:line="108"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Percent of class: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Item 11 on the cover page(s) hereto.</w:t>
      </w:r>
    </w:p>
    <w:p>
      <w:pPr>
        <w:spacing w:after="0" w:line="100" w:lineRule="exact"/>
        <w:rPr>
          <w:sz w:val="20"/>
          <w:szCs w:val="20"/>
          <w:color w:val="auto"/>
        </w:rPr>
      </w:pPr>
    </w:p>
    <w:p>
      <w:pPr>
        <w:ind w:left="520" w:hanging="24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98" w:lineRule="exact"/>
        <w:rPr>
          <w:rFonts w:ascii="Arial" w:cs="Arial" w:eastAsia="Arial" w:hAnsi="Arial"/>
          <w:sz w:val="18"/>
          <w:szCs w:val="18"/>
          <w:b w:val="1"/>
          <w:bCs w:val="1"/>
          <w:color w:val="auto"/>
        </w:rPr>
      </w:pPr>
    </w:p>
    <w:p>
      <w:pPr>
        <w:ind w:left="540" w:right="7320" w:firstLine="8"/>
        <w:spacing w:after="0" w:line="405" w:lineRule="auto"/>
        <w:tabs>
          <w:tab w:leader="none" w:pos="755"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540" w:right="7040" w:firstLine="8"/>
        <w:spacing w:after="0" w:line="381" w:lineRule="auto"/>
        <w:tabs>
          <w:tab w:leader="none" w:pos="805"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See Item 6 on the cover page(s) hereto.</w:t>
      </w:r>
    </w:p>
    <w:p>
      <w:pPr>
        <w:ind w:left="540" w:right="6280" w:firstLine="8"/>
        <w:spacing w:after="0" w:line="381" w:lineRule="auto"/>
        <w:tabs>
          <w:tab w:leader="none" w:pos="855"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See Item 7 on the cover page(s) hereto.</w:t>
      </w:r>
    </w:p>
    <w:p>
      <w:pPr>
        <w:ind w:left="540" w:right="6060" w:firstLine="8"/>
        <w:spacing w:after="0" w:line="391" w:lineRule="auto"/>
        <w:tabs>
          <w:tab w:leader="none" w:pos="845"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See Item 8 on the cover page(s) 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This schedule is not being filed pursuant to Rule 13d-1(b)(1)(ii)(J) or Rule 13d-1(d).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ectPr>
          <w:pgSz w:w="11900" w:h="16864" w:orient="portrait"/>
          <w:cols w:equalWidth="0" w:num="1">
            <w:col w:w="11040"/>
          </w:cols>
          <w:pgMar w:left="320" w:top="125" w:right="539" w:bottom="0" w:gutter="0" w:footer="0" w:header="0"/>
        </w:sectPr>
      </w:pPr>
    </w:p>
    <w:bookmarkStart w:id="3" w:name="page4"/>
    <w:bookmarkEnd w:id="3"/>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 w:leader="none" w:pos="6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February 14, 2023</w:t>
      </w:r>
      <w:r>
        <w:rPr>
          <w:sz w:val="20"/>
          <w:szCs w:val="20"/>
          <w:color w:val="auto"/>
        </w:rPr>
        <w:tab/>
      </w:r>
      <w:r>
        <w:rPr>
          <w:rFonts w:ascii="Arial" w:cs="Arial" w:eastAsia="Arial" w:hAnsi="Arial"/>
          <w:sz w:val="16"/>
          <w:szCs w:val="16"/>
          <w:color w:val="auto"/>
        </w:rPr>
        <w:t>Harris Associates L.P.</w:t>
      </w:r>
    </w:p>
    <w:p>
      <w:pPr>
        <w:spacing w:after="0" w:line="77" w:lineRule="exact"/>
        <w:rPr>
          <w:sz w:val="20"/>
          <w:szCs w:val="20"/>
          <w:color w:val="auto"/>
        </w:rPr>
      </w:pPr>
    </w:p>
    <w:p>
      <w:pPr>
        <w:ind w:left="62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Rana J.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1905</wp:posOffset>
            </wp:positionV>
            <wp:extent cx="233997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9975" cy="425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Name: Rana J. Wright</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Title: Chief Administrative Officer,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lowerLetter"/>
      <w:start w:val="10"/>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2023-02-14T19:35:00Z</dcterms:created>
  <dcterms:modified xsi:type="dcterms:W3CDTF">2023-02-14T19:35:00Z</dcterms:modified>
</cp:coreProperties>
</file>