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960"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CCP III Cayman GP Ltd.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GoHealth,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GOCO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960" w:orient="portrait"/>
          <w:cols w:equalWidth="0" w:num="2">
            <w:col w:w="4720" w:space="280"/>
            <w:col w:w="5940"/>
          </w:cols>
          <w:pgMar w:left="480" w:top="236"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6"/>
              </w:rPr>
              <w:t>375 PARK AVENUE, 11TH FLOOR</w:t>
            </w: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94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340" w:type="dxa"/>
            <w:vAlign w:val="bottom"/>
            <w:vMerge w:val="restart"/>
          </w:tcPr>
          <w:p>
            <w:pPr>
              <w:ind w:left="340"/>
              <w:spacing w:after="0"/>
              <w:rPr>
                <w:sz w:val="20"/>
                <w:szCs w:val="20"/>
                <w:color w:val="auto"/>
              </w:rPr>
            </w:pPr>
            <w:r>
              <w:rPr>
                <w:rFonts w:ascii="Arial" w:cs="Arial" w:eastAsia="Arial" w:hAnsi="Arial"/>
                <w:sz w:val="20"/>
                <w:szCs w:val="20"/>
                <w:color w:val="0000FF"/>
              </w:rPr>
              <w:t>10152</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00" w:lineRule="exact"/>
        <w:rPr>
          <w:sz w:val="24"/>
          <w:szCs w:val="24"/>
          <w:color w:val="auto"/>
        </w:rPr>
      </w:pPr>
    </w:p>
    <w:p>
      <w:pPr>
        <w:sectPr>
          <w:pgSz w:w="11900" w:h="16960" w:orient="portrait"/>
          <w:cols w:equalWidth="0" w:num="3">
            <w:col w:w="4277" w:space="720"/>
            <w:col w:w="3003" w:space="269"/>
            <w:col w:w="2671"/>
          </w:cols>
          <w:pgMar w:left="480" w:top="236" w:right="479" w:bottom="0" w:gutter="0" w:footer="0" w:header="0"/>
          <w:type w:val="continuous"/>
        </w:sectPr>
      </w:pPr>
    </w:p>
    <w:p>
      <w:pPr>
        <w:spacing w:after="0" w:line="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26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2674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20"/>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80"/>
              <w:spacing w:after="0"/>
              <w:rPr>
                <w:sz w:val="20"/>
                <w:szCs w:val="20"/>
                <w:color w:val="auto"/>
              </w:rPr>
            </w:pPr>
            <w:r>
              <w:rPr>
                <w:rFonts w:ascii="Arial" w:cs="Arial" w:eastAsia="Arial" w:hAnsi="Arial"/>
                <w:sz w:val="20"/>
                <w:szCs w:val="20"/>
                <w:color w:val="0000FF"/>
              </w:rPr>
              <w:t>Class A Common Stock</w:t>
            </w:r>
          </w:p>
        </w:tc>
        <w:tc>
          <w:tcPr>
            <w:tcW w:w="1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ind w:left="700"/>
              <w:spacing w:after="0"/>
              <w:rPr>
                <w:sz w:val="20"/>
                <w:szCs w:val="20"/>
                <w:color w:val="auto"/>
              </w:rPr>
            </w:pPr>
            <w:r>
              <w:rPr>
                <w:rFonts w:ascii="Arial" w:cs="Arial" w:eastAsia="Arial" w:hAnsi="Arial"/>
                <w:sz w:val="20"/>
                <w:szCs w:val="20"/>
                <w:color w:val="0000FF"/>
                <w:w w:val="97"/>
              </w:rPr>
              <w:t>40,682,961</w:t>
            </w:r>
          </w:p>
        </w:tc>
        <w:tc>
          <w:tcPr>
            <w:tcW w:w="10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gridSpan w:val="2"/>
          </w:tcPr>
          <w:p>
            <w:pPr>
              <w:ind w:left="20"/>
              <w:spacing w:after="0"/>
              <w:rPr>
                <w:sz w:val="20"/>
                <w:szCs w:val="20"/>
                <w:color w:val="auto"/>
              </w:rPr>
            </w:pPr>
            <w:r>
              <w:rPr>
                <w:rFonts w:ascii="Arial" w:cs="Arial" w:eastAsia="Arial" w:hAnsi="Arial"/>
                <w:sz w:val="20"/>
                <w:szCs w:val="20"/>
                <w:color w:val="0000FF"/>
              </w:rPr>
              <w:t>I</w:t>
            </w:r>
          </w:p>
        </w:tc>
        <w:tc>
          <w:tcPr>
            <w:tcW w:w="3360" w:type="dxa"/>
            <w:vAlign w:val="bottom"/>
            <w:tcBorders>
              <w:bottom w:val="single" w:sz="8" w:color="2C2C2C"/>
            </w:tcBorders>
            <w:gridSpan w:val="3"/>
          </w:tcPr>
          <w:p>
            <w:pPr>
              <w:ind w:left="600"/>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80"/>
              <w:spacing w:after="0"/>
              <w:rPr>
                <w:sz w:val="20"/>
                <w:szCs w:val="20"/>
                <w:color w:val="auto"/>
              </w:rPr>
            </w:pPr>
            <w:r>
              <w:rPr>
                <w:rFonts w:ascii="Arial" w:cs="Arial" w:eastAsia="Arial" w:hAnsi="Arial"/>
                <w:sz w:val="20"/>
                <w:szCs w:val="20"/>
                <w:color w:val="0000FF"/>
              </w:rPr>
              <w:t>Class B Common Stock</w:t>
            </w:r>
          </w:p>
        </w:tc>
        <w:tc>
          <w:tcPr>
            <w:tcW w:w="1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ind w:left="700"/>
              <w:spacing w:after="0"/>
              <w:rPr>
                <w:sz w:val="20"/>
                <w:szCs w:val="20"/>
                <w:color w:val="auto"/>
              </w:rPr>
            </w:pPr>
            <w:r>
              <w:rPr>
                <w:rFonts w:ascii="Arial" w:cs="Arial" w:eastAsia="Arial" w:hAnsi="Arial"/>
                <w:sz w:val="20"/>
                <w:szCs w:val="20"/>
                <w:color w:val="0000FF"/>
                <w:w w:val="97"/>
              </w:rPr>
              <w:t>90,365,387</w:t>
            </w:r>
          </w:p>
        </w:tc>
        <w:tc>
          <w:tcPr>
            <w:tcW w:w="10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gridSpan w:val="2"/>
          </w:tcPr>
          <w:p>
            <w:pPr>
              <w:ind w:left="20"/>
              <w:spacing w:after="0"/>
              <w:rPr>
                <w:sz w:val="20"/>
                <w:szCs w:val="20"/>
                <w:color w:val="auto"/>
              </w:rPr>
            </w:pPr>
            <w:r>
              <w:rPr>
                <w:rFonts w:ascii="Arial" w:cs="Arial" w:eastAsia="Arial" w:hAnsi="Arial"/>
                <w:sz w:val="20"/>
                <w:szCs w:val="20"/>
                <w:color w:val="0000FF"/>
              </w:rPr>
              <w:t>I</w:t>
            </w:r>
          </w:p>
        </w:tc>
        <w:tc>
          <w:tcPr>
            <w:tcW w:w="3380" w:type="dxa"/>
            <w:vAlign w:val="bottom"/>
            <w:tcBorders>
              <w:bottom w:val="single" w:sz="8" w:color="2C2C2C"/>
            </w:tcBorders>
            <w:gridSpan w:val="4"/>
          </w:tcPr>
          <w:p>
            <w:pPr>
              <w:ind w:left="600"/>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(2)(4)</w:t>
            </w: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2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5640" w:type="dxa"/>
            <w:vAlign w:val="bottom"/>
            <w:tcBorders>
              <w:top w:val="single" w:sz="8" w:color="2C2C2C"/>
            </w:tcBorders>
            <w:gridSpan w:val="9"/>
          </w:tcPr>
          <w:p>
            <w:pPr>
              <w:ind w:left="3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5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800" w:type="dxa"/>
            <w:vAlign w:val="bottom"/>
            <w:gridSpan w:val="10"/>
          </w:tcPr>
          <w:p>
            <w:pPr>
              <w:ind w:left="10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6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60" w:type="dxa"/>
            <w:vAlign w:val="bottom"/>
          </w:tcPr>
          <w:p>
            <w:pPr>
              <w:spacing w:after="0"/>
              <w:rPr>
                <w:sz w:val="17"/>
                <w:szCs w:val="17"/>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2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1340" w:type="dxa"/>
            <w:vAlign w:val="bottom"/>
            <w:gridSpan w:val="3"/>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2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Amount or</w:t>
            </w: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020" w:type="dxa"/>
            <w:vAlign w:val="bottom"/>
          </w:tcPr>
          <w:p>
            <w:pPr>
              <w:ind w:left="1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20"/>
                <w:szCs w:val="20"/>
                <w:color w:val="0000FF"/>
              </w:rPr>
              <w:t>LLC Interests</w:t>
            </w:r>
          </w:p>
        </w:tc>
        <w:tc>
          <w:tcPr>
            <w:tcW w:w="1340" w:type="dxa"/>
            <w:vAlign w:val="bottom"/>
          </w:tcPr>
          <w:p>
            <w:pPr>
              <w:spacing w:after="0"/>
              <w:rPr>
                <w:sz w:val="24"/>
                <w:szCs w:val="24"/>
                <w:color w:val="auto"/>
              </w:rPr>
            </w:pPr>
          </w:p>
        </w:tc>
        <w:tc>
          <w:tcPr>
            <w:tcW w:w="1140" w:type="dxa"/>
            <w:vAlign w:val="bottom"/>
            <w:gridSpan w:val="2"/>
            <w:vMerge w:val="restart"/>
          </w:tcPr>
          <w:p>
            <w:pPr>
              <w:jc w:val="right"/>
              <w:ind w:right="343"/>
              <w:spacing w:after="0"/>
              <w:rPr>
                <w:sz w:val="20"/>
                <w:szCs w:val="20"/>
                <w:color w:val="auto"/>
              </w:rPr>
            </w:pPr>
            <w:r>
              <w:rPr>
                <w:rFonts w:ascii="Arial" w:cs="Arial" w:eastAsia="Arial" w:hAnsi="Arial"/>
                <w:sz w:val="13"/>
                <w:szCs w:val="13"/>
                <w:color w:val="008000"/>
              </w:rPr>
              <w:t>(3)</w:t>
            </w: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008000"/>
              </w:rPr>
              <w:t>(3)</w:t>
            </w:r>
          </w:p>
        </w:tc>
        <w:tc>
          <w:tcPr>
            <w:tcW w:w="360" w:type="dxa"/>
            <w:vAlign w:val="bottom"/>
          </w:tcPr>
          <w:p>
            <w:pPr>
              <w:spacing w:after="0"/>
              <w:rPr>
                <w:sz w:val="24"/>
                <w:szCs w:val="24"/>
                <w:color w:val="auto"/>
              </w:rPr>
            </w:pPr>
          </w:p>
        </w:tc>
        <w:tc>
          <w:tcPr>
            <w:tcW w:w="1700" w:type="dxa"/>
            <w:vAlign w:val="bottom"/>
          </w:tcPr>
          <w:p>
            <w:pPr>
              <w:ind w:left="180"/>
              <w:spacing w:after="0"/>
              <w:rPr>
                <w:sz w:val="20"/>
                <w:szCs w:val="20"/>
                <w:color w:val="auto"/>
              </w:rPr>
            </w:pPr>
            <w:r>
              <w:rPr>
                <w:rFonts w:ascii="Arial" w:cs="Arial" w:eastAsia="Arial" w:hAnsi="Arial"/>
                <w:sz w:val="20"/>
                <w:szCs w:val="20"/>
                <w:color w:val="0000FF"/>
                <w:w w:val="96"/>
              </w:rPr>
              <w:t>Class A Common</w:t>
            </w:r>
          </w:p>
        </w:tc>
        <w:tc>
          <w:tcPr>
            <w:tcW w:w="1020" w:type="dxa"/>
            <w:vAlign w:val="bottom"/>
            <w:vMerge w:val="restart"/>
          </w:tcPr>
          <w:p>
            <w:pPr>
              <w:ind w:left="120"/>
              <w:spacing w:after="0"/>
              <w:rPr>
                <w:sz w:val="20"/>
                <w:szCs w:val="20"/>
                <w:color w:val="auto"/>
              </w:rPr>
            </w:pPr>
            <w:r>
              <w:rPr>
                <w:rFonts w:ascii="Arial" w:cs="Arial" w:eastAsia="Arial" w:hAnsi="Arial"/>
                <w:sz w:val="20"/>
                <w:szCs w:val="20"/>
                <w:color w:val="0000FF"/>
                <w:w w:val="87"/>
              </w:rPr>
              <w:t>90,365,387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vMerge w:val="restart"/>
          </w:tcPr>
          <w:p>
            <w:pPr>
              <w:ind w:left="360"/>
              <w:spacing w:after="0"/>
              <w:rPr>
                <w:sz w:val="20"/>
                <w:szCs w:val="20"/>
                <w:color w:val="auto"/>
              </w:rPr>
            </w:pPr>
            <w:r>
              <w:rPr>
                <w:rFonts w:ascii="Arial" w:cs="Arial" w:eastAsia="Arial" w:hAnsi="Arial"/>
                <w:sz w:val="13"/>
                <w:szCs w:val="13"/>
                <w:color w:val="008000"/>
              </w:rPr>
              <w:t>(3)</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20" w:type="dxa"/>
            <w:vAlign w:val="bottom"/>
            <w:gridSpan w:val="2"/>
          </w:tcPr>
          <w:p>
            <w:pPr>
              <w:ind w:left="80"/>
              <w:spacing w:after="0"/>
              <w:rPr>
                <w:sz w:val="20"/>
                <w:szCs w:val="20"/>
                <w:color w:val="auto"/>
              </w:rPr>
            </w:pPr>
            <w:r>
              <w:rPr>
                <w:rFonts w:ascii="Arial" w:cs="Arial" w:eastAsia="Arial" w:hAnsi="Arial"/>
                <w:sz w:val="20"/>
                <w:szCs w:val="20"/>
                <w:color w:val="0000FF"/>
                <w:w w:val="94"/>
              </w:rPr>
              <w:t>See Footnotes</w:t>
            </w:r>
            <w:r>
              <w:rPr>
                <w:rFonts w:ascii="Arial" w:cs="Arial" w:eastAsia="Arial" w:hAnsi="Arial"/>
                <w:sz w:val="25"/>
                <w:szCs w:val="25"/>
                <w:color w:val="008000"/>
                <w:w w:val="94"/>
                <w:vertAlign w:val="superscript"/>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3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vMerge w:val="restart"/>
          </w:tcPr>
          <w:p>
            <w:pPr>
              <w:ind w:left="640"/>
              <w:spacing w:after="0"/>
              <w:rPr>
                <w:sz w:val="20"/>
                <w:szCs w:val="20"/>
                <w:color w:val="auto"/>
              </w:rPr>
            </w:pPr>
            <w:r>
              <w:rPr>
                <w:rFonts w:ascii="Arial" w:cs="Arial" w:eastAsia="Arial" w:hAnsi="Arial"/>
                <w:sz w:val="20"/>
                <w:szCs w:val="20"/>
                <w:color w:val="0000FF"/>
              </w:rPr>
              <w:t>Stock</w:t>
            </w:r>
          </w:p>
        </w:tc>
        <w:tc>
          <w:tcPr>
            <w:tcW w:w="10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500" w:type="dxa"/>
            <w:vAlign w:val="bottom"/>
            <w:vMerge w:val="restart"/>
          </w:tcPr>
          <w:p>
            <w:pPr>
              <w:ind w:left="80"/>
              <w:spacing w:after="0"/>
              <w:rPr>
                <w:sz w:val="20"/>
                <w:szCs w:val="20"/>
                <w:color w:val="auto"/>
              </w:rPr>
            </w:pPr>
            <w:r>
              <w:rPr>
                <w:rFonts w:ascii="Arial" w:cs="Arial" w:eastAsia="Arial" w:hAnsi="Arial"/>
                <w:sz w:val="13"/>
                <w:szCs w:val="13"/>
                <w:color w:val="008000"/>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720" w:type="dxa"/>
            <w:vAlign w:val="bottom"/>
            <w:tcBorders>
              <w:bottom w:val="single" w:sz="8" w:color="2C2C2C"/>
            </w:tcBorders>
            <w:gridSpan w:val="3"/>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800" w:type="dxa"/>
            <w:vAlign w:val="bottom"/>
            <w:tcBorders>
              <w:top w:val="single" w:sz="8" w:color="2C2C2C"/>
            </w:tcBorders>
            <w:gridSpan w:val="5"/>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4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2"/>
          </w:tcPr>
          <w:p>
            <w:pPr>
              <w:ind w:left="20"/>
              <w:spacing w:after="0"/>
              <w:rPr>
                <w:rFonts w:ascii="Arial" w:cs="Arial" w:eastAsia="Arial" w:hAnsi="Arial"/>
                <w:sz w:val="24"/>
                <w:szCs w:val="24"/>
                <w:u w:val="single" w:color="auto"/>
                <w:color w:val="0000EE"/>
                <w:w w:val="96"/>
              </w:rPr>
            </w:pPr>
            <w:hyperlink r:id="rId10">
              <w:r>
                <w:rPr>
                  <w:rFonts w:ascii="Arial" w:cs="Arial" w:eastAsia="Arial" w:hAnsi="Arial"/>
                  <w:sz w:val="24"/>
                  <w:szCs w:val="24"/>
                  <w:u w:val="single" w:color="auto"/>
                  <w:color w:val="0000EE"/>
                  <w:w w:val="96"/>
                </w:rPr>
                <w:t>CCP III Cayman GP Ltd.</w:t>
              </w:r>
            </w:hyperlink>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340" w:type="dxa"/>
            <w:vAlign w:val="bottom"/>
          </w:tcPr>
          <w:p>
            <w:pPr>
              <w:ind w:left="180"/>
              <w:spacing w:after="0"/>
              <w:rPr>
                <w:sz w:val="20"/>
                <w:szCs w:val="20"/>
                <w:color w:val="auto"/>
              </w:rPr>
            </w:pPr>
            <w:r>
              <w:rPr>
                <w:rFonts w:ascii="Arial" w:cs="Arial" w:eastAsia="Arial" w:hAnsi="Arial"/>
                <w:sz w:val="15"/>
                <w:szCs w:val="15"/>
                <w:color w:val="auto"/>
              </w:rPr>
              <w:t>(First)</w:t>
            </w:r>
          </w:p>
        </w:tc>
        <w:tc>
          <w:tcPr>
            <w:tcW w:w="160" w:type="dxa"/>
            <w:vAlign w:val="bottom"/>
          </w:tcPr>
          <w:p>
            <w:pPr>
              <w:spacing w:after="0"/>
              <w:rPr>
                <w:sz w:val="24"/>
                <w:szCs w:val="24"/>
                <w:color w:val="auto"/>
              </w:rPr>
            </w:pPr>
          </w:p>
        </w:tc>
        <w:tc>
          <w:tcPr>
            <w:tcW w:w="980" w:type="dxa"/>
            <w:vAlign w:val="bottom"/>
          </w:tcPr>
          <w:p>
            <w:pPr>
              <w:ind w:left="60"/>
              <w:spacing w:after="0"/>
              <w:rPr>
                <w:sz w:val="20"/>
                <w:szCs w:val="20"/>
                <w:color w:val="auto"/>
              </w:rPr>
            </w:pPr>
            <w:r>
              <w:rPr>
                <w:rFonts w:ascii="Arial" w:cs="Arial" w:eastAsia="Arial" w:hAnsi="Arial"/>
                <w:sz w:val="15"/>
                <w:szCs w:val="15"/>
                <w:color w:val="auto"/>
              </w:rPr>
              <w:t>(Middle)</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4"/>
          </w:tcPr>
          <w:p>
            <w:pPr>
              <w:ind w:left="20"/>
              <w:spacing w:after="0"/>
              <w:rPr>
                <w:sz w:val="20"/>
                <w:szCs w:val="20"/>
                <w:color w:val="auto"/>
              </w:rPr>
            </w:pPr>
            <w:r>
              <w:rPr>
                <w:rFonts w:ascii="Arial" w:cs="Arial" w:eastAsia="Arial" w:hAnsi="Arial"/>
                <w:sz w:val="20"/>
                <w:szCs w:val="20"/>
                <w:color w:val="0000FF"/>
              </w:rPr>
              <w:t>375 PARK AVENUE, 11TH FLOOR</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4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340" w:type="dxa"/>
            <w:vAlign w:val="bottom"/>
          </w:tcPr>
          <w:p>
            <w:pPr>
              <w:ind w:left="180"/>
              <w:spacing w:after="0"/>
              <w:rPr>
                <w:sz w:val="20"/>
                <w:szCs w:val="20"/>
                <w:color w:val="auto"/>
              </w:rPr>
            </w:pPr>
            <w:r>
              <w:rPr>
                <w:rFonts w:ascii="Arial" w:cs="Arial" w:eastAsia="Arial" w:hAnsi="Arial"/>
                <w:sz w:val="20"/>
                <w:szCs w:val="20"/>
                <w:color w:val="0000FF"/>
              </w:rPr>
              <w:t>NY</w:t>
            </w:r>
          </w:p>
        </w:tc>
        <w:tc>
          <w:tcPr>
            <w:tcW w:w="1140" w:type="dxa"/>
            <w:vAlign w:val="bottom"/>
            <w:gridSpan w:val="2"/>
          </w:tcPr>
          <w:p>
            <w:pPr>
              <w:ind w:left="220"/>
              <w:spacing w:after="0"/>
              <w:rPr>
                <w:sz w:val="20"/>
                <w:szCs w:val="20"/>
                <w:color w:val="auto"/>
              </w:rPr>
            </w:pPr>
            <w:r>
              <w:rPr>
                <w:rFonts w:ascii="Arial" w:cs="Arial" w:eastAsia="Arial" w:hAnsi="Arial"/>
                <w:sz w:val="20"/>
                <w:szCs w:val="20"/>
                <w:color w:val="0000FF"/>
              </w:rPr>
              <w:t>10152</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340" w:type="dxa"/>
            <w:vAlign w:val="bottom"/>
          </w:tcPr>
          <w:p>
            <w:pPr>
              <w:ind w:left="180"/>
              <w:spacing w:after="0"/>
              <w:rPr>
                <w:sz w:val="20"/>
                <w:szCs w:val="20"/>
                <w:color w:val="auto"/>
              </w:rPr>
            </w:pPr>
            <w:r>
              <w:rPr>
                <w:rFonts w:ascii="Arial" w:cs="Arial" w:eastAsia="Arial" w:hAnsi="Arial"/>
                <w:sz w:val="15"/>
                <w:szCs w:val="15"/>
                <w:color w:val="auto"/>
              </w:rPr>
              <w:t>(State)</w:t>
            </w:r>
          </w:p>
        </w:tc>
        <w:tc>
          <w:tcPr>
            <w:tcW w:w="160" w:type="dxa"/>
            <w:vAlign w:val="bottom"/>
          </w:tcPr>
          <w:p>
            <w:pPr>
              <w:spacing w:after="0"/>
              <w:rPr>
                <w:sz w:val="24"/>
                <w:szCs w:val="24"/>
                <w:color w:val="auto"/>
              </w:rPr>
            </w:pPr>
          </w:p>
        </w:tc>
        <w:tc>
          <w:tcPr>
            <w:tcW w:w="980" w:type="dxa"/>
            <w:vAlign w:val="bottom"/>
          </w:tcPr>
          <w:p>
            <w:pPr>
              <w:ind w:left="60"/>
              <w:spacing w:after="0"/>
              <w:rPr>
                <w:sz w:val="20"/>
                <w:szCs w:val="20"/>
                <w:color w:val="auto"/>
              </w:rPr>
            </w:pPr>
            <w:r>
              <w:rPr>
                <w:rFonts w:ascii="Arial" w:cs="Arial" w:eastAsia="Arial" w:hAnsi="Arial"/>
                <w:sz w:val="15"/>
                <w:szCs w:val="15"/>
                <w:color w:val="auto"/>
              </w:rPr>
              <w:t>(Zip)</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4"/>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80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4"/>
          </w:tcPr>
          <w:p>
            <w:pPr>
              <w:ind w:left="20"/>
              <w:spacing w:after="0"/>
              <w:rPr>
                <w:rFonts w:ascii="Arial" w:cs="Arial" w:eastAsia="Arial" w:hAnsi="Arial"/>
                <w:sz w:val="24"/>
                <w:szCs w:val="24"/>
                <w:color w:val="0000EE"/>
              </w:rPr>
            </w:pPr>
            <w:hyperlink r:id="rId13">
              <w:r>
                <w:rPr>
                  <w:rFonts w:ascii="Arial" w:cs="Arial" w:eastAsia="Arial" w:hAnsi="Arial"/>
                  <w:sz w:val="24"/>
                  <w:szCs w:val="24"/>
                  <w:u w:val="single" w:color="auto"/>
                  <w:color w:val="0000EE"/>
                </w:rPr>
                <w:t>CCP III AIV VII Holdings, L.P</w:t>
              </w:r>
              <w:r>
                <w:rPr>
                  <w:rFonts w:ascii="Arial" w:cs="Arial" w:eastAsia="Arial" w:hAnsi="Arial"/>
                  <w:sz w:val="24"/>
                  <w:szCs w:val="24"/>
                  <w:color w:val="0000EE"/>
                </w:rPr>
                <w:t>.</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340" w:type="dxa"/>
            <w:vAlign w:val="bottom"/>
          </w:tcPr>
          <w:p>
            <w:pPr>
              <w:ind w:left="180"/>
              <w:spacing w:after="0"/>
              <w:rPr>
                <w:sz w:val="20"/>
                <w:szCs w:val="20"/>
                <w:color w:val="auto"/>
              </w:rPr>
            </w:pPr>
            <w:r>
              <w:rPr>
                <w:rFonts w:ascii="Arial" w:cs="Arial" w:eastAsia="Arial" w:hAnsi="Arial"/>
                <w:sz w:val="15"/>
                <w:szCs w:val="15"/>
                <w:color w:val="auto"/>
              </w:rPr>
              <w:t>(First)</w:t>
            </w:r>
          </w:p>
        </w:tc>
        <w:tc>
          <w:tcPr>
            <w:tcW w:w="160" w:type="dxa"/>
            <w:vAlign w:val="bottom"/>
          </w:tcPr>
          <w:p>
            <w:pPr>
              <w:spacing w:after="0"/>
              <w:rPr>
                <w:sz w:val="24"/>
                <w:szCs w:val="24"/>
                <w:color w:val="auto"/>
              </w:rPr>
            </w:pPr>
          </w:p>
        </w:tc>
        <w:tc>
          <w:tcPr>
            <w:tcW w:w="980" w:type="dxa"/>
            <w:vAlign w:val="bottom"/>
          </w:tcPr>
          <w:p>
            <w:pPr>
              <w:ind w:left="60"/>
              <w:spacing w:after="0"/>
              <w:rPr>
                <w:sz w:val="20"/>
                <w:szCs w:val="20"/>
                <w:color w:val="auto"/>
              </w:rPr>
            </w:pPr>
            <w:r>
              <w:rPr>
                <w:rFonts w:ascii="Arial" w:cs="Arial" w:eastAsia="Arial" w:hAnsi="Arial"/>
                <w:sz w:val="15"/>
                <w:szCs w:val="15"/>
                <w:color w:val="auto"/>
              </w:rPr>
              <w:t>(Middle)</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4"/>
          </w:tcPr>
          <w:p>
            <w:pPr>
              <w:ind w:left="20"/>
              <w:spacing w:after="0"/>
              <w:rPr>
                <w:sz w:val="20"/>
                <w:szCs w:val="20"/>
                <w:color w:val="auto"/>
              </w:rPr>
            </w:pPr>
            <w:r>
              <w:rPr>
                <w:rFonts w:ascii="Arial" w:cs="Arial" w:eastAsia="Arial" w:hAnsi="Arial"/>
                <w:sz w:val="20"/>
                <w:szCs w:val="20"/>
                <w:color w:val="0000FF"/>
              </w:rPr>
              <w:t>375 PARK AVENUE, 11TH FLOOR</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4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340" w:type="dxa"/>
            <w:vAlign w:val="bottom"/>
          </w:tcPr>
          <w:p>
            <w:pPr>
              <w:ind w:left="180"/>
              <w:spacing w:after="0"/>
              <w:rPr>
                <w:sz w:val="20"/>
                <w:szCs w:val="20"/>
                <w:color w:val="auto"/>
              </w:rPr>
            </w:pPr>
            <w:r>
              <w:rPr>
                <w:rFonts w:ascii="Arial" w:cs="Arial" w:eastAsia="Arial" w:hAnsi="Arial"/>
                <w:sz w:val="20"/>
                <w:szCs w:val="20"/>
                <w:color w:val="0000FF"/>
              </w:rPr>
              <w:t>NY</w:t>
            </w:r>
          </w:p>
        </w:tc>
        <w:tc>
          <w:tcPr>
            <w:tcW w:w="1140" w:type="dxa"/>
            <w:vAlign w:val="bottom"/>
            <w:gridSpan w:val="2"/>
          </w:tcPr>
          <w:p>
            <w:pPr>
              <w:ind w:left="220"/>
              <w:spacing w:after="0"/>
              <w:rPr>
                <w:sz w:val="20"/>
                <w:szCs w:val="20"/>
                <w:color w:val="auto"/>
              </w:rPr>
            </w:pPr>
            <w:r>
              <w:rPr>
                <w:rFonts w:ascii="Arial" w:cs="Arial" w:eastAsia="Arial" w:hAnsi="Arial"/>
                <w:sz w:val="20"/>
                <w:szCs w:val="20"/>
                <w:color w:val="0000FF"/>
              </w:rPr>
              <w:t>10152</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340" w:type="dxa"/>
            <w:vAlign w:val="bottom"/>
          </w:tcPr>
          <w:p>
            <w:pPr>
              <w:ind w:left="180"/>
              <w:spacing w:after="0"/>
              <w:rPr>
                <w:sz w:val="20"/>
                <w:szCs w:val="20"/>
                <w:color w:val="auto"/>
              </w:rPr>
            </w:pPr>
            <w:r>
              <w:rPr>
                <w:rFonts w:ascii="Arial" w:cs="Arial" w:eastAsia="Arial" w:hAnsi="Arial"/>
                <w:sz w:val="15"/>
                <w:szCs w:val="15"/>
                <w:color w:val="auto"/>
              </w:rPr>
              <w:t>(State)</w:t>
            </w:r>
          </w:p>
        </w:tc>
        <w:tc>
          <w:tcPr>
            <w:tcW w:w="160" w:type="dxa"/>
            <w:vAlign w:val="bottom"/>
          </w:tcPr>
          <w:p>
            <w:pPr>
              <w:spacing w:after="0"/>
              <w:rPr>
                <w:sz w:val="24"/>
                <w:szCs w:val="24"/>
                <w:color w:val="auto"/>
              </w:rPr>
            </w:pPr>
          </w:p>
        </w:tc>
        <w:tc>
          <w:tcPr>
            <w:tcW w:w="980" w:type="dxa"/>
            <w:vAlign w:val="bottom"/>
          </w:tcPr>
          <w:p>
            <w:pPr>
              <w:ind w:left="60"/>
              <w:spacing w:after="0"/>
              <w:rPr>
                <w:sz w:val="20"/>
                <w:szCs w:val="20"/>
                <w:color w:val="auto"/>
              </w:rPr>
            </w:pPr>
            <w:r>
              <w:rPr>
                <w:rFonts w:ascii="Arial" w:cs="Arial" w:eastAsia="Arial" w:hAnsi="Arial"/>
                <w:sz w:val="15"/>
                <w:szCs w:val="15"/>
                <w:color w:val="auto"/>
              </w:rPr>
              <w:t>(Zip)</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-5278120</wp:posOffset>
            </wp:positionV>
            <wp:extent cx="6946900" cy="5555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6946900" cy="5555615"/>
                    </a:xfrm>
                    <a:prstGeom prst="rect">
                      <a:avLst/>
                    </a:prstGeom>
                    <a:noFill/>
                  </pic:spPr>
                </pic:pic>
              </a:graphicData>
            </a:graphic>
          </wp:anchor>
        </w:drawing>
      </w:r>
    </w:p>
    <w:p>
      <w:pPr>
        <w:spacing w:after="0" w:line="86" w:lineRule="exact"/>
        <w:rPr>
          <w:sz w:val="20"/>
          <w:szCs w:val="20"/>
          <w:color w:val="auto"/>
        </w:rPr>
      </w:pPr>
    </w:p>
    <w:p>
      <w:pPr>
        <w:ind w:left="20"/>
        <w:spacing w:after="0"/>
        <w:rPr>
          <w:sz w:val="20"/>
          <w:szCs w:val="20"/>
          <w:color w:val="auto"/>
        </w:rPr>
      </w:pPr>
      <w:r>
        <w:rPr>
          <w:sz w:val="1"/>
          <w:szCs w:val="1"/>
          <w:color w:val="auto"/>
        </w:rPr>
        <w:drawing>
          <wp:inline distT="0" distB="0" distL="0" distR="0">
            <wp:extent cx="9525" cy="209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9525" cy="209550"/>
                    </a:xfrm>
                    <a:prstGeom prst="rect">
                      <a:avLst/>
                    </a:prstGeom>
                    <a:noFill/>
                    <a:ln>
                      <a:noFill/>
                    </a:ln>
                  </pic:spPr>
                </pic:pic>
              </a:graphicData>
            </a:graphic>
          </wp:inline>
        </w:drawing>
      </w:r>
      <w:r>
        <w:rPr>
          <w:rFonts w:ascii="Arial" w:cs="Arial" w:eastAsia="Arial" w:hAnsi="Arial"/>
          <w:sz w:val="15"/>
          <w:szCs w:val="15"/>
          <w:color w:val="auto"/>
        </w:rPr>
        <w:t xml:space="preserve"> 1. Name and Address of Reporting Person</w:t>
      </w:r>
      <w:r>
        <w:rPr>
          <w:rFonts w:ascii="Arial" w:cs="Arial" w:eastAsia="Arial" w:hAnsi="Arial"/>
          <w:sz w:val="25"/>
          <w:szCs w:val="25"/>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2753995</wp:posOffset>
            </wp:positionH>
            <wp:positionV relativeFrom="paragraph">
              <wp:posOffset>-233045</wp:posOffset>
            </wp:positionV>
            <wp:extent cx="9525" cy="200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9525" cy="200025"/>
                    </a:xfrm>
                    <a:prstGeom prst="rect">
                      <a:avLst/>
                    </a:prstGeom>
                    <a:noFill/>
                  </pic:spPr>
                </pic:pic>
              </a:graphicData>
            </a:graphic>
          </wp:anchor>
        </w:drawing>
      </w:r>
    </w:p>
    <w:p>
      <w:pPr>
        <w:sectPr>
          <w:pgSz w:w="11900" w:h="16960" w:orient="portrait"/>
          <w:cols w:equalWidth="0" w:num="1">
            <w:col w:w="10940"/>
          </w:cols>
          <w:pgMar w:left="480" w:top="236" w:right="479" w:bottom="0" w:gutter="0" w:footer="0" w:header="0"/>
          <w:type w:val="continuous"/>
        </w:sectPr>
      </w:pPr>
    </w:p>
    <w:bookmarkStart w:id="1" w:name="page2"/>
    <w:bookmarkEnd w:id="1"/>
    <w:p>
      <w:pPr>
        <w:ind w:left="120"/>
        <w:spacing w:after="0"/>
        <w:rPr>
          <w:rFonts w:ascii="Arial" w:cs="Arial" w:eastAsia="Arial" w:hAnsi="Arial"/>
          <w:sz w:val="24"/>
          <w:szCs w:val="24"/>
          <w:u w:val="single" w:color="auto"/>
          <w:color w:val="0000EE"/>
        </w:rPr>
      </w:pPr>
      <w:hyperlink r:id="rId17">
        <w:r>
          <w:rPr>
            <w:rFonts w:ascii="Arial" w:cs="Arial" w:eastAsia="Arial" w:hAnsi="Arial"/>
            <w:sz w:val="24"/>
            <w:szCs w:val="24"/>
            <w:u w:val="single" w:color="auto"/>
            <w:color w:val="0000EE"/>
          </w:rPr>
          <w:t>CB Blizzard Co-Invest Holdings,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-159385</wp:posOffset>
            </wp:positionV>
            <wp:extent cx="2773045" cy="90906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773045" cy="9090660"/>
                    </a:xfrm>
                    <a:prstGeom prst="rect">
                      <a:avLst/>
                    </a:prstGeom>
                    <a:noFill/>
                  </pic:spPr>
                </pic:pic>
              </a:graphicData>
            </a:graphic>
          </wp:anchor>
        </w:drawing>
      </w:r>
    </w:p>
    <w:p>
      <w:pPr>
        <w:spacing w:after="0" w:line="358"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100" w:type="dxa"/>
            <w:vAlign w:val="bottom"/>
          </w:tcPr>
          <w:p>
            <w:pPr>
              <w:ind w:left="18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375 PARK AVENUE, 11TH FLOOR</w:t>
            </w:r>
          </w:p>
        </w:tc>
      </w:tr>
      <w:tr>
        <w:trPr>
          <w:trHeight w:val="237"/>
        </w:trPr>
        <w:tc>
          <w:tcPr>
            <w:tcW w:w="2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299"/>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100" w:type="dxa"/>
            <w:vAlign w:val="bottom"/>
          </w:tcPr>
          <w:p>
            <w:pPr>
              <w:ind w:left="180"/>
              <w:spacing w:after="0"/>
              <w:rPr>
                <w:sz w:val="20"/>
                <w:szCs w:val="20"/>
                <w:color w:val="auto"/>
              </w:rPr>
            </w:pPr>
            <w:r>
              <w:rPr>
                <w:rFonts w:ascii="Arial" w:cs="Arial" w:eastAsia="Arial" w:hAnsi="Arial"/>
                <w:sz w:val="20"/>
                <w:szCs w:val="20"/>
                <w:color w:val="0000FF"/>
              </w:rPr>
              <w:t>NY</w:t>
            </w:r>
          </w:p>
        </w:tc>
        <w:tc>
          <w:tcPr>
            <w:tcW w:w="1800" w:type="dxa"/>
            <w:vAlign w:val="bottom"/>
          </w:tcPr>
          <w:p>
            <w:pPr>
              <w:ind w:left="460"/>
              <w:spacing w:after="0"/>
              <w:rPr>
                <w:sz w:val="20"/>
                <w:szCs w:val="20"/>
                <w:color w:val="auto"/>
              </w:rPr>
            </w:pPr>
            <w:r>
              <w:rPr>
                <w:rFonts w:ascii="Arial" w:cs="Arial" w:eastAsia="Arial" w:hAnsi="Arial"/>
                <w:sz w:val="20"/>
                <w:szCs w:val="20"/>
                <w:color w:val="0000FF"/>
              </w:rPr>
              <w:t>10152</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19">
        <w:r>
          <w:rPr>
            <w:rFonts w:ascii="Arial" w:cs="Arial" w:eastAsia="Arial" w:hAnsi="Arial"/>
            <w:sz w:val="24"/>
            <w:szCs w:val="24"/>
            <w:u w:val="single" w:color="auto"/>
            <w:color w:val="0000EE"/>
          </w:rPr>
          <w:t>Centerbridge Associates III, L.P.</w:t>
        </w:r>
      </w:hyperlink>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4240" w:type="dxa"/>
            <w:vAlign w:val="bottom"/>
            <w:gridSpan w:val="4"/>
          </w:tcPr>
          <w:p>
            <w:pPr>
              <w:ind w:left="20"/>
              <w:spacing w:after="0"/>
              <w:rPr>
                <w:sz w:val="20"/>
                <w:szCs w:val="20"/>
                <w:color w:val="auto"/>
              </w:rPr>
            </w:pPr>
            <w:r>
              <w:rPr>
                <w:rFonts w:ascii="Arial" w:cs="Arial" w:eastAsia="Arial" w:hAnsi="Arial"/>
                <w:sz w:val="20"/>
                <w:szCs w:val="20"/>
                <w:color w:val="0000FF"/>
              </w:rPr>
              <w:t>375 PARK AVENUE, 11TH FLOOR</w:t>
            </w:r>
          </w:p>
        </w:tc>
      </w:tr>
      <w:tr>
        <w:trPr>
          <w:trHeight w:val="237"/>
        </w:trPr>
        <w:tc>
          <w:tcPr>
            <w:tcW w:w="10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c>
          <w:tcPr>
            <w:tcW w:w="146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440" w:type="dxa"/>
            <w:vAlign w:val="bottom"/>
          </w:tcPr>
          <w:p>
            <w:pPr>
              <w:ind w:left="180"/>
              <w:spacing w:after="0"/>
              <w:rPr>
                <w:sz w:val="20"/>
                <w:szCs w:val="20"/>
                <w:color w:val="auto"/>
              </w:rPr>
            </w:pPr>
            <w:r>
              <w:rPr>
                <w:rFonts w:ascii="Arial" w:cs="Arial" w:eastAsia="Arial" w:hAnsi="Arial"/>
                <w:sz w:val="20"/>
                <w:szCs w:val="20"/>
                <w:color w:val="0000FF"/>
              </w:rPr>
              <w:t>NY</w:t>
            </w:r>
          </w:p>
        </w:tc>
        <w:tc>
          <w:tcPr>
            <w:tcW w:w="1460" w:type="dxa"/>
            <w:vAlign w:val="bottom"/>
          </w:tcPr>
          <w:p>
            <w:pPr>
              <w:ind w:left="120"/>
              <w:spacing w:after="0"/>
              <w:rPr>
                <w:sz w:val="20"/>
                <w:szCs w:val="20"/>
                <w:color w:val="auto"/>
              </w:rPr>
            </w:pPr>
            <w:r>
              <w:rPr>
                <w:rFonts w:ascii="Arial" w:cs="Arial" w:eastAsia="Arial" w:hAnsi="Arial"/>
                <w:sz w:val="20"/>
                <w:szCs w:val="20"/>
                <w:color w:val="0000FF"/>
              </w:rPr>
              <w:t>10152</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180"/>
              <w:spacing w:after="0"/>
              <w:rPr>
                <w:sz w:val="20"/>
                <w:szCs w:val="20"/>
                <w:color w:val="auto"/>
              </w:rPr>
            </w:pPr>
            <w:r>
              <w:rPr>
                <w:rFonts w:ascii="Arial" w:cs="Arial" w:eastAsia="Arial" w:hAnsi="Arial"/>
                <w:sz w:val="15"/>
                <w:szCs w:val="15"/>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660" w:type="dxa"/>
            <w:vAlign w:val="bottom"/>
            <w:gridSpan w:val="2"/>
          </w:tcPr>
          <w:p>
            <w:pPr>
              <w:ind w:left="20"/>
              <w:spacing w:after="0"/>
              <w:rPr>
                <w:rFonts w:ascii="Arial" w:cs="Arial" w:eastAsia="Arial" w:hAnsi="Arial"/>
                <w:sz w:val="24"/>
                <w:szCs w:val="24"/>
                <w:u w:val="single" w:color="auto"/>
                <w:color w:val="0000EE"/>
                <w:w w:val="97"/>
              </w:rPr>
            </w:pPr>
            <w:hyperlink r:id="rId20">
              <w:r>
                <w:rPr>
                  <w:rFonts w:ascii="Arial" w:cs="Arial" w:eastAsia="Arial" w:hAnsi="Arial"/>
                  <w:sz w:val="24"/>
                  <w:szCs w:val="24"/>
                  <w:u w:val="single" w:color="auto"/>
                  <w:color w:val="0000EE"/>
                  <w:w w:val="97"/>
                </w:rPr>
                <w:t>Blizzard Aggregator, LLC</w:t>
              </w:r>
            </w:hyperlink>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4240" w:type="dxa"/>
            <w:vAlign w:val="bottom"/>
            <w:gridSpan w:val="4"/>
          </w:tcPr>
          <w:p>
            <w:pPr>
              <w:ind w:left="20"/>
              <w:spacing w:after="0"/>
              <w:rPr>
                <w:sz w:val="20"/>
                <w:szCs w:val="20"/>
                <w:color w:val="auto"/>
              </w:rPr>
            </w:pPr>
            <w:r>
              <w:rPr>
                <w:rFonts w:ascii="Arial" w:cs="Arial" w:eastAsia="Arial" w:hAnsi="Arial"/>
                <w:sz w:val="20"/>
                <w:szCs w:val="20"/>
                <w:color w:val="0000FF"/>
              </w:rPr>
              <w:t>375 PARK AVENUE, 11TH FLOOR</w:t>
            </w:r>
          </w:p>
        </w:tc>
      </w:tr>
      <w:tr>
        <w:trPr>
          <w:trHeight w:val="237"/>
        </w:trPr>
        <w:tc>
          <w:tcPr>
            <w:tcW w:w="10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c>
          <w:tcPr>
            <w:tcW w:w="146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440" w:type="dxa"/>
            <w:vAlign w:val="bottom"/>
          </w:tcPr>
          <w:p>
            <w:pPr>
              <w:ind w:left="180"/>
              <w:spacing w:after="0"/>
              <w:rPr>
                <w:sz w:val="20"/>
                <w:szCs w:val="20"/>
                <w:color w:val="auto"/>
              </w:rPr>
            </w:pPr>
            <w:r>
              <w:rPr>
                <w:rFonts w:ascii="Arial" w:cs="Arial" w:eastAsia="Arial" w:hAnsi="Arial"/>
                <w:sz w:val="20"/>
                <w:szCs w:val="20"/>
                <w:color w:val="0000FF"/>
              </w:rPr>
              <w:t>NY</w:t>
            </w:r>
          </w:p>
        </w:tc>
        <w:tc>
          <w:tcPr>
            <w:tcW w:w="1460" w:type="dxa"/>
            <w:vAlign w:val="bottom"/>
          </w:tcPr>
          <w:p>
            <w:pPr>
              <w:ind w:left="120"/>
              <w:spacing w:after="0"/>
              <w:rPr>
                <w:sz w:val="20"/>
                <w:szCs w:val="20"/>
                <w:color w:val="auto"/>
              </w:rPr>
            </w:pPr>
            <w:r>
              <w:rPr>
                <w:rFonts w:ascii="Arial" w:cs="Arial" w:eastAsia="Arial" w:hAnsi="Arial"/>
                <w:sz w:val="20"/>
                <w:szCs w:val="20"/>
                <w:color w:val="0000FF"/>
              </w:rPr>
              <w:t>10152</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180"/>
              <w:spacing w:after="0"/>
              <w:rPr>
                <w:sz w:val="20"/>
                <w:szCs w:val="20"/>
                <w:color w:val="auto"/>
              </w:rPr>
            </w:pPr>
            <w:r>
              <w:rPr>
                <w:rFonts w:ascii="Arial" w:cs="Arial" w:eastAsia="Arial" w:hAnsi="Arial"/>
                <w:sz w:val="15"/>
                <w:szCs w:val="15"/>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5"/>
                <w:szCs w:val="15"/>
                <w:color w:val="auto"/>
              </w:rPr>
              <w:t>(Zip)</w:t>
            </w:r>
          </w:p>
        </w:tc>
      </w:tr>
      <w:tr>
        <w:trPr>
          <w:trHeight w:val="101"/>
        </w:trPr>
        <w:tc>
          <w:tcPr>
            <w:tcW w:w="4340" w:type="dxa"/>
            <w:vAlign w:val="bottom"/>
            <w:tcBorders>
              <w:bottom w:val="single" w:sz="8" w:color="2C2C2C"/>
            </w:tcBorders>
            <w:gridSpan w:val="5"/>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660" w:type="dxa"/>
            <w:vAlign w:val="bottom"/>
            <w:gridSpan w:val="2"/>
          </w:tcPr>
          <w:p>
            <w:pPr>
              <w:ind w:left="20"/>
              <w:spacing w:after="0"/>
              <w:rPr>
                <w:rFonts w:ascii="Arial" w:cs="Arial" w:eastAsia="Arial" w:hAnsi="Arial"/>
                <w:sz w:val="24"/>
                <w:szCs w:val="24"/>
                <w:u w:val="single" w:color="auto"/>
                <w:color w:val="0000EE"/>
              </w:rPr>
            </w:pPr>
            <w:hyperlink r:id="rId21">
              <w:r>
                <w:rPr>
                  <w:rFonts w:ascii="Arial" w:cs="Arial" w:eastAsia="Arial" w:hAnsi="Arial"/>
                  <w:sz w:val="24"/>
                  <w:szCs w:val="24"/>
                  <w:u w:val="single" w:color="auto"/>
                  <w:color w:val="0000EE"/>
                </w:rPr>
                <w:t>Aronson Jeffrey</w:t>
              </w:r>
            </w:hyperlink>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4240" w:type="dxa"/>
            <w:vAlign w:val="bottom"/>
            <w:gridSpan w:val="4"/>
          </w:tcPr>
          <w:p>
            <w:pPr>
              <w:ind w:left="20"/>
              <w:spacing w:after="0"/>
              <w:rPr>
                <w:sz w:val="20"/>
                <w:szCs w:val="20"/>
                <w:color w:val="auto"/>
              </w:rPr>
            </w:pPr>
            <w:r>
              <w:rPr>
                <w:rFonts w:ascii="Arial" w:cs="Arial" w:eastAsia="Arial" w:hAnsi="Arial"/>
                <w:sz w:val="20"/>
                <w:szCs w:val="20"/>
                <w:color w:val="0000FF"/>
              </w:rPr>
              <w:t>375 PARK AVENUE, 11TH FLOOR</w:t>
            </w:r>
          </w:p>
        </w:tc>
      </w:tr>
      <w:tr>
        <w:trPr>
          <w:trHeight w:val="237"/>
        </w:trPr>
        <w:tc>
          <w:tcPr>
            <w:tcW w:w="10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c>
          <w:tcPr>
            <w:tcW w:w="146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440" w:type="dxa"/>
            <w:vAlign w:val="bottom"/>
          </w:tcPr>
          <w:p>
            <w:pPr>
              <w:ind w:left="180"/>
              <w:spacing w:after="0"/>
              <w:rPr>
                <w:sz w:val="20"/>
                <w:szCs w:val="20"/>
                <w:color w:val="auto"/>
              </w:rPr>
            </w:pPr>
            <w:r>
              <w:rPr>
                <w:rFonts w:ascii="Arial" w:cs="Arial" w:eastAsia="Arial" w:hAnsi="Arial"/>
                <w:sz w:val="20"/>
                <w:szCs w:val="20"/>
                <w:color w:val="0000FF"/>
              </w:rPr>
              <w:t>NY</w:t>
            </w:r>
          </w:p>
        </w:tc>
        <w:tc>
          <w:tcPr>
            <w:tcW w:w="1460" w:type="dxa"/>
            <w:vAlign w:val="bottom"/>
          </w:tcPr>
          <w:p>
            <w:pPr>
              <w:ind w:left="120"/>
              <w:spacing w:after="0"/>
              <w:rPr>
                <w:sz w:val="20"/>
                <w:szCs w:val="20"/>
                <w:color w:val="auto"/>
              </w:rPr>
            </w:pPr>
            <w:r>
              <w:rPr>
                <w:rFonts w:ascii="Arial" w:cs="Arial" w:eastAsia="Arial" w:hAnsi="Arial"/>
                <w:sz w:val="20"/>
                <w:szCs w:val="20"/>
                <w:color w:val="0000FF"/>
              </w:rPr>
              <w:t>10152</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180"/>
              <w:spacing w:after="0"/>
              <w:rPr>
                <w:sz w:val="20"/>
                <w:szCs w:val="20"/>
                <w:color w:val="auto"/>
              </w:rPr>
            </w:pPr>
            <w:r>
              <w:rPr>
                <w:rFonts w:ascii="Arial" w:cs="Arial" w:eastAsia="Arial" w:hAnsi="Arial"/>
                <w:sz w:val="15"/>
                <w:szCs w:val="15"/>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5"/>
                <w:szCs w:val="15"/>
                <w:color w:val="auto"/>
              </w:rPr>
              <w:t>(Zip)</w:t>
            </w:r>
          </w:p>
        </w:tc>
      </w:tr>
      <w:tr>
        <w:trPr>
          <w:trHeight w:val="101"/>
        </w:trPr>
        <w:tc>
          <w:tcPr>
            <w:tcW w:w="4340" w:type="dxa"/>
            <w:vAlign w:val="bottom"/>
            <w:tcBorders>
              <w:bottom w:val="single" w:sz="8" w:color="2C2C2C"/>
            </w:tcBorders>
            <w:gridSpan w:val="5"/>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660" w:type="dxa"/>
            <w:vAlign w:val="bottom"/>
            <w:gridSpan w:val="2"/>
          </w:tcPr>
          <w:p>
            <w:pPr>
              <w:ind w:left="20"/>
              <w:spacing w:after="0"/>
              <w:rPr>
                <w:rFonts w:ascii="Arial" w:cs="Arial" w:eastAsia="Arial" w:hAnsi="Arial"/>
                <w:sz w:val="24"/>
                <w:szCs w:val="24"/>
                <w:u w:val="single" w:color="auto"/>
                <w:color w:val="0000EE"/>
              </w:rPr>
            </w:pPr>
            <w:hyperlink r:id="rId22">
              <w:r>
                <w:rPr>
                  <w:rFonts w:ascii="Arial" w:cs="Arial" w:eastAsia="Arial" w:hAnsi="Arial"/>
                  <w:sz w:val="24"/>
                  <w:szCs w:val="24"/>
                  <w:u w:val="single" w:color="auto"/>
                  <w:color w:val="0000EE"/>
                </w:rPr>
                <w:t>Gallogly Mark T</w:t>
              </w:r>
            </w:hyperlink>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4240" w:type="dxa"/>
            <w:vAlign w:val="bottom"/>
            <w:gridSpan w:val="4"/>
          </w:tcPr>
          <w:p>
            <w:pPr>
              <w:ind w:left="20"/>
              <w:spacing w:after="0"/>
              <w:rPr>
                <w:sz w:val="20"/>
                <w:szCs w:val="20"/>
                <w:color w:val="auto"/>
              </w:rPr>
            </w:pPr>
            <w:r>
              <w:rPr>
                <w:rFonts w:ascii="Arial" w:cs="Arial" w:eastAsia="Arial" w:hAnsi="Arial"/>
                <w:sz w:val="20"/>
                <w:szCs w:val="20"/>
                <w:color w:val="0000FF"/>
              </w:rPr>
              <w:t>375 PARK AVENUE, 11TH FLOOR</w:t>
            </w:r>
          </w:p>
        </w:tc>
      </w:tr>
      <w:tr>
        <w:trPr>
          <w:trHeight w:val="237"/>
        </w:trPr>
        <w:tc>
          <w:tcPr>
            <w:tcW w:w="10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c>
          <w:tcPr>
            <w:tcW w:w="146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440" w:type="dxa"/>
            <w:vAlign w:val="bottom"/>
          </w:tcPr>
          <w:p>
            <w:pPr>
              <w:ind w:left="180"/>
              <w:spacing w:after="0"/>
              <w:rPr>
                <w:sz w:val="20"/>
                <w:szCs w:val="20"/>
                <w:color w:val="auto"/>
              </w:rPr>
            </w:pPr>
            <w:r>
              <w:rPr>
                <w:rFonts w:ascii="Arial" w:cs="Arial" w:eastAsia="Arial" w:hAnsi="Arial"/>
                <w:sz w:val="20"/>
                <w:szCs w:val="20"/>
                <w:color w:val="0000FF"/>
              </w:rPr>
              <w:t>NY</w:t>
            </w:r>
          </w:p>
        </w:tc>
        <w:tc>
          <w:tcPr>
            <w:tcW w:w="1460" w:type="dxa"/>
            <w:vAlign w:val="bottom"/>
          </w:tcPr>
          <w:p>
            <w:pPr>
              <w:ind w:left="120"/>
              <w:spacing w:after="0"/>
              <w:rPr>
                <w:sz w:val="20"/>
                <w:szCs w:val="20"/>
                <w:color w:val="auto"/>
              </w:rPr>
            </w:pPr>
            <w:r>
              <w:rPr>
                <w:rFonts w:ascii="Arial" w:cs="Arial" w:eastAsia="Arial" w:hAnsi="Arial"/>
                <w:sz w:val="20"/>
                <w:szCs w:val="20"/>
                <w:color w:val="0000FF"/>
              </w:rPr>
              <w:t>10152</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180"/>
              <w:spacing w:after="0"/>
              <w:rPr>
                <w:sz w:val="20"/>
                <w:szCs w:val="20"/>
                <w:color w:val="auto"/>
              </w:rPr>
            </w:pPr>
            <w:r>
              <w:rPr>
                <w:rFonts w:ascii="Arial" w:cs="Arial" w:eastAsia="Arial" w:hAnsi="Arial"/>
                <w:sz w:val="15"/>
                <w:szCs w:val="15"/>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right="24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Consists of 23,129,333 Class A shares held of record by CCP III AIV VII Holdings, L.P. ("CCP III") and 17,553,628 Class A shares held of record by CB Blizzard Co-Invest Holdings, L.P. ("CB Blizzard").</w:t>
      </w:r>
    </w:p>
    <w:p>
      <w:pPr>
        <w:spacing w:after="0" w:line="26" w:lineRule="exact"/>
        <w:rPr>
          <w:rFonts w:ascii="Arial" w:cs="Arial" w:eastAsia="Arial" w:hAnsi="Arial"/>
          <w:sz w:val="15"/>
          <w:szCs w:val="15"/>
          <w:color w:val="008000"/>
        </w:rPr>
      </w:pPr>
    </w:p>
    <w:p>
      <w:pPr>
        <w:ind w:left="20" w:right="40" w:firstLine="5"/>
        <w:spacing w:after="0" w:line="235"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CCP III Cayman GP Ltd. ("CCP GP") is the general partner of Centerbridge Associates III, L.P. ("Centerbridge Associates"), which is the general partner of each of CCP III and CB Blizzard and may be deemed to share beneficial ownership over the shares held of record by CCP III and CB Blizzard. CCP GP is the sole manager of Blizzard Aggregator, LLC ("Blizzard Aggregator") and may be deemed to share beneficial ownership over the shares held of record by Blizzard Aggregator. As the directors of CCP GP, Jeffrey H. Aronson and Mark T. Gallogly may be deemed to share beneficial ownership with respect to the shares held by each of CCP III, CB Blizzard and Blizzard Aggregator. Such persons and entities disclaim beneficial ownership of the shares held by each of CCP III, CB Blizzard and Blizzard Aggregator, except to the extent of any proportionate pecuniary interest therein.</w:t>
      </w:r>
    </w:p>
    <w:p>
      <w:pPr>
        <w:spacing w:after="0" w:line="37" w:lineRule="exact"/>
        <w:rPr>
          <w:rFonts w:ascii="Arial" w:cs="Arial" w:eastAsia="Arial" w:hAnsi="Arial"/>
          <w:sz w:val="15"/>
          <w:szCs w:val="15"/>
          <w:color w:val="008000"/>
        </w:rPr>
      </w:pPr>
    </w:p>
    <w:p>
      <w:pPr>
        <w:ind w:left="2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LLC Interests may be redeemed by a Reporting Person at any time on or following the closing of the Initial Public Offering for shares of Class A Common Stock on a 1-to-1 basis.</w:t>
      </w:r>
    </w:p>
    <w:p>
      <w:pPr>
        <w:sectPr>
          <w:pgSz w:w="11900" w:h="16838" w:orient="portrait"/>
          <w:cols w:equalWidth="0" w:num="1">
            <w:col w:w="10840"/>
          </w:cols>
          <w:pgMar w:left="500" w:top="115" w:right="559" w:bottom="0" w:gutter="0" w:footer="0" w:header="0"/>
        </w:sectPr>
      </w:pPr>
    </w:p>
    <w:bookmarkStart w:id="2" w:name="page3"/>
    <w:bookmarkEnd w:id="2"/>
    <w:p>
      <w:pPr>
        <w:spacing w:after="0"/>
        <w:rPr>
          <w:sz w:val="20"/>
          <w:szCs w:val="20"/>
          <w:color w:val="auto"/>
        </w:rPr>
      </w:pPr>
      <w:r>
        <w:rPr>
          <w:rFonts w:ascii="Arial" w:cs="Arial" w:eastAsia="Arial" w:hAnsi="Arial"/>
          <w:sz w:val="13"/>
          <w:szCs w:val="13"/>
          <w:color w:val="008000"/>
        </w:rPr>
        <w:t>4. Consists entirely of LLC Interests held of record by Blizzard Aggregator.</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ectPr>
          <w:pgSz w:w="11900" w:h="16838" w:orient="portrait"/>
          <w:cols w:equalWidth="0" w:num="1">
            <w:col w:w="10820"/>
          </w:cols>
          <w:pgMar w:left="520" w:top="129" w:right="559" w:bottom="1440" w:gutter="0" w:footer="0" w:header="0"/>
        </w:sectPr>
      </w:pPr>
    </w:p>
    <w:p>
      <w:pPr>
        <w:spacing w:after="0" w:line="156"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CCP III AIV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84264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84264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HOLDINGS,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2903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2903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297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94297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ASSOCIATES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461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general partner, By: CCP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714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247140" cy="9525"/>
                    </a:xfrm>
                    <a:prstGeom prst="rect">
                      <a:avLst/>
                    </a:prstGeom>
                    <a:noFill/>
                  </pic:spPr>
                </pic:pic>
              </a:graphicData>
            </a:graphic>
          </wp:anchor>
        </w:drawing>
      </w:r>
    </w:p>
    <w:p>
      <w:pPr>
        <w:spacing w:after="0" w:line="13" w:lineRule="exact"/>
        <w:rPr>
          <w:sz w:val="20"/>
          <w:szCs w:val="20"/>
          <w:color w:val="auto"/>
        </w:rPr>
      </w:pPr>
    </w:p>
    <w:p>
      <w:pPr>
        <w:ind w:left="6540" w:right="100" w:hanging="7"/>
        <w:spacing w:after="0" w:line="291" w:lineRule="auto"/>
        <w:tabs>
          <w:tab w:leader="none" w:pos="6784" w:val="left"/>
        </w:tabs>
        <w:numPr>
          <w:ilvl w:val="0"/>
          <w:numId w:val="5"/>
        </w:numPr>
        <w:rPr>
          <w:rFonts w:ascii="Arial" w:cs="Arial" w:eastAsia="Arial" w:hAnsi="Arial"/>
          <w:sz w:val="18"/>
          <w:szCs w:val="18"/>
          <w:color w:val="0000FF"/>
        </w:rPr>
      </w:pPr>
      <w:r>
        <w:rPr>
          <w:rFonts w:ascii="Arial" w:cs="Arial" w:eastAsia="Arial" w:hAnsi="Arial"/>
          <w:sz w:val="18"/>
          <w:szCs w:val="18"/>
          <w:color w:val="0000FF"/>
        </w:rPr>
        <w:t>CAYMAN GP LTD., its general partner, By: /s/ Susanne V. Clark,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-511810</wp:posOffset>
            </wp:positionV>
            <wp:extent cx="120586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205865"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-359410</wp:posOffset>
            </wp:positionV>
            <wp:extent cx="127825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278255"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-207010</wp:posOffset>
            </wp:positionV>
            <wp:extent cx="88519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88519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-53975</wp:posOffset>
            </wp:positionV>
            <wp:extent cx="106997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CB BLIZZARD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5283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05283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INVEST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538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13538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3370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4337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297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94297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ASSOCIATES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461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general partner, By: CCP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714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247140" cy="9525"/>
                    </a:xfrm>
                    <a:prstGeom prst="rect">
                      <a:avLst/>
                    </a:prstGeom>
                    <a:noFill/>
                  </pic:spPr>
                </pic:pic>
              </a:graphicData>
            </a:graphic>
          </wp:anchor>
        </w:drawing>
      </w:r>
    </w:p>
    <w:p>
      <w:pPr>
        <w:spacing w:after="0" w:line="13" w:lineRule="exact"/>
        <w:rPr>
          <w:sz w:val="20"/>
          <w:szCs w:val="20"/>
          <w:color w:val="auto"/>
        </w:rPr>
      </w:pPr>
    </w:p>
    <w:p>
      <w:pPr>
        <w:ind w:left="6540" w:right="100" w:hanging="7"/>
        <w:spacing w:after="0" w:line="291" w:lineRule="auto"/>
        <w:tabs>
          <w:tab w:leader="none" w:pos="6784" w:val="left"/>
        </w:tabs>
        <w:numPr>
          <w:ilvl w:val="0"/>
          <w:numId w:val="6"/>
        </w:numPr>
        <w:rPr>
          <w:rFonts w:ascii="Arial" w:cs="Arial" w:eastAsia="Arial" w:hAnsi="Arial"/>
          <w:sz w:val="18"/>
          <w:szCs w:val="18"/>
          <w:color w:val="0000FF"/>
        </w:rPr>
      </w:pPr>
      <w:r>
        <w:rPr>
          <w:rFonts w:ascii="Arial" w:cs="Arial" w:eastAsia="Arial" w:hAnsi="Arial"/>
          <w:sz w:val="18"/>
          <w:szCs w:val="18"/>
          <w:color w:val="0000FF"/>
        </w:rPr>
        <w:t>CAYMAN GP LTD., its general partner, By: /s/ Susanne V. Clark,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-511810</wp:posOffset>
            </wp:positionV>
            <wp:extent cx="120586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05865"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-359410</wp:posOffset>
            </wp:positionV>
            <wp:extent cx="127825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278255"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-207010</wp:posOffset>
            </wp:positionV>
            <wp:extent cx="88519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88519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-53975</wp:posOffset>
            </wp:positionV>
            <wp:extent cx="106997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94297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94297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ASSOCIATES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665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17665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By: CCP III CAYMAN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6903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1690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GP LTD.,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2425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02425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By: /s/ Susanne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1381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313815"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9471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8947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8196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CCP III CAYMAN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14871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1487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LTD., By: /s/ Susanne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2872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22872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9471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8947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8196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BLIZZARD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612140"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6121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AGGREGATOR,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6395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16395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By: CCP III CAYMAN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6903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1690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GP LTD., its sole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4239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34239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3330"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24333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997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32143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32143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By: /s/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873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308735" cy="9525"/>
                    </a:xfrm>
                    <a:prstGeom prst="rect">
                      <a:avLst/>
                    </a:prstGeom>
                    <a:noFill/>
                  </pic:spPr>
                </pic:pic>
              </a:graphicData>
            </a:graphic>
          </wp:anchor>
        </w:drawing>
      </w:r>
    </w:p>
    <w:p>
      <w:pPr>
        <w:spacing w:after="0" w:line="6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MARK T. GALLOGLY,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207770"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20777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By: /s/ Mark T. Gallogly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9200"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121920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0000FF"/>
        </w:rPr>
        <w:t>07/15/2020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0000FF"/>
        </w:rPr>
        <w:t>07/15/2020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07/15/2020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07/15/2020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07/15/2020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0000FF"/>
        </w:rPr>
        <w:t>07/15/2020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07/15/2020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640" w:space="80"/>
            <w:col w:w="2100"/>
          </w:cols>
          <w:pgMar w:left="520" w:top="129" w:right="5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9"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upperLetter"/>
      <w:start w:val="61"/>
    </w:lvl>
  </w:abstractNum>
  <w:abstractNum w:abstractNumId="5">
    <w:nsid w:val="2EB141F2"/>
    <w:multiLevelType w:val="hybridMultilevel"/>
    <w:lvl w:ilvl="0">
      <w:lvlJc w:val="left"/>
      <w:lvlText w:val="%1"/>
      <w:numFmt w:val="upperLetter"/>
      <w:start w:val="6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10" Type="http://schemas.openxmlformats.org/officeDocument/2006/relationships/hyperlink" Target="http://www.sec.gov/cgi-bin/browse-edgar?action=getcompany&amp;CIK=0001667801" TargetMode="External"/><Relationship Id="rId11" Type="http://schemas.openxmlformats.org/officeDocument/2006/relationships/hyperlink" Target="http://www.sec.gov/cgi-bin/browse-edgar?action=getcompany&amp;CIK=0001808220" TargetMode="External"/><Relationship Id="rId13" Type="http://schemas.openxmlformats.org/officeDocument/2006/relationships/hyperlink" Target="http://www.sec.gov/cgi-bin/browse-edgar?action=getcompany&amp;CIK=0001818077" TargetMode="External"/><Relationship Id="rId17" Type="http://schemas.openxmlformats.org/officeDocument/2006/relationships/hyperlink" Target="http://www.sec.gov/cgi-bin/browse-edgar?action=getcompany&amp;CIK=0001785522" TargetMode="External"/><Relationship Id="rId19" Type="http://schemas.openxmlformats.org/officeDocument/2006/relationships/hyperlink" Target="http://www.sec.gov/cgi-bin/browse-edgar?action=getcompany&amp;CIK=0001818016" TargetMode="External"/><Relationship Id="rId20" Type="http://schemas.openxmlformats.org/officeDocument/2006/relationships/hyperlink" Target="http://www.sec.gov/cgi-bin/browse-edgar?action=getcompany&amp;CIK=0001818020" TargetMode="External"/><Relationship Id="rId21" Type="http://schemas.openxmlformats.org/officeDocument/2006/relationships/hyperlink" Target="http://www.sec.gov/cgi-bin/browse-edgar?action=getcompany&amp;CIK=0001425800" TargetMode="External"/><Relationship Id="rId22" Type="http://schemas.openxmlformats.org/officeDocument/2006/relationships/hyperlink" Target="http://www.sec.gov/cgi-bin/browse-edgar?action=getcompany&amp;CIK=00014261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2020-07-15T20:47:58Z</dcterms:created>
  <dcterms:modified xsi:type="dcterms:W3CDTF">2020-07-15T20:47:58Z</dcterms:modified>
</cp:coreProperties>
</file>