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16, 2023</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8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3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On March 16, 2023, GoHealth, Inc. issued a press release announcing its financial results for the year ended December 31, 2022. A copy of the press release is furnished as Exhibit 99.1 to this Current Report on Form 8-K.</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60" w:type="dxa"/>
            <w:vAlign w:val="bottom"/>
            <w:tcBorders>
              <w:top w:val="single" w:sz="8" w:color="auto"/>
              <w:bottom w:val="single" w:sz="8" w:color="0000FF"/>
            </w:tcBorders>
          </w:tcPr>
          <w:p>
            <w:pPr>
              <w:spacing w:after="0" w:line="172" w:lineRule="exact"/>
              <w:rPr>
                <w:sz w:val="20"/>
                <w:szCs w:val="20"/>
                <w:color w:val="auto"/>
              </w:rPr>
            </w:pPr>
            <w:r>
              <w:rPr>
                <w:rFonts w:ascii="Arial" w:cs="Arial" w:eastAsia="Arial" w:hAnsi="Arial"/>
                <w:sz w:val="16"/>
                <w:szCs w:val="16"/>
                <w:color w:val="0000FF"/>
              </w:rPr>
              <w:t>Press release, dated March 16, 2023</w:t>
            </w:r>
          </w:p>
        </w:tc>
        <w:tc>
          <w:tcPr>
            <w:tcW w:w="718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7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0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15"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16, 2023</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Fourth Quarter and Fiscal 2022 Results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 xml:space="preserve">CHICAGO, March 16, 2023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today announced unaudited financial results and select operating metrics for the fourth quarter and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69850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13" w:lineRule="exact"/>
        <w:rPr>
          <w:sz w:val="20"/>
          <w:szCs w:val="20"/>
          <w:color w:val="auto"/>
        </w:rPr>
      </w:pPr>
    </w:p>
    <w:p>
      <w:pPr>
        <w:ind w:left="560" w:right="140"/>
        <w:spacing w:after="0" w:line="242" w:lineRule="auto"/>
        <w:rPr>
          <w:sz w:val="20"/>
          <w:szCs w:val="20"/>
          <w:color w:val="auto"/>
        </w:rPr>
      </w:pPr>
      <w:r>
        <w:rPr>
          <w:rFonts w:ascii="Arial" w:cs="Arial" w:eastAsia="Arial" w:hAnsi="Arial"/>
          <w:sz w:val="16"/>
          <w:szCs w:val="16"/>
          <w:color w:val="auto"/>
        </w:rPr>
        <w:t>Full year 2022 positive cash flow from operations of $60.9 million, a $359.9 million improvement compared to the prior year period, driven by strong operating results including improvements in efficiency year-over-year and Encompass penetration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20320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65" w:lineRule="exact"/>
        <w:rPr>
          <w:sz w:val="20"/>
          <w:szCs w:val="20"/>
          <w:color w:val="auto"/>
        </w:rPr>
      </w:pPr>
    </w:p>
    <w:p>
      <w:pPr>
        <w:ind w:left="560" w:right="440"/>
        <w:spacing w:after="0" w:line="220" w:lineRule="auto"/>
        <w:rPr>
          <w:sz w:val="20"/>
          <w:szCs w:val="20"/>
          <w:color w:val="auto"/>
        </w:rPr>
      </w:pPr>
      <w:r>
        <w:rPr>
          <w:rFonts w:ascii="Arial" w:cs="Arial" w:eastAsia="Arial" w:hAnsi="Arial"/>
          <w:sz w:val="16"/>
          <w:szCs w:val="16"/>
          <w:color w:val="auto"/>
        </w:rPr>
        <w:t>Fourth quarter 2022 net revenue of $69.4 million, net loss of $150.7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$94.8 million. Full year 2022 net revenue of $631.7 million, net loss of $376.4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$129.8 million.</w:t>
      </w:r>
    </w:p>
    <w:p>
      <w:pPr>
        <w:spacing w:after="0" w:line="32" w:lineRule="exact"/>
        <w:rPr>
          <w:sz w:val="20"/>
          <w:szCs w:val="20"/>
          <w:color w:val="auto"/>
        </w:rPr>
      </w:pPr>
    </w:p>
    <w:p>
      <w:pPr>
        <w:ind w:left="560" w:right="120"/>
        <w:spacing w:after="0" w:line="213" w:lineRule="auto"/>
        <w:rPr>
          <w:sz w:val="20"/>
          <w:szCs w:val="20"/>
          <w:color w:val="auto"/>
        </w:rPr>
      </w:pPr>
      <w:r>
        <w:rPr>
          <w:rFonts w:ascii="Arial" w:cs="Arial" w:eastAsia="Arial" w:hAnsi="Arial"/>
          <w:sz w:val="16"/>
          <w:szCs w:val="16"/>
          <w:color w:val="auto"/>
        </w:rPr>
        <w:t>Fourth quarter negative revenue adjustments that represent changes in estimates relating to performance obligations satisfied in prior periods (the “Lookback Adjustments”) reduced net revenue by $266.4 million and reduced both net loss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$186.6 million. Full year 2022 Lookback Adjustments reduced net revenue by $275.7 million and reduced both net loss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$192.7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-359410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ind w:left="560" w:right="440"/>
        <w:spacing w:after="0" w:line="213" w:lineRule="auto"/>
        <w:rPr>
          <w:sz w:val="20"/>
          <w:szCs w:val="20"/>
          <w:color w:val="auto"/>
        </w:rPr>
      </w:pPr>
      <w:r>
        <w:rPr>
          <w:rFonts w:ascii="Arial" w:cs="Arial" w:eastAsia="Arial" w:hAnsi="Arial"/>
          <w:sz w:val="16"/>
          <w:szCs w:val="16"/>
          <w:color w:val="auto"/>
        </w:rPr>
        <w:t>Excluding the Lookback Adjustments, fourth quarter 2022 net revenue was $335.8 million and full year 2022 net revenue was $907.4 million. Excluding the Lookback Adjustments, fourth quarter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$91.8 million and full year 2022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$62.9 million.</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-359410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i w:val="1"/>
          <w:iCs w:val="1"/>
          <w:u w:val="single" w:color="auto"/>
          <w:color w:val="auto"/>
        </w:rPr>
        <w:t>Full Year 2023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10795</wp:posOffset>
            </wp:positionV>
            <wp:extent cx="171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50" w:lineRule="exact"/>
        <w:rPr>
          <w:sz w:val="20"/>
          <w:szCs w:val="20"/>
          <w:color w:val="auto"/>
        </w:rPr>
      </w:pPr>
    </w:p>
    <w:p>
      <w:pPr>
        <w:ind w:left="560" w:right="80"/>
        <w:spacing w:after="0" w:line="220" w:lineRule="auto"/>
        <w:rPr>
          <w:sz w:val="20"/>
          <w:szCs w:val="20"/>
          <w:color w:val="auto"/>
        </w:rPr>
      </w:pPr>
      <w:r>
        <w:rPr>
          <w:rFonts w:ascii="Arial" w:cs="Arial" w:eastAsia="Arial" w:hAnsi="Arial"/>
          <w:sz w:val="16"/>
          <w:szCs w:val="16"/>
          <w:color w:val="auto"/>
        </w:rPr>
        <w:t>The Company provided its full year 2023 outlook, and expects total net revenue of $750 - $850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$100 - $140 million, both excluding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The Company also expects positive cash flow from operations of $75 - $115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0575" cy="189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894840"/>
                    </a:xfrm>
                    <a:prstGeom prst="rect">
                      <a:avLst/>
                    </a:prstGeom>
                    <a:noFill/>
                  </pic:spPr>
                </pic:pic>
              </a:graphicData>
            </a:graphic>
          </wp:anchor>
        </w:drawing>
      </w:r>
    </w:p>
    <w:p>
      <w:pPr>
        <w:spacing w:after="0" w:line="242" w:lineRule="exact"/>
        <w:rPr>
          <w:sz w:val="20"/>
          <w:szCs w:val="20"/>
          <w:color w:val="auto"/>
        </w:rPr>
      </w:pPr>
    </w:p>
    <w:p>
      <w:pPr>
        <w:ind w:left="40" w:right="380"/>
        <w:spacing w:after="0" w:line="245" w:lineRule="auto"/>
        <w:rPr>
          <w:sz w:val="20"/>
          <w:szCs w:val="20"/>
          <w:color w:val="auto"/>
        </w:rPr>
      </w:pPr>
      <w:r>
        <w:rPr>
          <w:rFonts w:ascii="Arial" w:cs="Arial" w:eastAsia="Arial" w:hAnsi="Arial"/>
          <w:sz w:val="16"/>
          <w:szCs w:val="16"/>
          <w:color w:val="auto"/>
        </w:rPr>
        <w:t>“Our focus on the continued improvement of the beneficiary experience resulted in positive operating results, reinforcing our confidence in our business transformation strategy. Our top-tier team drove exceptional execution with improvements on key measures including conversion, customer acquisition costs, and effectuation during AEP. Full year cash flow of $60.9 million, driven by the Encompass model and our operating efficiency, validates our momentum,” said Vijay Kotte, CEO of GoHealth.</w:t>
      </w:r>
    </w:p>
    <w:p>
      <w:pPr>
        <w:spacing w:after="0" w:line="221" w:lineRule="exact"/>
        <w:rPr>
          <w:sz w:val="20"/>
          <w:szCs w:val="20"/>
          <w:color w:val="auto"/>
        </w:rPr>
      </w:pPr>
    </w:p>
    <w:p>
      <w:pPr>
        <w:ind w:left="40" w:right="140"/>
        <w:spacing w:after="0" w:line="245" w:lineRule="auto"/>
        <w:rPr>
          <w:sz w:val="20"/>
          <w:szCs w:val="20"/>
          <w:color w:val="auto"/>
        </w:rPr>
      </w:pPr>
      <w:r>
        <w:rPr>
          <w:rFonts w:ascii="Arial" w:cs="Arial" w:eastAsia="Arial" w:hAnsi="Arial"/>
          <w:sz w:val="16"/>
          <w:szCs w:val="16"/>
          <w:color w:val="auto"/>
        </w:rPr>
        <w:t>Kotte continued, “The move to Encompass was a strategic decision to reset the cash dynamics and margin profile of the business and deliver a better shopping experience for beneficiaries. With Encompass and our proprietary technology, GoHealth uniquely delivers an unbiased, personalized shopping experience for ever-changing beneficiary needs as well as seamless, customized onboarding by health plan dedicated resources. We believe beneficiaries are getting the best health plan for their needs, and more importantly gaining peace of mind.”</w:t>
      </w:r>
    </w:p>
    <w:p>
      <w:pPr>
        <w:spacing w:after="0" w:line="221" w:lineRule="exact"/>
        <w:rPr>
          <w:sz w:val="20"/>
          <w:szCs w:val="20"/>
          <w:color w:val="auto"/>
        </w:rPr>
      </w:pPr>
    </w:p>
    <w:p>
      <w:pPr>
        <w:ind w:left="40" w:right="60"/>
        <w:spacing w:after="0" w:line="222" w:lineRule="auto"/>
        <w:rPr>
          <w:sz w:val="20"/>
          <w:szCs w:val="20"/>
          <w:color w:val="auto"/>
        </w:rPr>
      </w:pPr>
      <w:r>
        <w:rPr>
          <w:rFonts w:ascii="Arial" w:cs="Arial" w:eastAsia="Arial" w:hAnsi="Arial"/>
          <w:sz w:val="16"/>
          <w:szCs w:val="16"/>
          <w:color w:val="auto"/>
        </w:rPr>
        <w:t>“After adjusting for trends we are seeing in today’s market and reflecting Q4 AEP results in our actuarial review of our back-book, we recorded a negative lookback adjustment of $266.4 million in revenue for policies sold in 2021 and prior years, which had an unfavorable impact of $186.6 million to net loss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With this adjustment, we believe we have done our best to mitigate the risk of any further out-of-period negative lookback adjustments,” said Jason Schulz, CFO of GoHealth.</w:t>
      </w:r>
    </w:p>
    <w:p>
      <w:pPr>
        <w:spacing w:after="0" w:line="200" w:lineRule="exact"/>
        <w:rPr>
          <w:sz w:val="20"/>
          <w:szCs w:val="20"/>
          <w:color w:val="auto"/>
        </w:rPr>
      </w:pPr>
    </w:p>
    <w:p>
      <w:pPr>
        <w:spacing w:after="0" w:line="400" w:lineRule="exact"/>
        <w:rPr>
          <w:sz w:val="20"/>
          <w:szCs w:val="20"/>
          <w:color w:val="auto"/>
        </w:rPr>
      </w:pPr>
    </w:p>
    <w:p>
      <w:pPr>
        <w:ind w:right="240"/>
        <w:spacing w:after="0" w:line="208" w:lineRule="auto"/>
        <w:rPr>
          <w:sz w:val="20"/>
          <w:szCs w:val="20"/>
          <w:color w:val="auto"/>
        </w:rPr>
      </w:pPr>
      <w:r>
        <w:rPr>
          <w:rFonts w:ascii="Arial" w:cs="Arial" w:eastAsia="Arial" w:hAnsi="Arial"/>
          <w:sz w:val="16"/>
          <w:szCs w:val="16"/>
          <w:color w:val="auto"/>
        </w:rPr>
        <w:t>The Company made the strategic decision to exit its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to focus on its core business. The financial benefit of this change will begin to flow through the Company’s results in the second quarter of 2023, while the exit is expected to be complete in the third quarter of 2023. In 2022,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contributed $110.9 million of net revenue with a gross margin of $20.5 million. Full year 2022 net revenue excluding both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revenue of $110.9 million and the Lookback Adjustments of $275.7 million was $796.5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excluding both the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gross margin of $20.5 million and the Lookback Adjustments of $192.7 million was $42.4 million.</w:t>
      </w:r>
      <w:r>
        <w:rPr>
          <w:rFonts w:ascii="Arial" w:cs="Arial" w:eastAsia="Arial" w:hAnsi="Arial"/>
          <w:sz w:val="21"/>
          <w:szCs w:val="21"/>
          <w:color w:val="auto"/>
          <w:vertAlign w:val="superscript"/>
        </w:rPr>
        <w:t>4</w:t>
      </w:r>
    </w:p>
    <w:p>
      <w:pPr>
        <w:spacing w:after="0" w:line="15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unaudited results for the fourth quarter and year ended December 31, 2022 included in this release, which are the responsibility of management, were prepared by the Company's management in connection with the preparation of the Company's financial statements. The Company's independent registered public accounting firm has not completed its audit of the unaudited financial information, nor have they expressed any opinion or any other form of assurance on such information or its achievability, and assume no responsibility for, and disclaim any association with, such unaudited financial information. These unaudited results should not be viewed as a substitute for complete financial statements prepared in accordance with generally accepted accounting principles ("GAAP"). Accordingly, investors are cautioned not to place undue reliance on this unaudited financial information. See the information below under the heading "Forward-Looking Statements" and "Risk Factors" and "Management's Discussion and Analysis of Financial Conditions and Results of Operations" in the Company's 2021 Form 10-K, Quarterly Report on Form 10-Q for the first quarter ended March 31, 2022, Quarterly Report on Form 10-Q for the second quarter ended June 30, 2022, Quarterly Report on Form 10-Q for the third quarter ended September 30, 2022, the forthcoming 2022 Form 10-K, and other SEC filings.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55"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Company will host a conference call today, Thursday, March 16, 2023 at 5:00 p.m. (ET) to discuss its financial results. Participants can pre-register for the conference call at the following link: https://register.vevent.com/register/BId24e31536feb464b907f05de8417ecf7.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health plan that is right for them. GoHealth has enrolled millions of people in Medicare plans and individual and family plans. For more information, visit https://www.gohealth.com.</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40" w:right="280" w:hanging="332"/>
        <w:spacing w:after="0" w:line="249" w:lineRule="auto"/>
        <w:tabs>
          <w:tab w:leader="none" w:pos="332"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Net revenue excluding the Lookback Adjustments and Adjusted EBITDA excluding the Lookback Adjustments are non-GAAP measures. For fourth quarter and full year impact on revenue and Adjusted EBITDA for the Lookback Adjustments and for a reconciliation to the most comparable GAAP measure, please see table provided below.</w:t>
      </w: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Non-Encompass BPO Services are those services in which we dedicate certain agents to specific health plans and agencies, outside of the Encompass Solution.</w:t>
      </w:r>
    </w:p>
    <w:p>
      <w:pPr>
        <w:ind w:left="340" w:right="40" w:hanging="332"/>
        <w:spacing w:after="0" w:line="242" w:lineRule="auto"/>
        <w:tabs>
          <w:tab w:leader="none" w:pos="332"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Net revenue excluding the Lookback Adjustments and non-Encompass BPO Services and Adjusted EBITDA excluding the Lookback Adjustments and non-Encompass BPO Services gross margin are non-GAAP measures. For a reconciliation to the most comparable GAAP measure, please see table provided below.</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55"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future capital expenditures and debt service obligations are forward-looking statements.</w:t>
      </w:r>
    </w:p>
    <w:p>
      <w:pPr>
        <w:spacing w:after="0" w:line="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but are not limited to, the following: the marketing and sale of Medicare plans are subject to numerous, complex and frequently changing laws, regulations and guidelines; our operating results have been, and may continue to be, adversely impacted by factors that impact our estimate of LTV; our gradual expansion of the Encompass Solution may not be as successful as we expect; our business may be harmed if we lose our relationships with health plans or if our relationships with health plans change; health plans may reduce the commissions paid to us and change their underwriting practices in ways that reduce the number of, or impact the renewal or approval rates of, insurance policies sold through our platform; our management identified a material weakness in our internal controls over financial reporting, and we may be unable to develop, implement and maintain appropriate controls in future periods, which may lead to errors or omissions in our financial statements; we currently depend on a small group of health plans for a substantial portion of our revenue; information technology system failures could interrupt our operations; factors that impact our estimate of LTV (as defined below);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spacing w:after="0" w:line="22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2021 Form 10-K, Quarterly Report on Form 10-Q for the first quarter ended March 31, 2022, Quarterly Report on Form 10-Q for the second quarter ended June 30, 2022, Quarterly Report on Form 10-Q for the third quarter ended September 30, 2022, the forthcoming 2022 Form 10-K, and other SEC filings.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 Adjustments, are also discussed in this press release. The Lookback Adjustments are revenue adjustments that represent changes in estimates relating to performance obligations satisfied in prior periods and relate to the fiscal years 2021 and prior.</w:t>
      </w:r>
    </w:p>
    <w:p>
      <w:pPr>
        <w:spacing w:after="0" w:line="277"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w:t>
      </w:r>
    </w:p>
    <w:p>
      <w:pPr>
        <w:spacing w:after="0" w:line="101" w:lineRule="exact"/>
        <w:rPr>
          <w:sz w:val="20"/>
          <w:szCs w:val="20"/>
          <w:color w:val="auto"/>
        </w:rPr>
      </w:pPr>
    </w:p>
    <w:p>
      <w:pPr>
        <w:ind w:right="340"/>
        <w:spacing w:after="0" w:line="244"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20"/>
        <w:spacing w:after="0" w:line="238" w:lineRule="auto"/>
        <w:rPr>
          <w:sz w:val="20"/>
          <w:szCs w:val="20"/>
          <w:color w:val="auto"/>
        </w:rPr>
      </w:pPr>
      <w:r>
        <w:rPr>
          <w:rFonts w:ascii="Arial" w:cs="Arial" w:eastAsia="Arial" w:hAnsi="Arial"/>
          <w:sz w:val="16"/>
          <w:szCs w:val="16"/>
          <w:color w:val="auto"/>
        </w:rPr>
        <w:t>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07"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and Adjusted EBITDA excluding both the non-Encompass BPO Services contribution and the Lookback Adjustments to its most directly comparable GAAP financial measure, net revenue or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93"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Company is unable to provide a full reconciliation of guidance for Adjusted EBITDA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2023.</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0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34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Gross margin”</w:t>
      </w:r>
      <w:r>
        <w:rPr>
          <w:rFonts w:ascii="Arial" w:cs="Arial" w:eastAsia="Arial" w:hAnsi="Arial"/>
          <w:sz w:val="16"/>
          <w:szCs w:val="16"/>
          <w:color w:val="auto"/>
        </w:rPr>
        <w:t xml:space="preserve"> refers to net revenue divided by cost of revenue, marketing and advertising expenses and customer care and enrollment expenses</w:t>
      </w:r>
      <w:r>
        <w:rPr>
          <w:rFonts w:ascii="Arial" w:cs="Arial" w:eastAsia="Arial" w:hAnsi="Arial"/>
          <w:sz w:val="16"/>
          <w:szCs w:val="16"/>
          <w:i w:val="1"/>
          <w:iCs w:val="1"/>
          <w:color w:val="auto"/>
        </w:rPr>
        <w:t>.</w:t>
      </w:r>
    </w:p>
    <w:p>
      <w:pPr>
        <w:spacing w:after="0" w:line="234" w:lineRule="exact"/>
        <w:rPr>
          <w:rFonts w:ascii="Arial" w:cs="Arial" w:eastAsia="Arial" w:hAnsi="Arial"/>
          <w:sz w:val="16"/>
          <w:szCs w:val="16"/>
          <w:color w:val="auto"/>
        </w:rPr>
      </w:pPr>
    </w:p>
    <w:p>
      <w:pPr>
        <w:jc w:val="both"/>
        <w:ind w:left="660" w:right="140" w:hanging="328"/>
        <w:spacing w:after="0" w:line="25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w:t>
      </w:r>
    </w:p>
    <w:p>
      <w:pPr>
        <w:spacing w:after="0" w:line="196" w:lineRule="exact"/>
        <w:rPr>
          <w:rFonts w:ascii="Arial" w:cs="Arial" w:eastAsia="Arial" w:hAnsi="Arial"/>
          <w:sz w:val="16"/>
          <w:szCs w:val="16"/>
          <w:color w:val="auto"/>
        </w:rPr>
      </w:pPr>
    </w:p>
    <w:p>
      <w:pPr>
        <w:ind w:left="660" w:right="380" w:hanging="328"/>
        <w:spacing w:after="0" w:line="28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Non-Encompass BPO Services”</w:t>
      </w:r>
      <w:r>
        <w:rPr>
          <w:rFonts w:ascii="Arial" w:cs="Arial" w:eastAsia="Arial" w:hAnsi="Arial"/>
          <w:sz w:val="16"/>
          <w:szCs w:val="16"/>
          <w:color w:val="auto"/>
        </w:rPr>
        <w:t xml:space="preserve"> refer to programs in which GoHealth-employed agents are dedicated to certain health plans and agencies we partner with outside of the Encompass Solution.</w:t>
      </w:r>
    </w:p>
    <w:p>
      <w:pPr>
        <w:spacing w:after="0" w:line="176" w:lineRule="exact"/>
        <w:rPr>
          <w:rFonts w:ascii="Arial" w:cs="Arial" w:eastAsia="Arial" w:hAnsi="Arial"/>
          <w:sz w:val="16"/>
          <w:szCs w:val="16"/>
          <w:color w:val="auto"/>
        </w:rPr>
      </w:pPr>
    </w:p>
    <w:p>
      <w:pPr>
        <w:ind w:left="660" w:right="300" w:hanging="328"/>
        <w:spacing w:after="0" w:line="246" w:lineRule="auto"/>
        <w:tabs>
          <w:tab w:leader="none" w:pos="649"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combination sum of (i)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spacing w:after="0" w:line="204" w:lineRule="exact"/>
        <w:rPr>
          <w:rFonts w:ascii="Arial" w:cs="Arial" w:eastAsia="Arial" w:hAnsi="Arial"/>
          <w:sz w:val="16"/>
          <w:szCs w:val="16"/>
          <w:i w:val="1"/>
          <w:iCs w:val="1"/>
          <w:color w:val="auto"/>
        </w:rPr>
      </w:pPr>
    </w:p>
    <w:p>
      <w:pPr>
        <w:ind w:left="660" w:right="60" w:hanging="328"/>
        <w:spacing w:after="0" w:line="255" w:lineRule="auto"/>
        <w:tabs>
          <w:tab w:leader="none" w:pos="649"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8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Dec. 31,</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217"/>
              <w:spacing w:after="0" w:line="127"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7"/>
              <w:spacing w:after="0" w:line="127" w:lineRule="exact"/>
              <w:rPr>
                <w:sz w:val="20"/>
                <w:szCs w:val="20"/>
                <w:color w:val="auto"/>
              </w:rPr>
            </w:pPr>
            <w:r>
              <w:rPr>
                <w:rFonts w:ascii="Arial" w:cs="Arial" w:eastAsia="Arial" w:hAnsi="Arial"/>
                <w:sz w:val="13"/>
                <w:szCs w:val="13"/>
                <w:b w:val="1"/>
                <w:bCs w:val="1"/>
                <w:color w:val="auto"/>
                <w:w w:val="99"/>
              </w:rPr>
              <w:t>% of 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5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20" w:type="dxa"/>
            <w:vAlign w:val="bottom"/>
          </w:tcPr>
          <w:p>
            <w:pPr>
              <w:spacing w:after="0"/>
              <w:rPr>
                <w:sz w:val="15"/>
                <w:szCs w:val="15"/>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Revenues</w:t>
            </w:r>
          </w:p>
        </w:tc>
        <w:tc>
          <w:tcPr>
            <w:tcW w:w="220" w:type="dxa"/>
            <w:vAlign w:val="bottom"/>
          </w:tcPr>
          <w:p>
            <w:pPr>
              <w:spacing w:after="0"/>
              <w:rPr>
                <w:sz w:val="15"/>
                <w:szCs w:val="15"/>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 Change</w:t>
            </w:r>
          </w:p>
        </w:tc>
        <w:tc>
          <w:tcPr>
            <w:tcW w:w="1000" w:type="dxa"/>
            <w:vAlign w:val="bottom"/>
          </w:tcPr>
          <w:p>
            <w:pPr>
              <w:jc w:val="right"/>
              <w:ind w:right="13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(73,268)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(105.6)%</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384,826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85.6 %</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(458,094)</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142,644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205.6 %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64,774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77,870</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69,376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449,600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(380,224)</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20,629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29.7 %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99,886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(79,257)</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(79.3)%</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 expense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56,151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195,411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(139,260)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64,752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93.3 %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122,269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(57,517)</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 expense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11,525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15,178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25,671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37.0 %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29,007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(3,336)</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2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386,553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22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202,554</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292.0 %</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872,879</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194.1 %</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(670,325)</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2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(133,178)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(423,279)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290,101</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17,317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 net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(696)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(150,445)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(432,202)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281,757</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0" w:type="dxa"/>
            <w:vAlign w:val="bottom"/>
          </w:tcPr>
          <w:p>
            <w:pPr>
              <w:spacing w:after="0"/>
              <w:rPr>
                <w:sz w:val="1"/>
                <w:szCs w:val="1"/>
                <w:color w:val="auto"/>
              </w:rPr>
            </w:pPr>
          </w:p>
        </w:tc>
      </w:tr>
      <w:tr>
        <w:trPr>
          <w:trHeight w:val="163"/>
        </w:trPr>
        <w:tc>
          <w:tcPr>
            <w:tcW w:w="45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147.5 %</w:t>
            </w:r>
          </w:p>
        </w:tc>
        <w:tc>
          <w:tcPr>
            <w:tcW w:w="0" w:type="dxa"/>
            <w:vAlign w:val="bottom"/>
          </w:tcPr>
          <w:p>
            <w:pPr>
              <w:spacing w:after="0"/>
              <w:rPr>
                <w:sz w:val="1"/>
                <w:szCs w:val="1"/>
                <w:color w:val="auto"/>
              </w:rPr>
            </w:pPr>
          </w:p>
        </w:tc>
      </w:tr>
      <w:tr>
        <w:trPr>
          <w:trHeight w:val="17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(150,737)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(432,320)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281,583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(89,338)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(277,225)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187,887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(61,399)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(155,095)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93,696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500" w:type="dxa"/>
            <w:vAlign w:val="bottom"/>
          </w:tcPr>
          <w:p>
            <w:pPr>
              <w:ind w:left="20"/>
              <w:spacing w:after="0" w:line="143" w:lineRule="exact"/>
              <w:rPr>
                <w:sz w:val="20"/>
                <w:szCs w:val="20"/>
                <w:color w:val="auto"/>
              </w:rPr>
            </w:pPr>
            <w:r>
              <w:rPr>
                <w:rFonts w:ascii="Arial" w:cs="Arial" w:eastAsia="Arial" w:hAnsi="Arial"/>
                <w:sz w:val="13"/>
                <w:szCs w:val="13"/>
                <w:color w:val="auto"/>
              </w:rPr>
              <w:t>Weighted-average shares of Class A common stock outstanding — basic and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rPr>
                <w:sz w:val="20"/>
                <w:szCs w:val="20"/>
                <w:color w:val="auto"/>
              </w:rPr>
            </w:pPr>
            <w:r>
              <w:rPr>
                <w:rFonts w:ascii="Arial" w:cs="Arial" w:eastAsia="Arial" w:hAnsi="Arial"/>
                <w:sz w:val="13"/>
                <w:szCs w:val="13"/>
                <w:color w:val="auto"/>
              </w:rPr>
              <w:t>diluted</w:t>
            </w:r>
          </w:p>
        </w:tc>
        <w:tc>
          <w:tcPr>
            <w:tcW w:w="220" w:type="dxa"/>
            <w:vAlign w:val="bottom"/>
          </w:tcPr>
          <w:p>
            <w:pPr>
              <w:spacing w:after="0"/>
              <w:rPr>
                <w:sz w:val="13"/>
                <w:szCs w:val="13"/>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8,895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7,669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EBITDA</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(106,550)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(392,251)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(94,781)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0.3 %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8"/>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Twelve months ended Dec.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2"/>
        </w:trPr>
        <w:tc>
          <w:tcPr>
            <w:tcW w:w="4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22"/>
        </w:trPr>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83"/>
        </w:trPr>
        <w:tc>
          <w:tcPr>
            <w:tcW w:w="448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4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2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 Change</w:t>
            </w:r>
          </w:p>
        </w:tc>
      </w:tr>
      <w:tr>
        <w:trPr>
          <w:trHeight w:val="16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341,467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54.1 %</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881,263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82.9 %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(539,796)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(61.3)%</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290,208</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45.9 %</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181,152</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109,056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60.2 %</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631,675</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1,062,415</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(430,740)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187,670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239,335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(51,665)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 expense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207,559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365,141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(157,582)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r>
      <w:tr>
        <w:trPr>
          <w:trHeight w:val="167"/>
        </w:trPr>
        <w:tc>
          <w:tcPr>
            <w:tcW w:w="448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260,902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319,103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(58,201)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84"/>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 expense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46,094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48,429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116,530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18.4 %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98,183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18,347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18.7 %</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94,057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94,056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8"/>
        </w:trPr>
        <w:tc>
          <w:tcPr>
            <w:tcW w:w="448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2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25,345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1,062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24,283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12,184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69"/>
        </w:trPr>
        <w:tc>
          <w:tcPr>
            <w:tcW w:w="448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386,553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7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950,341</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150.4 %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1,551,862</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146.1 %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(601,521)</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w:t>
            </w:r>
          </w:p>
        </w:tc>
      </w:tr>
      <w:tr>
        <w:trPr>
          <w:trHeight w:val="161"/>
        </w:trPr>
        <w:tc>
          <w:tcPr>
            <w:tcW w:w="448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4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(318,666)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(489,447)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170,781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(34.9)%</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57,069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33,505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70.3 %</w:t>
            </w: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w:t>
            </w: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(375,620)</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(534,218)</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158,598</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w:t>
            </w:r>
          </w:p>
        </w:tc>
      </w:tr>
      <w:tr>
        <w:trPr>
          <w:trHeight w:val="17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764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(3283.3)%</w:t>
            </w:r>
          </w:p>
        </w:tc>
      </w:tr>
      <w:tr>
        <w:trPr>
          <w:trHeight w:val="1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(376,384)</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(534,194)</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157,810</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w:t>
            </w:r>
          </w:p>
        </w:tc>
      </w:tr>
      <w:tr>
        <w:trPr>
          <w:trHeight w:val="169"/>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(227,678)</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(344,837)</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117,159</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r>
      <w:tr>
        <w:trPr>
          <w:trHeight w:val="176"/>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(148,706)</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(189,357)</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40,651</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3"/>
        </w:trPr>
        <w:tc>
          <w:tcPr>
            <w:tcW w:w="44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Net income (loss) per share:</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(17.72)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(26.80)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37"/>
        </w:trPr>
        <w:tc>
          <w:tcPr>
            <w:tcW w:w="448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9"/>
              </w:rPr>
              <w:t>Weighted-average shares of Class A common stock outstanding — basic and</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8,445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7,066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448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EBITDA</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(211,549)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(393,206)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(129,776)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33,821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44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1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Three months ended Dec. 31,</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69,376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449,600</w:t>
            </w:r>
          </w:p>
        </w:tc>
        <w:tc>
          <w:tcPr>
            <w:tcW w:w="0" w:type="dxa"/>
            <w:vAlign w:val="bottom"/>
          </w:tcPr>
          <w:p>
            <w:pPr>
              <w:spacing w:after="0"/>
              <w:rPr>
                <w:sz w:val="1"/>
                <w:szCs w:val="1"/>
                <w:color w:val="auto"/>
              </w:rPr>
            </w:pPr>
          </w:p>
        </w:tc>
      </w:tr>
      <w:tr>
        <w:trPr>
          <w:trHeight w:val="161"/>
        </w:trPr>
        <w:tc>
          <w:tcPr>
            <w:tcW w:w="874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24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(150,737)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(432,320)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17,317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9,619</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24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26,578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30,332</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EBITDA</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(106,550)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(392,251)</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Share-based compensation expense (1)</w:t>
            </w:r>
          </w:p>
        </w:tc>
        <w:tc>
          <w:tcPr>
            <w:tcW w:w="24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6,256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7,197</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(2)</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740" w:type="dxa"/>
            <w:vAlign w:val="bottom"/>
          </w:tcPr>
          <w:p>
            <w:pPr>
              <w:ind w:left="240"/>
              <w:spacing w:after="0"/>
              <w:rPr>
                <w:sz w:val="20"/>
                <w:szCs w:val="20"/>
                <w:color w:val="auto"/>
              </w:rPr>
            </w:pPr>
            <w:r>
              <w:rPr>
                <w:rFonts w:ascii="Arial" w:cs="Arial" w:eastAsia="Arial" w:hAnsi="Arial"/>
                <w:sz w:val="13"/>
                <w:szCs w:val="13"/>
                <w:color w:val="auto"/>
              </w:rPr>
              <w:t>Professional services (3)</w:t>
            </w:r>
          </w:p>
        </w:tc>
        <w:tc>
          <w:tcPr>
            <w:tcW w:w="24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loss related to the adjustment of liabilities under the Tax Receivable Agreement (4)</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Severance costs (5)</w:t>
            </w:r>
          </w:p>
        </w:tc>
        <w:tc>
          <w:tcPr>
            <w:tcW w:w="24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 (6)</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Goodwill impairment charges (7)</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(94,781)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1,499</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(136.6)%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as share-based compensation expense relating to liability classified awards that will be settled in cash..</w:t>
      </w:r>
    </w:p>
    <w:p>
      <w:pPr>
        <w:spacing w:after="0" w:line="13" w:lineRule="exact"/>
        <w:rPr>
          <w:rFonts w:ascii="Arial" w:cs="Arial" w:eastAsia="Arial" w:hAnsi="Arial"/>
          <w:sz w:val="12"/>
          <w:szCs w:val="12"/>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 unrelated to restructuring activities.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twelve months ended December 31, 2021.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Twelve months ended Dec. 31,</w:t>
            </w:r>
          </w:p>
        </w:tc>
      </w:tr>
      <w:tr>
        <w:trPr>
          <w:trHeight w:val="172"/>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r>
      <w:tr>
        <w:trPr>
          <w:trHeight w:val="173"/>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631,675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1,062,415</w:t>
            </w:r>
          </w:p>
        </w:tc>
      </w:tr>
      <w:tr>
        <w:trPr>
          <w:trHeight w:val="161"/>
        </w:trPr>
        <w:tc>
          <w:tcPr>
            <w:tcW w:w="8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2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(376,384)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(534,194)</w:t>
            </w: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57,069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33,505</w:t>
            </w: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(24)</w:t>
            </w: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107,002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107,507</w:t>
            </w:r>
          </w:p>
        </w:tc>
      </w:tr>
      <w:tr>
        <w:trPr>
          <w:trHeight w:val="16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EBITDA</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(211,549)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(393,206)</w:t>
            </w:r>
          </w:p>
        </w:tc>
      </w:tr>
      <w:tr>
        <w:trPr>
          <w:trHeight w:val="176"/>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32,124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27,297</w:t>
            </w:r>
          </w:p>
        </w:tc>
      </w:tr>
      <w:tr>
        <w:trPr>
          <w:trHeight w:val="167"/>
        </w:trPr>
        <w:tc>
          <w:tcPr>
            <w:tcW w:w="8720" w:type="dxa"/>
            <w:vAlign w:val="bottom"/>
          </w:tcPr>
          <w:p>
            <w:pPr>
              <w:ind w:left="240"/>
              <w:spacing w:after="0"/>
              <w:rPr>
                <w:sz w:val="20"/>
                <w:szCs w:val="20"/>
                <w:color w:val="auto"/>
              </w:rPr>
            </w:pPr>
            <w:r>
              <w:rPr>
                <w:rFonts w:ascii="Arial" w:cs="Arial" w:eastAsia="Arial" w:hAnsi="Arial"/>
                <w:sz w:val="13"/>
                <w:szCs w:val="13"/>
                <w:color w:val="auto"/>
              </w:rPr>
              <w:t>Operating lease impairment charges (2)</w:t>
            </w:r>
          </w:p>
        </w:tc>
        <w:tc>
          <w:tcPr>
            <w:tcW w:w="22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25,345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1,062</w:t>
            </w: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 (3)</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12,184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7"/>
        </w:trPr>
        <w:tc>
          <w:tcPr>
            <w:tcW w:w="8720" w:type="dxa"/>
            <w:vAlign w:val="bottom"/>
          </w:tcPr>
          <w:p>
            <w:pPr>
              <w:ind w:left="240"/>
              <w:spacing w:after="0"/>
              <w:rPr>
                <w:sz w:val="20"/>
                <w:szCs w:val="20"/>
                <w:color w:val="auto"/>
              </w:rPr>
            </w:pPr>
            <w:r>
              <w:rPr>
                <w:rFonts w:ascii="Arial" w:cs="Arial" w:eastAsia="Arial" w:hAnsi="Arial"/>
                <w:sz w:val="13"/>
                <w:szCs w:val="13"/>
                <w:color w:val="auto"/>
              </w:rPr>
              <w:t>Professional services (4)</w:t>
            </w:r>
          </w:p>
        </w:tc>
        <w:tc>
          <w:tcPr>
            <w:tcW w:w="22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4,752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(5)</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Legal fees (6)</w:t>
            </w:r>
          </w:p>
        </w:tc>
        <w:tc>
          <w:tcPr>
            <w:tcW w:w="22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3,478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180</w:t>
            </w: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loss related to the adjustment of liabilities under the Tax Receivable Agreement (7)</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Loss on extinguishment of debt (8)</w:t>
            </w:r>
          </w:p>
        </w:tc>
        <w:tc>
          <w:tcPr>
            <w:tcW w:w="2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11,935</w:t>
            </w: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 (9)</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386,553</w:t>
            </w:r>
          </w:p>
        </w:tc>
      </w:tr>
      <w:tr>
        <w:trPr>
          <w:trHeight w:val="169"/>
        </w:trPr>
        <w:tc>
          <w:tcPr>
            <w:tcW w:w="872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(129,776)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33,821</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as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employee termination benefits and other associated costs related to restructuring activities.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spacing w:after="0" w:line="2"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 unrelated to restructuring activities.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twelve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89" w:right="339" w:bottom="1440" w:gutter="0" w:footer="0" w:header="0"/>
        </w:sectPr>
      </w:pPr>
    </w:p>
    <w:bookmarkStart w:id="10" w:name="page11"/>
    <w:bookmarkEnd w:id="10"/>
    <w:p>
      <w:pPr>
        <w:ind w:right="100"/>
        <w:spacing w:after="0" w:line="242" w:lineRule="auto"/>
        <w:rPr>
          <w:sz w:val="20"/>
          <w:szCs w:val="20"/>
          <w:color w:val="auto"/>
        </w:rPr>
      </w:pPr>
      <w:r>
        <w:rPr>
          <w:rFonts w:ascii="Arial" w:cs="Arial" w:eastAsia="Arial" w:hAnsi="Arial"/>
          <w:sz w:val="16"/>
          <w:szCs w:val="16"/>
          <w:color w:val="auto"/>
        </w:rPr>
        <w:t>The following table summarizes net revenue and Adjusted EBITDA excluding the Lookback Adjustments and non-Encompass BPO Services for the periods indicated (unaudited):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 31,</w:t>
            </w:r>
          </w:p>
        </w:tc>
        <w:tc>
          <w:tcPr>
            <w:tcW w:w="240" w:type="dxa"/>
            <w:vAlign w:val="bottom"/>
          </w:tcPr>
          <w:p>
            <w:pPr>
              <w:spacing w:after="0"/>
              <w:rPr>
                <w:sz w:val="15"/>
                <w:szCs w:val="15"/>
                <w:color w:val="auto"/>
              </w:rPr>
            </w:pPr>
          </w:p>
        </w:tc>
        <w:tc>
          <w:tcPr>
            <w:tcW w:w="240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72"/>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w:t>
            </w: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69,376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449,600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631,675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1,062,415</w:t>
            </w:r>
          </w:p>
        </w:tc>
        <w:tc>
          <w:tcPr>
            <w:tcW w:w="0" w:type="dxa"/>
            <w:vAlign w:val="bottom"/>
          </w:tcPr>
          <w:p>
            <w:pPr>
              <w:spacing w:after="0"/>
              <w:rPr>
                <w:sz w:val="1"/>
                <w:szCs w:val="1"/>
                <w:color w:val="auto"/>
              </w:rPr>
            </w:pPr>
          </w:p>
        </w:tc>
      </w:tr>
      <w:tr>
        <w:trPr>
          <w:trHeight w:val="161"/>
        </w:trPr>
        <w:tc>
          <w:tcPr>
            <w:tcW w:w="5860" w:type="dxa"/>
            <w:vAlign w:val="bottom"/>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280" w:type="dxa"/>
            <w:vAlign w:val="bottom"/>
          </w:tcPr>
          <w:p>
            <w:pPr>
              <w:spacing w:after="0"/>
              <w:rPr>
                <w:sz w:val="14"/>
                <w:szCs w:val="1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266,383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155,002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275,709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165,296</w:t>
            </w: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Lookback Adjustments attributed to 2021</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(57,942)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(208,848)</w:t>
            </w:r>
          </w:p>
        </w:tc>
        <w:tc>
          <w:tcPr>
            <w:tcW w:w="0" w:type="dxa"/>
            <w:vAlign w:val="bottom"/>
          </w:tcPr>
          <w:p>
            <w:pPr>
              <w:spacing w:after="0"/>
              <w:rPr>
                <w:sz w:val="1"/>
                <w:szCs w:val="1"/>
                <w:color w:val="auto"/>
              </w:rPr>
            </w:pPr>
          </w:p>
        </w:tc>
      </w:tr>
      <w:tr>
        <w:trPr>
          <w:trHeight w:val="161"/>
        </w:trPr>
        <w:tc>
          <w:tcPr>
            <w:tcW w:w="5860" w:type="dxa"/>
            <w:vAlign w:val="bottom"/>
          </w:tcPr>
          <w:p>
            <w:pPr>
              <w:ind w:left="20"/>
              <w:spacing w:after="0"/>
              <w:rPr>
                <w:sz w:val="20"/>
                <w:szCs w:val="20"/>
                <w:color w:val="auto"/>
              </w:rPr>
            </w:pPr>
            <w:r>
              <w:rPr>
                <w:rFonts w:ascii="Arial" w:cs="Arial" w:eastAsia="Arial" w:hAnsi="Arial"/>
                <w:sz w:val="13"/>
                <w:szCs w:val="13"/>
                <w:color w:val="auto"/>
              </w:rPr>
              <w:t>Net revenue excluding Lookback Adjustments</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335,759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546,660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907,384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1,018,863</w:t>
            </w:r>
          </w:p>
        </w:tc>
        <w:tc>
          <w:tcPr>
            <w:tcW w:w="0" w:type="dxa"/>
            <w:vAlign w:val="bottom"/>
          </w:tcPr>
          <w:p>
            <w:pPr>
              <w:spacing w:after="0"/>
              <w:rPr>
                <w:sz w:val="1"/>
                <w:szCs w:val="1"/>
                <w:color w:val="auto"/>
              </w:rPr>
            </w:pPr>
          </w:p>
        </w:tc>
      </w:tr>
      <w:tr>
        <w:trPr>
          <w:trHeight w:val="177"/>
        </w:trPr>
        <w:tc>
          <w:tcPr>
            <w:tcW w:w="5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Exit of non-Encompass BPO Services</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(34,198)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(83,947)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(110,865)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(163,563)</w:t>
            </w: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Net revenues excluding Lookback Adjustments and non-Encompass BPO Services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301,561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462,713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796,519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855,300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Adjusted EBITDA</w:t>
            </w: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(94,781)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1,499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(129,776)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33,821</w:t>
            </w: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Lookback Adjustments reported during the indicated periods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186,617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105,373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192,693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111,863</w:t>
            </w:r>
          </w:p>
        </w:tc>
        <w:tc>
          <w:tcPr>
            <w:tcW w:w="0" w:type="dxa"/>
            <w:vAlign w:val="bottom"/>
          </w:tcPr>
          <w:p>
            <w:pPr>
              <w:spacing w:after="0"/>
              <w:rPr>
                <w:sz w:val="1"/>
                <w:szCs w:val="1"/>
                <w:color w:val="auto"/>
              </w:rPr>
            </w:pPr>
          </w:p>
        </w:tc>
      </w:tr>
      <w:tr>
        <w:trPr>
          <w:trHeight w:val="169"/>
        </w:trPr>
        <w:tc>
          <w:tcPr>
            <w:tcW w:w="5860" w:type="dxa"/>
            <w:vAlign w:val="bottom"/>
          </w:tcPr>
          <w:p>
            <w:pPr>
              <w:ind w:left="240"/>
              <w:spacing w:after="0"/>
              <w:rPr>
                <w:sz w:val="20"/>
                <w:szCs w:val="20"/>
                <w:color w:val="auto"/>
              </w:rPr>
            </w:pPr>
            <w:r>
              <w:rPr>
                <w:rFonts w:ascii="Arial" w:cs="Arial" w:eastAsia="Arial" w:hAnsi="Arial"/>
                <w:sz w:val="13"/>
                <w:szCs w:val="13"/>
                <w:color w:val="auto"/>
              </w:rPr>
              <w:t>Lookback Adjustments attributed to 2021</w:t>
            </w:r>
          </w:p>
        </w:tc>
        <w:tc>
          <w:tcPr>
            <w:tcW w:w="2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(42,484)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(149,559)</w:t>
            </w:r>
          </w:p>
        </w:tc>
        <w:tc>
          <w:tcPr>
            <w:tcW w:w="0" w:type="dxa"/>
            <w:vAlign w:val="bottom"/>
          </w:tcPr>
          <w:p>
            <w:pPr>
              <w:spacing w:after="0"/>
              <w:rPr>
                <w:sz w:val="1"/>
                <w:szCs w:val="1"/>
                <w:color w:val="auto"/>
              </w:rPr>
            </w:pPr>
          </w:p>
        </w:tc>
      </w:tr>
      <w:tr>
        <w:trPr>
          <w:trHeight w:val="17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 excluding Lookback Adjustments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91,836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64,388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62,917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(3,875)</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Exit of non-Encompass BPO Services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(6,980)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(13,319)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(20,476)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(25,295)</w:t>
            </w:r>
          </w:p>
        </w:tc>
        <w:tc>
          <w:tcPr>
            <w:tcW w:w="0" w:type="dxa"/>
            <w:vAlign w:val="bottom"/>
          </w:tcPr>
          <w:p>
            <w:pPr>
              <w:spacing w:after="0"/>
              <w:rPr>
                <w:sz w:val="1"/>
                <w:szCs w:val="1"/>
                <w:color w:val="auto"/>
              </w:rPr>
            </w:pPr>
          </w:p>
        </w:tc>
      </w:tr>
      <w:tr>
        <w:trPr>
          <w:trHeight w:val="20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 excluding Lookback Adjustments and non-Encompass BPO Services</w:t>
            </w: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84,856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51,069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42,441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(29,170)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color w:val="auto"/>
              </w:rPr>
              <w:t>Adjusted EBITDA margin excluding Lookback Adjustments and non-Encompass BPO Services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3"/>
                <w:szCs w:val="13"/>
                <w:color w:val="auto"/>
              </w:rPr>
              <w:t>28.1 %</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11.0 %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Arial" w:cs="Arial" w:eastAsia="Arial" w:hAnsi="Arial"/>
                <w:sz w:val="13"/>
                <w:szCs w:val="13"/>
                <w:color w:val="auto"/>
              </w:rPr>
              <w:t>5.3 %</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4"/>
          </w:tcPr>
          <w:p>
            <w:pPr>
              <w:ind w:left="140"/>
              <w:spacing w:after="0"/>
              <w:rPr>
                <w:sz w:val="20"/>
                <w:szCs w:val="20"/>
                <w:color w:val="auto"/>
              </w:rPr>
            </w:pPr>
            <w:r>
              <w:rPr>
                <w:rFonts w:ascii="Arial" w:cs="Arial" w:eastAsia="Arial" w:hAnsi="Arial"/>
                <w:sz w:val="13"/>
                <w:szCs w:val="13"/>
                <w:b w:val="1"/>
                <w:bCs w:val="1"/>
                <w:color w:val="auto"/>
              </w:rPr>
              <w:t>Three months ended Dec. 31,</w:t>
            </w:r>
          </w:p>
        </w:tc>
        <w:tc>
          <w:tcPr>
            <w:tcW w:w="220" w:type="dxa"/>
            <w:vAlign w:val="bottom"/>
          </w:tcPr>
          <w:p>
            <w:pPr>
              <w:spacing w:after="0"/>
              <w:rPr>
                <w:sz w:val="15"/>
                <w:szCs w:val="15"/>
                <w:color w:val="auto"/>
              </w:rPr>
            </w:pPr>
          </w:p>
        </w:tc>
        <w:tc>
          <w:tcPr>
            <w:tcW w:w="226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rPr>
              <w:t>Twelve months ended Dec. 31,</w:t>
            </w:r>
          </w:p>
        </w:tc>
      </w:tr>
      <w:tr>
        <w:trPr>
          <w:trHeight w:val="172"/>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r>
      <w:tr>
        <w:trPr>
          <w:trHeight w:val="173"/>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r>
      <w:tr>
        <w:trPr>
          <w:trHeight w:val="167"/>
        </w:trPr>
        <w:tc>
          <w:tcPr>
            <w:tcW w:w="624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3,775</w:t>
            </w:r>
          </w:p>
        </w:tc>
      </w:tr>
      <w:tr>
        <w:trPr>
          <w:trHeight w:val="184"/>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w:t>
            </w:r>
          </w:p>
        </w:tc>
      </w:tr>
      <w:tr>
        <w:trPr>
          <w:trHeight w:val="16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4,811</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17,639</w:t>
            </w:r>
          </w:p>
        </w:tc>
      </w:tr>
      <w:tr>
        <w:trPr>
          <w:trHeight w:val="20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6,256</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7,197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32,124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27,297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88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Dec.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8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0" w:type="dxa"/>
            <w:vAlign w:val="bottom"/>
          </w:tcPr>
          <w:p>
            <w:pPr>
              <w:spacing w:after="0"/>
              <w:rPr>
                <w:sz w:val="1"/>
                <w:szCs w:val="1"/>
                <w:color w:val="auto"/>
              </w:rPr>
            </w:pPr>
          </w:p>
        </w:tc>
      </w:tr>
      <w:tr>
        <w:trPr>
          <w:trHeight w:val="168"/>
        </w:trPr>
        <w:tc>
          <w:tcPr>
            <w:tcW w:w="88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$89 in 2022 and $558 in 2021</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4,703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17,276</w:t>
            </w:r>
          </w:p>
        </w:tc>
        <w:tc>
          <w:tcPr>
            <w:tcW w:w="0" w:type="dxa"/>
            <w:vAlign w:val="bottom"/>
          </w:tcPr>
          <w:p>
            <w:pPr>
              <w:spacing w:after="0"/>
              <w:rPr>
                <w:sz w:val="1"/>
                <w:szCs w:val="1"/>
                <w:color w:val="auto"/>
              </w:rPr>
            </w:pPr>
          </w:p>
        </w:tc>
      </w:tr>
      <w:tr>
        <w:trPr>
          <w:trHeight w:val="184"/>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335,796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268,663</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57,593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58,695</w:t>
            </w:r>
          </w:p>
        </w:tc>
        <w:tc>
          <w:tcPr>
            <w:tcW w:w="0" w:type="dxa"/>
            <w:vAlign w:val="bottom"/>
          </w:tcPr>
          <w:p>
            <w:pPr>
              <w:spacing w:after="0"/>
              <w:rPr>
                <w:sz w:val="1"/>
                <w:szCs w:val="1"/>
                <w:color w:val="auto"/>
              </w:rPr>
            </w:pPr>
          </w:p>
        </w:tc>
      </w:tr>
      <w:tr>
        <w:trPr>
          <w:trHeight w:val="176"/>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414,556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428,995</w:t>
            </w:r>
          </w:p>
        </w:tc>
        <w:tc>
          <w:tcPr>
            <w:tcW w:w="0" w:type="dxa"/>
            <w:vAlign w:val="bottom"/>
          </w:tcPr>
          <w:p>
            <w:pPr>
              <w:spacing w:after="0"/>
              <w:rPr>
                <w:sz w:val="1"/>
                <w:szCs w:val="1"/>
                <w:color w:val="auto"/>
              </w:rPr>
            </w:pPr>
          </w:p>
        </w:tc>
      </w:tr>
      <w:tr>
        <w:trPr>
          <w:trHeight w:val="161"/>
        </w:trPr>
        <w:tc>
          <w:tcPr>
            <w:tcW w:w="88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695,637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993,844</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21,483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23,462</w:t>
            </w:r>
          </w:p>
        </w:tc>
        <w:tc>
          <w:tcPr>
            <w:tcW w:w="0" w:type="dxa"/>
            <w:vAlign w:val="bottom"/>
          </w:tcPr>
          <w:p>
            <w:pPr>
              <w:spacing w:after="0"/>
              <w:rPr>
                <w:sz w:val="1"/>
                <w:szCs w:val="1"/>
                <w:color w:val="auto"/>
              </w:rPr>
            </w:pPr>
          </w:p>
        </w:tc>
      </w:tr>
      <w:tr>
        <w:trPr>
          <w:trHeight w:val="168"/>
        </w:trPr>
        <w:tc>
          <w:tcPr>
            <w:tcW w:w="88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1,721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3,608</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24,273</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Intangible assets, net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500,611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594,669</w:t>
            </w:r>
          </w:p>
        </w:tc>
        <w:tc>
          <w:tcPr>
            <w:tcW w:w="0" w:type="dxa"/>
            <w:vAlign w:val="bottom"/>
          </w:tcPr>
          <w:p>
            <w:pPr>
              <w:spacing w:after="0"/>
              <w:rPr>
                <w:sz w:val="1"/>
                <w:szCs w:val="1"/>
                <w:color w:val="auto"/>
              </w:rPr>
            </w:pPr>
          </w:p>
        </w:tc>
      </w:tr>
      <w:tr>
        <w:trPr>
          <w:trHeight w:val="201"/>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1,659,290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8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15,148</w:t>
            </w:r>
          </w:p>
        </w:tc>
        <w:tc>
          <w:tcPr>
            <w:tcW w:w="8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39,843</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53,334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52,788</w:t>
            </w:r>
          </w:p>
        </w:tc>
        <w:tc>
          <w:tcPr>
            <w:tcW w:w="0" w:type="dxa"/>
            <w:vAlign w:val="bottom"/>
          </w:tcPr>
          <w:p>
            <w:pPr>
              <w:spacing w:after="0"/>
              <w:rPr>
                <w:sz w:val="1"/>
                <w:szCs w:val="1"/>
                <w:color w:val="auto"/>
              </w:rPr>
            </w:pPr>
          </w:p>
        </w:tc>
      </w:tr>
      <w:tr>
        <w:trPr>
          <w:trHeight w:val="167"/>
        </w:trPr>
        <w:tc>
          <w:tcPr>
            <w:tcW w:w="88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122,023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104,160</w:t>
            </w:r>
          </w:p>
        </w:tc>
        <w:tc>
          <w:tcPr>
            <w:tcW w:w="0" w:type="dxa"/>
            <w:vAlign w:val="bottom"/>
          </w:tcPr>
          <w:p>
            <w:pPr>
              <w:spacing w:after="0"/>
              <w:rPr>
                <w:sz w:val="1"/>
                <w:szCs w:val="1"/>
                <w:color w:val="auto"/>
              </w:rPr>
            </w:pPr>
          </w:p>
        </w:tc>
      </w:tr>
      <w:tr>
        <w:trPr>
          <w:trHeight w:val="184"/>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8,974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c>
          <w:tcPr>
            <w:tcW w:w="0" w:type="dxa"/>
            <w:vAlign w:val="bottom"/>
          </w:tcPr>
          <w:p>
            <w:pPr>
              <w:spacing w:after="0"/>
              <w:rPr>
                <w:sz w:val="1"/>
                <w:szCs w:val="1"/>
                <w:color w:val="auto"/>
              </w:rPr>
            </w:pPr>
          </w:p>
        </w:tc>
      </w:tr>
      <w:tr>
        <w:trPr>
          <w:trHeight w:val="168"/>
        </w:trPr>
        <w:tc>
          <w:tcPr>
            <w:tcW w:w="88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50,594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5,270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10,112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0" w:type="dxa"/>
            <w:vAlign w:val="bottom"/>
          </w:tcPr>
          <w:p>
            <w:pPr>
              <w:spacing w:after="0"/>
              <w:rPr>
                <w:sz w:val="1"/>
                <w:szCs w:val="1"/>
                <w:color w:val="auto"/>
              </w:rPr>
            </w:pPr>
          </w:p>
        </w:tc>
      </w:tr>
      <w:tr>
        <w:trPr>
          <w:trHeight w:val="175"/>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265,455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217,067</w:t>
            </w:r>
          </w:p>
        </w:tc>
        <w:tc>
          <w:tcPr>
            <w:tcW w:w="0" w:type="dxa"/>
            <w:vAlign w:val="bottom"/>
          </w:tcPr>
          <w:p>
            <w:pPr>
              <w:spacing w:after="0"/>
              <w:rPr>
                <w:sz w:val="1"/>
                <w:szCs w:val="1"/>
                <w:color w:val="auto"/>
              </w:rPr>
            </w:pPr>
          </w:p>
        </w:tc>
      </w:tr>
      <w:tr>
        <w:trPr>
          <w:trHeight w:val="150"/>
        </w:trPr>
        <w:tc>
          <w:tcPr>
            <w:tcW w:w="8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253,118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274,403</w:t>
            </w:r>
          </w:p>
        </w:tc>
        <w:tc>
          <w:tcPr>
            <w:tcW w:w="0" w:type="dxa"/>
            <w:vAlign w:val="bottom"/>
          </w:tcPr>
          <w:p>
            <w:pPr>
              <w:spacing w:after="0"/>
              <w:rPr>
                <w:sz w:val="1"/>
                <w:szCs w:val="1"/>
                <w:color w:val="auto"/>
              </w:rPr>
            </w:pPr>
          </w:p>
        </w:tc>
      </w:tr>
      <w:tr>
        <w:trPr>
          <w:trHeight w:val="168"/>
        </w:trPr>
        <w:tc>
          <w:tcPr>
            <w:tcW w:w="88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38,367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19,776</w:t>
            </w:r>
          </w:p>
        </w:tc>
        <w:tc>
          <w:tcPr>
            <w:tcW w:w="0" w:type="dxa"/>
            <w:vAlign w:val="bottom"/>
          </w:tcPr>
          <w:p>
            <w:pPr>
              <w:spacing w:after="0"/>
              <w:rPr>
                <w:sz w:val="1"/>
                <w:szCs w:val="1"/>
                <w:color w:val="auto"/>
              </w:rPr>
            </w:pPr>
          </w:p>
        </w:tc>
      </w:tr>
      <w:tr>
        <w:trPr>
          <w:trHeight w:val="184"/>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504,810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665,115</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5,839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802,134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959,294</w:t>
            </w:r>
          </w:p>
        </w:tc>
        <w:tc>
          <w:tcPr>
            <w:tcW w:w="0" w:type="dxa"/>
            <w:vAlign w:val="bottom"/>
          </w:tcPr>
          <w:p>
            <w:pPr>
              <w:spacing w:after="0"/>
              <w:rPr>
                <w:sz w:val="1"/>
                <w:szCs w:val="1"/>
                <w:color w:val="auto"/>
              </w:rPr>
            </w:pPr>
          </w:p>
        </w:tc>
      </w:tr>
      <w:tr>
        <w:trPr>
          <w:trHeight w:val="148"/>
        </w:trPr>
        <w:tc>
          <w:tcPr>
            <w:tcW w:w="8800" w:type="dxa"/>
            <w:vAlign w:val="bottom"/>
          </w:tcPr>
          <w:p>
            <w:pPr>
              <w:ind w:left="20"/>
              <w:spacing w:after="0" w:line="139" w:lineRule="exact"/>
              <w:rPr>
                <w:sz w:val="20"/>
                <w:szCs w:val="20"/>
                <w:color w:val="auto"/>
              </w:rPr>
            </w:pPr>
            <w:r>
              <w:rPr>
                <w:rFonts w:ascii="Arial" w:cs="Arial" w:eastAsia="Arial" w:hAnsi="Arial"/>
                <w:sz w:val="13"/>
                <w:szCs w:val="13"/>
                <w:color w:val="auto"/>
              </w:rPr>
              <w:t>Commitments and Contingencies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Series A redeemable convertible preferred stock — $0.0001 par value; 50 shares authorized; 50 shares issued and outstanding at December 31, 2022. No</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and outstanding as of December 31, 2021. Liquidation preference of $50.9 million at December 31, 2022.</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Stockholders’ equity:</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800" w:type="dxa"/>
            <w:vAlign w:val="bottom"/>
            <w:shd w:val="clear" w:color="auto" w:fill="CCEEFF"/>
          </w:tcPr>
          <w:p>
            <w:pPr>
              <w:ind w:left="240"/>
              <w:spacing w:after="0" w:line="148" w:lineRule="exact"/>
              <w:rPr>
                <w:sz w:val="20"/>
                <w:szCs w:val="20"/>
                <w:color w:val="auto"/>
              </w:rPr>
            </w:pPr>
            <w:r>
              <w:rPr>
                <w:rFonts w:ascii="Arial" w:cs="Arial" w:eastAsia="Arial" w:hAnsi="Arial"/>
                <w:sz w:val="13"/>
                <w:szCs w:val="13"/>
                <w:color w:val="auto"/>
              </w:rPr>
              <w:t>Class A common stock – $0.0001 par value; 1,100,000 shares authorized; 8,963 and 7,699 shares issued; 8,950 and 7,699 shares outstanding at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2022 and December 31, 2021, respectively.</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8800" w:type="dxa"/>
            <w:vAlign w:val="bottom"/>
          </w:tcPr>
          <w:p>
            <w:pPr>
              <w:ind w:left="240"/>
              <w:spacing w:after="0" w:line="143" w:lineRule="exact"/>
              <w:rPr>
                <w:sz w:val="20"/>
                <w:szCs w:val="20"/>
                <w:color w:val="auto"/>
              </w:rPr>
            </w:pPr>
            <w:r>
              <w:rPr>
                <w:rFonts w:ascii="Arial" w:cs="Arial" w:eastAsia="Arial" w:hAnsi="Arial"/>
                <w:sz w:val="13"/>
                <w:szCs w:val="13"/>
                <w:color w:val="auto"/>
                <w:w w:val="99"/>
              </w:rPr>
              <w:t>Class B common stock – $0.0001 par value; 616,259 and 587,360 shares authorized; 13,054 and 13,690 shares issued and outstanding at December</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0" w:type="dxa"/>
            <w:vAlign w:val="bottom"/>
          </w:tcPr>
          <w:p>
            <w:pPr>
              <w:ind w:left="240"/>
              <w:spacing w:after="0"/>
              <w:rPr>
                <w:sz w:val="20"/>
                <w:szCs w:val="20"/>
                <w:color w:val="auto"/>
              </w:rPr>
            </w:pPr>
            <w:r>
              <w:rPr>
                <w:rFonts w:ascii="Arial" w:cs="Arial" w:eastAsia="Arial" w:hAnsi="Arial"/>
                <w:sz w:val="13"/>
                <w:szCs w:val="13"/>
                <w:color w:val="auto"/>
              </w:rPr>
              <w:t>31, 2022 and December 31, 2021, respectively.</w:t>
            </w:r>
          </w:p>
        </w:tc>
        <w:tc>
          <w:tcPr>
            <w:tcW w:w="26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1"/>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8"/>
              </w:rPr>
              <w:t>Preferred stock – $0.0001 par value; 20,000 shares authorized (including 50 shares of Series A redeemable convertible preferred stock authorized and</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0" w:type="dxa"/>
            <w:vAlign w:val="bottom"/>
            <w:shd w:val="clear" w:color="auto" w:fill="CCEEFF"/>
          </w:tcPr>
          <w:p>
            <w:pPr>
              <w:ind w:left="240"/>
              <w:spacing w:after="0" w:line="122" w:lineRule="exact"/>
              <w:rPr>
                <w:sz w:val="20"/>
                <w:szCs w:val="20"/>
                <w:color w:val="auto"/>
              </w:rPr>
            </w:pPr>
            <w:r>
              <w:rPr>
                <w:rFonts w:ascii="Arial" w:cs="Arial" w:eastAsia="Arial" w:hAnsi="Arial"/>
                <w:sz w:val="13"/>
                <w:szCs w:val="13"/>
                <w:color w:val="auto"/>
              </w:rPr>
              <w:t>200 shares of Series A-1 convertible preferred stock authorized); 50 shares issued and outstanding at December 31, 2022; no shares issued and</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at December 31, 2021.</w:t>
            </w: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800" w:type="dxa"/>
            <w:vAlign w:val="bottom"/>
          </w:tcPr>
          <w:p>
            <w:pPr>
              <w:ind w:left="240"/>
              <w:spacing w:after="0" w:line="143" w:lineRule="exact"/>
              <w:rPr>
                <w:sz w:val="20"/>
                <w:szCs w:val="20"/>
                <w:color w:val="auto"/>
              </w:rPr>
            </w:pPr>
            <w:r>
              <w:rPr>
                <w:rFonts w:ascii="Arial" w:cs="Arial" w:eastAsia="Arial" w:hAnsi="Arial"/>
                <w:sz w:val="13"/>
                <w:szCs w:val="13"/>
                <w:color w:val="auto"/>
              </w:rPr>
              <w:t>Series A-1 convertible preferred stock— $0.0001 par value; 200 shares authorized; no shares issued and outstanding at December 31, 2022 and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0" w:type="dxa"/>
            <w:vAlign w:val="bottom"/>
          </w:tcPr>
          <w:p>
            <w:pPr>
              <w:ind w:left="240"/>
              <w:spacing w:after="0"/>
              <w:rPr>
                <w:sz w:val="20"/>
                <w:szCs w:val="20"/>
                <w:color w:val="auto"/>
              </w:rPr>
            </w:pPr>
            <w:r>
              <w:rPr>
                <w:rFonts w:ascii="Arial" w:cs="Arial" w:eastAsia="Arial" w:hAnsi="Arial"/>
                <w:sz w:val="13"/>
                <w:szCs w:val="13"/>
                <w:color w:val="auto"/>
              </w:rPr>
              <w:t>December 31, 2021.</w:t>
            </w:r>
          </w:p>
        </w:tc>
        <w:tc>
          <w:tcPr>
            <w:tcW w:w="2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Treasury stock – at cost; 13 shares of Class A common stock at December 31, 2022</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8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626,269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561,477</w:t>
            </w:r>
          </w:p>
        </w:tc>
        <w:tc>
          <w:tcPr>
            <w:tcW w:w="0" w:type="dxa"/>
            <w:vAlign w:val="bottom"/>
          </w:tcPr>
          <w:p>
            <w:pPr>
              <w:spacing w:after="0"/>
              <w:rPr>
                <w:sz w:val="1"/>
                <w:szCs w:val="1"/>
                <w:color w:val="auto"/>
              </w:rPr>
            </w:pPr>
          </w:p>
        </w:tc>
      </w:tr>
      <w:tr>
        <w:trPr>
          <w:trHeight w:val="184"/>
        </w:trPr>
        <w:tc>
          <w:tcPr>
            <w:tcW w:w="8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(208,317)</w:t>
            </w:r>
          </w:p>
        </w:tc>
        <w:tc>
          <w:tcPr>
            <w:tcW w:w="0" w:type="dxa"/>
            <w:vAlign w:val="bottom"/>
          </w:tcPr>
          <w:p>
            <w:pPr>
              <w:spacing w:after="0"/>
              <w:rPr>
                <w:sz w:val="1"/>
                <w:szCs w:val="1"/>
                <w:color w:val="auto"/>
              </w:rPr>
            </w:pPr>
          </w:p>
        </w:tc>
      </w:tr>
      <w:tr>
        <w:trPr>
          <w:trHeight w:val="175"/>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268,759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353,103</w:t>
            </w:r>
          </w:p>
        </w:tc>
        <w:tc>
          <w:tcPr>
            <w:tcW w:w="0" w:type="dxa"/>
            <w:vAlign w:val="bottom"/>
          </w:tcPr>
          <w:p>
            <w:pPr>
              <w:spacing w:after="0"/>
              <w:rPr>
                <w:sz w:val="1"/>
                <w:szCs w:val="1"/>
                <w:color w:val="auto"/>
              </w:rPr>
            </w:pPr>
          </w:p>
        </w:tc>
      </w:tr>
      <w:tr>
        <w:trPr>
          <w:trHeight w:val="16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273,640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539,387</w:t>
            </w: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542,399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892,490</w:t>
            </w:r>
          </w:p>
        </w:tc>
        <w:tc>
          <w:tcPr>
            <w:tcW w:w="0" w:type="dxa"/>
            <w:vAlign w:val="bottom"/>
          </w:tcPr>
          <w:p>
            <w:pPr>
              <w:spacing w:after="0"/>
              <w:rPr>
                <w:sz w:val="1"/>
                <w:szCs w:val="1"/>
                <w:color w:val="auto"/>
              </w:rPr>
            </w:pPr>
          </w:p>
        </w:tc>
      </w:tr>
      <w:tr>
        <w:trPr>
          <w:trHeight w:val="176"/>
        </w:trPr>
        <w:tc>
          <w:tcPr>
            <w:tcW w:w="880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1,659,290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2,068,851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w w:val="99"/>
              </w:rPr>
              <w:t>Twelve months ended Dec.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(376,384)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(534,194)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27,142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27,297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13,451</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94,056</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restructuring charges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5,033</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 net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231,274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(452,950)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(18,613)</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(24,795)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30,477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25,745</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50,058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117,489</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(4,885)</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60,904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(299,006)</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(19,801)</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(13,512)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(19,801)</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(298,970)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stock option exercises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Series A redeemable convertible preferred stock</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Issuance cost payments from issuance of Series A redeemable convertible preferred stock</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w:t>
            </w:r>
          </w:p>
        </w:tc>
        <w:tc>
          <w:tcPr>
            <w:tcW w:w="0" w:type="dxa"/>
            <w:vAlign w:val="bottom"/>
          </w:tcPr>
          <w:p>
            <w:pPr>
              <w:spacing w:after="0"/>
              <w:rPr>
                <w:sz w:val="1"/>
                <w:szCs w:val="1"/>
                <w:color w:val="auto"/>
              </w:rPr>
            </w:pPr>
          </w:p>
        </w:tc>
      </w:tr>
      <w:tr>
        <w:trPr>
          <w:trHeight w:val="167"/>
        </w:trPr>
        <w:tc>
          <w:tcPr>
            <w:tcW w:w="8940" w:type="dxa"/>
            <w:vAlign w:val="bottom"/>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borrowings</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565,000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(5,910)</w:t>
            </w:r>
          </w:p>
        </w:tc>
        <w:tc>
          <w:tcPr>
            <w:tcW w:w="0" w:type="dxa"/>
            <w:vAlign w:val="bottom"/>
          </w:tcPr>
          <w:p>
            <w:pPr>
              <w:spacing w:after="0"/>
              <w:rPr>
                <w:sz w:val="1"/>
                <w:szCs w:val="1"/>
                <w:color w:val="auto"/>
              </w:rPr>
            </w:pPr>
          </w:p>
        </w:tc>
      </w:tr>
      <w:tr>
        <w:trPr>
          <w:trHeight w:val="169"/>
        </w:trPr>
        <w:tc>
          <w:tcPr>
            <w:tcW w:w="8940" w:type="dxa"/>
            <w:vAlign w:val="bottom"/>
          </w:tcPr>
          <w:p>
            <w:pPr>
              <w:ind w:left="20"/>
              <w:spacing w:after="0"/>
              <w:rPr>
                <w:sz w:val="20"/>
                <w:szCs w:val="20"/>
                <w:color w:val="auto"/>
              </w:rPr>
            </w:pPr>
            <w:r>
              <w:rPr>
                <w:rFonts w:ascii="Arial" w:cs="Arial" w:eastAsia="Arial" w:hAnsi="Arial"/>
                <w:sz w:val="13"/>
                <w:szCs w:val="13"/>
                <w:color w:val="auto"/>
              </w:rPr>
              <w:t>Advancement to NVX Holdings, Inc.</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75"/>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(115,051)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259,089</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(67,897)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(59,873)</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16,464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84,361</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paid</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28,244</w:t>
            </w:r>
          </w:p>
        </w:tc>
        <w:tc>
          <w:tcPr>
            <w:tcW w:w="0" w:type="dxa"/>
            <w:vAlign w:val="bottom"/>
          </w:tcPr>
          <w:p>
            <w:pPr>
              <w:spacing w:after="0"/>
              <w:rPr>
                <w:sz w:val="1"/>
                <w:szCs w:val="1"/>
                <w:color w:val="auto"/>
              </w:rPr>
            </w:pPr>
          </w:p>
        </w:tc>
      </w:tr>
      <w:tr>
        <w:trPr>
          <w:trHeight w:val="159"/>
        </w:trPr>
        <w:tc>
          <w:tcPr>
            <w:tcW w:w="8940" w:type="dxa"/>
            <w:vAlign w:val="bottom"/>
          </w:tcPr>
          <w:p>
            <w:pPr>
              <w:ind w:left="20"/>
              <w:spacing w:after="0"/>
              <w:rPr>
                <w:sz w:val="20"/>
                <w:szCs w:val="20"/>
                <w:color w:val="auto"/>
              </w:rPr>
            </w:pPr>
            <w:r>
              <w:rPr>
                <w:rFonts w:ascii="Arial" w:cs="Arial" w:eastAsia="Arial" w:hAnsi="Arial"/>
                <w:sz w:val="13"/>
                <w:szCs w:val="13"/>
                <w:color w:val="auto"/>
              </w:rPr>
              <w:t>Income taxes paid</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Three months ended Dec. 31,</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02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 of Net Revenues</w:t>
            </w:r>
          </w:p>
        </w:tc>
        <w:tc>
          <w:tcPr>
            <w:tcW w:w="22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Dollars</w:t>
            </w: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rPr>
              <w:t>% of Net Revenues</w:t>
            </w:r>
          </w:p>
        </w:tc>
        <w:tc>
          <w:tcPr>
            <w:tcW w:w="1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34,477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49.7 %</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368,503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82.1 %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(334,026)</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28,504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72,447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(43,943)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6,069</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6,182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(2,141)</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69,377</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449,600</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(380,223)</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(69,790)</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10,771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(80,561)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(747.9)%</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3,075</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2,162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(83,692)</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16,480</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(100,172)</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(607.8)%</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33.9 %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23,513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312</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386,553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(386,553)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7,698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(income) expense, net</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646</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w:t>
            </w:r>
          </w:p>
        </w:tc>
        <w:tc>
          <w:tcPr>
            <w:tcW w:w="0" w:type="dxa"/>
            <w:vAlign w:val="bottom"/>
          </w:tcPr>
          <w:p>
            <w:pPr>
              <w:spacing w:after="0"/>
              <w:rPr>
                <w:sz w:val="1"/>
                <w:szCs w:val="1"/>
                <w:color w:val="auto"/>
              </w:rPr>
            </w:pPr>
          </w:p>
        </w:tc>
      </w:tr>
      <w:tr>
        <w:trPr>
          <w:trHeight w:val="20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(150,445)</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(216.9)%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(432,202)</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281,757</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20"/>
                <w:szCs w:val="20"/>
                <w:color w:val="auto"/>
              </w:rPr>
            </w:pPr>
            <w:r>
              <w:rPr>
                <w:rFonts w:ascii="Arial" w:cs="Arial" w:eastAsia="Arial" w:hAnsi="Arial"/>
                <w:sz w:val="13"/>
                <w:szCs w:val="13"/>
                <w:i w:val="1"/>
                <w:iCs w:val="1"/>
                <w:color w:val="auto"/>
              </w:rPr>
              <w:t>NM = Not meaningful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9"/>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Twelve months ended Dec. 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Dollars</w:t>
            </w:r>
          </w:p>
        </w:tc>
        <w:tc>
          <w:tcPr>
            <w:tcW w:w="1180" w:type="dxa"/>
            <w:vAlign w:val="bottom"/>
          </w:tcPr>
          <w:p>
            <w:pPr>
              <w:ind w:left="20"/>
              <w:spacing w:after="0"/>
              <w:rPr>
                <w:sz w:val="20"/>
                <w:szCs w:val="20"/>
                <w:color w:val="auto"/>
              </w:rPr>
            </w:pPr>
            <w:r>
              <w:rPr>
                <w:rFonts w:ascii="Arial" w:cs="Arial" w:eastAsia="Arial" w:hAnsi="Arial"/>
                <w:sz w:val="13"/>
                <w:szCs w:val="13"/>
                <w:b w:val="1"/>
                <w:bCs w:val="1"/>
                <w:color w:val="auto"/>
                <w:w w:val="97"/>
              </w:rPr>
              <w:t>% of Net Revenues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Dollars</w:t>
            </w:r>
          </w:p>
        </w:tc>
        <w:tc>
          <w:tcPr>
            <w:tcW w:w="1200" w:type="dxa"/>
            <w:vAlign w:val="bottom"/>
          </w:tcPr>
          <w:p>
            <w:pPr>
              <w:ind w:left="40"/>
              <w:spacing w:after="0"/>
              <w:rPr>
                <w:sz w:val="20"/>
                <w:szCs w:val="20"/>
                <w:color w:val="auto"/>
              </w:rPr>
            </w:pPr>
            <w:r>
              <w:rPr>
                <w:rFonts w:ascii="Arial" w:cs="Arial" w:eastAsia="Arial" w:hAnsi="Arial"/>
                <w:sz w:val="13"/>
                <w:szCs w:val="13"/>
                <w:b w:val="1"/>
                <w:bCs w:val="1"/>
                <w:color w:val="auto"/>
                <w:w w:val="97"/>
              </w:rPr>
              <w:t>% of Net Revenues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9"/>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421,273</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66.7 %</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844,894</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79.5 %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(423,621)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189,886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189,563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17,972</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19,687</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(1,715)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8,271</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(5,727)</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631,675</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1,062,415</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(430,740)</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(43,382)</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84,345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(127,727)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(151.4)%</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(31,260)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(33,882)</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(1292.2)%</w:t>
            </w:r>
          </w:p>
        </w:tc>
        <w:tc>
          <w:tcPr>
            <w:tcW w:w="0" w:type="dxa"/>
            <w:vAlign w:val="bottom"/>
          </w:tcPr>
          <w:p>
            <w:pPr>
              <w:spacing w:after="0"/>
              <w:rPr>
                <w:sz w:val="1"/>
                <w:szCs w:val="1"/>
                <w:color w:val="auto"/>
              </w:rPr>
            </w:pPr>
          </w:p>
        </w:tc>
      </w:tr>
      <w:tr>
        <w:trPr>
          <w:trHeight w:val="167"/>
        </w:trPr>
        <w:tc>
          <w:tcPr>
            <w:tcW w:w="402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4,654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2,819</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1,835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65.1 %</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(713.1)%</w:t>
            </w: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 (loss)</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(71,490)</w:t>
            </w:r>
          </w:p>
        </w:tc>
        <w:tc>
          <w:tcPr>
            <w:tcW w:w="100" w:type="dxa"/>
            <w:vAlign w:val="bottom"/>
            <w:tcBorders>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90,031</w:t>
            </w:r>
          </w:p>
        </w:tc>
        <w:tc>
          <w:tcPr>
            <w:tcW w:w="8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(161,521)</w:t>
            </w:r>
          </w:p>
        </w:tc>
        <w:tc>
          <w:tcPr>
            <w:tcW w:w="80" w:type="dxa"/>
            <w:vAlign w:val="bottom"/>
            <w:tcBorders>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115,590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97,807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17,783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18.2 %</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94,056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impairment charges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24,283</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020" w:type="dxa"/>
            <w:vAlign w:val="bottom"/>
          </w:tcPr>
          <w:p>
            <w:pPr>
              <w:ind w:left="240"/>
              <w:spacing w:after="0"/>
              <w:rPr>
                <w:sz w:val="20"/>
                <w:szCs w:val="20"/>
                <w:color w:val="auto"/>
              </w:rPr>
            </w:pPr>
            <w:r>
              <w:rPr>
                <w:rFonts w:ascii="Arial" w:cs="Arial" w:eastAsia="Arial" w:hAnsi="Arial"/>
                <w:sz w:val="13"/>
                <w:szCs w:val="13"/>
                <w:color w:val="auto"/>
              </w:rPr>
              <w:t>Restructuring and other related charges</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12,184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12,184</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7"/>
        </w:trPr>
        <w:tc>
          <w:tcPr>
            <w:tcW w:w="402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386,553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(386,553)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57,069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33,505</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23,564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70.3 %</w:t>
            </w:r>
          </w:p>
        </w:tc>
        <w:tc>
          <w:tcPr>
            <w:tcW w:w="0" w:type="dxa"/>
            <w:vAlign w:val="bottom"/>
          </w:tcPr>
          <w:p>
            <w:pPr>
              <w:spacing w:after="0"/>
              <w:rPr>
                <w:sz w:val="1"/>
                <w:szCs w:val="1"/>
                <w:color w:val="auto"/>
              </w:rPr>
            </w:pPr>
          </w:p>
        </w:tc>
      </w:tr>
      <w:tr>
        <w:trPr>
          <w:trHeight w:val="169"/>
        </w:trPr>
        <w:tc>
          <w:tcPr>
            <w:tcW w:w="4020" w:type="dxa"/>
            <w:vAlign w:val="bottom"/>
          </w:tcPr>
          <w:p>
            <w:pPr>
              <w:ind w:left="240"/>
              <w:spacing w:after="0"/>
              <w:rPr>
                <w:sz w:val="20"/>
                <w:szCs w:val="20"/>
                <w:color w:val="auto"/>
              </w:rPr>
            </w:pPr>
            <w:r>
              <w:rPr>
                <w:rFonts w:ascii="Arial" w:cs="Arial" w:eastAsia="Arial" w:hAnsi="Arial"/>
                <w:sz w:val="13"/>
                <w:szCs w:val="13"/>
                <w:color w:val="auto"/>
              </w:rPr>
              <w:t>Other (income) expense, net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(669)</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20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(375,620)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(534,218)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158,598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(29.7)%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89" w:right="339" w:bottom="1440" w:gutter="0" w:footer="0" w:header="0"/>
        </w:sectPr>
      </w:pPr>
    </w:p>
    <w:bookmarkStart w:id="14" w:name="page15"/>
    <w:bookmarkEnd w:id="14"/>
    <w:p>
      <w:pPr>
        <w:ind w:right="540"/>
        <w:spacing w:after="0" w:line="244"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number of Submissions by product for each of the Medicare segments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4"/>
          </w:tcPr>
          <w:p>
            <w:pPr>
              <w:ind w:left="480"/>
              <w:spacing w:after="0"/>
              <w:rPr>
                <w:sz w:val="20"/>
                <w:szCs w:val="20"/>
                <w:color w:val="auto"/>
              </w:rPr>
            </w:pPr>
            <w:r>
              <w:rPr>
                <w:rFonts w:ascii="Arial" w:cs="Arial" w:eastAsia="Arial" w:hAnsi="Arial"/>
                <w:sz w:val="13"/>
                <w:szCs w:val="13"/>
                <w:b w:val="1"/>
                <w:bCs w:val="1"/>
                <w:color w:val="auto"/>
              </w:rPr>
              <w:t>Three months ended Dec. 31,</w:t>
            </w:r>
          </w:p>
        </w:tc>
        <w:tc>
          <w:tcPr>
            <w:tcW w:w="272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Twelve months ended Dec. 31,</w:t>
            </w:r>
          </w:p>
        </w:tc>
      </w:tr>
      <w:tr>
        <w:trPr>
          <w:trHeight w:val="172"/>
        </w:trPr>
        <w:tc>
          <w:tcPr>
            <w:tcW w:w="5700" w:type="dxa"/>
            <w:vAlign w:val="bottom"/>
            <w:gridSpan w:val="2"/>
          </w:tcPr>
          <w:p>
            <w:pPr>
              <w:ind w:left="20"/>
              <w:spacing w:after="0"/>
              <w:rPr>
                <w:sz w:val="20"/>
                <w:szCs w:val="20"/>
                <w:color w:val="auto"/>
              </w:rPr>
            </w:pPr>
            <w:r>
              <w:rPr>
                <w:rFonts w:ascii="Arial" w:cs="Arial" w:eastAsia="Arial" w:hAnsi="Arial"/>
                <w:sz w:val="13"/>
                <w:szCs w:val="13"/>
                <w:color w:val="auto"/>
              </w:rPr>
              <w:t>Submissions</w:t>
            </w:r>
          </w:p>
        </w:tc>
        <w:tc>
          <w:tcPr>
            <w:tcW w:w="132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30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r>
      <w:tr>
        <w:trPr>
          <w:trHeight w:val="173"/>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Medicare-Internal</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68"/>
        </w:trPr>
        <w:tc>
          <w:tcPr>
            <w:tcW w:w="5700" w:type="dxa"/>
            <w:vAlign w:val="bottom"/>
            <w:gridSpan w:val="2"/>
          </w:tcPr>
          <w:p>
            <w:pPr>
              <w:ind w:left="20"/>
              <w:spacing w:after="0"/>
              <w:rPr>
                <w:sz w:val="20"/>
                <w:szCs w:val="20"/>
                <w:color w:val="auto"/>
              </w:rPr>
            </w:pPr>
            <w:r>
              <w:rPr>
                <w:rFonts w:ascii="Arial" w:cs="Arial" w:eastAsia="Arial" w:hAnsi="Arial"/>
                <w:sz w:val="13"/>
                <w:szCs w:val="13"/>
                <w:color w:val="auto"/>
              </w:rPr>
              <w:t>Medicare Advantage</w:t>
            </w:r>
          </w:p>
        </w:tc>
        <w:tc>
          <w:tcPr>
            <w:tcW w:w="1320" w:type="dxa"/>
            <w:vAlign w:val="bottom"/>
          </w:tcPr>
          <w:p>
            <w:pPr>
              <w:jc w:val="right"/>
              <w:spacing w:after="0"/>
              <w:rPr>
                <w:sz w:val="20"/>
                <w:szCs w:val="20"/>
                <w:color w:val="auto"/>
              </w:rPr>
            </w:pPr>
            <w:r>
              <w:rPr>
                <w:rFonts w:ascii="Arial" w:cs="Arial" w:eastAsia="Arial" w:hAnsi="Arial"/>
                <w:sz w:val="13"/>
                <w:szCs w:val="13"/>
                <w:color w:val="auto"/>
              </w:rPr>
              <w:t>176,975</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439,968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482,356</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793,267</w:t>
            </w:r>
          </w:p>
        </w:tc>
      </w:tr>
      <w:tr>
        <w:trPr>
          <w:trHeight w:val="18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Medicare Supplement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r>
      <w:tr>
        <w:trPr>
          <w:trHeight w:val="169"/>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Prescription Drug Plans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5,934</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16,438</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11,347</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22,322</w:t>
            </w:r>
          </w:p>
        </w:tc>
      </w:tr>
      <w:tr>
        <w:trPr>
          <w:trHeight w:val="17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Medicare-Internal Submissions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182,985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456,877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493,984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816,614</w:t>
            </w:r>
          </w:p>
        </w:tc>
      </w:tr>
      <w:tr>
        <w:trPr>
          <w:trHeight w:val="150"/>
        </w:trPr>
        <w:tc>
          <w:tcPr>
            <w:tcW w:w="562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Medicare-External</w:t>
            </w:r>
          </w:p>
        </w:tc>
        <w:tc>
          <w:tcPr>
            <w:tcW w:w="80" w:type="dxa"/>
            <w:vAlign w:val="bottom"/>
            <w:tcBorders>
              <w:top w:val="single" w:sz="8" w:color="494949"/>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181"/>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128,529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266,795</w:t>
            </w:r>
          </w:p>
        </w:tc>
      </w:tr>
      <w:tr>
        <w:trPr>
          <w:trHeight w:val="168"/>
        </w:trPr>
        <w:tc>
          <w:tcPr>
            <w:tcW w:w="5700" w:type="dxa"/>
            <w:vAlign w:val="bottom"/>
            <w:gridSpan w:val="2"/>
          </w:tcPr>
          <w:p>
            <w:pPr>
              <w:ind w:left="20"/>
              <w:spacing w:after="0"/>
              <w:rPr>
                <w:sz w:val="20"/>
                <w:szCs w:val="20"/>
                <w:color w:val="auto"/>
              </w:rPr>
            </w:pPr>
            <w:r>
              <w:rPr>
                <w:rFonts w:ascii="Arial" w:cs="Arial" w:eastAsia="Arial" w:hAnsi="Arial"/>
                <w:sz w:val="13"/>
                <w:szCs w:val="13"/>
                <w:color w:val="auto"/>
              </w:rPr>
              <w:t>Medicare Supplement</w:t>
            </w:r>
          </w:p>
        </w:tc>
        <w:tc>
          <w:tcPr>
            <w:tcW w:w="1320" w:type="dxa"/>
            <w:vAlign w:val="bottom"/>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2,531</w:t>
            </w:r>
          </w:p>
        </w:tc>
      </w:tr>
      <w:tr>
        <w:trPr>
          <w:trHeight w:val="18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12,440</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11,628</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21,314</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12,344</w:t>
            </w:r>
          </w:p>
        </w:tc>
      </w:tr>
      <w:tr>
        <w:trPr>
          <w:trHeight w:val="163"/>
        </w:trPr>
        <w:tc>
          <w:tcPr>
            <w:tcW w:w="5700" w:type="dxa"/>
            <w:vAlign w:val="bottom"/>
            <w:gridSpan w:val="2"/>
          </w:tcPr>
          <w:p>
            <w:pPr>
              <w:ind w:left="20"/>
              <w:spacing w:after="0"/>
              <w:rPr>
                <w:sz w:val="20"/>
                <w:szCs w:val="20"/>
                <w:color w:val="auto"/>
              </w:rPr>
            </w:pPr>
            <w:r>
              <w:rPr>
                <w:rFonts w:ascii="Arial" w:cs="Arial" w:eastAsia="Arial" w:hAnsi="Arial"/>
                <w:sz w:val="13"/>
                <w:szCs w:val="13"/>
                <w:b w:val="1"/>
                <w:bCs w:val="1"/>
                <w:color w:val="auto"/>
              </w:rPr>
              <w:t>Medicare-External Submissions</w:t>
            </w:r>
          </w:p>
        </w:tc>
        <w:tc>
          <w:tcPr>
            <w:tcW w:w="1320" w:type="dxa"/>
            <w:vAlign w:val="bottom"/>
          </w:tcPr>
          <w:p>
            <w:pPr>
              <w:jc w:val="right"/>
              <w:spacing w:after="0"/>
              <w:rPr>
                <w:sz w:val="20"/>
                <w:szCs w:val="20"/>
                <w:color w:val="auto"/>
              </w:rPr>
            </w:pPr>
            <w:r>
              <w:rPr>
                <w:rFonts w:ascii="Arial" w:cs="Arial" w:eastAsia="Arial" w:hAnsi="Arial"/>
                <w:sz w:val="13"/>
                <w:szCs w:val="13"/>
                <w:color w:val="auto"/>
              </w:rPr>
              <w:t>141,148</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157,952</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368,672</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281,670</w:t>
            </w:r>
          </w:p>
        </w:tc>
      </w:tr>
      <w:tr>
        <w:trPr>
          <w:trHeight w:val="162"/>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Total Submissions</w:t>
            </w:r>
          </w:p>
        </w:tc>
        <w:tc>
          <w:tcPr>
            <w:tcW w:w="80" w:type="dxa"/>
            <w:vAlign w:val="bottom"/>
            <w:tcBorders>
              <w:top w:val="single" w:sz="8" w:color="494949"/>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68"/>
        </w:trPr>
        <w:tc>
          <w:tcPr>
            <w:tcW w:w="5700" w:type="dxa"/>
            <w:vAlign w:val="bottom"/>
            <w:gridSpan w:val="2"/>
          </w:tcPr>
          <w:p>
            <w:pPr>
              <w:ind w:left="20"/>
              <w:spacing w:after="0"/>
              <w:rPr>
                <w:sz w:val="20"/>
                <w:szCs w:val="20"/>
                <w:color w:val="auto"/>
              </w:rPr>
            </w:pPr>
            <w:r>
              <w:rPr>
                <w:rFonts w:ascii="Arial" w:cs="Arial" w:eastAsia="Arial" w:hAnsi="Arial"/>
                <w:sz w:val="13"/>
                <w:szCs w:val="13"/>
                <w:color w:val="auto"/>
              </w:rPr>
              <w:t>Medicare Advantage</w:t>
            </w:r>
          </w:p>
        </w:tc>
        <w:tc>
          <w:tcPr>
            <w:tcW w:w="1320" w:type="dxa"/>
            <w:vAlign w:val="bottom"/>
          </w:tcPr>
          <w:p>
            <w:pPr>
              <w:jc w:val="right"/>
              <w:spacing w:after="0"/>
              <w:rPr>
                <w:sz w:val="20"/>
                <w:szCs w:val="20"/>
                <w:color w:val="auto"/>
              </w:rPr>
            </w:pPr>
            <w:r>
              <w:rPr>
                <w:rFonts w:ascii="Arial" w:cs="Arial" w:eastAsia="Arial" w:hAnsi="Arial"/>
                <w:sz w:val="13"/>
                <w:szCs w:val="13"/>
                <w:color w:val="auto"/>
              </w:rPr>
              <w:t>305,504</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585,584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829,256</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1,060,062</w:t>
            </w:r>
          </w:p>
        </w:tc>
      </w:tr>
      <w:tr>
        <w:trPr>
          <w:trHeight w:val="18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Medicare Supplemental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3,556</w:t>
            </w:r>
          </w:p>
        </w:tc>
      </w:tr>
      <w:tr>
        <w:trPr>
          <w:trHeight w:val="169"/>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Prescription Drug Plans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18,374</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28,066</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32,661</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34,666</w:t>
            </w:r>
          </w:p>
        </w:tc>
      </w:tr>
      <w:tr>
        <w:trPr>
          <w:trHeight w:val="201"/>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Medicare Submissions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324,133</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614,829</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862,656</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1,098,284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by product for the Medicare segments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ind w:left="200"/>
              <w:spacing w:after="0"/>
              <w:rPr>
                <w:sz w:val="20"/>
                <w:szCs w:val="20"/>
                <w:color w:val="auto"/>
              </w:rPr>
            </w:pPr>
            <w:r>
              <w:rPr>
                <w:rFonts w:ascii="Arial" w:cs="Arial" w:eastAsia="Arial" w:hAnsi="Arial"/>
                <w:sz w:val="13"/>
                <w:szCs w:val="13"/>
                <w:b w:val="1"/>
                <w:bCs w:val="1"/>
                <w:color w:val="auto"/>
              </w:rPr>
              <w:t>Three months ended Dec. 31,</w:t>
            </w:r>
          </w:p>
        </w:tc>
        <w:tc>
          <w:tcPr>
            <w:tcW w:w="280" w:type="dxa"/>
            <w:vAlign w:val="bottom"/>
          </w:tcPr>
          <w:p>
            <w:pPr>
              <w:spacing w:after="0"/>
              <w:rPr>
                <w:sz w:val="15"/>
                <w:szCs w:val="15"/>
                <w:color w:val="auto"/>
              </w:rPr>
            </w:pPr>
          </w:p>
        </w:tc>
        <w:tc>
          <w:tcPr>
            <w:tcW w:w="2440" w:type="dxa"/>
            <w:vAlign w:val="bottom"/>
            <w:gridSpan w:val="4"/>
          </w:tcPr>
          <w:p>
            <w:pPr>
              <w:jc w:val="right"/>
              <w:ind w:right="397"/>
              <w:spacing w:after="0"/>
              <w:rPr>
                <w:sz w:val="20"/>
                <w:szCs w:val="20"/>
                <w:color w:val="auto"/>
              </w:rPr>
            </w:pPr>
            <w:r>
              <w:rPr>
                <w:rFonts w:ascii="Arial" w:cs="Arial" w:eastAsia="Arial" w:hAnsi="Arial"/>
                <w:sz w:val="13"/>
                <w:szCs w:val="13"/>
                <w:b w:val="1"/>
                <w:bCs w:val="1"/>
                <w:color w:val="auto"/>
              </w:rPr>
              <w:t>Twelve months ended Dec. 31,</w:t>
            </w:r>
          </w:p>
        </w:tc>
      </w:tr>
      <w:tr>
        <w:trPr>
          <w:trHeight w:val="17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Sales Per Submission</w:t>
            </w:r>
          </w:p>
        </w:tc>
        <w:tc>
          <w:tcPr>
            <w:tcW w:w="100" w:type="dxa"/>
            <w:vAlign w:val="bottom"/>
            <w:tcBorders>
              <w:bottom w:val="single" w:sz="8" w:color="494949"/>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494949"/>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494949"/>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494949"/>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2021</w:t>
            </w:r>
          </w:p>
        </w:tc>
      </w:tr>
      <w:tr>
        <w:trPr>
          <w:trHeight w:val="17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w:t>
            </w:r>
          </w:p>
        </w:tc>
      </w:tr>
      <w:tr>
        <w:trPr>
          <w:trHeight w:val="168"/>
        </w:trPr>
        <w:tc>
          <w:tcPr>
            <w:tcW w:w="5440" w:type="dxa"/>
            <w:vAlign w:val="bottom"/>
            <w:gridSpan w:val="2"/>
          </w:tcPr>
          <w:p>
            <w:pPr>
              <w:ind w:left="20"/>
              <w:spacing w:after="0"/>
              <w:rPr>
                <w:sz w:val="20"/>
                <w:szCs w:val="20"/>
                <w:color w:val="auto"/>
              </w:rPr>
            </w:pPr>
            <w:r>
              <w:rPr>
                <w:rFonts w:ascii="Arial" w:cs="Arial" w:eastAsia="Arial" w:hAnsi="Arial"/>
                <w:sz w:val="13"/>
                <w:szCs w:val="13"/>
                <w:color w:val="auto"/>
              </w:rPr>
              <w:t>Medicare Supplement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965</w:t>
            </w:r>
          </w:p>
        </w:tc>
        <w:tc>
          <w:tcPr>
            <w:tcW w:w="80" w:type="dxa"/>
            <w:vAlign w:val="bottom"/>
          </w:tcPr>
          <w:p>
            <w:pPr>
              <w:spacing w:after="0"/>
              <w:rPr>
                <w:sz w:val="14"/>
                <w:szCs w:val="14"/>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853</w:t>
            </w:r>
          </w:p>
        </w:tc>
      </w:tr>
      <w:tr>
        <w:trPr>
          <w:trHeight w:val="18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2023-03-16T15:26:32Z</dcterms:created>
  <dcterms:modified xsi:type="dcterms:W3CDTF">2023-03-16T15:26:32Z</dcterms:modified>
</cp:coreProperties>
</file>