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536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5361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gridSpan w:val="2"/>
            <w:vMerge w:val="restart"/>
          </w:tcPr>
          <w:p>
            <w:pPr>
              <w:spacing w:after="0" w:line="181" w:lineRule="exact"/>
              <w:rPr>
                <w:rFonts w:ascii="Arial" w:cs="Arial" w:eastAsia="Arial" w:hAnsi="Arial"/>
                <w:sz w:val="16"/>
                <w:szCs w:val="16"/>
                <w:color w:val="0000EE"/>
                <w:w w:val="92"/>
              </w:rPr>
            </w:pPr>
            <w:hyperlink r:id="rId11">
              <w:r>
                <w:rPr>
                  <w:rFonts w:ascii="Arial" w:cs="Arial" w:eastAsia="Arial" w:hAnsi="Arial"/>
                  <w:sz w:val="16"/>
                  <w:szCs w:val="16"/>
                  <w:color w:val="0000EE"/>
                  <w:w w:val="92"/>
                </w:rPr>
                <w:t>Litchford Christopher</w:t>
              </w:r>
            </w:hyperlink>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Borders>
              <w:bottom w:val="single" w:sz="8" w:color="0000EE"/>
            </w:tcBorders>
            <w:gridSpan w:val="2"/>
            <w:vMerge w:val="continue"/>
          </w:tcPr>
          <w:p>
            <w:pPr>
              <w:spacing w:after="0"/>
              <w:rPr>
                <w:sz w:val="9"/>
                <w:szCs w:val="9"/>
                <w:color w:val="auto"/>
              </w:rPr>
            </w:pPr>
          </w:p>
        </w:tc>
        <w:tc>
          <w:tcPr>
            <w:tcW w:w="60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09/14/2022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gridSpan w:val="2"/>
          </w:tcPr>
          <w:p>
            <w:pPr>
              <w:spacing w:after="0"/>
              <w:rPr>
                <w:sz w:val="3"/>
                <w:szCs w:val="3"/>
                <w:color w:val="auto"/>
              </w:rPr>
            </w:pPr>
          </w:p>
        </w:tc>
        <w:tc>
          <w:tcPr>
            <w:tcW w:w="60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0"/>
                <w:szCs w:val="10"/>
                <w:color w:val="auto"/>
              </w:rPr>
              <w:t>(Last)</w:t>
            </w:r>
          </w:p>
        </w:tc>
        <w:tc>
          <w:tcPr>
            <w:tcW w:w="136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7" w:lineRule="exact"/>
        <w:rPr>
          <w:sz w:val="24"/>
          <w:szCs w:val="24"/>
          <w:color w:val="auto"/>
        </w:rPr>
      </w:pPr>
    </w:p>
    <w:p>
      <w:pPr>
        <w:spacing w:after="0"/>
        <w:rPr>
          <w:rFonts w:ascii="Arial" w:cs="Arial" w:eastAsia="Arial" w:hAnsi="Arial"/>
          <w:sz w:val="16"/>
          <w:szCs w:val="16"/>
          <w:color w:val="0000EE"/>
        </w:rPr>
      </w:pPr>
      <w:hyperlink r:id="rId12">
        <w:r>
          <w:rPr>
            <w:rFonts w:ascii="Arial" w:cs="Arial" w:eastAsia="Arial" w:hAnsi="Arial"/>
            <w:sz w:val="16"/>
            <w:szCs w:val="16"/>
            <w:u w:val="single" w:color="auto"/>
            <w:color w:val="0000EE"/>
          </w:rPr>
          <w:t>GoHealth,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GOCO</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349"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114" w:lineRule="exact"/>
        <w:rPr>
          <w:sz w:val="24"/>
          <w:szCs w:val="24"/>
          <w:color w:val="auto"/>
        </w:rPr>
      </w:pPr>
    </w:p>
    <w:tbl>
      <w:tblPr>
        <w:tblLayout w:type="fixed"/>
        <w:tblInd w:w="60" w:type="dxa"/>
        <w:tblCellMar>
          <w:top w:w="0" w:type="dxa"/>
          <w:left w:w="0" w:type="dxa"/>
          <w:bottom w:w="0" w:type="dxa"/>
          <w:right w:w="0" w:type="dxa"/>
        </w:tblCellMar>
      </w:tblPr>
      <w:tr>
        <w:trPr>
          <w:trHeight w:val="164"/>
        </w:trPr>
        <w:tc>
          <w:tcPr>
            <w:tcW w:w="1720" w:type="dxa"/>
            <w:vAlign w:val="bottom"/>
            <w:gridSpan w:val="2"/>
          </w:tcPr>
          <w:p>
            <w:pPr>
              <w:ind w:left="40"/>
              <w:spacing w:after="0"/>
              <w:rPr>
                <w:sz w:val="20"/>
                <w:szCs w:val="20"/>
                <w:color w:val="auto"/>
              </w:rPr>
            </w:pPr>
            <w:r>
              <w:rPr>
                <w:rFonts w:ascii="Arial" w:cs="Arial" w:eastAsia="Arial" w:hAnsi="Arial"/>
                <w:sz w:val="13"/>
                <w:szCs w:val="13"/>
                <w:color w:val="0000FF"/>
              </w:rPr>
              <w:t>214 WEST HURON ST.</w:t>
            </w:r>
          </w:p>
        </w:tc>
        <w:tc>
          <w:tcPr>
            <w:tcW w:w="740" w:type="dxa"/>
            <w:vAlign w:val="bottom"/>
          </w:tcPr>
          <w:p>
            <w:pPr>
              <w:spacing w:after="0"/>
              <w:rPr>
                <w:sz w:val="14"/>
                <w:szCs w:val="14"/>
                <w:color w:val="auto"/>
              </w:rPr>
            </w:pPr>
          </w:p>
        </w:tc>
      </w:tr>
      <w:tr>
        <w:trPr>
          <w:trHeight w:val="372"/>
        </w:trPr>
        <w:tc>
          <w:tcPr>
            <w:tcW w:w="860" w:type="dxa"/>
            <w:vAlign w:val="bottom"/>
          </w:tcPr>
          <w:p>
            <w:pPr>
              <w:spacing w:after="0"/>
              <w:rPr>
                <w:sz w:val="20"/>
                <w:szCs w:val="20"/>
                <w:color w:val="auto"/>
              </w:rPr>
            </w:pPr>
            <w:r>
              <w:rPr>
                <w:rFonts w:ascii="Arial" w:cs="Arial" w:eastAsia="Arial" w:hAnsi="Arial"/>
                <w:sz w:val="10"/>
                <w:szCs w:val="10"/>
                <w:color w:val="auto"/>
              </w:rPr>
              <w:t>(Street)</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8"/>
        </w:trPr>
        <w:tc>
          <w:tcPr>
            <w:tcW w:w="860" w:type="dxa"/>
            <w:vAlign w:val="bottom"/>
          </w:tcPr>
          <w:p>
            <w:pPr>
              <w:ind w:left="40"/>
              <w:spacing w:after="0"/>
              <w:rPr>
                <w:sz w:val="20"/>
                <w:szCs w:val="20"/>
                <w:color w:val="auto"/>
              </w:rPr>
            </w:pPr>
            <w:r>
              <w:rPr>
                <w:rFonts w:ascii="Arial" w:cs="Arial" w:eastAsia="Arial" w:hAnsi="Arial"/>
                <w:sz w:val="13"/>
                <w:szCs w:val="13"/>
                <w:color w:val="0000FF"/>
              </w:rPr>
              <w:t>CHICAGO</w:t>
            </w:r>
          </w:p>
        </w:tc>
        <w:tc>
          <w:tcPr>
            <w:tcW w:w="860" w:type="dxa"/>
            <w:vAlign w:val="bottom"/>
          </w:tcPr>
          <w:p>
            <w:pPr>
              <w:ind w:left="220"/>
              <w:spacing w:after="0"/>
              <w:rPr>
                <w:sz w:val="20"/>
                <w:szCs w:val="20"/>
                <w:color w:val="auto"/>
              </w:rPr>
            </w:pPr>
            <w:r>
              <w:rPr>
                <w:rFonts w:ascii="Arial" w:cs="Arial" w:eastAsia="Arial" w:hAnsi="Arial"/>
                <w:sz w:val="13"/>
                <w:szCs w:val="13"/>
                <w:color w:val="0000FF"/>
              </w:rPr>
              <w:t>IL</w:t>
            </w:r>
          </w:p>
        </w:tc>
        <w:tc>
          <w:tcPr>
            <w:tcW w:w="740" w:type="dxa"/>
            <w:vAlign w:val="bottom"/>
          </w:tcPr>
          <w:p>
            <w:pPr>
              <w:jc w:val="right"/>
              <w:spacing w:after="0"/>
              <w:rPr>
                <w:sz w:val="20"/>
                <w:szCs w:val="20"/>
                <w:color w:val="auto"/>
              </w:rPr>
            </w:pPr>
            <w:r>
              <w:rPr>
                <w:rFonts w:ascii="Arial" w:cs="Arial" w:eastAsia="Arial" w:hAnsi="Arial"/>
                <w:sz w:val="13"/>
                <w:szCs w:val="13"/>
                <w:color w:val="0000FF"/>
              </w:rPr>
              <w:t>60654</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8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3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2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56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160" w:type="dxa"/>
            <w:vAlign w:val="bottom"/>
          </w:tcPr>
          <w:p>
            <w:pPr>
              <w:spacing w:after="0"/>
              <w:rPr>
                <w:sz w:val="10"/>
                <w:szCs w:val="10"/>
                <w:color w:val="auto"/>
              </w:rPr>
            </w:pPr>
          </w:p>
        </w:tc>
        <w:tc>
          <w:tcPr>
            <w:tcW w:w="960" w:type="dxa"/>
            <w:vAlign w:val="bottom"/>
            <w:gridSpan w:val="3"/>
          </w:tcPr>
          <w:p>
            <w:pPr>
              <w:ind w:left="10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4"/>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6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gridSpan w:val="2"/>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60" w:type="dxa"/>
            <w:vAlign w:val="bottom"/>
            <w:gridSpan w:val="3"/>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20" w:type="dxa"/>
            <w:vAlign w:val="bottom"/>
            <w:gridSpan w:val="2"/>
            <w:vMerge w:val="continue"/>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3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20" w:type="dxa"/>
            <w:vAlign w:val="bottom"/>
            <w:gridSpan w:val="2"/>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tcPr>
          <w:p>
            <w:pPr>
              <w:ind w:left="540"/>
              <w:spacing w:after="0"/>
              <w:rPr>
                <w:sz w:val="20"/>
                <w:szCs w:val="20"/>
                <w:color w:val="auto"/>
              </w:rPr>
            </w:pPr>
            <w:r>
              <w:rPr>
                <w:rFonts w:ascii="Arial" w:cs="Arial" w:eastAsia="Arial" w:hAnsi="Arial"/>
                <w:sz w:val="10"/>
                <w:szCs w:val="10"/>
                <w:b w:val="1"/>
                <w:bCs w:val="1"/>
                <w:color w:val="auto"/>
              </w:rPr>
              <w:t>Shares</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3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40" w:type="dxa"/>
            <w:vAlign w:val="bottom"/>
          </w:tcPr>
          <w:p>
            <w:pPr>
              <w:ind w:left="40"/>
              <w:spacing w:after="0"/>
              <w:rPr>
                <w:sz w:val="20"/>
                <w:szCs w:val="20"/>
                <w:color w:val="auto"/>
              </w:rPr>
            </w:pPr>
            <w:r>
              <w:rPr>
                <w:rFonts w:ascii="Arial" w:cs="Arial" w:eastAsia="Arial" w:hAnsi="Arial"/>
                <w:sz w:val="10"/>
                <w:szCs w:val="10"/>
                <w:color w:val="008000"/>
              </w:rPr>
              <w:t>Exhibit 24 - Power of Attorney.</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No securities are beneficially owned.</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60" w:type="dxa"/>
            <w:vAlign w:val="bottom"/>
            <w:gridSpan w:val="3"/>
          </w:tcPr>
          <w:p>
            <w:pPr>
              <w:spacing w:after="0"/>
              <w:rPr>
                <w:sz w:val="20"/>
                <w:szCs w:val="20"/>
                <w:color w:val="auto"/>
              </w:rPr>
            </w:pPr>
            <w:r>
              <w:rPr>
                <w:rFonts w:ascii="Arial" w:cs="Arial" w:eastAsia="Arial" w:hAnsi="Arial"/>
                <w:sz w:val="13"/>
                <w:szCs w:val="13"/>
                <w:color w:val="0000FF"/>
              </w:rPr>
              <w:t>/s/ Brian Farley, Attorney-in-fact</w:t>
            </w:r>
          </w:p>
        </w:tc>
        <w:tc>
          <w:tcPr>
            <w:tcW w:w="960" w:type="dxa"/>
            <w:vAlign w:val="bottom"/>
            <w:gridSpan w:val="3"/>
          </w:tcPr>
          <w:p>
            <w:pPr>
              <w:ind w:left="340"/>
              <w:spacing w:after="0"/>
              <w:rPr>
                <w:sz w:val="20"/>
                <w:szCs w:val="20"/>
                <w:color w:val="auto"/>
              </w:rPr>
            </w:pPr>
            <w:r>
              <w:rPr>
                <w:rFonts w:ascii="Arial" w:cs="Arial" w:eastAsia="Arial" w:hAnsi="Arial"/>
                <w:sz w:val="13"/>
                <w:szCs w:val="13"/>
                <w:color w:val="0000FF"/>
                <w:w w:val="92"/>
              </w:rPr>
              <w:t>09/23/2022</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0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With respect to holdings of and transactions in securities issued by GoHealth, Inc. (the "Company"), the undersigned hereby constitute</w:t>
      </w:r>
    </w:p>
    <w:p>
      <w:pPr>
        <w:spacing w:after="0" w:line="4" w:lineRule="exact"/>
        <w:rPr>
          <w:sz w:val="20"/>
          <w:szCs w:val="20"/>
          <w:color w:val="auto"/>
        </w:rPr>
      </w:pPr>
    </w:p>
    <w:p>
      <w:pPr>
        <w:ind w:left="940" w:hanging="472"/>
        <w:spacing w:after="0"/>
        <w:tabs>
          <w:tab w:leader="none" w:pos="9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United States Securities and Exchang</w:t>
      </w:r>
    </w:p>
    <w:p>
      <w:pPr>
        <w:spacing w:after="0" w:line="14" w:lineRule="exact"/>
        <w:rPr>
          <w:rFonts w:ascii="Courier New" w:cs="Courier New" w:eastAsia="Courier New" w:hAnsi="Courier New"/>
          <w:sz w:val="12"/>
          <w:szCs w:val="12"/>
          <w:color w:val="auto"/>
        </w:rPr>
      </w:pPr>
    </w:p>
    <w:p>
      <w:pPr>
        <w:ind w:left="940" w:hanging="472"/>
        <w:spacing w:after="0"/>
        <w:tabs>
          <w:tab w:leader="none" w:pos="9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Forms 3, 4, and 5 in accordance with Section 16 of the Securities Exchange Act of 19</w:t>
      </w:r>
    </w:p>
    <w:p>
      <w:pPr>
        <w:spacing w:after="0" w:line="14" w:lineRule="exact"/>
        <w:rPr>
          <w:rFonts w:ascii="Courier New" w:cs="Courier New" w:eastAsia="Courier New" w:hAnsi="Courier New"/>
          <w:sz w:val="12"/>
          <w:szCs w:val="12"/>
          <w:color w:val="auto"/>
        </w:rPr>
      </w:pPr>
    </w:p>
    <w:p>
      <w:pPr>
        <w:ind w:left="940" w:hanging="472"/>
        <w:spacing w:after="0"/>
        <w:tabs>
          <w:tab w:leader="none" w:pos="9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w:t>
      </w:r>
    </w:p>
    <w:p>
      <w:pPr>
        <w:spacing w:after="0" w:line="14" w:lineRule="exact"/>
        <w:rPr>
          <w:rFonts w:ascii="Courier New" w:cs="Courier New" w:eastAsia="Courier New" w:hAnsi="Courier New"/>
          <w:sz w:val="12"/>
          <w:szCs w:val="12"/>
          <w:color w:val="auto"/>
        </w:rPr>
      </w:pPr>
    </w:p>
    <w:p>
      <w:pPr>
        <w:ind w:left="620" w:hanging="152"/>
        <w:spacing w:after="0" w:line="244" w:lineRule="auto"/>
        <w:tabs>
          <w:tab w:leader="none" w:pos="932"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The undersigned hereby grants to each such attorney-in-fact full power and authority to do and perform any and every act and thing wha The undersigned acknowledges that the foregoing attorneys-in-fact, in serving in such capacity at the request of the undersigned, are This Power of Attorney shall remain in full force and effect until the undersigned is no longer required to file Forms 3, 4, and 5 wit</w:t>
      </w:r>
    </w:p>
    <w:p>
      <w:pPr>
        <w:spacing w:after="0" w:line="301"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IN WITNESS WHEREOF, the undersigned has executed this Power of Attorney on this 14th day of September, 2022.</w:t>
      </w:r>
    </w:p>
    <w:p>
      <w:pPr>
        <w:spacing w:after="0" w:line="15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Signature:</w:t>
      </w:r>
      <w:r>
        <w:rPr>
          <w:sz w:val="20"/>
          <w:szCs w:val="20"/>
          <w:color w:val="auto"/>
        </w:rPr>
        <w:tab/>
      </w:r>
      <w:r>
        <w:rPr>
          <w:rFonts w:ascii="Courier New" w:cs="Courier New" w:eastAsia="Courier New" w:hAnsi="Courier New"/>
          <w:sz w:val="13"/>
          <w:szCs w:val="13"/>
          <w:color w:val="auto"/>
        </w:rPr>
        <w:t>_/s/ Christopher Litchford_</w:t>
      </w:r>
    </w:p>
    <w:p>
      <w:pPr>
        <w:spacing w:after="0" w:line="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Print Name:</w:t>
        <w:tab/>
        <w:t>Christopher Litchford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Schedule 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Individuals Appointed as Attorney-in-Fact with Full Power of Substitution and Resubstitution:</w:t>
      </w:r>
    </w:p>
    <w:p>
      <w:pPr>
        <w:spacing w:after="0" w:line="3" w:lineRule="exact"/>
        <w:rPr>
          <w:sz w:val="20"/>
          <w:szCs w:val="20"/>
          <w:color w:val="auto"/>
        </w:rPr>
      </w:pPr>
    </w:p>
    <w:p>
      <w:pPr>
        <w:ind w:left="160" w:hanging="160"/>
        <w:spacing w:after="0"/>
        <w:tabs>
          <w:tab w:leader="none" w:pos="16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Brian Farley</w:t>
      </w:r>
    </w:p>
    <w:p>
      <w:pPr>
        <w:spacing w:after="0" w:line="2" w:lineRule="exact"/>
        <w:rPr>
          <w:rFonts w:ascii="Courier New" w:cs="Courier New" w:eastAsia="Courier New" w:hAnsi="Courier New"/>
          <w:sz w:val="13"/>
          <w:szCs w:val="13"/>
          <w:color w:val="auto"/>
        </w:rPr>
      </w:pPr>
    </w:p>
    <w:p>
      <w:pPr>
        <w:ind w:left="160" w:hanging="160"/>
        <w:spacing w:after="0"/>
        <w:tabs>
          <w:tab w:leader="none" w:pos="16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Kasey Wroblewski</w:t>
      </w:r>
    </w:p>
    <w:p>
      <w:pPr>
        <w:spacing w:after="0" w:line="2" w:lineRule="exact"/>
        <w:rPr>
          <w:rFonts w:ascii="Courier New" w:cs="Courier New" w:eastAsia="Courier New" w:hAnsi="Courier New"/>
          <w:sz w:val="13"/>
          <w:szCs w:val="13"/>
          <w:color w:val="auto"/>
        </w:rPr>
      </w:pPr>
    </w:p>
    <w:p>
      <w:pPr>
        <w:ind w:left="160" w:hanging="160"/>
        <w:spacing w:after="0"/>
        <w:tabs>
          <w:tab w:leader="none" w:pos="16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Mark Stortz</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947632" TargetMode="External"/><Relationship Id="rId12"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2022-09-23T15:18:25Z</dcterms:created>
  <dcterms:modified xsi:type="dcterms:W3CDTF">2022-09-23T15:18:25Z</dcterms:modified>
</cp:coreProperties>
</file>