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18, 2021</w:t>
      </w:r>
    </w:p>
    <w:p>
      <w:pPr>
        <w:spacing w:after="0" w:line="125"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399"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399"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399" w:right="339" w:bottom="1440" w:gutter="0" w:footer="0" w:header="0"/>
          <w:type w:val="continuous"/>
        </w:sectPr>
      </w:pPr>
    </w:p>
    <w:p>
      <w:pPr>
        <w:spacing w:after="0" w:line="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399"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399"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399" w:right="339" w:bottom="144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1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55"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type w:val="continuous"/>
        </w:sectPr>
      </w:pPr>
    </w:p>
    <w:bookmarkStart w:id="1" w:name="page2"/>
    <w:bookmarkEnd w:id="1"/>
    <w:p>
      <w:pPr>
        <w:ind w:right="300"/>
        <w:spacing w:after="0" w:line="28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6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On October 18, 2021, GoHealth, Inc. (the “Company”) entered into an amendment to that certain Employment Agreement (“Employment Agreement”) and Executive Common Unit and Profits Unit Agreement (the “PIU Agreement”) with Travis Matthiesen, the Company’s Chief Financial Officer (“CFO”). Mr. Matthiesen will move into a new role within the Company as Chief Transformational Officer (“CTO”). In this new role, Mr. Matthiesen will identify and implement programs and processes to drive efficiencies within the Company. The Company is in the process of searching for a successor to Mr. Matthiesen. Mr. Matthiesen will continue to serve as the CFO until a new CFO commences such role, at which time Mr. Matthiesen will assume the CTO role and assist with the transition.</w:t>
      </w:r>
    </w:p>
    <w:p>
      <w:pPr>
        <w:spacing w:after="0" w:line="9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his new role, Mr. Matthiesen will continue to receive his current base salary, participate in the Company’s employee benefit plans, receive reimbursements for reasonable out-of-pocket business expenses, and be entitled to vacation or paid time off in accordance with applicable Company policy, and his Company equity awards will continue to vest according to their terms. On the first year anniversary of the amendment (the “Trigger Date”), Mr. Matthiesen may decide to terminate his employment with the Company and such termination will qualify under the Good Reason standard of his Employment Agreement; provided, however, that, in such instance, the Severance Period shall be six (6) months and all unvested Service Units shall vest in full upon such termination. In the event Mr. Matthiesen’s employment is terminated by the Company prior to the Trigger Date (unless terminated with cause), Mr. Matthiesen will be entitled to all severance rights and equity vesting under his original Employment Agreements and PIU. Any post-employment payments will be conditioned upon signing a wavier and release of claims agreement as well as compliance with the Restrictive Covenant Agreement previously agreed upon between the Company and Mr. Matthiesen.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2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October 20, 2021</w:t>
      </w:r>
      <w:r>
        <w:rPr>
          <w:sz w:val="20"/>
          <w:szCs w:val="20"/>
          <w:color w:val="auto"/>
        </w:rPr>
        <w:tab/>
      </w:r>
      <w:r>
        <w:rPr>
          <w:rFonts w:ascii="Arial" w:cs="Arial" w:eastAsia="Arial" w:hAnsi="Arial"/>
          <w:sz w:val="15"/>
          <w:szCs w:val="15"/>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7"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Clinton P. Jones</w:t>
      </w:r>
    </w:p>
    <w:p>
      <w:pPr>
        <w:ind w:left="6020"/>
        <w:spacing w:after="0"/>
        <w:rPr>
          <w:sz w:val="20"/>
          <w:szCs w:val="20"/>
          <w:color w:val="auto"/>
        </w:rPr>
      </w:pPr>
      <w:r>
        <w:rPr>
          <w:rFonts w:ascii="Arial" w:cs="Arial" w:eastAsia="Arial" w:hAnsi="Arial"/>
          <w:sz w:val="16"/>
          <w:szCs w:val="16"/>
          <w:color w:val="auto"/>
        </w:rPr>
        <w:t>Chief Executive Officer</w:t>
      </w:r>
    </w:p>
    <w:sectPr>
      <w:pgSz w:w="11900" w:h="16838" w:orient="portrait"/>
      <w:cols w:equalWidth="0" w:num="1">
        <w:col w:w="11220"/>
      </w:cols>
      <w:pgMar w:left="320" w:top="99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2021-10-20T16:19:06Z</dcterms:created>
  <dcterms:modified xsi:type="dcterms:W3CDTF">2021-10-20T16:19:06Z</dcterms:modified>
</cp:coreProperties>
</file>