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6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-231140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-607695</wp:posOffset>
            </wp:positionV>
            <wp:extent cx="57150" cy="6210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3933190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19685</wp:posOffset>
            </wp:positionV>
            <wp:extent cx="6997700" cy="4480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448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KOTTE VIJAY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214 WEST HURON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GoHealth,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GOCO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3. Date of Earliest Transaction (Month/Day/Year)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06/06/2022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720" w:firstLine="9"/>
        <w:spacing w:after="0" w:line="246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tbl>
      <w:tblPr>
        <w:tblLayout w:type="fixed"/>
        <w:tblInd w:w="19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81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Executive Officer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9" w:space="720"/>
            <w:col w:w="3351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20" w:type="dxa"/>
            <w:vAlign w:val="bottom"/>
            <w:gridSpan w:val="7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CHICAGO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2"/>
              </w:rPr>
              <w:t>IL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60654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20" w:type="dxa"/>
            <w:vAlign w:val="bottom"/>
            <w:gridSpan w:val="6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06/07/2022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5,666,667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86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5,666,667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06/07/2022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1,416,667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86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7,083,334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2,833,333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0.79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7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06/06/2022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2,833,333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2,833,333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-1631950</wp:posOffset>
            </wp:positionV>
            <wp:extent cx="28575" cy="16376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37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 which immediately vest on June 7, 2022.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subject to certain vesting conditions, as described in the award agreements applicable to such RSUs.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in four equal annual installments beginning on June 6, 2023.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Brian Farley, Attorney-in-fact 06/08/2022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-5080</wp:posOffset>
            </wp:positionV>
            <wp:extent cx="18681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Date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841128" TargetMode="External"/><Relationship Id="rId13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2022-06-08T17:49:02Z</dcterms:created>
  <dcterms:modified xsi:type="dcterms:W3CDTF">2022-06-08T17:49:02Z</dcterms:modified>
</cp:coreProperties>
</file>