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34684dsc13da.htm"/>
      <w:bookmarkStart w:id="1" w:name="ksd434684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GoHealth,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360" w:after="0"/>
        <w:jc w:val="center"/>
        <w:rPr>
          <w:rFonts w:ascii="Times New Roman" w:hAnsi="Times New Roman"/>
          <w:b/>
          <w:sz w:val="20"/>
        </w:rPr>
      </w:pPr>
      <w:r>
        <w:rPr>
          <w:rFonts w:ascii="Times New Roman" w:hAnsi="Times New Roman"/>
          <w:b/>
          <w:sz w:val="20"/>
        </w:rPr>
        <w:t xml:space="preserve">Class A Common Stock, par value $0.0001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360" w:after="0"/>
        <w:jc w:val="center"/>
        <w:rPr>
          <w:rFonts w:ascii="Times New Roman" w:hAnsi="Times New Roman"/>
          <w:b/>
          <w:sz w:val="20"/>
        </w:rPr>
      </w:pPr>
      <w:r>
        <w:rPr>
          <w:rFonts w:ascii="Times New Roman" w:hAnsi="Times New Roman"/>
          <w:b/>
          <w:sz w:val="20"/>
        </w:rPr>
        <w:t xml:space="preserve">38046W105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360" w:after="0"/>
        <w:jc w:val="center"/>
        <w:rPr>
          <w:rFonts w:ascii="Times New Roman" w:hAnsi="Times New Roman"/>
          <w:b/>
          <w:sz w:val="20"/>
        </w:rPr>
      </w:pPr>
      <w:r>
        <w:rPr>
          <w:rFonts w:ascii="Times New Roman" w:hAnsi="Times New Roman"/>
          <w:b/>
          <w:sz w:val="20"/>
        </w:rPr>
        <w:t xml:space="preserve">Susanne V. Clark </w:t>
      </w:r>
    </w:p>
    <w:p>
      <w:pPr>
        <w:pStyle w:val="TextBody"/>
        <w:bidi w:val="0"/>
        <w:spacing w:before="0" w:after="0"/>
        <w:jc w:val="center"/>
        <w:rPr>
          <w:rFonts w:ascii="Times New Roman" w:hAnsi="Times New Roman"/>
          <w:b/>
          <w:sz w:val="20"/>
        </w:rPr>
      </w:pPr>
      <w:r>
        <w:rPr>
          <w:rFonts w:ascii="Times New Roman" w:hAnsi="Times New Roman"/>
          <w:b/>
          <w:sz w:val="20"/>
        </w:rPr>
        <w:t xml:space="preserve">c/o Centerbridge Partners, L.P. </w:t>
      </w:r>
    </w:p>
    <w:p>
      <w:pPr>
        <w:pStyle w:val="TextBody"/>
        <w:bidi w:val="0"/>
        <w:spacing w:before="0" w:after="0"/>
        <w:jc w:val="center"/>
        <w:rPr>
          <w:rFonts w:ascii="Times New Roman" w:hAnsi="Times New Roman"/>
          <w:b/>
          <w:sz w:val="20"/>
        </w:rPr>
      </w:pPr>
      <w:r>
        <w:rPr>
          <w:rFonts w:ascii="Times New Roman" w:hAnsi="Times New Roman"/>
          <w:b/>
          <w:sz w:val="20"/>
        </w:rPr>
        <w:t xml:space="preserve">375 Park Avenue, 11th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10152 </w:t>
      </w:r>
    </w:p>
    <w:p>
      <w:pPr>
        <w:pStyle w:val="TextBody"/>
        <w:bidi w:val="0"/>
        <w:spacing w:before="0" w:after="0"/>
        <w:jc w:val="center"/>
        <w:rPr>
          <w:rFonts w:ascii="Times New Roman" w:hAnsi="Times New Roman"/>
          <w:b/>
          <w:sz w:val="20"/>
        </w:rPr>
      </w:pPr>
      <w:r>
        <w:rPr>
          <w:rFonts w:ascii="Times New Roman" w:hAnsi="Times New Roman"/>
          <w:b/>
          <w:sz w:val="20"/>
        </w:rPr>
        <w:t xml:space="preserve">(212) 672-5000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36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360" w:after="0"/>
        <w:jc w:val="center"/>
        <w:rPr>
          <w:rFonts w:ascii="Times New Roman" w:hAnsi="Times New Roman"/>
          <w:b/>
          <w:sz w:val="20"/>
        </w:rPr>
      </w:pPr>
      <w:r>
        <w:rPr>
          <w:rFonts w:ascii="Times New Roman" w:hAnsi="Times New Roman"/>
          <w:b/>
          <w:sz w:val="20"/>
        </w:rPr>
        <w:t xml:space="preserve">Elizabeth Cooper </w:t>
      </w:r>
    </w:p>
    <w:p>
      <w:pPr>
        <w:pStyle w:val="TextBody"/>
        <w:bidi w:val="0"/>
        <w:spacing w:before="0" w:after="0"/>
        <w:jc w:val="center"/>
        <w:rPr>
          <w:rFonts w:ascii="Times New Roman" w:hAnsi="Times New Roman"/>
          <w:b/>
          <w:sz w:val="20"/>
        </w:rPr>
      </w:pPr>
      <w:r>
        <w:rPr>
          <w:rFonts w:ascii="Times New Roman" w:hAnsi="Times New Roman"/>
          <w:b/>
          <w:sz w:val="20"/>
        </w:rPr>
        <w:t xml:space="preserve">Michael Chao </w:t>
      </w:r>
    </w:p>
    <w:p>
      <w:pPr>
        <w:pStyle w:val="TextBody"/>
        <w:bidi w:val="0"/>
        <w:spacing w:before="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0" w:after="0"/>
        <w:jc w:val="center"/>
        <w:rPr>
          <w:rFonts w:ascii="Times New Roman" w:hAnsi="Times New Roman"/>
          <w:b/>
          <w:sz w:val="20"/>
        </w:rPr>
      </w:pPr>
      <w:r>
        <w:rPr>
          <w:rFonts w:ascii="Times New Roman" w:hAnsi="Times New Roman"/>
          <w:b/>
          <w:sz w:val="20"/>
        </w:rPr>
        <w:t xml:space="preserve">425 Lexington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10017 </w:t>
      </w:r>
    </w:p>
    <w:p>
      <w:pPr>
        <w:pStyle w:val="TextBody"/>
        <w:bidi w:val="0"/>
        <w:spacing w:before="0" w:after="0"/>
        <w:jc w:val="center"/>
        <w:rPr>
          <w:rFonts w:ascii="Times New Roman" w:hAnsi="Times New Roman"/>
          <w:b/>
          <w:sz w:val="20"/>
        </w:rPr>
      </w:pPr>
      <w:r>
        <w:rPr>
          <w:rFonts w:ascii="Times New Roman" w:hAnsi="Times New Roman"/>
          <w:b/>
          <w:sz w:val="20"/>
        </w:rPr>
        <w:t xml:space="preserve">(212) 455-2000 </w:t>
      </w:r>
    </w:p>
    <w:p>
      <w:pPr>
        <w:pStyle w:val="TextBody"/>
        <w:bidi w:val="0"/>
        <w:spacing w:before="360" w:after="0"/>
        <w:jc w:val="center"/>
        <w:rPr>
          <w:rFonts w:ascii="Times New Roman" w:hAnsi="Times New Roman"/>
          <w:b/>
          <w:sz w:val="20"/>
        </w:rPr>
      </w:pPr>
      <w:r>
        <w:rPr>
          <w:rFonts w:ascii="Times New Roman" w:hAnsi="Times New Roman"/>
          <w:b/>
          <w:sz w:val="20"/>
        </w:rPr>
        <w:t xml:space="preserve">May 18,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Rule 13d-1(e), Rule 13d-1(f) or Rule 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Note</w:t>
      </w:r>
      <w:r>
        <w:rPr>
          <w:rFonts w:ascii="Times New Roman" w:hAnsi="Times New Roman"/>
          <w:sz w:val="20"/>
        </w:rPr>
        <w:t xml:space="preserve">: Schedules filed in paper format shall include a signed original and five copies of the schedule, including all exhibits. See Rule 13d-7(b)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2 of 17 pages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CCP III Cayman GP Ltd.</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Cayman Islands</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66.3%</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3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Holdings C, L.P.</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1,467,653</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1,467,653</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1,467,653</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16.2%</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4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2"/>
        <w:gridCol w:w="129"/>
        <w:gridCol w:w="697"/>
        <w:gridCol w:w="251"/>
        <w:gridCol w:w="241"/>
        <w:gridCol w:w="251"/>
        <w:gridCol w:w="8011"/>
      </w:tblGrid>
      <w:tr>
        <w:trPr/>
        <w:tc>
          <w:tcPr>
            <w:tcW w:w="52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r>
      <w:tr>
        <w:trPr/>
        <w:tc>
          <w:tcPr>
            <w:tcW w:w="52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Centerbridge Associates III, L.P.</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52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30.0%</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5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CCP III AIV VII Holdings, L.P.</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30.0%</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6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Co-Invest Holdings, L.P.</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30.0%</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7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GP A, LLC</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30.0%</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8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A, L.P.</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2,712,197</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30.0%</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9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77"/>
        <w:gridCol w:w="123"/>
        <w:gridCol w:w="743"/>
        <w:gridCol w:w="196"/>
        <w:gridCol w:w="196"/>
        <w:gridCol w:w="196"/>
        <w:gridCol w:w="8171"/>
      </w:tblGrid>
      <w:tr>
        <w:trPr/>
        <w:tc>
          <w:tcPr>
            <w:tcW w:w="4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171" w:type="dxa"/>
            <w:tcBorders/>
            <w:vAlign w:val="center"/>
          </w:tcPr>
          <w:p>
            <w:pPr>
              <w:pStyle w:val="TableContents"/>
              <w:bidi w:val="0"/>
              <w:spacing w:before="0" w:after="283"/>
              <w:jc w:val="left"/>
              <w:rPr>
                <w:sz w:val="4"/>
                <w:szCs w:val="4"/>
              </w:rPr>
            </w:pPr>
            <w:r>
              <w:rPr>
                <w:sz w:val="4"/>
                <w:szCs w:val="4"/>
              </w:rPr>
            </w:r>
          </w:p>
        </w:tc>
      </w:tr>
      <w:tr>
        <w:trPr/>
        <w:tc>
          <w:tcPr>
            <w:tcW w:w="47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0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Blizzard Aggregator, LLC</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37.3%</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10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GP B, LLC</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37.3%</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11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CB Blizzard Lower Holdings B, L.P.</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5,386,178</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37.3%</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42"/>
        <w:gridCol w:w="121"/>
        <w:gridCol w:w="3195"/>
        <w:gridCol w:w="121"/>
        <w:gridCol w:w="3126"/>
      </w:tblGrid>
      <w:tr>
        <w:trPr/>
        <w:tc>
          <w:tcPr>
            <w:tcW w:w="3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26" w:type="dxa"/>
            <w:tcBorders/>
            <w:vAlign w:val="center"/>
          </w:tcPr>
          <w:p>
            <w:pPr>
              <w:pStyle w:val="TableContents"/>
              <w:bidi w:val="0"/>
              <w:spacing w:before="0" w:after="283"/>
              <w:jc w:val="left"/>
              <w:rPr>
                <w:sz w:val="4"/>
                <w:szCs w:val="4"/>
              </w:rPr>
            </w:pPr>
            <w:r>
              <w:rPr>
                <w:sz w:val="4"/>
                <w:szCs w:val="4"/>
              </w:rPr>
            </w:r>
          </w:p>
        </w:tc>
      </w:tr>
      <w:tr>
        <w:trPr/>
        <w:tc>
          <w:tcPr>
            <w:tcW w:w="3642" w:type="dxa"/>
            <w:tcBorders/>
          </w:tcPr>
          <w:p>
            <w:pPr>
              <w:pStyle w:val="TableContents"/>
              <w:bidi w:val="0"/>
              <w:spacing w:before="0" w:after="283"/>
              <w:jc w:val="left"/>
              <w:rPr/>
            </w:pPr>
            <w:r>
              <w:rPr/>
              <w:t>CUSIP No. 38046W105</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pPr>
            <w:r>
              <w:rPr/>
              <w:t>13D</w:t>
            </w:r>
          </w:p>
        </w:tc>
        <w:tc>
          <w:tcPr>
            <w:tcW w:w="121" w:type="dxa"/>
            <w:tcBorders/>
            <w:vAlign w:val="bottom"/>
          </w:tcPr>
          <w:p>
            <w:pPr>
              <w:pStyle w:val="TableContents"/>
              <w:bidi w:val="0"/>
              <w:spacing w:before="0" w:after="283"/>
              <w:jc w:val="left"/>
              <w:rPr/>
            </w:pPr>
            <w:r>
              <w:rPr/>
              <w:t>  </w:t>
            </w:r>
          </w:p>
        </w:tc>
        <w:tc>
          <w:tcPr>
            <w:tcW w:w="3126" w:type="dxa"/>
            <w:tcBorders/>
          </w:tcPr>
          <w:p>
            <w:pPr>
              <w:pStyle w:val="TableContents"/>
              <w:bidi w:val="0"/>
              <w:spacing w:before="0" w:after="283"/>
              <w:jc w:val="right"/>
              <w:rPr/>
            </w:pPr>
            <w:r>
              <w:rPr/>
              <w:t>Page 12 of 17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Jeffrey H. Aronson</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disclosure of legal proceedings is required pursuant to Items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725"/>
        <w:gridCol w:w="503"/>
        <w:gridCol w:w="877"/>
        <w:gridCol w:w="177"/>
        <w:gridCol w:w="548"/>
        <w:gridCol w:w="177"/>
        <w:gridCol w:w="7095"/>
      </w:tblGrid>
      <w:tr>
        <w:trPr/>
        <w:tc>
          <w:tcPr>
            <w:tcW w:w="725"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095" w:type="dxa"/>
            <w:tcBorders/>
            <w:vAlign w:val="center"/>
          </w:tcPr>
          <w:p>
            <w:pPr>
              <w:pStyle w:val="TableContents"/>
              <w:bidi w:val="0"/>
              <w:spacing w:before="0" w:after="283"/>
              <w:jc w:val="left"/>
              <w:rPr>
                <w:sz w:val="4"/>
                <w:szCs w:val="4"/>
              </w:rPr>
            </w:pPr>
            <w:r>
              <w:rPr>
                <w:sz w:val="4"/>
                <w:szCs w:val="4"/>
              </w:rPr>
            </w:r>
          </w:p>
        </w:tc>
      </w:tr>
      <w:tr>
        <w:trPr/>
        <w:tc>
          <w:tcPr>
            <w:tcW w:w="210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7  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8</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48" w:type="dxa"/>
            <w:tcBorders>
              <w:bottom w:val="single" w:sz="2" w:space="0" w:color="000000"/>
            </w:tcBorders>
            <w:tcMar>
              <w:bottom w:w="28" w:type="dxa"/>
            </w:tcMar>
          </w:tcPr>
          <w:p>
            <w:pPr>
              <w:pStyle w:val="TableContents"/>
              <w:bidi w:val="0"/>
              <w:spacing w:before="0" w:after="283"/>
              <w:jc w:val="left"/>
              <w:rPr/>
            </w:pPr>
            <w:r>
              <w:rPr/>
              <w:t>  </w:t>
            </w:r>
            <w:r>
              <w:rPr/>
              <w:t>9</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095"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548" w:type="dxa"/>
            <w:tcBorders/>
          </w:tcPr>
          <w:p>
            <w:pPr>
              <w:pStyle w:val="TableContents"/>
              <w:bidi w:val="0"/>
              <w:spacing w:before="0" w:after="283"/>
              <w:jc w:val="left"/>
              <w:rPr/>
            </w:pPr>
            <w:r>
              <w:rPr/>
              <w:t>10</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095"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bl>
    <w:tbl>
      <w:tblPr>
        <w:tblW w:w="4950" w:type="pct"/>
        <w:jc w:val="left"/>
        <w:tblInd w:w="0" w:type="dxa"/>
        <w:tblLayout w:type="fixed"/>
        <w:tblCellMar>
          <w:top w:w="0" w:type="dxa"/>
          <w:left w:w="0" w:type="dxa"/>
          <w:bottom w:w="0" w:type="dxa"/>
          <w:right w:w="0" w:type="dxa"/>
        </w:tblCellMar>
      </w:tblPr>
      <w:tblGrid>
        <w:gridCol w:w="528"/>
        <w:gridCol w:w="125"/>
        <w:gridCol w:w="666"/>
        <w:gridCol w:w="210"/>
        <w:gridCol w:w="205"/>
        <w:gridCol w:w="210"/>
        <w:gridCol w:w="8158"/>
      </w:tblGrid>
      <w:tr>
        <w:trPr/>
        <w:tc>
          <w:tcPr>
            <w:tcW w:w="52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8158" w:type="dxa"/>
            <w:tcBorders/>
            <w:vAlign w:val="center"/>
          </w:tcPr>
          <w:p>
            <w:pPr>
              <w:pStyle w:val="TableContents"/>
              <w:bidi w:val="0"/>
              <w:spacing w:before="0" w:after="283"/>
              <w:jc w:val="left"/>
              <w:rPr>
                <w:sz w:val="4"/>
                <w:szCs w:val="4"/>
              </w:rPr>
            </w:pPr>
            <w:r>
              <w:rPr>
                <w:sz w:val="4"/>
                <w:szCs w:val="4"/>
              </w:rPr>
            </w:r>
          </w:p>
        </w:tc>
      </w:tr>
      <w:tr>
        <w:trPr/>
        <w:tc>
          <w:tcPr>
            <w:tcW w:w="528"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9"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9,566,028</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66.3%</w:t>
            </w:r>
          </w:p>
        </w:tc>
      </w:tr>
      <w:tr>
        <w:trPr/>
        <w:tc>
          <w:tcPr>
            <w:tcW w:w="528"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9"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3 to Schedule 13D (Amendment No. 3) amends and supplements the Schedule 13D originally filed with the United States Securities and Exchange Commission on November 25, 2022 (as amended to date, the Schedule 13D), relating to the shares of Class A Common Stock, par value $0.0001 per share (the Class A Common Stock), of GoHealth, Inc., a Delaware corporation (the Issuer). Capitalized terms used herein without definition shall have the meanings set forth in the Schedule 13D. </w:t>
      </w:r>
    </w:p>
    <w:p>
      <w:pPr>
        <w:pStyle w:val="TextBody"/>
        <w:bidi w:val="0"/>
        <w:spacing w:before="360" w:after="0"/>
        <w:jc w:val="left"/>
        <w:rPr>
          <w:rFonts w:ascii="Times New Roman" w:hAnsi="Times New Roman"/>
          <w:b/>
          <w:sz w:val="20"/>
        </w:rPr>
      </w:pPr>
      <w:r>
        <w:rPr>
          <w:rFonts w:ascii="Times New Roman" w:hAnsi="Times New Roman"/>
          <w:b/>
          <w:sz w:val="20"/>
        </w:rPr>
        <w:t xml:space="preserve">Item 3. Source and Amount of Funds or Other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Item 3 of the Schedule 13D is hereby amended and supplemented by inserting the following information at the end of Item 3: </w:t>
      </w:r>
    </w:p>
    <w:p>
      <w:pPr>
        <w:pStyle w:val="TextBody"/>
        <w:bidi w:val="0"/>
        <w:spacing w:before="240" w:after="0"/>
        <w:jc w:val="left"/>
        <w:rPr>
          <w:rFonts w:ascii="Times New Roman" w:hAnsi="Times New Roman"/>
          <w:sz w:val="20"/>
        </w:rPr>
      </w:pPr>
      <w:r>
        <w:rPr>
          <w:rFonts w:ascii="Times New Roman" w:hAnsi="Times New Roman"/>
          <w:sz w:val="20"/>
        </w:rPr>
        <w:t xml:space="preserve">From December 12, 2022 to December 13, 2022, CB Blizzard C purchased 106,131 shares of Class A Common Stock for aggregate consideration of approximately $1.7 million in a series of open-market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obtained the funds used to acquire their interests in the Issuers securities through capital contributions from their partners and members. </w:t>
      </w:r>
    </w:p>
    <w:p>
      <w:pPr>
        <w:pStyle w:val="TextBody"/>
        <w:bidi w:val="0"/>
        <w:spacing w:before="360" w:after="0"/>
        <w:jc w:val="left"/>
        <w:rPr>
          <w:rFonts w:ascii="Times New Roman" w:hAnsi="Times New Roman"/>
          <w:b/>
          <w:sz w:val="20"/>
        </w:rPr>
      </w:pPr>
      <w:r>
        <w:rPr>
          <w:rFonts w:ascii="Times New Roman" w:hAnsi="Times New Roman"/>
          <w:b/>
          <w:sz w:val="20"/>
        </w:rPr>
        <w:t xml:space="preserve">Item 4. Purpose of Transaction. </w:t>
      </w:r>
    </w:p>
    <w:p>
      <w:pPr>
        <w:pStyle w:val="TextBody"/>
        <w:bidi w:val="0"/>
        <w:spacing w:before="120" w:after="0"/>
        <w:jc w:val="left"/>
        <w:rPr>
          <w:rFonts w:ascii="Times New Roman" w:hAnsi="Times New Roman"/>
          <w:sz w:val="20"/>
        </w:rPr>
      </w:pPr>
      <w:r>
        <w:rPr>
          <w:rFonts w:ascii="Times New Roman" w:hAnsi="Times New Roman"/>
          <w:sz w:val="20"/>
        </w:rPr>
        <w:t xml:space="preserve">Item 4 of the Schedule 13D is hereby amended and supplemented as follows: </w:t>
      </w:r>
    </w:p>
    <w:p>
      <w:pPr>
        <w:pStyle w:val="TextBody"/>
        <w:bidi w:val="0"/>
        <w:spacing w:before="120" w:after="0"/>
        <w:jc w:val="left"/>
        <w:rPr>
          <w:rFonts w:ascii="Times New Roman" w:hAnsi="Times New Roman"/>
          <w:sz w:val="20"/>
        </w:rPr>
      </w:pPr>
      <w:r>
        <w:rPr>
          <w:rFonts w:ascii="Times New Roman" w:hAnsi="Times New Roman"/>
          <w:sz w:val="20"/>
        </w:rPr>
        <w:t xml:space="preserve">On the evening of May 18, 2023, the Reporting Persons and NVX Holdings, Inc., Brandon M. Cruz, Clinton P. Jones and BCCJ, LLC (collectively, the Founder Stockholders) delivered a non-binding proposal (the Proposal) to the Board of Directors (the Board) of the Issuer offering to acquire all of the outstanding shares of Class A Common Stock and LLC Interests that the Reporting Persons and the Founder Stockholders do not already own for a price per share or LLC Interest equal to $20.00 (the Proposed Transaction). The Proposal is non-binding, and the Reporting Persons and the Founder Stockholders have not proposed any specific structure for the Proposed Transaction nor have they received any feedback from the Issuer. The foregoing description of the Proposal does not purport to be complete and is qualified in its entirety by reference to the full text of the Proposal, which is filed herewith as Exhibit 4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Proposal is non-binding in nature and does not obligate in any way the Reporting Persons or the Issuer to negotiate or enter into definitive documentation with respect to a transaction or otherwise complete the Proposed Transaction, and a binding commitment with respect to the Proposed Transaction will result only from the execution and delivery of definitive documentation. Any definitive documentation entered into in connection with the Proposed Transaction is likely to be subject to customary closing conditions. The Reporting Persons make no assurances that the Proposed Transaction contemplated by the Proposal will be consummated, even if the Issuer accepts the Proposal, and make no assurances as to the terms of any such transaction if one were to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Neither the Proposal nor this Schedule 13D is meant to be, nor should be construed as, an offer to buy or the solicitation of an offer to sell any of the Issuers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Proposed Transaction is consummated, one or more of the transactions, events or actions specified in clauses (a) through (j) of Item 4 of Schedule 13D may result, including, without limitation, an acquisition of additional securities of the Issuer, an extraordinary corporate transaction (such as a merger) involving the Issuer, other material changes in the Issuers business or corporate structure, and the shares of the Class A Common Stock would become eligible for termination of registration pursuant to Section 12(g)(4) of the Securities Act and would be delisted from the Nasdaq Stock Market.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intend to continue to engage in discussions with, among others, management, the Board, stockholders (including the Founder Stockholders) and other stakeholders of the Issuer, and/or third parties, including potential acquirers, service providers and debt and equity financing sources, and other relevant parties and may take other actions concerning any extraordinary corporate transaction (including but not limited to a merger, reorganization or liquidation) or the business, operations, assets, strategy, future plans, prospects, corporate structure, Board composition, management, capitalization, dividend policy, charter, bylaws, corporate documents, agreements, de-listing or de-registration of the Issuer, which discussions may include proposing or considering proposals and counterproposals. The Reporting Persons reserve the right to modify or withdraw the Proposal at any time. While the Proposal remains under consideration by the Issuer, the Reporting Persons and their affiliates expect to respond to inquiries from, and negotiate the terms of the Proposal with, the Issuer and its representatives. The Reporting Persons do not intend to update additional disclosures regarding the Proposal until a definitive agreement has been reached with respect to the Proposed Transaction, or unless disclosure is otherwise required under applicable U.S. securities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Reporting Persons intend to regularly review their investment in the Issuer on a continuing basis and may from time to time and at any time in the future depending on various factors, including, without limitation, the outcome of any discussions referenced in this Schedule 13D, as may be amended from time to time, and any limitations imposed by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Class A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 </w:t>
      </w:r>
    </w:p>
    <w:p>
      <w:pPr>
        <w:pStyle w:val="TextBody"/>
        <w:bidi w:val="0"/>
        <w:spacing w:before="240" w:after="0"/>
        <w:jc w:val="left"/>
        <w:rPr>
          <w:rFonts w:ascii="Times New Roman" w:hAnsi="Times New Roman"/>
          <w:sz w:val="20"/>
        </w:rPr>
      </w:pPr>
      <w:r>
        <w:rPr>
          <w:rFonts w:ascii="Times New Roman" w:hAnsi="Times New Roman"/>
          <w:sz w:val="20"/>
        </w:rPr>
        <w:t xml:space="preserve">Although the foregoing reflects activities presently contemplated by the Reporting Persons, the foregoing is subject to change at any time, and the Reporting Persons reserve their right to change their plans and intentions with respect to the Issuer, including in connection with any of the actions discussed in this Item 4, including, among others, any terms related to the Proposal. Any action taken by the Reporting Persons may be effected at any time and from time to time, subject to any applicable limitations imposed by any applicable laws.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 in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Item 5 of the Schedule 13D is hereby amended and restated in its entirety as follows: </w:t>
      </w:r>
    </w:p>
    <w:p>
      <w:pPr>
        <w:pStyle w:val="TextBody"/>
        <w:bidi w:val="0"/>
        <w:spacing w:before="120" w:after="0"/>
        <w:jc w:val="left"/>
        <w:rPr>
          <w:rFonts w:ascii="Times New Roman" w:hAnsi="Times New Roman"/>
          <w:sz w:val="20"/>
        </w:rPr>
      </w:pPr>
      <w:r>
        <w:rPr>
          <w:rFonts w:ascii="Times New Roman" w:hAnsi="Times New Roman"/>
          <w:sz w:val="20"/>
        </w:rPr>
        <w:t xml:space="preserve">(a)  (b)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9,041,091 shares of Class A Common Stock outstanding as of May 1, 2023, as provided by the Issuer in the Quarterly Report on Form 10-Q filed by the Issuer on May 9, 2023, plus, as applicable, 5,386,178 shares of Class A Common Stock underlying the LLC Interests held of record by CB Blizzard B: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3"/>
        <w:gridCol w:w="151"/>
        <w:gridCol w:w="66"/>
        <w:gridCol w:w="1130"/>
        <w:gridCol w:w="60"/>
        <w:gridCol w:w="151"/>
        <w:gridCol w:w="96"/>
        <w:gridCol w:w="723"/>
        <w:gridCol w:w="279"/>
        <w:gridCol w:w="93"/>
        <w:gridCol w:w="343"/>
        <w:gridCol w:w="816"/>
        <w:gridCol w:w="60"/>
        <w:gridCol w:w="151"/>
        <w:gridCol w:w="60"/>
        <w:gridCol w:w="1003"/>
        <w:gridCol w:w="60"/>
        <w:gridCol w:w="151"/>
        <w:gridCol w:w="331"/>
        <w:gridCol w:w="785"/>
        <w:gridCol w:w="60"/>
        <w:gridCol w:w="151"/>
        <w:gridCol w:w="63"/>
        <w:gridCol w:w="1056"/>
        <w:gridCol w:w="73"/>
      </w:tblGrid>
      <w:tr>
        <w:trPr/>
        <w:tc>
          <w:tcPr>
            <w:tcW w:w="229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r>
      <w:tr>
        <w:trPr/>
        <w:tc>
          <w:tcPr>
            <w:tcW w:w="22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Person</w:t>
            </w:r>
          </w:p>
        </w:tc>
        <w:tc>
          <w:tcPr>
            <w:tcW w:w="151"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pPr>
            <w:r>
              <w:rPr>
                <w:b/>
              </w:rPr>
              <w:t>Percent</w:t>
            </w:r>
            <w:r>
              <w:rPr/>
              <w:br/>
            </w:r>
            <w:r>
              <w:rPr>
                <w:b/>
              </w:rPr>
              <w:t>of class</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 power</w:t>
              <w:br/>
              <w:t>to vote or</w:t>
              <w:br/>
              <w:t>to direct</w:t>
              <w:br/>
              <w:t>the vote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pPr>
            <w:r>
              <w:rPr>
                <w:b/>
              </w:rPr>
              <w:t>Shared</w:t>
            </w:r>
            <w:r>
              <w:rPr/>
              <w:br/>
            </w:r>
            <w:r>
              <w:rPr>
                <w:b/>
              </w:rPr>
              <w:t>power to</w:t>
            </w:r>
            <w:r>
              <w:rPr/>
              <w:br/>
            </w:r>
            <w:r>
              <w:rPr>
                <w:b/>
              </w:rPr>
              <w:t>vote or to</w:t>
            </w:r>
            <w:r>
              <w:rPr/>
              <w:br/>
            </w:r>
            <w:r>
              <w:rPr>
                <w:b/>
              </w:rPr>
              <w:t>direct the</w:t>
            </w:r>
            <w:r>
              <w:rPr/>
              <w:br/>
            </w:r>
            <w:r>
              <w:rPr>
                <w:b/>
              </w:rPr>
              <w:t>vote</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Sole</w:t>
              <w:br/>
              <w:t>power to</w:t>
              <w:br/>
              <w:t>dispose or</w:t>
              <w:br/>
              <w:t>to direct</w:t>
              <w:br/>
              <w:t>the</w:t>
              <w:br/>
              <w:t>disposition</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pPr>
            <w:r>
              <w:rPr>
                <w:b/>
              </w:rPr>
              <w:t>Shared</w:t>
              <w:br/>
              <w:t>power to</w:t>
            </w:r>
            <w:r>
              <w:rPr/>
              <w:br/>
            </w:r>
            <w:r>
              <w:rPr>
                <w:b/>
              </w:rPr>
              <w:t>dispose or</w:t>
              <w:br/>
              <w:t>to direct</w:t>
              <w:br/>
              <w:t>the</w:t>
            </w:r>
            <w:r>
              <w:rPr/>
              <w:br/>
            </w:r>
            <w:r>
              <w:rPr>
                <w:b/>
              </w:rPr>
              <w:t>disposition</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CCP III Cayman GP Ltd.</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66.3</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9,566,028</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CB Blizzard Holdings C, L.P.</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1,467,653</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16.2</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1,467,653</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1,467,653</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Centerbridge Associates III, L.P.</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30.0</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2,712,197</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CCP III AIV VII Holdings, L.P.</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30.0</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2,712,197</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CB Blizzard Co-Invest Holdings, L.P.</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30.0</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2,712,197</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GP A, LLC</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30.0</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2,712,197</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2,712,197</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A, L.P.</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30.0</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2,712,197</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2,712,197</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Blizzard Aggregator, LLC</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37.3</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5,386,178</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GP B, LLC</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5,386,178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37.3</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5,386,178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5,386,178</w:t>
            </w:r>
          </w:p>
        </w:tc>
        <w:tc>
          <w:tcPr>
            <w:tcW w:w="73" w:type="dxa"/>
            <w:tcBorders/>
            <w:shd w:fill="CCEEFF" w:val="clear"/>
            <w:vAlign w:val="bottom"/>
          </w:tcPr>
          <w:p>
            <w:pPr>
              <w:pStyle w:val="TableContents"/>
              <w:bidi w:val="0"/>
              <w:spacing w:before="0" w:after="283"/>
              <w:jc w:val="left"/>
              <w:rPr/>
            </w:pPr>
            <w:r>
              <w:rPr/>
              <w:t> </w:t>
            </w:r>
          </w:p>
        </w:tc>
      </w:tr>
      <w:tr>
        <w:trPr/>
        <w:tc>
          <w:tcPr>
            <w:tcW w:w="2293" w:type="dxa"/>
            <w:tcBorders/>
          </w:tcPr>
          <w:p>
            <w:pPr>
              <w:pStyle w:val="TableContents"/>
              <w:bidi w:val="0"/>
              <w:spacing w:before="0" w:after="0"/>
              <w:jc w:val="left"/>
              <w:rPr>
                <w:rFonts w:ascii="Times New Roman" w:hAnsi="Times New Roman"/>
                <w:b/>
                <w:sz w:val="20"/>
              </w:rPr>
            </w:pPr>
            <w:r>
              <w:rPr>
                <w:rFonts w:ascii="Times New Roman" w:hAnsi="Times New Roman"/>
                <w:b/>
                <w:sz w:val="20"/>
              </w:rPr>
              <w:t>CB Blizzard Lower Holdings B, L.P.</w:t>
            </w:r>
          </w:p>
        </w:tc>
        <w:tc>
          <w:tcPr>
            <w:tcW w:w="15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37.3</w:t>
            </w:r>
          </w:p>
        </w:tc>
        <w:tc>
          <w:tcPr>
            <w:tcW w:w="2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5,386,178</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5,386,178</w:t>
            </w:r>
          </w:p>
        </w:tc>
        <w:tc>
          <w:tcPr>
            <w:tcW w:w="73" w:type="dxa"/>
            <w:tcBorders/>
            <w:vAlign w:val="bottom"/>
          </w:tcPr>
          <w:p>
            <w:pPr>
              <w:pStyle w:val="TableContents"/>
              <w:bidi w:val="0"/>
              <w:spacing w:before="0" w:after="283"/>
              <w:jc w:val="left"/>
              <w:rPr/>
            </w:pPr>
            <w:r>
              <w:rPr/>
              <w:t> </w:t>
            </w:r>
          </w:p>
        </w:tc>
      </w:tr>
      <w:tr>
        <w:trPr/>
        <w:tc>
          <w:tcPr>
            <w:tcW w:w="22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Jeffrey H. Aronson</w:t>
            </w:r>
          </w:p>
        </w:tc>
        <w:tc>
          <w:tcPr>
            <w:tcW w:w="15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66.3</w:t>
            </w:r>
          </w:p>
        </w:tc>
        <w:tc>
          <w:tcPr>
            <w:tcW w:w="2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9,566,028</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9,566,028</w:t>
            </w:r>
          </w:p>
        </w:tc>
        <w:tc>
          <w:tcPr>
            <w:tcW w:w="73"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CB Blizzard A is the record holder of 2,712,197 shares of Class A Common Stock. CB Blizzard C is the record holder of 1,467,653 shares of Class A Common Stock. CB Blizzard B is the record holder of 5,386,178 LLC Interests. </w:t>
      </w:r>
    </w:p>
    <w:p>
      <w:pPr>
        <w:pStyle w:val="TextBody"/>
        <w:bidi w:val="0"/>
        <w:spacing w:before="240" w:after="0"/>
        <w:jc w:val="left"/>
        <w:rPr>
          <w:rFonts w:ascii="Times New Roman" w:hAnsi="Times New Roman"/>
          <w:sz w:val="20"/>
        </w:rPr>
      </w:pPr>
      <w:r>
        <w:rPr>
          <w:rFonts w:ascii="Times New Roman" w:hAnsi="Times New Roman"/>
          <w:sz w:val="20"/>
        </w:rPr>
        <w:t xml:space="preserve">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B. As a result, each of the foregoing entities may be deemed to share beneficial ownership of the LLC Interests held of record by CB Blizzard B. 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w:t>
      </w:r>
    </w:p>
    <w:p>
      <w:pPr>
        <w:pStyle w:val="TextBody"/>
        <w:bidi w:val="0"/>
        <w:spacing w:before="240" w:after="0"/>
        <w:jc w:val="left"/>
        <w:rPr>
          <w:rFonts w:ascii="Times New Roman" w:hAnsi="Times New Roman"/>
          <w:sz w:val="20"/>
        </w:rPr>
      </w:pPr>
      <w:r>
        <w:rPr>
          <w:rFonts w:ascii="Times New Roman" w:hAnsi="Times New Roman"/>
          <w:sz w:val="20"/>
        </w:rPr>
        <w:t xml:space="preserve">By virtue of the agreements made pursuant to the Stockholders Agreement and the matters described in Item 4 above, the Reporting Persons and the Founder Stockholders may constitute a group within the meaning of Section 13(d)(3) of the Securities Exchange Act of 1934 (the Exchange Act), which group may be deemed to collectively beneficially own 16,007,486 shares of Class A Common Stock of the Issuer, constituting approximately 77.6% of the 9,041,091 shares of the Class A Common Stock outstanding, plus the 5,386,178 shares of Class A Common Stock underlying the LLC Interests held of record by CB Blizzard B and the 6,181,453 shares of Class A Common Stock underlying the LLC Interests held of record by certain of the Founder Stockholders, as calculated on the basis of Rule 13d-3 of the Exchange Act. However, the Reporting Persons expressly disclaim beneficial ownership of the 6,441,458 shares of Class A Common Stock (including the 6,181,453 shares of Class A Common Stock underlying the LLC Interests held of record by certain of the Founder Stockholders) beneficially owned by the Founder Stockholders. The Founder Stockholders have filed a separate Schedule 13D with respect to their interests in the Issuer and the Proposal. </w:t>
      </w:r>
    </w:p>
    <w:p>
      <w:pPr>
        <w:pStyle w:val="TextBody"/>
        <w:bidi w:val="0"/>
        <w:spacing w:before="240" w:after="0"/>
        <w:jc w:val="left"/>
        <w:rPr>
          <w:rFonts w:ascii="Times New Roman" w:hAnsi="Times New Roman"/>
          <w:sz w:val="20"/>
        </w:rPr>
      </w:pPr>
      <w:r>
        <w:rPr>
          <w:rFonts w:ascii="Times New Roman" w:hAnsi="Times New Roman"/>
          <w:sz w:val="20"/>
        </w:rPr>
        <w:t xml:space="preserve">(c) During the past 60 days, the Reporting Persons have not effected any transactions with respect to the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(d) None. </w:t>
      </w:r>
    </w:p>
    <w:p>
      <w:pPr>
        <w:pStyle w:val="TextBody"/>
        <w:bidi w:val="0"/>
        <w:spacing w:before="120" w:after="0"/>
        <w:jc w:val="left"/>
        <w:rPr>
          <w:rFonts w:ascii="Times New Roman" w:hAnsi="Times New Roman"/>
          <w:sz w:val="20"/>
        </w:rPr>
      </w:pPr>
      <w:r>
        <w:rPr>
          <w:rFonts w:ascii="Times New Roman" w:hAnsi="Times New Roman"/>
          <w:sz w:val="20"/>
        </w:rPr>
        <w:t xml:space="preserve">(e) 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6. Contracts, Arrangements, Understandings or Relationships with Respect to Securities of the Issuer. </w:t>
      </w:r>
    </w:p>
    <w:p>
      <w:pPr>
        <w:pStyle w:val="TextBody"/>
        <w:bidi w:val="0"/>
        <w:spacing w:before="120" w:after="0"/>
        <w:jc w:val="left"/>
        <w:rPr>
          <w:rFonts w:ascii="Times New Roman" w:hAnsi="Times New Roman"/>
          <w:sz w:val="20"/>
        </w:rPr>
      </w:pPr>
      <w:r>
        <w:rPr>
          <w:rFonts w:ascii="Times New Roman" w:hAnsi="Times New Roman"/>
          <w:sz w:val="20"/>
        </w:rPr>
        <w:t xml:space="preserve">Item 6 of the Schedule 13D is hereby supplemented as follows: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4 of this Schedule 13D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 Material to Be Filed as Exhibits. </w:t>
      </w:r>
    </w:p>
    <w:p>
      <w:pPr>
        <w:pStyle w:val="TextBody"/>
        <w:bidi w:val="0"/>
        <w:spacing w:before="120" w:after="0"/>
        <w:jc w:val="left"/>
        <w:rPr>
          <w:rFonts w:ascii="Times New Roman" w:hAnsi="Times New Roman"/>
          <w:sz w:val="20"/>
        </w:rPr>
      </w:pPr>
      <w:r>
        <w:rPr>
          <w:rFonts w:ascii="Times New Roman" w:hAnsi="Times New Roman"/>
          <w:sz w:val="20"/>
        </w:rPr>
        <w:t xml:space="preserve">Item 7 of the Schedule 13D is hereby amended and supplemented by inserting the following exhibit: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Proposal dated May 18, 2023.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May 19,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CCP III Cayman GP Ltd.</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Holdings C, L.P.</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Centerbridge Associates III, L.P.</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CCP III AIV VII Holdings, L.P.</w:t>
            </w:r>
          </w:p>
        </w:tc>
      </w:tr>
      <w:tr>
        <w:trPr/>
        <w:tc>
          <w:tcPr>
            <w:tcW w:w="4082" w:type="dxa"/>
            <w:gridSpan w:val="3"/>
            <w:tcBorders/>
          </w:tcPr>
          <w:p>
            <w:pPr>
              <w:pStyle w:val="TableContents"/>
              <w:bidi w:val="0"/>
              <w:spacing w:before="0" w:after="283"/>
              <w:jc w:val="left"/>
              <w:rPr/>
            </w:pPr>
            <w:r>
              <w:rPr/>
              <w:t>By: Centerbridge Associates III, L.P., its general partner</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Co-Invest Holdings, L.P.</w:t>
            </w:r>
          </w:p>
        </w:tc>
      </w:tr>
      <w:tr>
        <w:trPr/>
        <w:tc>
          <w:tcPr>
            <w:tcW w:w="4082" w:type="dxa"/>
            <w:gridSpan w:val="3"/>
            <w:tcBorders/>
          </w:tcPr>
          <w:p>
            <w:pPr>
              <w:pStyle w:val="TableContents"/>
              <w:bidi w:val="0"/>
              <w:spacing w:before="0" w:after="283"/>
              <w:jc w:val="left"/>
              <w:rPr/>
            </w:pPr>
            <w:r>
              <w:rPr/>
              <w:t>By: Centerbridge Associates III, L.P., its general partner</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GP A,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A, L.P.</w:t>
            </w:r>
          </w:p>
        </w:tc>
      </w:tr>
      <w:tr>
        <w:trPr/>
        <w:tc>
          <w:tcPr>
            <w:tcW w:w="4082" w:type="dxa"/>
            <w:gridSpan w:val="3"/>
            <w:tcBorders/>
          </w:tcPr>
          <w:p>
            <w:pPr>
              <w:pStyle w:val="TableContents"/>
              <w:bidi w:val="0"/>
              <w:spacing w:before="0" w:after="283"/>
              <w:jc w:val="left"/>
              <w:rPr/>
            </w:pPr>
            <w:r>
              <w:rPr/>
              <w:t>By: CB Blizzard Lower Holdings GP A,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Blizzard Aggregator, LLC</w:t>
            </w:r>
          </w:p>
        </w:tc>
      </w:tr>
      <w:tr>
        <w:trPr/>
        <w:tc>
          <w:tcPr>
            <w:tcW w:w="4082" w:type="dxa"/>
            <w:gridSpan w:val="3"/>
            <w:tcBorders/>
          </w:tcPr>
          <w:p>
            <w:pPr>
              <w:pStyle w:val="TableContents"/>
              <w:bidi w:val="0"/>
              <w:spacing w:before="0" w:after="283"/>
              <w:jc w:val="left"/>
              <w:rPr/>
            </w:pPr>
            <w:r>
              <w:rPr/>
              <w:t>By: CCP III Cayman GP Ltd., its sole manager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GP B,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B, L.P.</w:t>
            </w:r>
          </w:p>
        </w:tc>
      </w:tr>
      <w:tr>
        <w:trPr/>
        <w:tc>
          <w:tcPr>
            <w:tcW w:w="4082" w:type="dxa"/>
            <w:gridSpan w:val="3"/>
            <w:tcBorders/>
          </w:tcPr>
          <w:p>
            <w:pPr>
              <w:pStyle w:val="TableContents"/>
              <w:bidi w:val="0"/>
              <w:spacing w:before="0" w:after="283"/>
              <w:jc w:val="left"/>
              <w:rPr/>
            </w:pPr>
            <w:r>
              <w:rPr/>
              <w:t>By: CB Blizzard Lower Holdings GP B, LLC, its general partner</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Susanne V. Clark</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Jeffrey H. Aronson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H. Aronson</w:t>
            </w:r>
          </w:p>
        </w:tc>
      </w:tr>
    </w:tbl>
    <w:p>
      <w:pPr>
        <w:pStyle w:val="TextBody"/>
        <w:bidi w:val="0"/>
        <w:spacing w:before="0" w:after="0"/>
        <w:jc w:val="right"/>
        <w:rPr>
          <w:rFonts w:ascii="Times New Roman" w:hAnsi="Times New Roman"/>
          <w:b/>
          <w:sz w:val="20"/>
        </w:rPr>
      </w:pPr>
      <w:bookmarkStart w:id="2" w:name="d434684dex4.htm"/>
      <w:bookmarkStart w:id="3" w:name="ksd434684dex4"/>
      <w:bookmarkEnd w:id="2"/>
      <w:bookmarkEnd w:id="3"/>
      <w:r>
        <w:rPr>
          <w:rFonts w:ascii="Times New Roman" w:hAnsi="Times New Roman"/>
          <w:b/>
          <w:sz w:val="20"/>
        </w:rPr>
        <w:t xml:space="preserve">EXHIBIT 4 </w:t>
      </w:r>
      <w:r>
        <w:br w:type="page"/>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STRICTLY CONFIDENTIAL </w:t>
      </w:r>
    </w:p>
    <w:p>
      <w:pPr>
        <w:pStyle w:val="TextBody"/>
        <w:bidi w:val="0"/>
        <w:spacing w:before="240" w:after="0"/>
        <w:jc w:val="left"/>
        <w:rPr>
          <w:rFonts w:ascii="Times New Roman" w:hAnsi="Times New Roman"/>
          <w:sz w:val="20"/>
        </w:rPr>
      </w:pPr>
      <w:r>
        <w:rPr>
          <w:rFonts w:ascii="Times New Roman" w:hAnsi="Times New Roman"/>
          <w:sz w:val="20"/>
        </w:rPr>
        <w:t xml:space="preserve">May 18, 2023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(the Board) </w:t>
      </w:r>
    </w:p>
    <w:p>
      <w:pPr>
        <w:pStyle w:val="TextBody"/>
        <w:bidi w:val="0"/>
        <w:spacing w:before="0" w:after="0"/>
        <w:jc w:val="left"/>
        <w:rPr>
          <w:rFonts w:ascii="Times New Roman" w:hAnsi="Times New Roman"/>
          <w:sz w:val="20"/>
        </w:rPr>
      </w:pPr>
      <w:r>
        <w:rPr>
          <w:rFonts w:ascii="Times New Roman" w:hAnsi="Times New Roman"/>
          <w:sz w:val="20"/>
        </w:rPr>
        <w:t xml:space="preserve">GoHealth, Inc. </w:t>
      </w:r>
    </w:p>
    <w:p>
      <w:pPr>
        <w:pStyle w:val="TextBody"/>
        <w:bidi w:val="0"/>
        <w:spacing w:before="0" w:after="0"/>
        <w:jc w:val="left"/>
        <w:rPr>
          <w:rFonts w:ascii="Times New Roman" w:hAnsi="Times New Roman"/>
          <w:sz w:val="20"/>
        </w:rPr>
      </w:pPr>
      <w:r>
        <w:rPr>
          <w:rFonts w:ascii="Times New Roman" w:hAnsi="Times New Roman"/>
          <w:sz w:val="20"/>
        </w:rPr>
        <w:t xml:space="preserve">214 West Huron St.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60654 </w:t>
      </w:r>
    </w:p>
    <w:p>
      <w:pPr>
        <w:pStyle w:val="TextBody"/>
        <w:bidi w:val="0"/>
        <w:spacing w:before="240" w:after="0"/>
        <w:jc w:val="left"/>
        <w:rPr>
          <w:rFonts w:ascii="Times New Roman" w:hAnsi="Times New Roman"/>
          <w:sz w:val="20"/>
        </w:rPr>
      </w:pPr>
      <w:r>
        <w:rPr>
          <w:rFonts w:ascii="Times New Roman" w:hAnsi="Times New Roman"/>
          <w:sz w:val="20"/>
        </w:rPr>
        <w:t xml:space="preserve">Dear 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funds and other entities affiliated with Centerbridge Capital Partners III, L.P. (collectively, the Centerbridge Funds) and NVX Holdings, Inc., BCCJ, LLC, Clinton P. Jones and Brandon M. Cruz (collectively, the Co-Founder Parties and, together with the Centerbridge Funds, the Stockholders) are pleased to submit this non-binding proposal to acquire 100% of the outstanding shares of Class A common stock (the Class A Common Stock) of GoHealth, Inc. (the Company) and common units of GoHealth Holdings, LLC (GoHealth Holdings) that are not owned by the Stockholders, for cash consideration of $20.00 per share or unit, on the terms and subject to the conditions set forth herein (our Proposal and such potential acquisition, the Transaction)1. Our Proposal represents a premium of approximately 15% to the Companys market price as of the close of trading on May 18, 2023 and a premium of approximately 70% and approximately 40% to the Companys volume-weighted average closing share price for the last 30 trading days and 90 trading days ending May 18,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Transaction is in the best interests of the Company and its stockholders. Our Proposal provides the Companys stockholders with an opportunity to obtain immediate liquidity and certainty of value at a premium to the Companys current stock price. </w:t>
      </w:r>
    </w:p>
    <w:p>
      <w:pPr>
        <w:pStyle w:val="TextBody"/>
        <w:bidi w:val="0"/>
        <w:spacing w:before="240" w:after="0"/>
        <w:jc w:val="left"/>
        <w:rPr>
          <w:rFonts w:ascii="Times New Roman" w:hAnsi="Times New Roman"/>
          <w:sz w:val="20"/>
        </w:rPr>
      </w:pPr>
      <w:r>
        <w:rPr>
          <w:rFonts w:ascii="Times New Roman" w:hAnsi="Times New Roman"/>
          <w:sz w:val="20"/>
        </w:rPr>
        <w:t xml:space="preserve">Centerbridges investment committee has approved the submission of this Proposal. Our Proposal is subject to the completion of confirmatory due diligence and the negotiation and execution of mutually acceptable definitive transaction documentation, which we have instructed our counsel to prepare and will share in due course.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would also expect to speak with certain of the Companys existing investors and current and potential third-party lenders, including with respect to potential financing or an amendment, extension or other modification of the Companys existing financing arrangements, prior to the execution of definitive transaction documentation. Our Proposal is conditioned on the agreement of holders of shares of the Companys Series A convertible perpetual preferred stock (the Series A Preferred Stock) to not exercise any change of control put right that may be available to such holders in connection with the consummation of the Transaction and to roll over their shares of Series A Preferred Stock, Series A-1 convertible non-voting preferred stock and Common Stock in connection with the Transaction.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Proposal assumes that the Company does not and will not declare any dividends on its Class A Common Stock.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Assuming our Proposal is acceptable, and we are given full access to due diligence, management and other key parties, we believe, given the Stockholders existing stake in, and familiarity with, the Company, we can negotiate and execute definitive transaction documentation expeditiously. Based on our preliminary review, we do not expect that the Transaction will result in the acceleration of potentially substantial cash payments under the Companys existing Tax Receivable Agreement with GoHealth Holdings and certain of the Companys stockholders, which maximizes the cash available to be paid to the Companys stockholders (other than the Stockholders) in the Transaction compared with potential alternative transactions. </w:t>
      </w:r>
    </w:p>
    <w:p>
      <w:pPr>
        <w:pStyle w:val="TextBody"/>
        <w:bidi w:val="0"/>
        <w:spacing w:before="240" w:after="0"/>
        <w:jc w:val="left"/>
        <w:rPr>
          <w:rFonts w:ascii="Times New Roman" w:hAnsi="Times New Roman"/>
          <w:sz w:val="20"/>
        </w:rPr>
      </w:pPr>
      <w:r>
        <w:rPr>
          <w:rFonts w:ascii="Times New Roman" w:hAnsi="Times New Roman"/>
          <w:sz w:val="20"/>
        </w:rPr>
        <w:t xml:space="preserve">Given the involvement of the Stockholders in the Transaction, this Proposal is conditioned upon a fully empowered special committee comprised solely of independent and disinterested directors of the Board and advised by independent legal and financial advisors considering this Proposal and making a recommendation to the full Board. We will not move forward with our Proposal unless it is recommended to the Board by such special committee. Please know that we are enthusiastic about the Company and its management, and our support for the Company and its management will not change if the Transaction is not recommended by such special committee or is not pursued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We wish to emphasize that, in our capacity as stockholders of the Company, we are only interested in acquiring the shares of the Company that we do not currently own, and accordingly we have no interest in pursuing a transaction that results in a disposition or sale of our holdings in the Company or GoHealth Holdings. </w:t>
      </w:r>
    </w:p>
    <w:p>
      <w:pPr>
        <w:pStyle w:val="TextBody"/>
        <w:bidi w:val="0"/>
        <w:spacing w:before="240" w:after="0"/>
        <w:jc w:val="left"/>
        <w:rPr>
          <w:rFonts w:ascii="Times New Roman" w:hAnsi="Times New Roman"/>
          <w:sz w:val="20"/>
        </w:rPr>
      </w:pPr>
      <w:r>
        <w:rPr>
          <w:rFonts w:ascii="Times New Roman" w:hAnsi="Times New Roman"/>
          <w:sz w:val="20"/>
        </w:rPr>
        <w:t xml:space="preserve">Our Proposal is a non-binding expression of interest only and does not constitute an offer subject to binding acceptance. We reserve the right to withdraw or modify our Proposal at any time. No liability or legal obligation, express or implied, with respect to our Proposal or any other transaction shall arise unless and until the parties have executed definitive transaction documentation with the Company. The Stockholders intend to promptly file a Schedule 13D amendment reflecting this Proposal. </w:t>
      </w:r>
    </w:p>
    <w:p>
      <w:pPr>
        <w:pStyle w:val="TextBody"/>
        <w:bidi w:val="0"/>
        <w:spacing w:before="240" w:after="0"/>
        <w:jc w:val="left"/>
        <w:rPr>
          <w:rFonts w:ascii="Times New Roman" w:hAnsi="Times New Roman"/>
          <w:sz w:val="20"/>
        </w:rPr>
      </w:pPr>
      <w:r>
        <w:rPr>
          <w:rFonts w:ascii="Times New Roman" w:hAnsi="Times New Roman"/>
          <w:sz w:val="20"/>
        </w:rPr>
        <w:t xml:space="preserve">We are available at your convenience to discuss any aspects of our Proposal.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25"/>
        <w:gridCol w:w="60"/>
        <w:gridCol w:w="3597"/>
      </w:tblGrid>
      <w:tr>
        <w:trPr/>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A, L.P.</w:t>
            </w:r>
          </w:p>
        </w:tc>
      </w:tr>
      <w:tr>
        <w:trPr/>
        <w:tc>
          <w:tcPr>
            <w:tcW w:w="4082" w:type="dxa"/>
            <w:gridSpan w:val="3"/>
            <w:tcBorders/>
          </w:tcPr>
          <w:p>
            <w:pPr>
              <w:pStyle w:val="TableContents"/>
              <w:bidi w:val="0"/>
              <w:spacing w:before="0" w:after="283"/>
              <w:jc w:val="left"/>
              <w:rPr/>
            </w:pPr>
            <w:r>
              <w:rPr/>
              <w:t>By: CB Blizzard Lower Holdings GP A,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4082" w:type="dxa"/>
            <w:gridSpan w:val="3"/>
            <w:tcBorders/>
          </w:tcPr>
          <w:p>
            <w:pPr>
              <w:pStyle w:val="TableContents"/>
              <w:bidi w:val="0"/>
              <w:spacing w:before="0" w:after="283"/>
              <w:jc w:val="left"/>
              <w:rPr/>
            </w:pPr>
            <w:r>
              <w:rPr/>
              <w:t>Name: Susanne V. Clark</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Lower Holdings B, L.P.</w:t>
            </w:r>
          </w:p>
        </w:tc>
      </w:tr>
      <w:tr>
        <w:trPr/>
        <w:tc>
          <w:tcPr>
            <w:tcW w:w="4082" w:type="dxa"/>
            <w:gridSpan w:val="3"/>
            <w:tcBorders/>
          </w:tcPr>
          <w:p>
            <w:pPr>
              <w:pStyle w:val="TableContents"/>
              <w:bidi w:val="0"/>
              <w:spacing w:before="0" w:after="283"/>
              <w:jc w:val="left"/>
              <w:rPr/>
            </w:pPr>
            <w:r>
              <w:rPr/>
              <w:t>By: CB Blizzard Lower Holdings GP B,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4082" w:type="dxa"/>
            <w:gridSpan w:val="3"/>
            <w:tcBorders/>
          </w:tcPr>
          <w:p>
            <w:pPr>
              <w:pStyle w:val="TableContents"/>
              <w:bidi w:val="0"/>
              <w:spacing w:before="0" w:after="283"/>
              <w:jc w:val="left"/>
              <w:rPr/>
            </w:pPr>
            <w:r>
              <w:rPr/>
              <w:t>Name: Susanne V. Clark</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CB Blizzard Holdings C, L.P.</w:t>
            </w:r>
          </w:p>
        </w:tc>
      </w:tr>
      <w:tr>
        <w:trPr/>
        <w:tc>
          <w:tcPr>
            <w:tcW w:w="4082" w:type="dxa"/>
            <w:gridSpan w:val="3"/>
            <w:tcBorders/>
          </w:tcPr>
          <w:p>
            <w:pPr>
              <w:pStyle w:val="TableContents"/>
              <w:bidi w:val="0"/>
              <w:spacing w:before="0" w:after="283"/>
              <w:jc w:val="left"/>
              <w:rPr/>
            </w:pPr>
            <w:r>
              <w:rPr/>
              <w:t>By: CCP III Cayman GP Ltd., its general partner</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Susanne V. Clark</w:t>
            </w:r>
          </w:p>
        </w:tc>
      </w:tr>
      <w:tr>
        <w:trPr/>
        <w:tc>
          <w:tcPr>
            <w:tcW w:w="4082" w:type="dxa"/>
            <w:gridSpan w:val="3"/>
            <w:tcBorders/>
          </w:tcPr>
          <w:p>
            <w:pPr>
              <w:pStyle w:val="TableContents"/>
              <w:bidi w:val="0"/>
              <w:spacing w:before="0" w:after="283"/>
              <w:jc w:val="left"/>
              <w:rPr/>
            </w:pPr>
            <w:r>
              <w:rPr/>
              <w:t>Name: Susanne V. Clark</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NVX Holdings, Inc.</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M. Cruz</w:t>
            </w:r>
          </w:p>
        </w:tc>
      </w:tr>
      <w:tr>
        <w:trPr/>
        <w:tc>
          <w:tcPr>
            <w:tcW w:w="4082" w:type="dxa"/>
            <w:gridSpan w:val="3"/>
            <w:tcBorders/>
          </w:tcPr>
          <w:p>
            <w:pPr>
              <w:pStyle w:val="TableContents"/>
              <w:bidi w:val="0"/>
              <w:spacing w:before="0" w:after="283"/>
              <w:jc w:val="left"/>
              <w:rPr/>
            </w:pPr>
            <w:r>
              <w:rPr/>
              <w:t>Name: Brandon M. Cruz</w:t>
            </w:r>
          </w:p>
        </w:tc>
      </w:tr>
      <w:tr>
        <w:trPr/>
        <w:tc>
          <w:tcPr>
            <w:tcW w:w="4082" w:type="dxa"/>
            <w:gridSpan w:val="3"/>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Clinton P. Jones</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Clinton P. Jones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Brandon M. Cruz</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M. Cruz</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BCCJ, LLC</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3657"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9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Brandon M. Cruz</w:t>
            </w:r>
          </w:p>
        </w:tc>
      </w:tr>
      <w:tr>
        <w:trPr/>
        <w:tc>
          <w:tcPr>
            <w:tcW w:w="4082" w:type="dxa"/>
            <w:gridSpan w:val="3"/>
            <w:tcBorders/>
          </w:tcPr>
          <w:p>
            <w:pPr>
              <w:pStyle w:val="TableContents"/>
              <w:bidi w:val="0"/>
              <w:spacing w:before="0" w:after="283"/>
              <w:jc w:val="left"/>
              <w:rPr/>
            </w:pPr>
            <w:r>
              <w:rPr/>
              <w:t>Name: Brandon M. Cruz</w:t>
            </w:r>
          </w:p>
        </w:tc>
      </w:tr>
      <w:tr>
        <w:trPr/>
        <w:tc>
          <w:tcPr>
            <w:tcW w:w="4082" w:type="dxa"/>
            <w:gridSpan w:val="3"/>
            <w:tcBorders/>
          </w:tcPr>
          <w:p>
            <w:pPr>
              <w:pStyle w:val="TableContents"/>
              <w:bidi w:val="0"/>
              <w:spacing w:before="0" w:after="283"/>
              <w:jc w:val="left"/>
              <w:rPr/>
            </w:pPr>
            <w:r>
              <w:rPr/>
              <w:t>Title: Manager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5192</Words>
  <Characters>25643</Characters>
  <CharactersWithSpaces>31779</CharactersWithSpaces>
  <Paragraphs>1535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dc:title>
</cp:coreProperties>
</file>