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10, 2023</w:t>
      </w:r>
    </w:p>
    <w:p>
      <w:pPr>
        <w:spacing w:after="0" w:line="2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2"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20"/>
          </w:cols>
          <w:pgMar w:left="320" w:top="1426" w:right="35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81" w:lineRule="exact"/>
        <w:rPr>
          <w:sz w:val="24"/>
          <w:szCs w:val="24"/>
          <w:color w:val="auto"/>
        </w:rPr>
      </w:pPr>
    </w:p>
    <w:p>
      <w:pPr>
        <w:sectPr>
          <w:pgSz w:w="11900" w:h="16838" w:orient="portrait"/>
          <w:cols w:equalWidth="0" w:num="3">
            <w:col w:w="4520" w:space="720"/>
            <w:col w:w="2980" w:space="720"/>
            <w:col w:w="2280"/>
          </w:cols>
          <w:pgMar w:left="320" w:top="1426"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40" w:space="720"/>
            <w:col w:w="3100"/>
          </w:cols>
          <w:pgMar w:left="320" w:top="1426" w:right="359" w:bottom="1440" w:gutter="0" w:footer="0" w:header="0"/>
          <w:type w:val="continuous"/>
        </w:sectPr>
      </w:pPr>
    </w:p>
    <w:p>
      <w:pPr>
        <w:spacing w:after="0" w:line="81"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20"/>
          </w:cols>
          <w:pgMar w:left="320" w:top="1426" w:right="35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60654</w:t>
      </w:r>
    </w:p>
    <w:p>
      <w:pPr>
        <w:spacing w:after="0" w:line="78" w:lineRule="exact"/>
        <w:rPr>
          <w:sz w:val="24"/>
          <w:szCs w:val="24"/>
          <w:color w:val="auto"/>
        </w:rPr>
      </w:pPr>
    </w:p>
    <w:p>
      <w:pPr>
        <w:sectPr>
          <w:pgSz w:w="11900" w:h="16838" w:orient="portrait"/>
          <w:cols w:equalWidth="0" w:num="2">
            <w:col w:w="7460" w:space="720"/>
            <w:col w:w="3040"/>
          </w:cols>
          <w:pgMar w:left="320" w:top="1426"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00" w:space="720"/>
            <w:col w:w="3200"/>
          </w:cols>
          <w:pgMar w:left="320" w:top="1426" w:right="35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7" w:lineRule="exact"/>
        <w:rPr>
          <w:sz w:val="24"/>
          <w:szCs w:val="24"/>
          <w:color w:val="auto"/>
        </w:rPr>
      </w:pPr>
    </w:p>
    <w:p>
      <w:pPr>
        <w:ind w:right="280"/>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560" w:hanging="363"/>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60" w:hanging="363"/>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60" w:hanging="363"/>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60" w:hanging="363"/>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33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3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Trading Symbol(s)</w:t>
            </w:r>
          </w:p>
        </w:tc>
        <w:tc>
          <w:tcPr>
            <w:tcW w:w="12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7"/>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2940" w:type="dxa"/>
            <w:vAlign w:val="bottom"/>
          </w:tcPr>
          <w:p>
            <w:pPr>
              <w:jc w:val="center"/>
              <w:ind w:right="639"/>
              <w:spacing w:after="0"/>
              <w:rPr>
                <w:sz w:val="20"/>
                <w:szCs w:val="20"/>
                <w:color w:val="auto"/>
              </w:rPr>
            </w:pPr>
            <w:r>
              <w:rPr>
                <w:rFonts w:ascii="Arial" w:cs="Arial" w:eastAsia="Arial" w:hAnsi="Arial"/>
                <w:sz w:val="16"/>
                <w:szCs w:val="16"/>
                <w:color w:val="auto"/>
              </w:rPr>
              <w:t>GOCO</w:t>
            </w:r>
          </w:p>
        </w:tc>
        <w:tc>
          <w:tcPr>
            <w:tcW w:w="1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07"/>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r>
    </w:tbl>
    <w:p>
      <w:pPr>
        <w:spacing w:after="0" w:line="212" w:lineRule="exact"/>
        <w:rPr>
          <w:sz w:val="24"/>
          <w:szCs w:val="24"/>
          <w:color w:val="auto"/>
        </w:rPr>
      </w:pPr>
    </w:p>
    <w:p>
      <w:pPr>
        <w:jc w:val="both"/>
        <w:spacing w:after="0" w:line="27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3" w:lineRule="exact"/>
        <w:rPr>
          <w:sz w:val="24"/>
          <w:szCs w:val="24"/>
          <w:color w:val="auto"/>
        </w:rPr>
      </w:pPr>
    </w:p>
    <w:p>
      <w:pPr>
        <w:ind w:right="1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1426" w:right="3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August 10, 2023, GoHealth, Inc. issued a press release announcing its financial results for the quarter ended June 30, 2023. A copy of the press release is furnished as Exhibit 99.1 to this Current Report on Form 8-K.</w:t>
      </w:r>
    </w:p>
    <w:p>
      <w:pPr>
        <w:spacing w:after="0" w:line="5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20" w:type="dxa"/>
            <w:vAlign w:val="bottom"/>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rPr>
              <w:t>Press release, dated August 10, 2023</w:t>
            </w:r>
          </w:p>
        </w:tc>
        <w:tc>
          <w:tcPr>
            <w:tcW w:w="7100" w:type="dxa"/>
            <w:vAlign w:val="bottom"/>
          </w:tcPr>
          <w:p>
            <w:pPr>
              <w:spacing w:after="0"/>
              <w:rPr>
                <w:sz w:val="14"/>
                <w:szCs w:val="14"/>
                <w:color w:val="auto"/>
              </w:rPr>
            </w:pPr>
          </w:p>
        </w:tc>
      </w:tr>
      <w:tr>
        <w:trPr>
          <w:trHeight w:val="231"/>
        </w:trPr>
        <w:tc>
          <w:tcPr>
            <w:tcW w:w="132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72"/>
        </w:trPr>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96"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6" w:lineRule="exact"/>
        <w:rPr>
          <w:sz w:val="20"/>
          <w:szCs w:val="20"/>
          <w:color w:val="auto"/>
        </w:rPr>
      </w:pPr>
    </w:p>
    <w:p>
      <w:pPr>
        <w:ind w:left="260"/>
        <w:spacing w:after="0"/>
        <w:tabs>
          <w:tab w:leader="none" w:pos="5740" w:val="left"/>
        </w:tabs>
        <w:rPr>
          <w:sz w:val="20"/>
          <w:szCs w:val="20"/>
          <w:color w:val="auto"/>
        </w:rPr>
      </w:pPr>
      <w:r>
        <w:rPr>
          <w:rFonts w:ascii="Arial" w:cs="Arial" w:eastAsia="Arial" w:hAnsi="Arial"/>
          <w:sz w:val="16"/>
          <w:szCs w:val="16"/>
          <w:color w:val="auto"/>
        </w:rPr>
        <w:t>Date: August 10, 2023</w:t>
      </w:r>
      <w:r>
        <w:rPr>
          <w:sz w:val="20"/>
          <w:szCs w:val="20"/>
          <w:color w:val="auto"/>
        </w:rPr>
        <w:tab/>
      </w:r>
      <w:r>
        <w:rPr>
          <w:rFonts w:ascii="Arial" w:cs="Arial" w:eastAsia="Arial" w:hAnsi="Arial"/>
          <w:sz w:val="16"/>
          <w:szCs w:val="16"/>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26670</wp:posOffset>
            </wp:positionV>
            <wp:extent cx="3317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5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Jason Schulz</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16510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Second Quarter 2023 Results</w:t>
      </w:r>
    </w:p>
    <w:p>
      <w:pPr>
        <w:spacing w:after="0" w:line="200" w:lineRule="exact"/>
        <w:rPr>
          <w:sz w:val="20"/>
          <w:szCs w:val="20"/>
          <w:color w:val="auto"/>
        </w:rPr>
      </w:pPr>
    </w:p>
    <w:p>
      <w:pPr>
        <w:spacing w:after="0" w:line="36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i w:val="1"/>
          <w:iCs w:val="1"/>
          <w:color w:val="auto"/>
        </w:rPr>
        <w:t xml:space="preserve">CHICAGO, August 10, 2023 </w:t>
      </w:r>
      <w:r>
        <w:rPr>
          <w:rFonts w:ascii="Arial" w:cs="Arial" w:eastAsia="Arial" w:hAnsi="Arial"/>
          <w:sz w:val="16"/>
          <w:szCs w:val="16"/>
          <w:color w:val="auto"/>
        </w:rPr>
        <w:t>— GoHealth, Inc. (NASDAQ: GOCO) (“GoHealth” or the “Company”), a leading health insurance marketplace and Medicare-focused digital health company, today announced financial results 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69850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61" w:lineRule="exact"/>
        <w:rPr>
          <w:sz w:val="20"/>
          <w:szCs w:val="20"/>
          <w:color w:val="auto"/>
        </w:rPr>
      </w:pPr>
    </w:p>
    <w:p>
      <w:pPr>
        <w:ind w:left="580" w:right="160"/>
        <w:spacing w:after="0"/>
        <w:rPr>
          <w:sz w:val="20"/>
          <w:szCs w:val="20"/>
          <w:color w:val="auto"/>
        </w:rPr>
      </w:pPr>
      <w:r>
        <w:rPr>
          <w:rFonts w:ascii="Arial" w:cs="Arial" w:eastAsia="Arial" w:hAnsi="Arial"/>
          <w:sz w:val="16"/>
          <w:szCs w:val="16"/>
          <w:color w:val="auto"/>
        </w:rPr>
        <w:t>Second quarter 2023 net revenues of $142.8 million, a decrease of $15.9 million compared to $158.7 million in the prior year period. YTD 2023 net revenues of $325.9 million, a decrease of $103.3 million compared to $429.2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38735</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98" w:lineRule="exact"/>
        <w:rPr>
          <w:sz w:val="20"/>
          <w:szCs w:val="20"/>
          <w:color w:val="auto"/>
        </w:rPr>
      </w:pPr>
    </w:p>
    <w:p>
      <w:pPr>
        <w:ind w:left="580" w:right="500"/>
        <w:spacing w:after="0" w:line="258" w:lineRule="auto"/>
        <w:rPr>
          <w:sz w:val="20"/>
          <w:szCs w:val="20"/>
          <w:color w:val="auto"/>
        </w:rPr>
      </w:pPr>
      <w:r>
        <w:rPr>
          <w:rFonts w:ascii="Arial" w:cs="Arial" w:eastAsia="Arial" w:hAnsi="Arial"/>
          <w:sz w:val="16"/>
          <w:szCs w:val="16"/>
          <w:color w:val="auto"/>
        </w:rPr>
        <w:t>Second quarter 2023 Submissions of 162,837, a 5% improvement compared to 154,893 Submissions in the prior year period. Demand for our services remains robust, and we continue to invest in technology to enhance our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38100</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11" w:lineRule="exact"/>
        <w:rPr>
          <w:sz w:val="20"/>
          <w:szCs w:val="20"/>
          <w:color w:val="auto"/>
        </w:rPr>
      </w:pPr>
    </w:p>
    <w:p>
      <w:pPr>
        <w:ind w:left="580" w:right="280"/>
        <w:spacing w:after="0"/>
        <w:rPr>
          <w:sz w:val="20"/>
          <w:szCs w:val="20"/>
          <w:color w:val="auto"/>
        </w:rPr>
      </w:pPr>
      <w:r>
        <w:rPr>
          <w:rFonts w:ascii="Arial" w:cs="Arial" w:eastAsia="Arial" w:hAnsi="Arial"/>
          <w:sz w:val="16"/>
          <w:szCs w:val="16"/>
          <w:color w:val="auto"/>
        </w:rPr>
        <w:t>Second quarter 2023 net loss of $70.2 million, an improvement of $43.5 million compared to $113.8 million in the prior year period. YTD 2023 net loss of $92.8 million, an improvement of $58.2 million compared to $151.0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46990</wp:posOffset>
            </wp:positionV>
            <wp:extent cx="17145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Second quarter 2023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$0.8 million, an improvement of $32.5 million compared to negative $31.7 million in the prior year period.</w:t>
      </w:r>
    </w:p>
    <w:p>
      <w:pPr>
        <w:ind w:left="580"/>
        <w:spacing w:after="0" w:line="226" w:lineRule="auto"/>
        <w:rPr>
          <w:sz w:val="20"/>
          <w:szCs w:val="20"/>
          <w:color w:val="auto"/>
        </w:rPr>
      </w:pPr>
      <w:r>
        <w:rPr>
          <w:rFonts w:ascii="Arial" w:cs="Arial" w:eastAsia="Arial" w:hAnsi="Arial"/>
          <w:sz w:val="16"/>
          <w:szCs w:val="16"/>
          <w:color w:val="auto"/>
        </w:rPr>
        <w:t>YTD 2023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$29.6 million, an improvement of $50.2 million compared to negative $20.7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26035</wp:posOffset>
            </wp:positionV>
            <wp:extent cx="17145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19" w:lineRule="exact"/>
        <w:rPr>
          <w:sz w:val="20"/>
          <w:szCs w:val="20"/>
          <w:color w:val="auto"/>
        </w:rPr>
      </w:pPr>
    </w:p>
    <w:p>
      <w:pPr>
        <w:ind w:left="580" w:right="280"/>
        <w:spacing w:after="0" w:line="276" w:lineRule="auto"/>
        <w:rPr>
          <w:sz w:val="20"/>
          <w:szCs w:val="20"/>
          <w:color w:val="auto"/>
        </w:rPr>
      </w:pPr>
      <w:r>
        <w:rPr>
          <w:rFonts w:ascii="Arial" w:cs="Arial" w:eastAsia="Arial" w:hAnsi="Arial"/>
          <w:sz w:val="16"/>
          <w:szCs w:val="16"/>
          <w:color w:val="auto"/>
        </w:rPr>
        <w:t>Second quarter 2023 Trailing Twelve Months positive cash flow from operations of $85.9 million, an improvement of $346.2 million compared to a use of cash of $260.4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2014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1485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Special Committee Rejects $20.00 per share Unsolicited Non-Binding Proposal</w:t>
      </w:r>
    </w:p>
    <w:p>
      <w:pPr>
        <w:spacing w:after="0" w:line="239" w:lineRule="exact"/>
        <w:rPr>
          <w:sz w:val="20"/>
          <w:szCs w:val="20"/>
          <w:color w:val="auto"/>
        </w:rPr>
      </w:pPr>
    </w:p>
    <w:p>
      <w:pPr>
        <w:ind w:left="40" w:right="80"/>
        <w:spacing w:after="0" w:line="245" w:lineRule="auto"/>
        <w:rPr>
          <w:sz w:val="20"/>
          <w:szCs w:val="20"/>
          <w:color w:val="auto"/>
        </w:rPr>
      </w:pPr>
      <w:r>
        <w:rPr>
          <w:rFonts w:ascii="Arial" w:cs="Arial" w:eastAsia="Arial" w:hAnsi="Arial"/>
          <w:sz w:val="16"/>
          <w:szCs w:val="16"/>
          <w:color w:val="auto"/>
        </w:rPr>
        <w:t>After careful review and consideration with its independent financial and legal advisors, the Special Committee of the GoHealth Board of Directors (the "Special Committee") has informed the Company that it has rejected the previously announced $20.00 per share unsolicited, non-binding proposal received on May 18, 2023 (the "Proposal") from its two largest stockholders to acquire all of the outstanding Class A Common Stock and LLC interests that these stockholders do not already own. The Special Committee unanimously concluded that the Proposal significantly undervalues the Company and is not in the best interests of GoHealth or its stockholders.</w:t>
      </w:r>
    </w:p>
    <w:p>
      <w:pPr>
        <w:spacing w:after="0" w:line="222" w:lineRule="exact"/>
        <w:rPr>
          <w:sz w:val="20"/>
          <w:szCs w:val="20"/>
          <w:color w:val="auto"/>
        </w:rPr>
      </w:pPr>
    </w:p>
    <w:p>
      <w:pPr>
        <w:ind w:left="40" w:right="560"/>
        <w:spacing w:after="0" w:line="243" w:lineRule="auto"/>
        <w:rPr>
          <w:sz w:val="20"/>
          <w:szCs w:val="20"/>
          <w:color w:val="auto"/>
        </w:rPr>
      </w:pPr>
      <w:r>
        <w:rPr>
          <w:rFonts w:ascii="Arial" w:cs="Arial" w:eastAsia="Arial" w:hAnsi="Arial"/>
          <w:sz w:val="16"/>
          <w:szCs w:val="16"/>
          <w:color w:val="auto"/>
        </w:rPr>
        <w:t>The Special Committee provided the following statement: “We believe the Proposal undervalues GoHealth and fails to recognize the strength of our business today as well as our compelling future prospects. We have confidence in the leadership team’s ability to execute the Company’s long range strategic plan.”</w:t>
      </w:r>
    </w:p>
    <w:p>
      <w:pPr>
        <w:spacing w:after="0" w:line="224" w:lineRule="exact"/>
        <w:rPr>
          <w:sz w:val="20"/>
          <w:szCs w:val="20"/>
          <w:color w:val="auto"/>
        </w:rPr>
      </w:pPr>
    </w:p>
    <w:p>
      <w:pPr>
        <w:ind w:left="40" w:right="60"/>
        <w:spacing w:after="0" w:line="244" w:lineRule="auto"/>
        <w:rPr>
          <w:sz w:val="20"/>
          <w:szCs w:val="20"/>
          <w:color w:val="auto"/>
        </w:rPr>
      </w:pPr>
      <w:r>
        <w:rPr>
          <w:rFonts w:ascii="Arial" w:cs="Arial" w:eastAsia="Arial" w:hAnsi="Arial"/>
          <w:sz w:val="16"/>
          <w:szCs w:val="16"/>
          <w:color w:val="auto"/>
        </w:rPr>
        <w:t>Vijay Kotte, CEO, GoHealth, added, “Building off a strong finish to 2022 and first half of 2023, we continue to successfully execute our overall strategy and launched several key initiatives early this year that are already delivering results and support our overall objectives to manage the business efficiently and effectively, and drive cash flow, increased revenue, and profitability. We are pleased with the significant progress we have made on our Encompass strategy thus far and anticipate accelerated improvement through the remainder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997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Updating Full Year 2023 Guidance</w:t>
      </w:r>
    </w:p>
    <w:p>
      <w:pPr>
        <w:spacing w:after="0" w:line="117" w:lineRule="exact"/>
        <w:rPr>
          <w:sz w:val="20"/>
          <w:szCs w:val="20"/>
          <w:color w:val="auto"/>
        </w:rPr>
      </w:pPr>
    </w:p>
    <w:p>
      <w:pPr>
        <w:jc w:val="both"/>
        <w:ind w:left="40" w:right="280"/>
        <w:spacing w:after="0" w:line="208" w:lineRule="auto"/>
        <w:rPr>
          <w:sz w:val="20"/>
          <w:szCs w:val="20"/>
          <w:color w:val="auto"/>
        </w:rPr>
      </w:pPr>
      <w:r>
        <w:rPr>
          <w:rFonts w:ascii="Arial" w:cs="Arial" w:eastAsia="Arial" w:hAnsi="Arial"/>
          <w:sz w:val="16"/>
          <w:szCs w:val="16"/>
          <w:color w:val="auto"/>
        </w:rPr>
        <w:t>The Company updates its full year 2023 outlook and expects total net revenue</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$800 - $850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$120 - $140 million, both excluding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These guidance updates reflect increases to the lower bounds previously communicated for total net revenue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ranges. The Company also expects positive cash flow from operations of $75 - $115 million."</w:t>
      </w:r>
    </w:p>
    <w:p>
      <w:pPr>
        <w:spacing w:after="0" w:line="20" w:lineRule="exact"/>
        <w:rPr>
          <w:sz w:val="20"/>
          <w:szCs w:val="20"/>
          <w:color w:val="auto"/>
        </w:rPr>
      </w:pPr>
    </w:p>
    <w:p>
      <w:pPr>
        <w:ind w:left="40" w:right="160"/>
        <w:spacing w:after="0" w:line="244" w:lineRule="auto"/>
        <w:rPr>
          <w:sz w:val="20"/>
          <w:szCs w:val="20"/>
          <w:color w:val="auto"/>
        </w:rPr>
      </w:pPr>
      <w:r>
        <w:rPr>
          <w:rFonts w:ascii="Arial" w:cs="Arial" w:eastAsia="Arial" w:hAnsi="Arial"/>
          <w:sz w:val="16"/>
          <w:szCs w:val="16"/>
          <w:color w:val="auto"/>
        </w:rPr>
        <w:t>At GoHealth, we remain steadfastly committed to enhancing the consumer experience, which has been a driving force behind our shift to Encompass,” stated Vijay Kotte, CEO of GoHealth. “Encompass offers a standardized workflow, driving a consistent consumer experience that results in a higher quality and greater cost efficiency for us. As we embark on our next stage of growth, I am proud to share that GoHealth has been making continuous strides by harnessing the power of our enhanced technology tools, which have yielded early efficiency returns and an unparalleled consumer experience.”</w:t>
      </w:r>
    </w:p>
    <w:p>
      <w:pPr>
        <w:spacing w:after="0" w:line="156" w:lineRule="exact"/>
        <w:rPr>
          <w:sz w:val="20"/>
          <w:szCs w:val="20"/>
          <w:color w:val="auto"/>
        </w:rPr>
      </w:pPr>
    </w:p>
    <w:p>
      <w:pPr>
        <w:ind w:left="40" w:right="40"/>
        <w:spacing w:after="0" w:line="250" w:lineRule="auto"/>
        <w:rPr>
          <w:sz w:val="20"/>
          <w:szCs w:val="20"/>
          <w:color w:val="auto"/>
        </w:rPr>
      </w:pPr>
      <w:r>
        <w:rPr>
          <w:rFonts w:ascii="Arial" w:cs="Arial" w:eastAsia="Arial" w:hAnsi="Arial"/>
          <w:sz w:val="16"/>
          <w:szCs w:val="16"/>
          <w:color w:val="auto"/>
        </w:rPr>
        <w:t>“As we report our latest financial results, I am pleased to announce that we are raising the floor on our guidance, reflecting the robust performance and confidence in our future prospects. Our revised expectations for total net revenue and adjusted EBITDA signify our commitment to sustained growth and our dedication to delivering value to our shareholders. We remain focused on driving innovation, operational excellence, and market leadership, and we look forward to building on this momentum in the coming quarters," stated Jason Schulz, CFO of GoHealth.</w:t>
      </w:r>
    </w:p>
    <w:p>
      <w:pPr>
        <w:spacing w:after="0" w:line="200" w:lineRule="exact"/>
        <w:rPr>
          <w:sz w:val="20"/>
          <w:szCs w:val="20"/>
          <w:color w:val="auto"/>
        </w:rPr>
      </w:pPr>
    </w:p>
    <w:p>
      <w:pPr>
        <w:spacing w:after="0" w:line="238" w:lineRule="exact"/>
        <w:rPr>
          <w:sz w:val="20"/>
          <w:szCs w:val="20"/>
          <w:color w:val="auto"/>
        </w:rPr>
      </w:pPr>
    </w:p>
    <w:p>
      <w:pPr>
        <w:ind w:right="60"/>
        <w:spacing w:after="0" w:line="209" w:lineRule="auto"/>
        <w:rPr>
          <w:sz w:val="20"/>
          <w:szCs w:val="20"/>
          <w:color w:val="auto"/>
        </w:rPr>
      </w:pPr>
      <w:r>
        <w:rPr>
          <w:rFonts w:ascii="Arial" w:cs="Arial" w:eastAsia="Arial" w:hAnsi="Arial"/>
          <w:sz w:val="16"/>
          <w:szCs w:val="16"/>
          <w:color w:val="auto"/>
        </w:rPr>
        <w:t>The Company made the strategic decision to exit its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to focus on its core business. The exit was completed in the second quarter of 2023. For the three and six months ended June 30, 2023,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contributed $2.5 million and $9.3 million of net revenue with a gross margin of $0.3 million and $1.7 million, respectively. For the three and six months ended June 30, 2023, net revenue excluding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revenue of $2.5 million and $9.3 million was $140.3 million and $316.6 million, respectively,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excluding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gross margin of $0.3 million and $1.7 million was $0.5 million and $27.9 million, respectively.</w:t>
      </w:r>
      <w:r>
        <w:rPr>
          <w:rFonts w:ascii="Arial" w:cs="Arial" w:eastAsia="Arial" w:hAnsi="Arial"/>
          <w:sz w:val="21"/>
          <w:szCs w:val="21"/>
          <w:color w:val="auto"/>
          <w:vertAlign w:val="superscript"/>
        </w:rPr>
        <w:t>3</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6" w:right="339" w:bottom="1440" w:gutter="0" w:footer="0" w:header="0"/>
        </w:sectPr>
      </w:pPr>
    </w:p>
    <w:bookmarkStart w:id="4" w:name="page5"/>
    <w:bookmarkEnd w:id="4"/>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16510</wp:posOffset>
            </wp:positionV>
            <wp:extent cx="108013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Second Quarter 2023 Results</w:t>
      </w:r>
    </w:p>
    <w:p>
      <w:pPr>
        <w:spacing w:after="0" w:line="200" w:lineRule="exact"/>
        <w:rPr>
          <w:sz w:val="20"/>
          <w:szCs w:val="20"/>
          <w:color w:val="auto"/>
        </w:rPr>
      </w:pPr>
    </w:p>
    <w:p>
      <w:pPr>
        <w:spacing w:after="0" w:line="352" w:lineRule="exact"/>
        <w:rPr>
          <w:sz w:val="20"/>
          <w:szCs w:val="20"/>
          <w:color w:val="auto"/>
        </w:rPr>
      </w:pPr>
    </w:p>
    <w:p>
      <w:pPr>
        <w:ind w:right="80"/>
        <w:spacing w:after="0"/>
        <w:rPr>
          <w:sz w:val="20"/>
          <w:szCs w:val="20"/>
          <w:color w:val="auto"/>
        </w:rPr>
      </w:pPr>
      <w:r>
        <w:rPr>
          <w:rFonts w:ascii="Arial" w:cs="Arial" w:eastAsia="Arial" w:hAnsi="Arial"/>
          <w:sz w:val="16"/>
          <w:szCs w:val="16"/>
          <w:color w:val="auto"/>
        </w:rPr>
        <w:t xml:space="preserve">During the first quarter of 2023, the Company reorganized its operations from four operating and reportable segments to one operating and reportable segment. The change reflects how the Company’s chief operating decision maker (“CODM”) evaluates the Company’s operating and financial performance on a consolidated basis and is consistent with changes made to the Company’s internal reporting structure. Additionally, the single operating segment aligns with the Company’s shift in focus towards Medicare products. Operating segments are identified as components of an enterprise about which separate discrete financial information is available and reviewed regularly by the CODM. The Company’s CODM is its chief executive officer who reviews financial information together with certain operating metrics principally to make decisions about how to allocate resources and to measure the Company’s performance. All prior period comparative segment information was recast to reflect the current single operating segment in accordance with Accounting Standards Codification 280, </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6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Conference Call Details</w:t>
      </w:r>
    </w:p>
    <w:p>
      <w:pPr>
        <w:spacing w:after="0" w:line="24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Company will host a conference call today, Thursday, August 10, 2023 at 8:00 a.m. (ET) to discuss its financial results. Participants can pre-register for the conference call at the following link: https://edge.media-server.com/mmc/p/2iudd3hc. A live audio webcast of the conference call will be available via GoHealth's Investor Relations website. A replay of the call will be available via webcast on GoHealth’s Investor Relations website for on-demand listening shortly after the completion of the call.</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3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consumers,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health plan partner that is right for them. GoHealth has enrolled millions of people in Medicare plans and individual and family plans. For more information, visit https://www.gohealth.com.</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1" w:lineRule="exact"/>
        <w:rPr>
          <w:rFonts w:ascii="Arial" w:cs="Arial" w:eastAsia="Arial" w:hAnsi="Arial"/>
          <w:sz w:val="13"/>
          <w:szCs w:val="13"/>
          <w:i w:val="1"/>
          <w:iCs w:val="1"/>
          <w:color w:val="auto"/>
        </w:rPr>
      </w:pPr>
    </w:p>
    <w:p>
      <w:pPr>
        <w:ind w:left="340" w:hanging="332"/>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Non-Encompass BPO Services are those services in which we dedicate certain agents to specific health plan partners and agencies, outside of the Encompass Solution.</w:t>
      </w:r>
    </w:p>
    <w:p>
      <w:pPr>
        <w:ind w:left="340" w:right="140" w:hanging="332"/>
        <w:spacing w:after="0" w:line="242" w:lineRule="auto"/>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Net revenue excluding non-Encompass BPO Services revenue and Adjusted EBITDA excluding non-Encompass BPO Services gross margin are non-GAAP measures. For a reconciliation to the most comparable GAAP measure, please see table provided below.</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A2299"/>
        </w:rPr>
        <w:t>Forward-Looking Statements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This press release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level of cash flow, future capital expenditures and debt service obligations are forward-looking statements.</w:t>
      </w:r>
    </w:p>
    <w:p>
      <w:pPr>
        <w:spacing w:after="0" w:line="22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but are not limited to, the following: the marketing and sale of Medicare plans are subject to numerous, complex and frequently changing laws, regulations and guidelines; our operating results have been, and may continue to be, adversely impacted by factors that impact our estimate of LTV; our gradual expansion of the Encompass Solution may not be as successful as we expect; our business may be harmed if we lose our relationships with health plans or if our relationships with health plans change; health plans may reduce the commissions paid to us and change their underwriting practices in ways that reduce the number of, or impact the renewal or approval rates of, insurance policies sold through our platform; our management identified a material weakness in our internal controls over financial reporting, and we may be unable to develop, implement and maintain appropriate controls in future periods, which may lead to errors or omissions in our financial statements; we currently depend on a small group of health plans for a substantial portion of our revenue; information technology system failures could interrupt our operations; factors that impact our estimate of LTV (as defined below); we may lose key employees or fail to attract qualified employees; our failure to grow our customer base or retain our existing customers; we may not realize the benefits we expect from our strategic cash flow optimization and other cash management initiatives; our ability to sell Medicare-related health insurance plans is largely dependent on our licensed health insurance agents; operating and growing our business may require additional capital; and the Founders and Centerbridge have significant influence over us, including control over decisions that require the approval of stockholders.</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our 2022 Annual Report on Form 10-K, our Quarterly Report on Form 10-Q for the first fiscal quarter ended March 31, 2023, our forthcoming Quarterly Report on Form 10-Q for the second quarter ended June 30, 2023, and our other filings with the Securities and Exchange Commission.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the business and monitor its results of operations. Sales per Submission, Cost per Submission and Adjusted Gross Margin per Submission are key operating metrics used by management to understand the Company’s underlying financial performance and trends.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Additional non-GAAP financial measures, including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 Adjustments, are also discussed in this press release. The Lookback Adjustments are revenue adjustments that represent changes in estimates relating to performance obligations satisfied in prior periods and relate to the fiscal years 2021 and prior.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77" w:right="339" w:bottom="1440" w:gutter="0" w:footer="0" w:header="0"/>
        </w:sectPr>
      </w:pPr>
    </w:p>
    <w:bookmarkStart w:id="7" w:name="page8"/>
    <w:bookmarkEnd w:id="7"/>
    <w:p>
      <w:pPr>
        <w:ind w:right="160"/>
        <w:spacing w:after="0" w:line="262"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 Sales per Submission represents Medicare Revenue per Submission as further adjusted for certain items summarized below in this press release. Cost per Submission represents Operating Expense per Submission as further adjusted for certain items summarized below in this press release. Adjusted Gross Margin represents Sales per Submission less Cost per Submission.</w:t>
      </w:r>
    </w:p>
    <w:p>
      <w:pPr>
        <w:spacing w:after="0" w:line="223"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Adjusted EBITDA, net revenue excluding the Lookback Adjustments, Adjusted EBITDA excluding the Lookback Adjustments, net revenue excluding both the non-Encompass BPO Services revenue and the Lookback Adjustments, Adjusted EBITDA excluding both the non-Encompass BPO Services gross margin and the Lookback Adjustments, Sales per Submission, Cost per Submission and Adjusted Gross Margin per Submission to its most directly comparable GAAP financial measure,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 is unable to provide a full reconciliation of guidance for Adjusted EBITDA without unreasonable effort because it is not possible to predict certain adjustment items with a reasonable degree of certainty since they are not yet known or quantifiable, and do not relate to the Company’s routine activities. This information is dependent upon future events, which may be outside of the Company’s control and could have a significant impact on its GAAP financial results for fiscal 2023.</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35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Gross Margin per Submission</w:t>
      </w:r>
      <w:r>
        <w:rPr>
          <w:rFonts w:ascii="Arial" w:cs="Arial" w:eastAsia="Arial" w:hAnsi="Arial"/>
          <w:sz w:val="16"/>
          <w:szCs w:val="16"/>
          <w:color w:val="auto"/>
        </w:rPr>
        <w:t>” refers to Sales per Submission less Cost per Submission.</w:t>
      </w:r>
    </w:p>
    <w:p>
      <w:pPr>
        <w:spacing w:after="0" w:line="234" w:lineRule="exact"/>
        <w:rPr>
          <w:rFonts w:ascii="Arial" w:cs="Arial" w:eastAsia="Arial" w:hAnsi="Arial"/>
          <w:sz w:val="16"/>
          <w:szCs w:val="16"/>
          <w:color w:val="auto"/>
        </w:rPr>
      </w:pPr>
    </w:p>
    <w:p>
      <w:pPr>
        <w:ind w:left="660" w:right="20" w:hanging="328"/>
        <w:spacing w:after="0" w:line="255"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of Submission</w:t>
      </w:r>
      <w:r>
        <w:rPr>
          <w:rFonts w:ascii="Arial" w:cs="Arial" w:eastAsia="Arial" w:hAnsi="Arial"/>
          <w:sz w:val="16"/>
          <w:szCs w:val="16"/>
          <w:color w:val="auto"/>
        </w:rPr>
        <w:t>” refers to the aggregate cost to convert prospects into Submissions during a particular period. Cost of Submission is comprised of revenue share, marketing and advertising expenses, and customer care and enrollment expenses, excluding share-based compensation expense and such expenses related to non-Encompass BPO Services.</w:t>
      </w:r>
    </w:p>
    <w:p>
      <w:pPr>
        <w:spacing w:after="0" w:line="210" w:lineRule="exact"/>
        <w:rPr>
          <w:rFonts w:ascii="Arial" w:cs="Arial" w:eastAsia="Arial" w:hAnsi="Arial"/>
          <w:sz w:val="16"/>
          <w:szCs w:val="16"/>
          <w:i w:val="1"/>
          <w:iCs w:val="1"/>
          <w:color w:val="auto"/>
        </w:rPr>
      </w:pPr>
    </w:p>
    <w:p>
      <w:pPr>
        <w:ind w:left="660" w:right="60" w:hanging="328"/>
        <w:spacing w:after="0" w:line="242"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per Submission</w:t>
      </w:r>
      <w:r>
        <w:rPr>
          <w:rFonts w:ascii="Arial" w:cs="Arial" w:eastAsia="Arial" w:hAnsi="Arial"/>
          <w:sz w:val="16"/>
          <w:szCs w:val="16"/>
          <w:color w:val="auto"/>
        </w:rPr>
        <w:t>” 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w:t>
      </w:r>
    </w:p>
    <w:p>
      <w:pPr>
        <w:spacing w:after="0" w:line="317" w:lineRule="exact"/>
        <w:rPr>
          <w:rFonts w:ascii="Arial" w:cs="Arial" w:eastAsia="Arial" w:hAnsi="Arial"/>
          <w:sz w:val="16"/>
          <w:szCs w:val="16"/>
          <w:i w:val="1"/>
          <w:iCs w:val="1"/>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Gross margin”</w:t>
      </w:r>
      <w:r>
        <w:rPr>
          <w:rFonts w:ascii="Arial" w:cs="Arial" w:eastAsia="Arial" w:hAnsi="Arial"/>
          <w:sz w:val="16"/>
          <w:szCs w:val="16"/>
          <w:color w:val="auto"/>
        </w:rPr>
        <w:t xml:space="preserve"> refers to net revenue divided by revenue share, marketing and advertising expenses and customer care and enrollment expenses</w:t>
      </w:r>
      <w:r>
        <w:rPr>
          <w:rFonts w:ascii="Arial" w:cs="Arial" w:eastAsia="Arial" w:hAnsi="Arial"/>
          <w:sz w:val="16"/>
          <w:szCs w:val="16"/>
          <w:i w:val="1"/>
          <w:iCs w:val="1"/>
          <w:color w:val="auto"/>
        </w:rPr>
        <w:t>.</w:t>
      </w:r>
    </w:p>
    <w:p>
      <w:pPr>
        <w:spacing w:after="0" w:line="234" w:lineRule="exact"/>
        <w:rPr>
          <w:rFonts w:ascii="Arial" w:cs="Arial" w:eastAsia="Arial" w:hAnsi="Arial"/>
          <w:sz w:val="16"/>
          <w:szCs w:val="16"/>
          <w:color w:val="auto"/>
        </w:rPr>
      </w:pPr>
    </w:p>
    <w:p>
      <w:pPr>
        <w:jc w:val="both"/>
        <w:ind w:left="660" w:right="140" w:hanging="328"/>
        <w:spacing w:after="0" w:line="25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mix and expected policy persistency with applied constraints.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020" w:right="339" w:bottom="1440" w:gutter="0" w:footer="0" w:header="0"/>
        </w:sectPr>
      </w:pPr>
    </w:p>
    <w:bookmarkStart w:id="8" w:name="page9"/>
    <w:bookmarkEnd w:id="8"/>
    <w:p>
      <w:pPr>
        <w:ind w:left="328" w:right="380" w:hanging="328"/>
        <w:spacing w:after="0" w:line="263"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Non-Encompass BPO Services”</w:t>
      </w:r>
      <w:r>
        <w:rPr>
          <w:rFonts w:ascii="Arial" w:cs="Arial" w:eastAsia="Arial" w:hAnsi="Arial"/>
          <w:sz w:val="16"/>
          <w:szCs w:val="16"/>
          <w:color w:val="auto"/>
        </w:rPr>
        <w:t xml:space="preserve"> refer to programs in which GoHealth-employed agents are dedicated to certain health plans and agencies we partner with outside of the Encompass model.</w:t>
      </w:r>
    </w:p>
    <w:p>
      <w:pPr>
        <w:spacing w:after="0" w:line="204" w:lineRule="exact"/>
        <w:rPr>
          <w:rFonts w:ascii="Arial" w:cs="Arial" w:eastAsia="Arial" w:hAnsi="Arial"/>
          <w:sz w:val="16"/>
          <w:szCs w:val="16"/>
          <w:color w:val="auto"/>
        </w:rPr>
      </w:pPr>
    </w:p>
    <w:p>
      <w:pPr>
        <w:ind w:left="328" w:right="300" w:hanging="328"/>
        <w:spacing w:after="0" w:line="246" w:lineRule="auto"/>
        <w:tabs>
          <w:tab w:leader="none" w:pos="328"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 per Submission</w:t>
      </w:r>
      <w:r>
        <w:rPr>
          <w:rFonts w:ascii="Arial" w:cs="Arial" w:eastAsia="Arial" w:hAnsi="Arial"/>
          <w:sz w:val="16"/>
          <w:szCs w:val="16"/>
          <w:color w:val="auto"/>
        </w:rPr>
        <w:t>” refers to (x) the combination sum of (i) aggregate commissions estimated to be collected over the estimated life of all commissionable Submissions for the relevant period based on multiple factors, including but not limited to, contracted commission rates, health plan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spacing w:after="0" w:line="204" w:lineRule="exact"/>
        <w:rPr>
          <w:rFonts w:ascii="Arial" w:cs="Arial" w:eastAsia="Arial" w:hAnsi="Arial"/>
          <w:sz w:val="16"/>
          <w:szCs w:val="16"/>
          <w:i w:val="1"/>
          <w:iCs w:val="1"/>
          <w:color w:val="auto"/>
        </w:rPr>
      </w:pPr>
    </w:p>
    <w:p>
      <w:pPr>
        <w:ind w:left="328" w:right="200" w:hanging="328"/>
        <w:spacing w:after="0" w:line="243" w:lineRule="auto"/>
        <w:tabs>
          <w:tab w:leader="none" w:pos="304"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Sales/Cost of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excluding share-based compensation expense) for such period. Sales and Cost of Submission exclude amounts related to non-Encompass BPO Services.</w:t>
      </w:r>
    </w:p>
    <w:p>
      <w:pPr>
        <w:spacing w:after="0" w:line="208" w:lineRule="exact"/>
        <w:rPr>
          <w:rFonts w:ascii="Arial" w:cs="Arial" w:eastAsia="Arial" w:hAnsi="Arial"/>
          <w:sz w:val="16"/>
          <w:szCs w:val="16"/>
          <w:i w:val="1"/>
          <w:iCs w:val="1"/>
          <w:color w:val="auto"/>
        </w:rPr>
      </w:pPr>
    </w:p>
    <w:p>
      <w:pPr>
        <w:ind w:left="328" w:right="60" w:hanging="328"/>
        <w:spacing w:after="0" w:line="255" w:lineRule="auto"/>
        <w:tabs>
          <w:tab w:leader="none" w:pos="328"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Submission</w:t>
      </w:r>
      <w:r>
        <w:rPr>
          <w:rFonts w:ascii="Arial" w:cs="Arial" w:eastAsia="Arial" w:hAnsi="Arial"/>
          <w:sz w:val="16"/>
          <w:szCs w:val="16"/>
          <w:color w:val="auto"/>
        </w:rPr>
        <w:t>” refers to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08"/>
          </w:cols>
          <w:pgMar w:left="652" w:top="76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Three months ended Jun.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Three months ended Jun.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B6B6B6"/>
            </w:tcBorders>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B6B6B6"/>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80" w:type="dxa"/>
            <w:vAlign w:val="bottom"/>
            <w:shd w:val="clear" w:color="auto" w:fill="929292"/>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Dollars</w:t>
            </w:r>
          </w:p>
        </w:tc>
        <w:tc>
          <w:tcPr>
            <w:tcW w:w="92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Dollars</w:t>
            </w:r>
          </w:p>
        </w:tc>
        <w:tc>
          <w:tcPr>
            <w:tcW w:w="920" w:type="dxa"/>
            <w:vAlign w:val="bottom"/>
          </w:tcPr>
          <w:p>
            <w:pPr>
              <w:jc w:val="right"/>
              <w:ind w:right="188"/>
              <w:spacing w:after="0" w:line="143" w:lineRule="exact"/>
              <w:rPr>
                <w:sz w:val="20"/>
                <w:szCs w:val="20"/>
                <w:color w:val="auto"/>
              </w:rPr>
            </w:pPr>
            <w:r>
              <w:rPr>
                <w:rFonts w:ascii="Arial" w:cs="Arial" w:eastAsia="Arial" w:hAnsi="Arial"/>
                <w:sz w:val="14"/>
                <w:szCs w:val="14"/>
                <w:b w:val="1"/>
                <w:bCs w:val="1"/>
                <w:color w:val="auto"/>
              </w:rPr>
              <w:t>% of Net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2"/>
                <w:szCs w:val="12"/>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B6B6B6"/>
            </w:tcBorders>
            <w:vMerge w:val="continue"/>
          </w:tcPr>
          <w:p>
            <w:pPr>
              <w:spacing w:after="0"/>
              <w:rPr>
                <w:sz w:val="16"/>
                <w:szCs w:val="16"/>
                <w:color w:val="auto"/>
              </w:rPr>
            </w:pPr>
          </w:p>
        </w:tc>
        <w:tc>
          <w:tcPr>
            <w:tcW w:w="80" w:type="dxa"/>
            <w:vAlign w:val="bottom"/>
            <w:tcBorders>
              <w:bottom w:val="single" w:sz="8" w:color="B6B6B6"/>
            </w:tcBorders>
            <w:shd w:val="clear" w:color="auto" w:fill="929292"/>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vMerge w:val="continue"/>
          </w:tcPr>
          <w:p>
            <w:pPr>
              <w:spacing w:after="0"/>
              <w:rPr>
                <w:sz w:val="16"/>
                <w:szCs w:val="16"/>
                <w:color w:val="auto"/>
              </w:rPr>
            </w:pPr>
          </w:p>
        </w:tc>
        <w:tc>
          <w:tcPr>
            <w:tcW w:w="9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B6B6B6"/>
            </w:tcBorders>
          </w:tcPr>
          <w:p>
            <w:pPr>
              <w:spacing w:after="0"/>
              <w:rPr>
                <w:sz w:val="16"/>
                <w:szCs w:val="16"/>
                <w:color w:val="auto"/>
              </w:rPr>
            </w:pPr>
          </w:p>
        </w:tc>
        <w:tc>
          <w:tcPr>
            <w:tcW w:w="100" w:type="dxa"/>
            <w:vAlign w:val="bottom"/>
            <w:tcBorders>
              <w:bottom w:val="single" w:sz="8" w:color="B6B6B6"/>
            </w:tcBorders>
          </w:tcPr>
          <w:p>
            <w:pPr>
              <w:spacing w:after="0"/>
              <w:rPr>
                <w:sz w:val="16"/>
                <w:szCs w:val="16"/>
                <w:color w:val="auto"/>
              </w:rPr>
            </w:pPr>
          </w:p>
        </w:tc>
        <w:tc>
          <w:tcPr>
            <w:tcW w:w="1220" w:type="dxa"/>
            <w:vAlign w:val="bottom"/>
            <w:tcBorders>
              <w:bottom w:val="single" w:sz="8" w:color="B6B6B6"/>
            </w:tcBorders>
            <w:vMerge w:val="continue"/>
          </w:tcPr>
          <w:p>
            <w:pPr>
              <w:spacing w:after="0"/>
              <w:rPr>
                <w:sz w:val="16"/>
                <w:szCs w:val="16"/>
                <w:color w:val="auto"/>
              </w:rPr>
            </w:pPr>
          </w:p>
        </w:tc>
        <w:tc>
          <w:tcPr>
            <w:tcW w:w="9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840" w:type="dxa"/>
            <w:vAlign w:val="bottom"/>
            <w:tcBorders>
              <w:bottom w:val="single" w:sz="8" w:color="B6B6B6"/>
            </w:tcBorders>
            <w:vMerge w:val="continue"/>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80" w:type="dxa"/>
            <w:vAlign w:val="bottom"/>
            <w:shd w:val="clear" w:color="auto" w:fill="929292"/>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142,779</w:t>
            </w: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158,654</w:t>
            </w: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(15,875)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80" w:type="dxa"/>
            <w:vAlign w:val="bottom"/>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36,422</w:t>
            </w:r>
          </w:p>
        </w:tc>
        <w:tc>
          <w:tcPr>
            <w:tcW w:w="920" w:type="dxa"/>
            <w:vAlign w:val="bottom"/>
          </w:tcPr>
          <w:p>
            <w:pPr>
              <w:jc w:val="right"/>
              <w:spacing w:after="0"/>
              <w:rPr>
                <w:sz w:val="20"/>
                <w:szCs w:val="20"/>
                <w:color w:val="auto"/>
              </w:rPr>
            </w:pPr>
            <w:r>
              <w:rPr>
                <w:rFonts w:ascii="Arial" w:cs="Arial" w:eastAsia="Arial" w:hAnsi="Arial"/>
                <w:sz w:val="14"/>
                <w:szCs w:val="14"/>
                <w:color w:val="auto"/>
              </w:rPr>
              <w:t>25.5 %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51,074</w:t>
            </w:r>
          </w:p>
        </w:tc>
        <w:tc>
          <w:tcPr>
            <w:tcW w:w="920" w:type="dxa"/>
            <w:vAlign w:val="bottom"/>
          </w:tcPr>
          <w:p>
            <w:pPr>
              <w:jc w:val="right"/>
              <w:spacing w:after="0"/>
              <w:rPr>
                <w:sz w:val="20"/>
                <w:szCs w:val="20"/>
                <w:color w:val="auto"/>
              </w:rPr>
            </w:pPr>
            <w:r>
              <w:rPr>
                <w:rFonts w:ascii="Arial" w:cs="Arial" w:eastAsia="Arial" w:hAnsi="Arial"/>
                <w:sz w:val="14"/>
                <w:szCs w:val="14"/>
                <w:color w:val="auto"/>
              </w:rPr>
              <w:t>32.2 %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(14,652)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3"/>
        </w:trPr>
        <w:tc>
          <w:tcPr>
            <w:tcW w:w="440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39,269</w:t>
            </w:r>
          </w:p>
        </w:tc>
        <w:tc>
          <w:tcPr>
            <w:tcW w:w="920" w:type="dxa"/>
            <w:vAlign w:val="bottom"/>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44,714</w:t>
            </w:r>
          </w:p>
        </w:tc>
        <w:tc>
          <w:tcPr>
            <w:tcW w:w="920" w:type="dxa"/>
            <w:vAlign w:val="bottom"/>
          </w:tcPr>
          <w:p>
            <w:pPr>
              <w:jc w:val="right"/>
              <w:spacing w:after="0"/>
              <w:rPr>
                <w:sz w:val="20"/>
                <w:szCs w:val="20"/>
                <w:color w:val="auto"/>
              </w:rPr>
            </w:pPr>
            <w:r>
              <w:rPr>
                <w:rFonts w:ascii="Arial" w:cs="Arial" w:eastAsia="Arial" w:hAnsi="Arial"/>
                <w:sz w:val="14"/>
                <w:szCs w:val="14"/>
                <w:color w:val="auto"/>
              </w:rPr>
              <w:t>28.2 %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(5,445)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3"/>
        </w:trPr>
        <w:tc>
          <w:tcPr>
            <w:tcW w:w="440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45,536</w:t>
            </w:r>
          </w:p>
        </w:tc>
        <w:tc>
          <w:tcPr>
            <w:tcW w:w="92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66,542</w:t>
            </w:r>
          </w:p>
        </w:tc>
        <w:tc>
          <w:tcPr>
            <w:tcW w:w="920" w:type="dxa"/>
            <w:vAlign w:val="bottom"/>
          </w:tcPr>
          <w:p>
            <w:pPr>
              <w:jc w:val="right"/>
              <w:spacing w:after="0"/>
              <w:rPr>
                <w:sz w:val="20"/>
                <w:szCs w:val="20"/>
                <w:color w:val="auto"/>
              </w:rPr>
            </w:pPr>
            <w:r>
              <w:rPr>
                <w:rFonts w:ascii="Arial" w:cs="Arial" w:eastAsia="Arial" w:hAnsi="Arial"/>
                <w:sz w:val="14"/>
                <w:szCs w:val="14"/>
                <w:color w:val="auto"/>
              </w:rPr>
              <w:t>41.9 %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(21,006)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10,511</w:t>
            </w:r>
          </w:p>
        </w:tc>
        <w:tc>
          <w:tcPr>
            <w:tcW w:w="920" w:type="dxa"/>
            <w:vAlign w:val="bottom"/>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10,749</w:t>
            </w:r>
          </w:p>
        </w:tc>
        <w:tc>
          <w:tcPr>
            <w:tcW w:w="920" w:type="dxa"/>
            <w:vAlign w:val="bottom"/>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440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37,855</w:t>
            </w:r>
          </w:p>
        </w:tc>
        <w:tc>
          <w:tcPr>
            <w:tcW w:w="920" w:type="dxa"/>
            <w:vAlign w:val="bottom"/>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38,106</w:t>
            </w:r>
          </w:p>
        </w:tc>
        <w:tc>
          <w:tcPr>
            <w:tcW w:w="920" w:type="dxa"/>
            <w:vAlign w:val="bottom"/>
          </w:tcPr>
          <w:p>
            <w:pPr>
              <w:jc w:val="right"/>
              <w:spacing w:after="0"/>
              <w:rPr>
                <w:sz w:val="20"/>
                <w:szCs w:val="20"/>
                <w:color w:val="auto"/>
              </w:rPr>
            </w:pPr>
            <w:r>
              <w:rPr>
                <w:rFonts w:ascii="Arial" w:cs="Arial" w:eastAsia="Arial" w:hAnsi="Arial"/>
                <w:sz w:val="14"/>
                <w:szCs w:val="14"/>
                <w:color w:val="auto"/>
              </w:rPr>
              <w:t>24.0 %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3"/>
        </w:trPr>
        <w:tc>
          <w:tcPr>
            <w:tcW w:w="440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23,515</w:t>
            </w:r>
          </w:p>
        </w:tc>
        <w:tc>
          <w:tcPr>
            <w:tcW w:w="920" w:type="dxa"/>
            <w:vAlign w:val="bottom"/>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23,515</w:t>
            </w:r>
          </w:p>
        </w:tc>
        <w:tc>
          <w:tcPr>
            <w:tcW w:w="920" w:type="dxa"/>
            <w:vAlign w:val="bottom"/>
          </w:tcPr>
          <w:p>
            <w:pPr>
              <w:jc w:val="right"/>
              <w:spacing w:after="0"/>
              <w:rPr>
                <w:sz w:val="20"/>
                <w:szCs w:val="20"/>
                <w:color w:val="auto"/>
              </w:rPr>
            </w:pPr>
            <w:r>
              <w:rPr>
                <w:rFonts w:ascii="Arial" w:cs="Arial" w:eastAsia="Arial" w:hAnsi="Arial"/>
                <w:sz w:val="14"/>
                <w:szCs w:val="14"/>
                <w:color w:val="auto"/>
              </w:rPr>
              <w:t>14.8 %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440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80" w:type="dxa"/>
            <w:vAlign w:val="bottom"/>
            <w:tcBorders>
              <w:bottom w:val="single" w:sz="8" w:color="929292"/>
            </w:tcBorders>
            <w:shd w:val="clear" w:color="auto" w:fill="929292"/>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color w:val="auto"/>
              </w:rPr>
              <w:t>2,687</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00" w:type="dxa"/>
            <w:vAlign w:val="bottom"/>
            <w:tcBorders>
              <w:bottom w:val="single" w:sz="8" w:color="B6B6B6"/>
            </w:tcBorders>
          </w:tcPr>
          <w:p>
            <w:pPr>
              <w:spacing w:after="0"/>
              <w:rPr>
                <w:sz w:val="16"/>
                <w:szCs w:val="16"/>
                <w:color w:val="auto"/>
              </w:rPr>
            </w:pPr>
          </w:p>
        </w:tc>
        <w:tc>
          <w:tcPr>
            <w:tcW w:w="122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color w:val="auto"/>
              </w:rPr>
              <w:t>24,995</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15.8 %</w:t>
            </w:r>
          </w:p>
        </w:tc>
        <w:tc>
          <w:tcPr>
            <w:tcW w:w="80" w:type="dxa"/>
            <w:vAlign w:val="bottom"/>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(22,308)</w:t>
            </w:r>
          </w:p>
        </w:tc>
        <w:tc>
          <w:tcPr>
            <w:tcW w:w="80" w:type="dxa"/>
            <w:vAlign w:val="bottom"/>
          </w:tcPr>
          <w:p>
            <w:pPr>
              <w:spacing w:after="0"/>
              <w:rPr>
                <w:sz w:val="16"/>
                <w:szCs w:val="16"/>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color w:val="auto"/>
              </w:rPr>
              <w:t>195,795</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137.1 %</w:t>
            </w:r>
          </w:p>
        </w:tc>
        <w:tc>
          <w:tcPr>
            <w:tcW w:w="100" w:type="dxa"/>
            <w:vAlign w:val="bottom"/>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color w:val="auto"/>
              </w:rPr>
              <w:t>259,695</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163.7 %</w:t>
            </w:r>
          </w:p>
        </w:tc>
        <w:tc>
          <w:tcPr>
            <w:tcW w:w="8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(63,900)</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(53,016)</w:t>
            </w:r>
          </w:p>
        </w:tc>
        <w:tc>
          <w:tcPr>
            <w:tcW w:w="92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(101,041)</w:t>
            </w:r>
          </w:p>
        </w:tc>
        <w:tc>
          <w:tcPr>
            <w:tcW w:w="920" w:type="dxa"/>
            <w:vAlign w:val="bottom"/>
          </w:tcPr>
          <w:p>
            <w:pPr>
              <w:jc w:val="right"/>
              <w:spacing w:after="0"/>
              <w:rPr>
                <w:sz w:val="20"/>
                <w:szCs w:val="20"/>
                <w:color w:val="auto"/>
              </w:rPr>
            </w:pPr>
            <w:r>
              <w:rPr>
                <w:rFonts w:ascii="Arial" w:cs="Arial" w:eastAsia="Arial" w:hAnsi="Arial"/>
                <w:sz w:val="14"/>
                <w:szCs w:val="14"/>
                <w:color w:val="auto"/>
              </w:rPr>
              <w:t>(63.7)%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48,025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17,265</w:t>
            </w:r>
          </w:p>
        </w:tc>
        <w:tc>
          <w:tcPr>
            <w:tcW w:w="92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12,724</w:t>
            </w:r>
          </w:p>
        </w:tc>
        <w:tc>
          <w:tcPr>
            <w:tcW w:w="920" w:type="dxa"/>
            <w:vAlign w:val="bottom"/>
          </w:tcPr>
          <w:p>
            <w:pPr>
              <w:jc w:val="right"/>
              <w:spacing w:after="0"/>
              <w:rPr>
                <w:sz w:val="20"/>
                <w:szCs w:val="20"/>
                <w:color w:val="auto"/>
              </w:rPr>
            </w:pPr>
            <w:r>
              <w:rPr>
                <w:rFonts w:ascii="Arial" w:cs="Arial" w:eastAsia="Arial" w:hAnsi="Arial"/>
                <w:sz w:val="14"/>
                <w:szCs w:val="14"/>
                <w:color w:val="auto"/>
              </w:rPr>
              <w:t>8.0 %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4,541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35.7 %</w:t>
            </w:r>
          </w:p>
        </w:tc>
        <w:tc>
          <w:tcPr>
            <w:tcW w:w="0" w:type="dxa"/>
            <w:vAlign w:val="bottom"/>
          </w:tcPr>
          <w:p>
            <w:pPr>
              <w:spacing w:after="0"/>
              <w:rPr>
                <w:sz w:val="1"/>
                <w:szCs w:val="1"/>
                <w:color w:val="auto"/>
              </w:rPr>
            </w:pP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color w:val="auto"/>
              </w:rPr>
              <w:t>21</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color w:val="auto"/>
              </w:rPr>
              <w:t>(13)</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(70,302)</w:t>
            </w:r>
          </w:p>
        </w:tc>
        <w:tc>
          <w:tcPr>
            <w:tcW w:w="92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(113,752)</w:t>
            </w:r>
          </w:p>
        </w:tc>
        <w:tc>
          <w:tcPr>
            <w:tcW w:w="920" w:type="dxa"/>
            <w:vAlign w:val="bottom"/>
          </w:tcPr>
          <w:p>
            <w:pPr>
              <w:jc w:val="right"/>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43,450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Borders>
              <w:top w:val="single" w:sz="8" w:color="929292"/>
              <w:bottom w:val="single" w:sz="8" w:color="929292"/>
            </w:tcBorders>
            <w:shd w:val="clear" w:color="auto" w:fill="929292"/>
          </w:tcPr>
          <w:p>
            <w:pPr>
              <w:spacing w:after="0"/>
              <w:rPr>
                <w:sz w:val="15"/>
                <w:szCs w:val="15"/>
                <w:color w:val="auto"/>
              </w:rPr>
            </w:pPr>
          </w:p>
        </w:tc>
        <w:tc>
          <w:tcPr>
            <w:tcW w:w="120" w:type="dxa"/>
            <w:vAlign w:val="bottom"/>
            <w:tcBorders>
              <w:top w:val="single" w:sz="8" w:color="B6B6B6"/>
              <w:bottom w:val="single" w:sz="8" w:color="B6B6B6"/>
            </w:tcBorders>
          </w:tcPr>
          <w:p>
            <w:pPr>
              <w:spacing w:after="0"/>
              <w:rPr>
                <w:sz w:val="15"/>
                <w:szCs w:val="15"/>
                <w:color w:val="auto"/>
              </w:rPr>
            </w:pPr>
          </w:p>
        </w:tc>
        <w:tc>
          <w:tcPr>
            <w:tcW w:w="1200" w:type="dxa"/>
            <w:vAlign w:val="bottom"/>
            <w:tcBorders>
              <w:top w:val="single" w:sz="8" w:color="B6B6B6"/>
              <w:bottom w:val="single" w:sz="8" w:color="B6B6B6"/>
            </w:tcBorders>
          </w:tcPr>
          <w:p>
            <w:pPr>
              <w:jc w:val="right"/>
              <w:ind w:right="308"/>
              <w:spacing w:after="0"/>
              <w:rPr>
                <w:sz w:val="20"/>
                <w:szCs w:val="20"/>
                <w:color w:val="auto"/>
              </w:rPr>
            </w:pPr>
            <w:r>
              <w:rPr>
                <w:rFonts w:ascii="Arial" w:cs="Arial" w:eastAsia="Arial" w:hAnsi="Arial"/>
                <w:sz w:val="14"/>
                <w:szCs w:val="14"/>
                <w:color w:val="auto"/>
              </w:rPr>
              <w:t>(73)</w:t>
            </w: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Borders>
              <w:top w:val="single" w:sz="8" w:color="B6B6B6"/>
              <w:bottom w:val="single" w:sz="8" w:color="B6B6B6"/>
            </w:tcBorders>
          </w:tcPr>
          <w:p>
            <w:pPr>
              <w:spacing w:after="0"/>
              <w:rPr>
                <w:sz w:val="15"/>
                <w:szCs w:val="15"/>
                <w:color w:val="auto"/>
              </w:rPr>
            </w:pPr>
          </w:p>
        </w:tc>
        <w:tc>
          <w:tcPr>
            <w:tcW w:w="1220" w:type="dxa"/>
            <w:vAlign w:val="bottom"/>
            <w:tcBorders>
              <w:top w:val="single" w:sz="8" w:color="B6B6B6"/>
              <w:bottom w:val="single" w:sz="8" w:color="B6B6B6"/>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120" w:type="dxa"/>
            <w:vAlign w:val="bottom"/>
            <w:tcBorders>
              <w:top w:val="single" w:sz="8" w:color="B6B6B6"/>
              <w:bottom w:val="single" w:sz="8" w:color="B6B6B6"/>
            </w:tcBorders>
          </w:tcPr>
          <w:p>
            <w:pPr>
              <w:spacing w:after="0"/>
              <w:rPr>
                <w:sz w:val="15"/>
                <w:szCs w:val="15"/>
                <w:color w:val="auto"/>
              </w:rPr>
            </w:pPr>
          </w:p>
        </w:tc>
        <w:tc>
          <w:tcPr>
            <w:tcW w:w="8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5"/>
                <w:szCs w:val="15"/>
                <w:color w:val="auto"/>
              </w:rPr>
            </w:pPr>
          </w:p>
        </w:tc>
        <w:tc>
          <w:tcPr>
            <w:tcW w:w="10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929292"/>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(70,229)</w:t>
            </w:r>
          </w:p>
        </w:tc>
        <w:tc>
          <w:tcPr>
            <w:tcW w:w="920" w:type="dxa"/>
            <w:vAlign w:val="bottom"/>
          </w:tcPr>
          <w:p>
            <w:pPr>
              <w:jc w:val="right"/>
              <w:spacing w:after="0"/>
              <w:rPr>
                <w:sz w:val="20"/>
                <w:szCs w:val="20"/>
                <w:color w:val="auto"/>
              </w:rPr>
            </w:pPr>
            <w:r>
              <w:rPr>
                <w:rFonts w:ascii="Arial" w:cs="Arial" w:eastAsia="Arial" w:hAnsi="Arial"/>
                <w:sz w:val="14"/>
                <w:szCs w:val="14"/>
                <w:color w:val="auto"/>
              </w:rPr>
              <w:t>(49.2)%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(113,752)</w:t>
            </w:r>
          </w:p>
        </w:tc>
        <w:tc>
          <w:tcPr>
            <w:tcW w:w="920" w:type="dxa"/>
            <w:vAlign w:val="bottom"/>
          </w:tcPr>
          <w:p>
            <w:pPr>
              <w:jc w:val="right"/>
              <w:spacing w:after="0"/>
              <w:rPr>
                <w:sz w:val="20"/>
                <w:szCs w:val="20"/>
                <w:color w:val="auto"/>
              </w:rPr>
            </w:pPr>
            <w:r>
              <w:rPr>
                <w:rFonts w:ascii="Arial" w:cs="Arial" w:eastAsia="Arial" w:hAnsi="Arial"/>
                <w:sz w:val="14"/>
                <w:szCs w:val="14"/>
                <w:color w:val="auto"/>
              </w:rPr>
              <w:t>(71.7)%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43,523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80" w:type="dxa"/>
            <w:vAlign w:val="bottom"/>
            <w:tcBorders>
              <w:bottom w:val="single" w:sz="8" w:color="929292"/>
            </w:tcBorders>
            <w:shd w:val="clear" w:color="auto" w:fill="929292"/>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200" w:type="dxa"/>
            <w:vAlign w:val="bottom"/>
            <w:tcBorders>
              <w:bottom w:val="single" w:sz="8" w:color="B6B6B6"/>
            </w:tcBorders>
          </w:tcPr>
          <w:p>
            <w:pPr>
              <w:jc w:val="right"/>
              <w:ind w:right="308"/>
              <w:spacing w:after="0"/>
              <w:rPr>
                <w:sz w:val="20"/>
                <w:szCs w:val="20"/>
                <w:color w:val="auto"/>
              </w:rPr>
            </w:pPr>
            <w:r>
              <w:rPr>
                <w:rFonts w:ascii="Arial" w:cs="Arial" w:eastAsia="Arial" w:hAnsi="Arial"/>
                <w:sz w:val="14"/>
                <w:szCs w:val="14"/>
                <w:color w:val="auto"/>
              </w:rPr>
              <w:t>(41,287)</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8"/>
                <w:szCs w:val="18"/>
                <w:color w:val="auto"/>
              </w:rPr>
            </w:pPr>
          </w:p>
        </w:tc>
        <w:tc>
          <w:tcPr>
            <w:tcW w:w="100" w:type="dxa"/>
            <w:vAlign w:val="bottom"/>
            <w:tcBorders>
              <w:bottom w:val="single" w:sz="8" w:color="B6B6B6"/>
            </w:tcBorders>
          </w:tcPr>
          <w:p>
            <w:pPr>
              <w:spacing w:after="0"/>
              <w:rPr>
                <w:sz w:val="18"/>
                <w:szCs w:val="18"/>
                <w:color w:val="auto"/>
              </w:rPr>
            </w:pPr>
          </w:p>
        </w:tc>
        <w:tc>
          <w:tcPr>
            <w:tcW w:w="122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color w:val="auto"/>
              </w:rPr>
              <w:t>(69,933)</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28,646</w:t>
            </w:r>
          </w:p>
        </w:tc>
        <w:tc>
          <w:tcPr>
            <w:tcW w:w="80" w:type="dxa"/>
            <w:vAlign w:val="bottom"/>
          </w:tcPr>
          <w:p>
            <w:pPr>
              <w:spacing w:after="0"/>
              <w:rPr>
                <w:sz w:val="18"/>
                <w:szCs w:val="18"/>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80" w:type="dxa"/>
            <w:vAlign w:val="bottom"/>
            <w:shd w:val="clear" w:color="auto" w:fill="929292"/>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(28,942)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(20.3)%</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(43,819)</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14,877</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(34.0)%</w:t>
            </w:r>
          </w:p>
        </w:tc>
        <w:tc>
          <w:tcPr>
            <w:tcW w:w="0" w:type="dxa"/>
            <w:vAlign w:val="bottom"/>
          </w:tcPr>
          <w:p>
            <w:pPr>
              <w:spacing w:after="0"/>
              <w:rPr>
                <w:sz w:val="1"/>
                <w:szCs w:val="1"/>
                <w:color w:val="auto"/>
              </w:rPr>
            </w:pPr>
          </w:p>
        </w:tc>
      </w:tr>
      <w:tr>
        <w:trPr>
          <w:trHeight w:val="21"/>
        </w:trPr>
        <w:tc>
          <w:tcPr>
            <w:tcW w:w="4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8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120" w:type="dxa"/>
            <w:vAlign w:val="bottom"/>
            <w:tcBorders>
              <w:top w:val="single" w:sz="8" w:color="B6B6B6"/>
              <w:bottom w:val="single" w:sz="8" w:color="B6B6B6"/>
            </w:tcBorders>
          </w:tcPr>
          <w:p>
            <w:pPr>
              <w:spacing w:after="0" w:line="20" w:lineRule="exact"/>
              <w:rPr>
                <w:sz w:val="1"/>
                <w:szCs w:val="1"/>
                <w:color w:val="auto"/>
              </w:rPr>
            </w:pPr>
          </w:p>
        </w:tc>
        <w:tc>
          <w:tcPr>
            <w:tcW w:w="1200" w:type="dxa"/>
            <w:vAlign w:val="bottom"/>
            <w:tcBorders>
              <w:top w:val="single" w:sz="8" w:color="B6B6B6"/>
              <w:bottom w:val="single" w:sz="8" w:color="B6B6B6"/>
            </w:tcBorders>
          </w:tcPr>
          <w:p>
            <w:pPr>
              <w:spacing w:after="0" w:line="20" w:lineRule="exact"/>
              <w:rPr>
                <w:sz w:val="1"/>
                <w:szCs w:val="1"/>
                <w:color w:val="auto"/>
              </w:rPr>
            </w:pPr>
          </w:p>
        </w:tc>
        <w:tc>
          <w:tcPr>
            <w:tcW w:w="92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B6B6B6"/>
              <w:bottom w:val="single" w:sz="8" w:color="B6B6B6"/>
            </w:tcBorders>
          </w:tcPr>
          <w:p>
            <w:pPr>
              <w:spacing w:after="0" w:line="20" w:lineRule="exact"/>
              <w:rPr>
                <w:sz w:val="1"/>
                <w:szCs w:val="1"/>
                <w:color w:val="auto"/>
              </w:rPr>
            </w:pPr>
          </w:p>
        </w:tc>
        <w:tc>
          <w:tcPr>
            <w:tcW w:w="1220" w:type="dxa"/>
            <w:vAlign w:val="bottom"/>
            <w:tcBorders>
              <w:top w:val="single" w:sz="8" w:color="B6B6B6"/>
              <w:bottom w:val="single" w:sz="8" w:color="B6B6B6"/>
            </w:tcBorders>
          </w:tcPr>
          <w:p>
            <w:pPr>
              <w:spacing w:after="0" w:line="20" w:lineRule="exact"/>
              <w:rPr>
                <w:sz w:val="1"/>
                <w:szCs w:val="1"/>
                <w:color w:val="auto"/>
              </w:rPr>
            </w:pPr>
          </w:p>
        </w:tc>
        <w:tc>
          <w:tcPr>
            <w:tcW w:w="92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B6B6B6"/>
              <w:bottom w:val="single" w:sz="8" w:color="B6B6B6"/>
            </w:tcBorders>
          </w:tcPr>
          <w:p>
            <w:pPr>
              <w:spacing w:after="0" w:line="20" w:lineRule="exact"/>
              <w:rPr>
                <w:sz w:val="1"/>
                <w:szCs w:val="1"/>
                <w:color w:val="auto"/>
              </w:rPr>
            </w:pPr>
          </w:p>
        </w:tc>
        <w:tc>
          <w:tcPr>
            <w:tcW w:w="84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B6B6B6"/>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400" w:type="dxa"/>
            <w:vAlign w:val="bottom"/>
            <w:vMerge w:val="continue"/>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80" w:type="dxa"/>
            <w:vAlign w:val="bottom"/>
            <w:shd w:val="clear" w:color="auto" w:fill="929292"/>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929292"/>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(3.27)</w:t>
            </w:r>
          </w:p>
        </w:tc>
        <w:tc>
          <w:tcPr>
            <w:tcW w:w="9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(5.28)</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0" w:type="dxa"/>
            <w:vAlign w:val="bottom"/>
          </w:tcPr>
          <w:p>
            <w:pPr>
              <w:ind w:left="20"/>
              <w:spacing w:after="0" w:line="155" w:lineRule="exact"/>
              <w:rPr>
                <w:sz w:val="20"/>
                <w:szCs w:val="20"/>
                <w:color w:val="auto"/>
              </w:rPr>
            </w:pPr>
            <w:r>
              <w:rPr>
                <w:rFonts w:ascii="Arial" w:cs="Arial" w:eastAsia="Arial" w:hAnsi="Arial"/>
                <w:sz w:val="14"/>
                <w:szCs w:val="14"/>
                <w:color w:val="auto"/>
              </w:rPr>
              <w:t>Weighted-average shares of Class A common stock outstanding —</w:t>
            </w:r>
          </w:p>
        </w:tc>
        <w:tc>
          <w:tcPr>
            <w:tcW w:w="80" w:type="dxa"/>
            <w:vAlign w:val="bottom"/>
            <w:shd w:val="clear" w:color="auto" w:fill="929292"/>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80" w:type="dxa"/>
            <w:vAlign w:val="bottom"/>
            <w:shd w:val="clear" w:color="auto" w:fill="929292"/>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9,122</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8,296</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929292"/>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(26,669)</w:t>
            </w:r>
          </w:p>
        </w:tc>
        <w:tc>
          <w:tcPr>
            <w:tcW w:w="9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(74,617)</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80" w:type="dxa"/>
            <w:vAlign w:val="bottom"/>
            <w:shd w:val="clear" w:color="auto" w:fill="92929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788</w:t>
            </w:r>
          </w:p>
        </w:tc>
        <w:tc>
          <w:tcPr>
            <w:tcW w:w="9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(31,741)</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0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8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0.6 %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(20.0)%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7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220" w:type="dxa"/>
            <w:vAlign w:val="bottom"/>
            <w:tcBorders>
              <w:bottom w:val="single" w:sz="8" w:color="B6B6B6"/>
            </w:tcBorders>
            <w:gridSpan w:val="3"/>
          </w:tcPr>
          <w:p>
            <w:pPr>
              <w:ind w:left="20"/>
              <w:spacing w:after="0"/>
              <w:rPr>
                <w:sz w:val="20"/>
                <w:szCs w:val="20"/>
                <w:color w:val="auto"/>
              </w:rPr>
            </w:pPr>
            <w:r>
              <w:rPr>
                <w:rFonts w:ascii="Arial" w:cs="Arial" w:eastAsia="Arial" w:hAnsi="Arial"/>
                <w:sz w:val="14"/>
                <w:szCs w:val="14"/>
                <w:b w:val="1"/>
                <w:bCs w:val="1"/>
                <w:color w:val="auto"/>
              </w:rPr>
              <w:t>Six months ended Jun. 30, 2023</w:t>
            </w:r>
          </w:p>
        </w:tc>
        <w:tc>
          <w:tcPr>
            <w:tcW w:w="100" w:type="dxa"/>
            <w:vAlign w:val="bottom"/>
            <w:tcBorders>
              <w:bottom w:val="single" w:sz="8" w:color="B6B6B6"/>
            </w:tcBorders>
          </w:tcPr>
          <w:p>
            <w:pPr>
              <w:spacing w:after="0"/>
              <w:rPr>
                <w:sz w:val="17"/>
                <w:szCs w:val="17"/>
                <w:color w:val="auto"/>
              </w:rPr>
            </w:pPr>
          </w:p>
        </w:tc>
        <w:tc>
          <w:tcPr>
            <w:tcW w:w="2240" w:type="dxa"/>
            <w:vAlign w:val="bottom"/>
            <w:tcBorders>
              <w:bottom w:val="single" w:sz="8" w:color="B6B6B6"/>
            </w:tcBorders>
            <w:gridSpan w:val="3"/>
          </w:tcPr>
          <w:p>
            <w:pPr>
              <w:ind w:left="40"/>
              <w:spacing w:after="0"/>
              <w:rPr>
                <w:sz w:val="20"/>
                <w:szCs w:val="20"/>
                <w:color w:val="auto"/>
              </w:rPr>
            </w:pPr>
            <w:r>
              <w:rPr>
                <w:rFonts w:ascii="Arial" w:cs="Arial" w:eastAsia="Arial" w:hAnsi="Arial"/>
                <w:sz w:val="14"/>
                <w:szCs w:val="14"/>
                <w:b w:val="1"/>
                <w:bCs w:val="1"/>
                <w:color w:val="auto"/>
              </w:rPr>
              <w:t>Six months ended Jun. 30,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3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Dollars</w:t>
            </w:r>
          </w:p>
        </w:tc>
        <w:tc>
          <w:tcPr>
            <w:tcW w:w="10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Dollars</w:t>
            </w:r>
          </w:p>
        </w:tc>
        <w:tc>
          <w:tcPr>
            <w:tcW w:w="10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B6B6B6"/>
            </w:tcBorders>
            <w:vMerge w:val="continue"/>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vMerge w:val="continue"/>
          </w:tcPr>
          <w:p>
            <w:pPr>
              <w:spacing w:after="0"/>
              <w:rPr>
                <w:sz w:val="16"/>
                <w:szCs w:val="16"/>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vMerge w:val="continue"/>
          </w:tcPr>
          <w:p>
            <w:pPr>
              <w:spacing w:after="0"/>
              <w:rPr>
                <w:sz w:val="16"/>
                <w:szCs w:val="16"/>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vMerge w:val="continue"/>
          </w:tcPr>
          <w:p>
            <w:pPr>
              <w:spacing w:after="0"/>
              <w:rPr>
                <w:sz w:val="16"/>
                <w:szCs w:val="16"/>
                <w:color w:val="auto"/>
              </w:rPr>
            </w:pPr>
          </w:p>
        </w:tc>
        <w:tc>
          <w:tcPr>
            <w:tcW w:w="1020" w:type="dxa"/>
            <w:vAlign w:val="bottom"/>
            <w:tcBorders>
              <w:bottom w:val="single" w:sz="8" w:color="B6B6B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shd w:val="clear" w:color="auto" w:fill="929292"/>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325,937</w:t>
            </w:r>
          </w:p>
        </w:tc>
        <w:tc>
          <w:tcPr>
            <w:tcW w:w="1020" w:type="dxa"/>
            <w:vAlign w:val="bottom"/>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429,247</w:t>
            </w:r>
          </w:p>
        </w:tc>
        <w:tc>
          <w:tcPr>
            <w:tcW w:w="1020" w:type="dxa"/>
            <w:vAlign w:val="bottom"/>
          </w:tcPr>
          <w:p>
            <w:pPr>
              <w:jc w:val="right"/>
              <w:spacing w:after="0"/>
              <w:rPr>
                <w:sz w:val="20"/>
                <w:szCs w:val="20"/>
                <w:color w:val="auto"/>
              </w:rPr>
            </w:pPr>
            <w:r>
              <w:rPr>
                <w:rFonts w:ascii="Arial" w:cs="Arial" w:eastAsia="Arial" w:hAnsi="Arial"/>
                <w:sz w:val="14"/>
                <w:szCs w:val="14"/>
                <w:color w:val="auto"/>
              </w:rPr>
              <w:t>100.0 %</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(103,310)</w:t>
            </w:r>
          </w:p>
        </w:tc>
        <w:tc>
          <w:tcPr>
            <w:tcW w:w="102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81,884</w:t>
            </w:r>
          </w:p>
        </w:tc>
        <w:tc>
          <w:tcPr>
            <w:tcW w:w="1020" w:type="dxa"/>
            <w:vAlign w:val="bottom"/>
          </w:tcPr>
          <w:p>
            <w:pPr>
              <w:jc w:val="right"/>
              <w:spacing w:after="0"/>
              <w:rPr>
                <w:sz w:val="20"/>
                <w:szCs w:val="20"/>
                <w:color w:val="auto"/>
              </w:rPr>
            </w:pPr>
            <w:r>
              <w:rPr>
                <w:rFonts w:ascii="Arial" w:cs="Arial" w:eastAsia="Arial" w:hAnsi="Arial"/>
                <w:sz w:val="14"/>
                <w:szCs w:val="14"/>
                <w:color w:val="auto"/>
              </w:rPr>
              <w:t>25.1 %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118,997</w:t>
            </w:r>
          </w:p>
        </w:tc>
        <w:tc>
          <w:tcPr>
            <w:tcW w:w="1020" w:type="dxa"/>
            <w:vAlign w:val="bottom"/>
          </w:tcPr>
          <w:p>
            <w:pPr>
              <w:jc w:val="right"/>
              <w:spacing w:after="0"/>
              <w:rPr>
                <w:sz w:val="20"/>
                <w:szCs w:val="20"/>
                <w:color w:val="auto"/>
              </w:rPr>
            </w:pPr>
            <w:r>
              <w:rPr>
                <w:rFonts w:ascii="Arial" w:cs="Arial" w:eastAsia="Arial" w:hAnsi="Arial"/>
                <w:sz w:val="14"/>
                <w:szCs w:val="14"/>
                <w:color w:val="auto"/>
              </w:rPr>
              <w:t>27.7 %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(37,113)</w:t>
            </w:r>
          </w:p>
        </w:tc>
        <w:tc>
          <w:tcPr>
            <w:tcW w:w="102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03"/>
        </w:trPr>
        <w:tc>
          <w:tcPr>
            <w:tcW w:w="438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85,012</w:t>
            </w:r>
          </w:p>
        </w:tc>
        <w:tc>
          <w:tcPr>
            <w:tcW w:w="1020" w:type="dxa"/>
            <w:vAlign w:val="bottom"/>
          </w:tcPr>
          <w:p>
            <w:pPr>
              <w:jc w:val="right"/>
              <w:spacing w:after="0"/>
              <w:rPr>
                <w:sz w:val="20"/>
                <w:szCs w:val="20"/>
                <w:color w:val="auto"/>
              </w:rPr>
            </w:pPr>
            <w:r>
              <w:rPr>
                <w:rFonts w:ascii="Arial" w:cs="Arial" w:eastAsia="Arial" w:hAnsi="Arial"/>
                <w:sz w:val="14"/>
                <w:szCs w:val="14"/>
                <w:color w:val="auto"/>
              </w:rPr>
              <w:t>26.1 %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128,747</w:t>
            </w:r>
          </w:p>
        </w:tc>
        <w:tc>
          <w:tcPr>
            <w:tcW w:w="1020" w:type="dxa"/>
            <w:vAlign w:val="bottom"/>
          </w:tcPr>
          <w:p>
            <w:pPr>
              <w:jc w:val="right"/>
              <w:spacing w:after="0"/>
              <w:rPr>
                <w:sz w:val="20"/>
                <w:szCs w:val="20"/>
                <w:color w:val="auto"/>
              </w:rPr>
            </w:pPr>
            <w:r>
              <w:rPr>
                <w:rFonts w:ascii="Arial" w:cs="Arial" w:eastAsia="Arial" w:hAnsi="Arial"/>
                <w:sz w:val="14"/>
                <w:szCs w:val="14"/>
                <w:color w:val="auto"/>
              </w:rPr>
              <w:t>30.0 %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(43,735)</w:t>
            </w:r>
          </w:p>
        </w:tc>
        <w:tc>
          <w:tcPr>
            <w:tcW w:w="1020" w:type="dxa"/>
            <w:vAlign w:val="bottom"/>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03"/>
        </w:trPr>
        <w:tc>
          <w:tcPr>
            <w:tcW w:w="438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87,563</w:t>
            </w:r>
          </w:p>
        </w:tc>
        <w:tc>
          <w:tcPr>
            <w:tcW w:w="1020" w:type="dxa"/>
            <w:vAlign w:val="bottom"/>
          </w:tcPr>
          <w:p>
            <w:pPr>
              <w:jc w:val="right"/>
              <w:spacing w:after="0"/>
              <w:rPr>
                <w:sz w:val="20"/>
                <w:szCs w:val="20"/>
                <w:color w:val="auto"/>
              </w:rPr>
            </w:pPr>
            <w:r>
              <w:rPr>
                <w:rFonts w:ascii="Arial" w:cs="Arial" w:eastAsia="Arial" w:hAnsi="Arial"/>
                <w:sz w:val="14"/>
                <w:szCs w:val="14"/>
                <w:color w:val="auto"/>
              </w:rPr>
              <w:t>26.9 %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144,997</w:t>
            </w:r>
          </w:p>
        </w:tc>
        <w:tc>
          <w:tcPr>
            <w:tcW w:w="1020" w:type="dxa"/>
            <w:vAlign w:val="bottom"/>
          </w:tcPr>
          <w:p>
            <w:pPr>
              <w:jc w:val="right"/>
              <w:spacing w:after="0"/>
              <w:rPr>
                <w:sz w:val="20"/>
                <w:szCs w:val="20"/>
                <w:color w:val="auto"/>
              </w:rPr>
            </w:pPr>
            <w:r>
              <w:rPr>
                <w:rFonts w:ascii="Arial" w:cs="Arial" w:eastAsia="Arial" w:hAnsi="Arial"/>
                <w:sz w:val="14"/>
                <w:szCs w:val="14"/>
                <w:color w:val="auto"/>
              </w:rPr>
              <w:t>33.8 %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(57,434)</w:t>
            </w:r>
          </w:p>
        </w:tc>
        <w:tc>
          <w:tcPr>
            <w:tcW w:w="102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20,054</w:t>
            </w:r>
          </w:p>
        </w:tc>
        <w:tc>
          <w:tcPr>
            <w:tcW w:w="1020" w:type="dxa"/>
            <w:vAlign w:val="bottom"/>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23,508</w:t>
            </w:r>
          </w:p>
        </w:tc>
        <w:tc>
          <w:tcPr>
            <w:tcW w:w="1020" w:type="dxa"/>
            <w:vAlign w:val="bottom"/>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(3,454)</w:t>
            </w:r>
          </w:p>
        </w:tc>
        <w:tc>
          <w:tcPr>
            <w:tcW w:w="102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3"/>
        </w:trPr>
        <w:tc>
          <w:tcPr>
            <w:tcW w:w="438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60,473</w:t>
            </w:r>
          </w:p>
        </w:tc>
        <w:tc>
          <w:tcPr>
            <w:tcW w:w="1020" w:type="dxa"/>
            <w:vAlign w:val="bottom"/>
          </w:tcPr>
          <w:p>
            <w:pPr>
              <w:jc w:val="right"/>
              <w:spacing w:after="0"/>
              <w:rPr>
                <w:sz w:val="20"/>
                <w:szCs w:val="20"/>
                <w:color w:val="auto"/>
              </w:rPr>
            </w:pPr>
            <w:r>
              <w:rPr>
                <w:rFonts w:ascii="Arial" w:cs="Arial" w:eastAsia="Arial" w:hAnsi="Arial"/>
                <w:sz w:val="14"/>
                <w:szCs w:val="14"/>
                <w:color w:val="auto"/>
              </w:rPr>
              <w:t>18.6 %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67,323</w:t>
            </w:r>
          </w:p>
        </w:tc>
        <w:tc>
          <w:tcPr>
            <w:tcW w:w="1020" w:type="dxa"/>
            <w:vAlign w:val="bottom"/>
          </w:tcPr>
          <w:p>
            <w:pPr>
              <w:jc w:val="right"/>
              <w:spacing w:after="0"/>
              <w:rPr>
                <w:sz w:val="20"/>
                <w:szCs w:val="20"/>
                <w:color w:val="auto"/>
              </w:rPr>
            </w:pPr>
            <w:r>
              <w:rPr>
                <w:rFonts w:ascii="Arial" w:cs="Arial" w:eastAsia="Arial" w:hAnsi="Arial"/>
                <w:sz w:val="14"/>
                <w:szCs w:val="14"/>
                <w:color w:val="auto"/>
              </w:rPr>
              <w:t>15.7 %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(6,850)</w:t>
            </w:r>
          </w:p>
        </w:tc>
        <w:tc>
          <w:tcPr>
            <w:tcW w:w="10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3"/>
        </w:trPr>
        <w:tc>
          <w:tcPr>
            <w:tcW w:w="438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47,029</w:t>
            </w:r>
          </w:p>
        </w:tc>
        <w:tc>
          <w:tcPr>
            <w:tcW w:w="102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47,029</w:t>
            </w:r>
          </w:p>
        </w:tc>
        <w:tc>
          <w:tcPr>
            <w:tcW w:w="1020" w:type="dxa"/>
            <w:vAlign w:val="bottom"/>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438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248"/>
              <w:spacing w:after="0"/>
              <w:rPr>
                <w:sz w:val="20"/>
                <w:szCs w:val="20"/>
                <w:color w:val="auto"/>
              </w:rPr>
            </w:pPr>
            <w:r>
              <w:rPr>
                <w:rFonts w:ascii="Arial" w:cs="Arial" w:eastAsia="Arial" w:hAnsi="Arial"/>
                <w:sz w:val="14"/>
                <w:szCs w:val="14"/>
                <w:color w:val="auto"/>
              </w:rPr>
              <w:t>2,687</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248"/>
              <w:spacing w:after="0"/>
              <w:rPr>
                <w:sz w:val="20"/>
                <w:szCs w:val="20"/>
                <w:color w:val="auto"/>
              </w:rPr>
            </w:pPr>
            <w:r>
              <w:rPr>
                <w:rFonts w:ascii="Arial" w:cs="Arial" w:eastAsia="Arial" w:hAnsi="Arial"/>
                <w:sz w:val="14"/>
                <w:szCs w:val="14"/>
                <w:color w:val="auto"/>
              </w:rPr>
              <w:t>24,995</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(22,308)</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48"/>
              <w:spacing w:after="0"/>
              <w:rPr>
                <w:sz w:val="20"/>
                <w:szCs w:val="20"/>
                <w:color w:val="auto"/>
              </w:rPr>
            </w:pPr>
            <w:r>
              <w:rPr>
                <w:rFonts w:ascii="Arial" w:cs="Arial" w:eastAsia="Arial" w:hAnsi="Arial"/>
                <w:sz w:val="14"/>
                <w:szCs w:val="14"/>
                <w:color w:val="auto"/>
              </w:rPr>
              <w:t>384,702</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118.0 %</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248"/>
              <w:spacing w:after="0"/>
              <w:rPr>
                <w:sz w:val="20"/>
                <w:szCs w:val="20"/>
                <w:color w:val="auto"/>
              </w:rPr>
            </w:pPr>
            <w:r>
              <w:rPr>
                <w:rFonts w:ascii="Arial" w:cs="Arial" w:eastAsia="Arial" w:hAnsi="Arial"/>
                <w:sz w:val="14"/>
                <w:szCs w:val="14"/>
                <w:color w:val="auto"/>
              </w:rPr>
              <w:t>555,596</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129.4 %</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(170,894)</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4"/>
        </w:trPr>
        <w:tc>
          <w:tcPr>
            <w:tcW w:w="43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(58,765)</w:t>
            </w:r>
          </w:p>
        </w:tc>
        <w:tc>
          <w:tcPr>
            <w:tcW w:w="10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(126,349)</w:t>
            </w:r>
          </w:p>
        </w:tc>
        <w:tc>
          <w:tcPr>
            <w:tcW w:w="102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67,584</w:t>
            </w:r>
          </w:p>
        </w:tc>
        <w:tc>
          <w:tcPr>
            <w:tcW w:w="102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34,156</w:t>
            </w:r>
          </w:p>
        </w:tc>
        <w:tc>
          <w:tcPr>
            <w:tcW w:w="1020" w:type="dxa"/>
            <w:vAlign w:val="bottom"/>
          </w:tcPr>
          <w:p>
            <w:pPr>
              <w:jc w:val="right"/>
              <w:spacing w:after="0"/>
              <w:rPr>
                <w:sz w:val="20"/>
                <w:szCs w:val="20"/>
                <w:color w:val="auto"/>
              </w:rPr>
            </w:pPr>
            <w:r>
              <w:rPr>
                <w:rFonts w:ascii="Arial" w:cs="Arial" w:eastAsia="Arial" w:hAnsi="Arial"/>
                <w:sz w:val="14"/>
                <w:szCs w:val="14"/>
                <w:color w:val="auto"/>
              </w:rPr>
              <w:t>10.5 %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24,122</w:t>
            </w:r>
          </w:p>
        </w:tc>
        <w:tc>
          <w:tcPr>
            <w:tcW w:w="1020" w:type="dxa"/>
            <w:vAlign w:val="bottom"/>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10,034</w:t>
            </w:r>
          </w:p>
        </w:tc>
        <w:tc>
          <w:tcPr>
            <w:tcW w:w="1020" w:type="dxa"/>
            <w:vAlign w:val="bottom"/>
          </w:tcPr>
          <w:p>
            <w:pPr>
              <w:jc w:val="right"/>
              <w:spacing w:after="0"/>
              <w:rPr>
                <w:sz w:val="20"/>
                <w:szCs w:val="20"/>
                <w:color w:val="auto"/>
              </w:rPr>
            </w:pPr>
            <w:r>
              <w:rPr>
                <w:rFonts w:ascii="Arial" w:cs="Arial" w:eastAsia="Arial" w:hAnsi="Arial"/>
                <w:sz w:val="14"/>
                <w:szCs w:val="14"/>
                <w:color w:val="auto"/>
              </w:rPr>
              <w:t>41.6 %</w:t>
            </w:r>
          </w:p>
        </w:tc>
        <w:tc>
          <w:tcPr>
            <w:tcW w:w="0" w:type="dxa"/>
            <w:vAlign w:val="bottom"/>
          </w:tcPr>
          <w:p>
            <w:pPr>
              <w:spacing w:after="0"/>
              <w:rPr>
                <w:sz w:val="1"/>
                <w:szCs w:val="1"/>
                <w:color w:val="auto"/>
              </w:rPr>
            </w:pPr>
          </w:p>
        </w:tc>
      </w:tr>
      <w:tr>
        <w:trPr>
          <w:trHeight w:val="201"/>
        </w:trPr>
        <w:tc>
          <w:tcPr>
            <w:tcW w:w="43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(32)</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248"/>
              <w:spacing w:after="0"/>
              <w:rPr>
                <w:sz w:val="20"/>
                <w:szCs w:val="20"/>
                <w:color w:val="auto"/>
              </w:rPr>
            </w:pPr>
            <w:r>
              <w:rPr>
                <w:rFonts w:ascii="Arial" w:cs="Arial" w:eastAsia="Arial" w:hAnsi="Arial"/>
                <w:sz w:val="14"/>
                <w:szCs w:val="14"/>
                <w:color w:val="auto"/>
              </w:rPr>
              <w:t>50</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(82)</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(92,889)</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(150,521)</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57,632</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i w:val="1"/>
                <w:iCs w:val="1"/>
                <w:color w:val="auto"/>
              </w:rPr>
              <w:t>(38.3)%</w:t>
            </w:r>
          </w:p>
        </w:tc>
        <w:tc>
          <w:tcPr>
            <w:tcW w:w="0" w:type="dxa"/>
            <w:vAlign w:val="bottom"/>
          </w:tcPr>
          <w:p>
            <w:pPr>
              <w:spacing w:after="0"/>
              <w:rPr>
                <w:sz w:val="1"/>
                <w:szCs w:val="1"/>
                <w:color w:val="auto"/>
              </w:rPr>
            </w:pPr>
          </w:p>
        </w:tc>
      </w:tr>
      <w:tr>
        <w:trPr>
          <w:trHeight w:val="183"/>
        </w:trPr>
        <w:tc>
          <w:tcPr>
            <w:tcW w:w="43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929292"/>
            </w:tcBorders>
            <w:shd w:val="clear" w:color="auto" w:fill="929292"/>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(117)</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248"/>
              <w:spacing w:after="0"/>
              <w:rPr>
                <w:sz w:val="20"/>
                <w:szCs w:val="20"/>
                <w:color w:val="auto"/>
              </w:rPr>
            </w:pPr>
            <w:r>
              <w:rPr>
                <w:rFonts w:ascii="Arial" w:cs="Arial" w:eastAsia="Arial" w:hAnsi="Arial"/>
                <w:sz w:val="14"/>
                <w:szCs w:val="14"/>
                <w:color w:val="auto"/>
              </w:rPr>
              <w:t>472</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(589)</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929292"/>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(92,772)</w:t>
            </w:r>
          </w:p>
        </w:tc>
        <w:tc>
          <w:tcPr>
            <w:tcW w:w="1020" w:type="dxa"/>
            <w:vAlign w:val="bottom"/>
          </w:tcPr>
          <w:p>
            <w:pPr>
              <w:jc w:val="right"/>
              <w:spacing w:after="0"/>
              <w:rPr>
                <w:sz w:val="20"/>
                <w:szCs w:val="20"/>
                <w:color w:val="auto"/>
              </w:rPr>
            </w:pPr>
            <w:r>
              <w:rPr>
                <w:rFonts w:ascii="Arial" w:cs="Arial" w:eastAsia="Arial" w:hAnsi="Arial"/>
                <w:sz w:val="14"/>
                <w:szCs w:val="14"/>
                <w:color w:val="auto"/>
              </w:rPr>
              <w:t>(28.5)%</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(150,993)</w:t>
            </w:r>
          </w:p>
        </w:tc>
        <w:tc>
          <w:tcPr>
            <w:tcW w:w="1020" w:type="dxa"/>
            <w:vAlign w:val="bottom"/>
          </w:tcPr>
          <w:p>
            <w:pPr>
              <w:jc w:val="right"/>
              <w:spacing w:after="0"/>
              <w:rPr>
                <w:sz w:val="20"/>
                <w:szCs w:val="20"/>
                <w:color w:val="auto"/>
              </w:rPr>
            </w:pPr>
            <w:r>
              <w:rPr>
                <w:rFonts w:ascii="Arial" w:cs="Arial" w:eastAsia="Arial" w:hAnsi="Arial"/>
                <w:sz w:val="14"/>
                <w:szCs w:val="14"/>
                <w:color w:val="auto"/>
              </w:rPr>
              <w:t>(35.2)%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58,221</w:t>
            </w:r>
          </w:p>
        </w:tc>
        <w:tc>
          <w:tcPr>
            <w:tcW w:w="102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200" w:type="dxa"/>
            <w:vAlign w:val="bottom"/>
            <w:tcBorders>
              <w:top w:val="single" w:sz="8" w:color="B6B6B6"/>
              <w:bottom w:val="single" w:sz="8" w:color="B6B6B6"/>
            </w:tcBorders>
          </w:tcPr>
          <w:p>
            <w:pPr>
              <w:spacing w:after="0"/>
              <w:rPr>
                <w:sz w:val="16"/>
                <w:szCs w:val="16"/>
                <w:color w:val="auto"/>
              </w:rPr>
            </w:pPr>
          </w:p>
        </w:tc>
        <w:tc>
          <w:tcPr>
            <w:tcW w:w="1000" w:type="dxa"/>
            <w:vAlign w:val="bottom"/>
            <w:tcBorders>
              <w:top w:val="single" w:sz="8" w:color="B6B6B6"/>
              <w:bottom w:val="single" w:sz="8" w:color="B6B6B6"/>
            </w:tcBorders>
          </w:tcPr>
          <w:p>
            <w:pPr>
              <w:jc w:val="right"/>
              <w:ind w:right="208"/>
              <w:spacing w:after="0"/>
              <w:rPr>
                <w:sz w:val="20"/>
                <w:szCs w:val="20"/>
                <w:color w:val="auto"/>
              </w:rPr>
            </w:pPr>
            <w:r>
              <w:rPr>
                <w:rFonts w:ascii="Arial" w:cs="Arial" w:eastAsia="Arial" w:hAnsi="Arial"/>
                <w:sz w:val="14"/>
                <w:szCs w:val="14"/>
                <w:color w:val="auto"/>
              </w:rPr>
              <w:t>(54,651)</w:t>
            </w:r>
          </w:p>
        </w:tc>
        <w:tc>
          <w:tcPr>
            <w:tcW w:w="10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200" w:type="dxa"/>
            <w:vAlign w:val="bottom"/>
            <w:tcBorders>
              <w:top w:val="single" w:sz="8" w:color="B6B6B6"/>
              <w:bottom w:val="single" w:sz="8" w:color="B6B6B6"/>
            </w:tcBorders>
          </w:tcPr>
          <w:p>
            <w:pPr>
              <w:spacing w:after="0"/>
              <w:rPr>
                <w:sz w:val="16"/>
                <w:szCs w:val="16"/>
                <w:color w:val="auto"/>
              </w:rPr>
            </w:pPr>
          </w:p>
        </w:tc>
        <w:tc>
          <w:tcPr>
            <w:tcW w:w="1020" w:type="dxa"/>
            <w:vAlign w:val="bottom"/>
            <w:tcBorders>
              <w:top w:val="single" w:sz="8" w:color="B6B6B6"/>
              <w:bottom w:val="single" w:sz="8" w:color="B6B6B6"/>
            </w:tcBorders>
          </w:tcPr>
          <w:p>
            <w:pPr>
              <w:jc w:val="right"/>
              <w:ind w:right="208"/>
              <w:spacing w:after="0"/>
              <w:rPr>
                <w:sz w:val="20"/>
                <w:szCs w:val="20"/>
                <w:color w:val="auto"/>
              </w:rPr>
            </w:pPr>
            <w:r>
              <w:rPr>
                <w:rFonts w:ascii="Arial" w:cs="Arial" w:eastAsia="Arial" w:hAnsi="Arial"/>
                <w:sz w:val="14"/>
                <w:szCs w:val="14"/>
                <w:color w:val="auto"/>
              </w:rPr>
              <w:t>(93,691)</w:t>
            </w:r>
          </w:p>
        </w:tc>
        <w:tc>
          <w:tcPr>
            <w:tcW w:w="10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120" w:type="dxa"/>
            <w:vAlign w:val="bottom"/>
            <w:tcBorders>
              <w:top w:val="single" w:sz="8" w:color="B6B6B6"/>
              <w:bottom w:val="single" w:sz="8" w:color="B6B6B6"/>
            </w:tcBorders>
          </w:tcPr>
          <w:p>
            <w:pPr>
              <w:spacing w:after="0"/>
              <w:rPr>
                <w:sz w:val="16"/>
                <w:szCs w:val="16"/>
                <w:color w:val="auto"/>
              </w:rPr>
            </w:pPr>
          </w:p>
        </w:tc>
        <w:tc>
          <w:tcPr>
            <w:tcW w:w="96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39,040</w:t>
            </w:r>
          </w:p>
        </w:tc>
        <w:tc>
          <w:tcPr>
            <w:tcW w:w="10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shd w:val="clear" w:color="auto" w:fill="929292"/>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(38,121)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3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(57,302)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19,181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(33.5)%</w:t>
            </w:r>
          </w:p>
        </w:tc>
        <w:tc>
          <w:tcPr>
            <w:tcW w:w="0" w:type="dxa"/>
            <w:vAlign w:val="bottom"/>
          </w:tcPr>
          <w:p>
            <w:pPr>
              <w:spacing w:after="0"/>
              <w:rPr>
                <w:sz w:val="1"/>
                <w:szCs w:val="1"/>
                <w:color w:val="auto"/>
              </w:rPr>
            </w:pPr>
          </w:p>
        </w:tc>
      </w:tr>
      <w:tr>
        <w:trPr>
          <w:trHeight w:val="21"/>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200" w:type="dxa"/>
            <w:vAlign w:val="bottom"/>
            <w:tcBorders>
              <w:top w:val="single" w:sz="8" w:color="B6B6B6"/>
              <w:bottom w:val="single" w:sz="8" w:color="B6B6B6"/>
            </w:tcBorders>
          </w:tcPr>
          <w:p>
            <w:pPr>
              <w:spacing w:after="0" w:line="20" w:lineRule="exact"/>
              <w:rPr>
                <w:sz w:val="1"/>
                <w:szCs w:val="1"/>
                <w:color w:val="auto"/>
              </w:rPr>
            </w:pPr>
          </w:p>
        </w:tc>
        <w:tc>
          <w:tcPr>
            <w:tcW w:w="1000" w:type="dxa"/>
            <w:vAlign w:val="bottom"/>
            <w:tcBorders>
              <w:top w:val="single" w:sz="8" w:color="B6B6B6"/>
              <w:bottom w:val="single" w:sz="8" w:color="B6B6B6"/>
            </w:tcBorders>
          </w:tcPr>
          <w:p>
            <w:pPr>
              <w:spacing w:after="0" w:line="20" w:lineRule="exact"/>
              <w:rPr>
                <w:sz w:val="1"/>
                <w:szCs w:val="1"/>
                <w:color w:val="auto"/>
              </w:rPr>
            </w:pPr>
          </w:p>
        </w:tc>
        <w:tc>
          <w:tcPr>
            <w:tcW w:w="102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B6B6B6"/>
              <w:bottom w:val="single" w:sz="8" w:color="B6B6B6"/>
            </w:tcBorders>
          </w:tcPr>
          <w:p>
            <w:pPr>
              <w:spacing w:after="0" w:line="20" w:lineRule="exact"/>
              <w:rPr>
                <w:sz w:val="1"/>
                <w:szCs w:val="1"/>
                <w:color w:val="auto"/>
              </w:rPr>
            </w:pPr>
          </w:p>
        </w:tc>
        <w:tc>
          <w:tcPr>
            <w:tcW w:w="1020" w:type="dxa"/>
            <w:vAlign w:val="bottom"/>
            <w:tcBorders>
              <w:top w:val="single" w:sz="8" w:color="B6B6B6"/>
              <w:bottom w:val="single" w:sz="8" w:color="B6B6B6"/>
            </w:tcBorders>
          </w:tcPr>
          <w:p>
            <w:pPr>
              <w:spacing w:after="0" w:line="20" w:lineRule="exact"/>
              <w:rPr>
                <w:sz w:val="1"/>
                <w:szCs w:val="1"/>
                <w:color w:val="auto"/>
              </w:rPr>
            </w:pPr>
          </w:p>
        </w:tc>
        <w:tc>
          <w:tcPr>
            <w:tcW w:w="102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B6B6B6"/>
              <w:bottom w:val="single" w:sz="8" w:color="B6B6B6"/>
            </w:tcBorders>
          </w:tcPr>
          <w:p>
            <w:pPr>
              <w:spacing w:after="0" w:line="20" w:lineRule="exact"/>
              <w:rPr>
                <w:sz w:val="1"/>
                <w:szCs w:val="1"/>
                <w:color w:val="auto"/>
              </w:rPr>
            </w:pPr>
          </w:p>
        </w:tc>
        <w:tc>
          <w:tcPr>
            <w:tcW w:w="960" w:type="dxa"/>
            <w:vAlign w:val="bottom"/>
            <w:tcBorders>
              <w:top w:val="single" w:sz="8" w:color="B6B6B6"/>
              <w:bottom w:val="single" w:sz="8" w:color="B6B6B6"/>
            </w:tcBorders>
          </w:tcPr>
          <w:p>
            <w:pPr>
              <w:spacing w:after="0" w:line="20" w:lineRule="exact"/>
              <w:rPr>
                <w:sz w:val="1"/>
                <w:szCs w:val="1"/>
                <w:color w:val="auto"/>
              </w:rPr>
            </w:pPr>
          </w:p>
        </w:tc>
        <w:tc>
          <w:tcPr>
            <w:tcW w:w="1020" w:type="dxa"/>
            <w:vAlign w:val="bottom"/>
            <w:tcBorders>
              <w:top w:val="single" w:sz="8" w:color="B6B6B6"/>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380" w:type="dxa"/>
            <w:vAlign w:val="bottom"/>
            <w:vMerge w:val="continue"/>
          </w:tcPr>
          <w:p>
            <w:pPr>
              <w:spacing w:after="0"/>
              <w:rPr>
                <w:sz w:val="13"/>
                <w:szCs w:val="13"/>
                <w:color w:val="auto"/>
              </w:rPr>
            </w:pP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8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100" w:type="dxa"/>
            <w:vAlign w:val="bottom"/>
            <w:shd w:val="clear" w:color="auto" w:fill="929292"/>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(4.41)</w:t>
            </w:r>
          </w:p>
        </w:tc>
        <w:tc>
          <w:tcPr>
            <w:tcW w:w="1020" w:type="dxa"/>
            <w:vAlign w:val="bottom"/>
          </w:tcPr>
          <w:p>
            <w:pPr>
              <w:spacing w:after="0"/>
              <w:rPr>
                <w:sz w:val="15"/>
                <w:szCs w:val="15"/>
                <w:color w:val="auto"/>
              </w:rPr>
            </w:pP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(7.14)</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80" w:type="dxa"/>
            <w:vAlign w:val="bottom"/>
          </w:tcPr>
          <w:p>
            <w:pPr>
              <w:ind w:left="20"/>
              <w:spacing w:after="0" w:line="155"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8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100" w:type="dxa"/>
            <w:vAlign w:val="bottom"/>
            <w:shd w:val="clear" w:color="auto" w:fill="929292"/>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9,044</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8,023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40"/>
              <w:spacing w:after="0"/>
              <w:rPr>
                <w:sz w:val="20"/>
                <w:szCs w:val="20"/>
                <w:color w:val="auto"/>
              </w:rPr>
            </w:pPr>
            <w:r>
              <w:rPr>
                <w:rFonts w:ascii="Arial" w:cs="Arial" w:eastAsia="Arial" w:hAnsi="Arial"/>
                <w:sz w:val="14"/>
                <w:szCs w:val="14"/>
                <w:color w:val="auto"/>
              </w:rPr>
              <w:t>Non-GAAP financial measures: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(6,098)</w:t>
            </w:r>
          </w:p>
        </w:tc>
        <w:tc>
          <w:tcPr>
            <w:tcW w:w="1020" w:type="dxa"/>
            <w:vAlign w:val="bottom"/>
          </w:tcPr>
          <w:p>
            <w:pPr>
              <w:spacing w:after="0"/>
              <w:rPr>
                <w:sz w:val="16"/>
                <w:szCs w:val="16"/>
                <w:color w:val="auto"/>
              </w:rPr>
            </w:pP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(74,040)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29,566</w:t>
            </w:r>
          </w:p>
        </w:tc>
        <w:tc>
          <w:tcPr>
            <w:tcW w:w="102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(20,668)</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9.1 %</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80" w:type="dxa"/>
            <w:vAlign w:val="bottom"/>
            <w:tcBorders>
              <w:bottom w:val="single" w:sz="8" w:color="929292"/>
            </w:tcBorders>
            <w:shd w:val="clear" w:color="auto" w:fill="929292"/>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Jun. 30,</w:t>
            </w:r>
          </w:p>
        </w:tc>
        <w:tc>
          <w:tcPr>
            <w:tcW w:w="100" w:type="dxa"/>
            <w:vAlign w:val="bottom"/>
            <w:tcBorders>
              <w:bottom w:val="single" w:sz="8" w:color="B6B6B6"/>
            </w:tcBorders>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 30,</w:t>
            </w:r>
          </w:p>
        </w:tc>
      </w:tr>
      <w:tr>
        <w:trPr>
          <w:trHeight w:val="181"/>
        </w:trPr>
        <w:tc>
          <w:tcPr>
            <w:tcW w:w="49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1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60" w:type="dxa"/>
            <w:vAlign w:val="bottom"/>
            <w:tcBorders>
              <w:bottom w:val="single" w:sz="8" w:color="B6B6B6"/>
            </w:tcBorders>
          </w:tcPr>
          <w:p>
            <w:pPr>
              <w:spacing w:after="0"/>
              <w:rPr>
                <w:sz w:val="15"/>
                <w:szCs w:val="15"/>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B6B6B6"/>
            </w:tcBorders>
          </w:tcPr>
          <w:p>
            <w:pPr>
              <w:spacing w:after="0"/>
              <w:rPr>
                <w:sz w:val="15"/>
                <w:szCs w:val="15"/>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B6B6B6"/>
            </w:tcBorders>
          </w:tcPr>
          <w:p>
            <w:pPr>
              <w:spacing w:after="0"/>
              <w:rPr>
                <w:sz w:val="15"/>
                <w:szCs w:val="15"/>
                <w:color w:val="auto"/>
              </w:rPr>
            </w:pPr>
          </w:p>
        </w:tc>
        <w:tc>
          <w:tcPr>
            <w:tcW w:w="116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auto"/>
              </w:rPr>
              <w:t>2022</w:t>
            </w: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80" w:type="dxa"/>
            <w:vAlign w:val="bottom"/>
            <w:shd w:val="clear" w:color="auto" w:fill="929292"/>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142,779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158,654</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325,937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429,247</w:t>
            </w:r>
          </w:p>
        </w:tc>
      </w:tr>
      <w:tr>
        <w:trPr>
          <w:trHeight w:val="184"/>
        </w:trPr>
        <w:tc>
          <w:tcPr>
            <w:tcW w:w="49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Borders>
              <w:top w:val="single" w:sz="8" w:color="929292"/>
            </w:tcBorders>
            <w:shd w:val="clear" w:color="auto" w:fill="929292"/>
          </w:tcPr>
          <w:p>
            <w:pPr>
              <w:spacing w:after="0"/>
              <w:rPr>
                <w:sz w:val="16"/>
                <w:szCs w:val="16"/>
                <w:color w:val="auto"/>
              </w:rPr>
            </w:pPr>
          </w:p>
        </w:tc>
        <w:tc>
          <w:tcPr>
            <w:tcW w:w="320" w:type="dxa"/>
            <w:vAlign w:val="bottom"/>
            <w:tcBorders>
              <w:top w:val="single" w:sz="8" w:color="B6B6B6"/>
            </w:tcBorders>
          </w:tcPr>
          <w:p>
            <w:pPr>
              <w:spacing w:after="0"/>
              <w:rPr>
                <w:sz w:val="16"/>
                <w:szCs w:val="16"/>
                <w:color w:val="auto"/>
              </w:rPr>
            </w:pPr>
          </w:p>
        </w:tc>
        <w:tc>
          <w:tcPr>
            <w:tcW w:w="118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(70,229)</w:t>
            </w:r>
          </w:p>
        </w:tc>
        <w:tc>
          <w:tcPr>
            <w:tcW w:w="80" w:type="dxa"/>
            <w:vAlign w:val="bottom"/>
          </w:tcPr>
          <w:p>
            <w:pPr>
              <w:spacing w:after="0"/>
              <w:rPr>
                <w:sz w:val="16"/>
                <w:szCs w:val="16"/>
                <w:color w:val="auto"/>
              </w:rPr>
            </w:pPr>
          </w:p>
        </w:tc>
        <w:tc>
          <w:tcPr>
            <w:tcW w:w="360" w:type="dxa"/>
            <w:vAlign w:val="bottom"/>
            <w:tcBorders>
              <w:top w:val="single" w:sz="8" w:color="B6B6B6"/>
            </w:tcBorders>
          </w:tcPr>
          <w:p>
            <w:pPr>
              <w:spacing w:after="0"/>
              <w:rPr>
                <w:sz w:val="16"/>
                <w:szCs w:val="16"/>
                <w:color w:val="auto"/>
              </w:rPr>
            </w:pPr>
          </w:p>
        </w:tc>
        <w:tc>
          <w:tcPr>
            <w:tcW w:w="114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(113,752)</w:t>
            </w:r>
          </w:p>
        </w:tc>
        <w:tc>
          <w:tcPr>
            <w:tcW w:w="100" w:type="dxa"/>
            <w:vAlign w:val="bottom"/>
          </w:tcPr>
          <w:p>
            <w:pPr>
              <w:spacing w:after="0"/>
              <w:rPr>
                <w:sz w:val="16"/>
                <w:szCs w:val="16"/>
                <w:color w:val="auto"/>
              </w:rPr>
            </w:pPr>
          </w:p>
        </w:tc>
        <w:tc>
          <w:tcPr>
            <w:tcW w:w="340" w:type="dxa"/>
            <w:vAlign w:val="bottom"/>
            <w:tcBorders>
              <w:top w:val="single" w:sz="8" w:color="B6B6B6"/>
            </w:tcBorders>
          </w:tcPr>
          <w:p>
            <w:pPr>
              <w:spacing w:after="0"/>
              <w:rPr>
                <w:sz w:val="16"/>
                <w:szCs w:val="16"/>
                <w:color w:val="auto"/>
              </w:rPr>
            </w:pPr>
          </w:p>
        </w:tc>
        <w:tc>
          <w:tcPr>
            <w:tcW w:w="114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(92,772)</w:t>
            </w:r>
          </w:p>
        </w:tc>
        <w:tc>
          <w:tcPr>
            <w:tcW w:w="100" w:type="dxa"/>
            <w:vAlign w:val="bottom"/>
          </w:tcPr>
          <w:p>
            <w:pPr>
              <w:spacing w:after="0"/>
              <w:rPr>
                <w:sz w:val="16"/>
                <w:szCs w:val="16"/>
                <w:color w:val="auto"/>
              </w:rPr>
            </w:pPr>
          </w:p>
        </w:tc>
        <w:tc>
          <w:tcPr>
            <w:tcW w:w="340" w:type="dxa"/>
            <w:vAlign w:val="bottom"/>
            <w:tcBorders>
              <w:top w:val="single" w:sz="8" w:color="B6B6B6"/>
            </w:tcBorders>
          </w:tcPr>
          <w:p>
            <w:pPr>
              <w:spacing w:after="0"/>
              <w:rPr>
                <w:sz w:val="16"/>
                <w:szCs w:val="16"/>
                <w:color w:val="auto"/>
              </w:rPr>
            </w:pPr>
          </w:p>
        </w:tc>
        <w:tc>
          <w:tcPr>
            <w:tcW w:w="116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(150,993)</w:t>
            </w:r>
          </w:p>
        </w:tc>
      </w:tr>
      <w:tr>
        <w:trPr>
          <w:trHeight w:val="189"/>
        </w:trPr>
        <w:tc>
          <w:tcPr>
            <w:tcW w:w="49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929292"/>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17,265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12,724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34,156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24,122</w:t>
            </w:r>
          </w:p>
        </w:tc>
      </w:tr>
      <w:tr>
        <w:trPr>
          <w:trHeight w:val="203"/>
        </w:trPr>
        <w:tc>
          <w:tcPr>
            <w:tcW w:w="490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929292"/>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472</w:t>
            </w:r>
          </w:p>
        </w:tc>
      </w:tr>
      <w:tr>
        <w:trPr>
          <w:trHeight w:val="201"/>
        </w:trPr>
        <w:tc>
          <w:tcPr>
            <w:tcW w:w="490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80" w:type="dxa"/>
            <w:vAlign w:val="bottom"/>
            <w:tcBorders>
              <w:bottom w:val="single" w:sz="8" w:color="929292"/>
            </w:tcBorders>
            <w:shd w:val="clear" w:color="auto" w:fill="929292"/>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26,368</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26,411</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52,635</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52,359</w:t>
            </w:r>
          </w:p>
        </w:tc>
      </w:tr>
      <w:tr>
        <w:trPr>
          <w:trHeight w:val="190"/>
        </w:trPr>
        <w:tc>
          <w:tcPr>
            <w:tcW w:w="4900" w:type="dxa"/>
            <w:vAlign w:val="bottom"/>
          </w:tcPr>
          <w:p>
            <w:pPr>
              <w:ind w:left="20"/>
              <w:spacing w:after="0"/>
              <w:rPr>
                <w:sz w:val="20"/>
                <w:szCs w:val="20"/>
                <w:color w:val="auto"/>
              </w:rPr>
            </w:pPr>
            <w:r>
              <w:rPr>
                <w:rFonts w:ascii="Arial" w:cs="Arial" w:eastAsia="Arial" w:hAnsi="Arial"/>
                <w:sz w:val="14"/>
                <w:szCs w:val="14"/>
                <w:color w:val="auto"/>
              </w:rPr>
              <w:t>EBITDA</w:t>
            </w:r>
          </w:p>
        </w:tc>
        <w:tc>
          <w:tcPr>
            <w:tcW w:w="80" w:type="dxa"/>
            <w:vAlign w:val="bottom"/>
            <w:tcBorders>
              <w:bottom w:val="single" w:sz="8" w:color="929292"/>
            </w:tcBorders>
            <w:shd w:val="clear" w:color="auto" w:fill="929292"/>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(26,669)</w:t>
            </w:r>
          </w:p>
        </w:tc>
        <w:tc>
          <w:tcPr>
            <w:tcW w:w="8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(74,617)</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(6,098)</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(74,040)</w:t>
            </w:r>
          </w:p>
        </w:tc>
      </w:tr>
      <w:tr>
        <w:trPr>
          <w:trHeight w:val="190"/>
        </w:trPr>
        <w:tc>
          <w:tcPr>
            <w:tcW w:w="4900" w:type="dxa"/>
            <w:vAlign w:val="bottom"/>
          </w:tcPr>
          <w:p>
            <w:pPr>
              <w:ind w:left="24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9"/>
                <w:szCs w:val="9"/>
                <w:color w:val="auto"/>
              </w:rPr>
              <w:t>1</w:t>
            </w:r>
          </w:p>
        </w:tc>
        <w:tc>
          <w:tcPr>
            <w:tcW w:w="80" w:type="dxa"/>
            <w:vAlign w:val="bottom"/>
            <w:shd w:val="clear" w:color="auto" w:fill="929292"/>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10,120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14,257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16,704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19,412</w:t>
            </w:r>
          </w:p>
        </w:tc>
      </w:tr>
      <w:tr>
        <w:trPr>
          <w:trHeight w:val="189"/>
        </w:trPr>
        <w:tc>
          <w:tcPr>
            <w:tcW w:w="4900" w:type="dxa"/>
            <w:vAlign w:val="bottom"/>
          </w:tcPr>
          <w:p>
            <w:pPr>
              <w:ind w:left="240"/>
              <w:spacing w:after="0"/>
              <w:rPr>
                <w:sz w:val="20"/>
                <w:szCs w:val="20"/>
                <w:color w:val="auto"/>
              </w:rPr>
            </w:pPr>
            <w:r>
              <w:rPr>
                <w:rFonts w:ascii="Arial" w:cs="Arial" w:eastAsia="Arial" w:hAnsi="Arial"/>
                <w:sz w:val="14"/>
                <w:szCs w:val="14"/>
                <w:color w:val="auto"/>
              </w:rPr>
              <w:t>Legal fees</w:t>
            </w:r>
            <w:r>
              <w:rPr>
                <w:rFonts w:ascii="Arial" w:cs="Arial" w:eastAsia="Arial" w:hAnsi="Arial"/>
                <w:sz w:val="9"/>
                <w:szCs w:val="9"/>
                <w:color w:val="auto"/>
              </w:rPr>
              <w:t>2</w:t>
            </w:r>
          </w:p>
        </w:tc>
        <w:tc>
          <w:tcPr>
            <w:tcW w:w="80" w:type="dxa"/>
            <w:vAlign w:val="bottom"/>
            <w:shd w:val="clear" w:color="auto" w:fill="929292"/>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12,730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14,353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18"/>
        </w:trPr>
        <w:tc>
          <w:tcPr>
            <w:tcW w:w="490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r>
              <w:rPr>
                <w:rFonts w:ascii="Arial" w:cs="Arial" w:eastAsia="Arial" w:hAnsi="Arial"/>
                <w:sz w:val="18"/>
                <w:szCs w:val="18"/>
                <w:color w:val="auto"/>
                <w:vertAlign w:val="superscript"/>
              </w:rPr>
              <w:t>3</w:t>
            </w:r>
          </w:p>
        </w:tc>
        <w:tc>
          <w:tcPr>
            <w:tcW w:w="80" w:type="dxa"/>
            <w:vAlign w:val="bottom"/>
            <w:shd w:val="clear" w:color="auto" w:fill="929292"/>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24,995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24,995</w:t>
            </w:r>
          </w:p>
        </w:tc>
      </w:tr>
      <w:tr>
        <w:trPr>
          <w:trHeight w:val="203"/>
        </w:trPr>
        <w:tc>
          <w:tcPr>
            <w:tcW w:w="4900" w:type="dxa"/>
            <w:vAlign w:val="bottom"/>
          </w:tcPr>
          <w:p>
            <w:pPr>
              <w:ind w:left="240"/>
              <w:spacing w:after="0" w:line="202"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4</w:t>
            </w:r>
          </w:p>
        </w:tc>
        <w:tc>
          <w:tcPr>
            <w:tcW w:w="80" w:type="dxa"/>
            <w:vAlign w:val="bottom"/>
            <w:shd w:val="clear" w:color="auto" w:fill="929292"/>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5,015</w:t>
            </w:r>
          </w:p>
        </w:tc>
      </w:tr>
      <w:tr>
        <w:trPr>
          <w:trHeight w:val="185"/>
        </w:trPr>
        <w:tc>
          <w:tcPr>
            <w:tcW w:w="4900" w:type="dxa"/>
            <w:vAlign w:val="bottom"/>
          </w:tcPr>
          <w:p>
            <w:pPr>
              <w:ind w:left="240"/>
              <w:spacing w:after="0" w:line="185"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5</w:t>
            </w:r>
          </w:p>
        </w:tc>
        <w:tc>
          <w:tcPr>
            <w:tcW w:w="80" w:type="dxa"/>
            <w:vAlign w:val="bottom"/>
            <w:tcBorders>
              <w:bottom w:val="single" w:sz="8" w:color="929292"/>
            </w:tcBorders>
            <w:shd w:val="clear" w:color="auto" w:fill="929292"/>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3,950</w:t>
            </w: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0" w:type="dxa"/>
            <w:vAlign w:val="bottom"/>
            <w:shd w:val="clear" w:color="auto" w:fill="929292"/>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788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(31,741)</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29,566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(20,668)</w:t>
            </w: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18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B6B6B6"/>
              <w:bottom w:val="single" w:sz="8" w:color="B6B6B6"/>
            </w:tcBorders>
          </w:tcPr>
          <w:p>
            <w:pPr>
              <w:spacing w:after="0" w:line="20" w:lineRule="exact"/>
              <w:rPr>
                <w:sz w:val="1"/>
                <w:szCs w:val="1"/>
                <w:color w:val="auto"/>
              </w:rPr>
            </w:pPr>
          </w:p>
        </w:tc>
        <w:tc>
          <w:tcPr>
            <w:tcW w:w="114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B6B6B6"/>
              <w:bottom w:val="single" w:sz="8" w:color="B6B6B6"/>
            </w:tcBorders>
          </w:tcPr>
          <w:p>
            <w:pPr>
              <w:spacing w:after="0" w:line="20" w:lineRule="exact"/>
              <w:rPr>
                <w:sz w:val="1"/>
                <w:szCs w:val="1"/>
                <w:color w:val="auto"/>
              </w:rPr>
            </w:pPr>
          </w:p>
        </w:tc>
        <w:tc>
          <w:tcPr>
            <w:tcW w:w="114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B6B6B6"/>
              <w:bottom w:val="single" w:sz="8" w:color="B6B6B6"/>
            </w:tcBorders>
          </w:tcPr>
          <w:p>
            <w:pPr>
              <w:spacing w:after="0" w:line="20" w:lineRule="exact"/>
              <w:rPr>
                <w:sz w:val="1"/>
                <w:szCs w:val="1"/>
                <w:color w:val="auto"/>
              </w:rPr>
            </w:pPr>
          </w:p>
        </w:tc>
        <w:tc>
          <w:tcPr>
            <w:tcW w:w="1160" w:type="dxa"/>
            <w:vAlign w:val="bottom"/>
            <w:tcBorders>
              <w:top w:val="single" w:sz="8" w:color="B6B6B6"/>
              <w:bottom w:val="single" w:sz="8" w:color="B6B6B6"/>
            </w:tcBorders>
          </w:tcPr>
          <w:p>
            <w:pPr>
              <w:spacing w:after="0" w:line="20" w:lineRule="exact"/>
              <w:rPr>
                <w:sz w:val="1"/>
                <w:szCs w:val="1"/>
                <w:color w:val="auto"/>
              </w:rPr>
            </w:pP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80" w:type="dxa"/>
            <w:vAlign w:val="bottom"/>
            <w:shd w:val="clear" w:color="auto" w:fill="929292"/>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40" w:hanging="332"/>
        <w:spacing w:after="0"/>
        <w:tabs>
          <w:tab w:leader="none" w:pos="34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non-routine legal fees and accruals unrelated to our core operations.</w:t>
      </w:r>
    </w:p>
    <w:p>
      <w:pPr>
        <w:ind w:left="340" w:hanging="332"/>
        <w:spacing w:after="0"/>
        <w:tabs>
          <w:tab w:leader="none" w:pos="34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ind w:left="340" w:hanging="332"/>
        <w:spacing w:after="0"/>
        <w:tabs>
          <w:tab w:leader="none" w:pos="34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executive employment and associated fees unrelated to restructuring activities.</w:t>
      </w:r>
    </w:p>
    <w:p>
      <w:pPr>
        <w:spacing w:after="0" w:line="2" w:lineRule="exact"/>
        <w:rPr>
          <w:rFonts w:ascii="Arial" w:cs="Arial" w:eastAsia="Arial" w:hAnsi="Arial"/>
          <w:sz w:val="13"/>
          <w:szCs w:val="13"/>
          <w:i w:val="1"/>
          <w:iCs w:val="1"/>
          <w:color w:val="auto"/>
        </w:rPr>
      </w:pPr>
    </w:p>
    <w:p>
      <w:pPr>
        <w:ind w:left="340" w:hanging="332"/>
        <w:spacing w:after="0"/>
        <w:tabs>
          <w:tab w:leader="none" w:pos="34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spacing w:after="0" w:line="9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following table summarizes net revenues and Adjusted EBITDA excluding the Lookback Adjustments and non-Encompass BPO Services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92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4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 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 30,</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929292"/>
            </w:tcBorders>
          </w:tcPr>
          <w:p>
            <w:pPr>
              <w:ind w:left="36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929292"/>
            </w:tcBorders>
            <w:shd w:val="clear" w:color="auto" w:fill="929292"/>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240" w:type="dxa"/>
            <w:vAlign w:val="bottom"/>
          </w:tcPr>
          <w:p>
            <w:pPr>
              <w:ind w:left="36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shd w:val="clear" w:color="auto" w:fill="929292"/>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142,779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158,654</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325,937</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429,247</w:t>
            </w:r>
          </w:p>
        </w:tc>
        <w:tc>
          <w:tcPr>
            <w:tcW w:w="0" w:type="dxa"/>
            <w:vAlign w:val="bottom"/>
          </w:tcPr>
          <w:p>
            <w:pPr>
              <w:spacing w:after="0"/>
              <w:rPr>
                <w:sz w:val="1"/>
                <w:szCs w:val="1"/>
                <w:color w:val="auto"/>
              </w:rPr>
            </w:pPr>
          </w:p>
        </w:tc>
      </w:tr>
      <w:tr>
        <w:trPr>
          <w:trHeight w:val="191"/>
        </w:trPr>
        <w:tc>
          <w:tcPr>
            <w:tcW w:w="5240" w:type="dxa"/>
            <w:vAlign w:val="bottom"/>
          </w:tcPr>
          <w:p>
            <w:pPr>
              <w:ind w:left="560"/>
              <w:spacing w:after="0" w:line="191" w:lineRule="exact"/>
              <w:rPr>
                <w:sz w:val="20"/>
                <w:szCs w:val="20"/>
                <w:color w:val="auto"/>
              </w:rPr>
            </w:pPr>
            <w:r>
              <w:rPr>
                <w:rFonts w:ascii="Arial" w:cs="Arial" w:eastAsia="Arial" w:hAnsi="Arial"/>
                <w:sz w:val="14"/>
                <w:szCs w:val="14"/>
                <w:color w:val="auto"/>
              </w:rPr>
              <w:t>Lookback Adjustments reported during the indicated periods</w:t>
            </w:r>
            <w:r>
              <w:rPr>
                <w:rFonts w:ascii="Arial" w:cs="Arial" w:eastAsia="Arial" w:hAnsi="Arial"/>
                <w:sz w:val="18"/>
                <w:szCs w:val="18"/>
                <w:color w:val="auto"/>
                <w:vertAlign w:val="superscript"/>
              </w:rPr>
              <w:t>1</w:t>
            </w:r>
          </w:p>
        </w:tc>
        <w:tc>
          <w:tcPr>
            <w:tcW w:w="240" w:type="dxa"/>
            <w:vAlign w:val="bottom"/>
            <w:tcBorders>
              <w:bottom w:val="single" w:sz="8" w:color="929292"/>
            </w:tcBorders>
            <w:shd w:val="clear" w:color="auto" w:fill="929292"/>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3,162</w:t>
            </w:r>
          </w:p>
        </w:tc>
        <w:tc>
          <w:tcPr>
            <w:tcW w:w="8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5,480</w:t>
            </w:r>
          </w:p>
        </w:tc>
        <w:tc>
          <w:tcPr>
            <w:tcW w:w="0" w:type="dxa"/>
            <w:vAlign w:val="bottom"/>
          </w:tcPr>
          <w:p>
            <w:pPr>
              <w:spacing w:after="0"/>
              <w:rPr>
                <w:sz w:val="1"/>
                <w:szCs w:val="1"/>
                <w:color w:val="auto"/>
              </w:rPr>
            </w:pPr>
          </w:p>
        </w:tc>
      </w:tr>
      <w:tr>
        <w:trPr>
          <w:trHeight w:val="196"/>
        </w:trPr>
        <w:tc>
          <w:tcPr>
            <w:tcW w:w="5240" w:type="dxa"/>
            <w:vAlign w:val="bottom"/>
          </w:tcPr>
          <w:p>
            <w:pPr>
              <w:ind w:left="360"/>
              <w:spacing w:after="0"/>
              <w:rPr>
                <w:sz w:val="20"/>
                <w:szCs w:val="20"/>
                <w:color w:val="auto"/>
              </w:rPr>
            </w:pPr>
            <w:r>
              <w:rPr>
                <w:rFonts w:ascii="Arial" w:cs="Arial" w:eastAsia="Arial" w:hAnsi="Arial"/>
                <w:sz w:val="14"/>
                <w:szCs w:val="14"/>
                <w:color w:val="auto"/>
              </w:rPr>
              <w:t>Net revenue excluding Lookback Adjustments</w:t>
            </w:r>
          </w:p>
        </w:tc>
        <w:tc>
          <w:tcPr>
            <w:tcW w:w="24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142,779</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161,816</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325,937</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434,727</w:t>
            </w:r>
          </w:p>
        </w:tc>
        <w:tc>
          <w:tcPr>
            <w:tcW w:w="0" w:type="dxa"/>
            <w:vAlign w:val="bottom"/>
          </w:tcPr>
          <w:p>
            <w:pPr>
              <w:spacing w:after="0"/>
              <w:rPr>
                <w:sz w:val="1"/>
                <w:szCs w:val="1"/>
                <w:color w:val="auto"/>
              </w:rPr>
            </w:pPr>
          </w:p>
        </w:tc>
      </w:tr>
      <w:tr>
        <w:trPr>
          <w:trHeight w:val="196"/>
        </w:trPr>
        <w:tc>
          <w:tcPr>
            <w:tcW w:w="5240" w:type="dxa"/>
            <w:vAlign w:val="bottom"/>
          </w:tcPr>
          <w:p>
            <w:pPr>
              <w:ind w:left="560"/>
              <w:spacing w:after="0"/>
              <w:rPr>
                <w:sz w:val="20"/>
                <w:szCs w:val="20"/>
                <w:color w:val="auto"/>
              </w:rPr>
            </w:pPr>
            <w:r>
              <w:rPr>
                <w:rFonts w:ascii="Arial" w:cs="Arial" w:eastAsia="Arial" w:hAnsi="Arial"/>
                <w:sz w:val="14"/>
                <w:szCs w:val="14"/>
                <w:color w:val="auto"/>
              </w:rPr>
              <w:t>Exit of non-Encompass BPO Services</w:t>
            </w:r>
          </w:p>
        </w:tc>
        <w:tc>
          <w:tcPr>
            <w:tcW w:w="24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(2,528)</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(23,119)</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(9,322)</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(58,056)</w:t>
            </w:r>
          </w:p>
        </w:tc>
        <w:tc>
          <w:tcPr>
            <w:tcW w:w="0" w:type="dxa"/>
            <w:vAlign w:val="bottom"/>
          </w:tcPr>
          <w:p>
            <w:pPr>
              <w:spacing w:after="0"/>
              <w:rPr>
                <w:sz w:val="1"/>
                <w:szCs w:val="1"/>
                <w:color w:val="auto"/>
              </w:rPr>
            </w:pPr>
          </w:p>
        </w:tc>
      </w:tr>
      <w:tr>
        <w:trPr>
          <w:trHeight w:val="129"/>
        </w:trPr>
        <w:tc>
          <w:tcPr>
            <w:tcW w:w="5240" w:type="dxa"/>
            <w:vAlign w:val="bottom"/>
          </w:tcPr>
          <w:p>
            <w:pPr>
              <w:ind w:left="360"/>
              <w:spacing w:after="0" w:line="129" w:lineRule="exact"/>
              <w:rPr>
                <w:sz w:val="20"/>
                <w:szCs w:val="20"/>
                <w:color w:val="auto"/>
              </w:rPr>
            </w:pPr>
            <w:r>
              <w:rPr>
                <w:rFonts w:ascii="Arial" w:cs="Arial" w:eastAsia="Arial" w:hAnsi="Arial"/>
                <w:sz w:val="14"/>
                <w:szCs w:val="14"/>
                <w:b w:val="1"/>
                <w:bCs w:val="1"/>
                <w:color w:val="auto"/>
              </w:rPr>
              <w:t>Net revenues excluding Lookback Adjustments and non-Encompass</w:t>
            </w:r>
          </w:p>
        </w:tc>
        <w:tc>
          <w:tcPr>
            <w:tcW w:w="240" w:type="dxa"/>
            <w:vAlign w:val="bottom"/>
            <w:shd w:val="clear" w:color="auto" w:fill="929292"/>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140,251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138,697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316,615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376,671</w:t>
            </w: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rPr>
                <w:sz w:val="20"/>
                <w:szCs w:val="20"/>
                <w:color w:val="auto"/>
              </w:rPr>
            </w:pPr>
            <w:r>
              <w:rPr>
                <w:rFonts w:ascii="Arial" w:cs="Arial" w:eastAsia="Arial" w:hAnsi="Arial"/>
                <w:sz w:val="14"/>
                <w:szCs w:val="14"/>
                <w:b w:val="1"/>
                <w:bCs w:val="1"/>
                <w:color w:val="auto"/>
              </w:rPr>
              <w:t>BPO Services</w:t>
            </w:r>
          </w:p>
        </w:tc>
        <w:tc>
          <w:tcPr>
            <w:tcW w:w="240" w:type="dxa"/>
            <w:vAlign w:val="bottom"/>
            <w:tcBorders>
              <w:bottom w:val="single" w:sz="8" w:color="929292"/>
            </w:tcBorders>
            <w:shd w:val="clear" w:color="auto" w:fill="929292"/>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120" w:type="dxa"/>
            <w:vAlign w:val="bottom"/>
            <w:tcBorders>
              <w:bottom w:val="single" w:sz="8" w:color="B6B6B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Borders>
              <w:bottom w:val="single" w:sz="8" w:color="929292"/>
            </w:tcBorders>
            <w:shd w:val="clear" w:color="auto" w:fill="929292"/>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5240" w:type="dxa"/>
            <w:vAlign w:val="bottom"/>
            <w:vMerge w:val="continue"/>
          </w:tcPr>
          <w:p>
            <w:pPr>
              <w:spacing w:after="0"/>
              <w:rPr>
                <w:sz w:val="24"/>
                <w:szCs w:val="24"/>
                <w:color w:val="auto"/>
              </w:rPr>
            </w:pPr>
          </w:p>
        </w:tc>
        <w:tc>
          <w:tcPr>
            <w:tcW w:w="240" w:type="dxa"/>
            <w:vAlign w:val="bottom"/>
            <w:shd w:val="clear" w:color="auto" w:fill="929292"/>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788</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(31,741)</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29,566</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(20,668)</w:t>
            </w:r>
          </w:p>
        </w:tc>
        <w:tc>
          <w:tcPr>
            <w:tcW w:w="0" w:type="dxa"/>
            <w:vAlign w:val="bottom"/>
          </w:tcPr>
          <w:p>
            <w:pPr>
              <w:spacing w:after="0"/>
              <w:rPr>
                <w:sz w:val="1"/>
                <w:szCs w:val="1"/>
                <w:color w:val="auto"/>
              </w:rPr>
            </w:pPr>
          </w:p>
        </w:tc>
      </w:tr>
      <w:tr>
        <w:trPr>
          <w:trHeight w:val="199"/>
        </w:trPr>
        <w:tc>
          <w:tcPr>
            <w:tcW w:w="5240" w:type="dxa"/>
            <w:vAlign w:val="bottom"/>
          </w:tcPr>
          <w:p>
            <w:pPr>
              <w:ind w:left="560"/>
              <w:spacing w:after="0" w:line="199" w:lineRule="exact"/>
              <w:rPr>
                <w:sz w:val="20"/>
                <w:szCs w:val="20"/>
                <w:color w:val="auto"/>
              </w:rPr>
            </w:pPr>
            <w:r>
              <w:rPr>
                <w:rFonts w:ascii="Arial" w:cs="Arial" w:eastAsia="Arial" w:hAnsi="Arial"/>
                <w:sz w:val="14"/>
                <w:szCs w:val="14"/>
                <w:color w:val="auto"/>
              </w:rPr>
              <w:t>Lookback Adjustments reported during the indicated periods</w:t>
            </w:r>
            <w:r>
              <w:rPr>
                <w:rFonts w:ascii="Arial" w:cs="Arial" w:eastAsia="Arial" w:hAnsi="Arial"/>
                <w:sz w:val="18"/>
                <w:szCs w:val="18"/>
                <w:color w:val="auto"/>
                <w:vertAlign w:val="superscript"/>
              </w:rPr>
              <w:t>1</w:t>
            </w:r>
          </w:p>
        </w:tc>
        <w:tc>
          <w:tcPr>
            <w:tcW w:w="24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2,300</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83"/>
        </w:trPr>
        <w:tc>
          <w:tcPr>
            <w:tcW w:w="5240" w:type="dxa"/>
            <w:vAlign w:val="bottom"/>
          </w:tcPr>
          <w:p>
            <w:pPr>
              <w:ind w:left="360"/>
              <w:spacing w:after="0"/>
              <w:rPr>
                <w:sz w:val="20"/>
                <w:szCs w:val="20"/>
                <w:color w:val="auto"/>
              </w:rPr>
            </w:pPr>
            <w:r>
              <w:rPr>
                <w:rFonts w:ascii="Arial" w:cs="Arial" w:eastAsia="Arial" w:hAnsi="Arial"/>
                <w:sz w:val="14"/>
                <w:szCs w:val="14"/>
                <w:color w:val="auto"/>
              </w:rPr>
              <w:t>Adjusted EBITDA excluding Lookback Adjustments</w:t>
            </w:r>
          </w:p>
        </w:tc>
        <w:tc>
          <w:tcPr>
            <w:tcW w:w="240" w:type="dxa"/>
            <w:vAlign w:val="bottom"/>
            <w:tcBorders>
              <w:bottom w:val="single" w:sz="8" w:color="929292"/>
            </w:tcBorders>
            <w:shd w:val="clear" w:color="auto" w:fill="929292"/>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1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788</w:t>
            </w:r>
          </w:p>
        </w:tc>
        <w:tc>
          <w:tcPr>
            <w:tcW w:w="80" w:type="dxa"/>
            <w:vAlign w:val="bottom"/>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(29,441)</w:t>
            </w:r>
          </w:p>
        </w:tc>
        <w:tc>
          <w:tcPr>
            <w:tcW w:w="80" w:type="dxa"/>
            <w:vAlign w:val="bottom"/>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29,566</w:t>
            </w:r>
          </w:p>
        </w:tc>
        <w:tc>
          <w:tcPr>
            <w:tcW w:w="80" w:type="dxa"/>
            <w:vAlign w:val="bottom"/>
          </w:tcPr>
          <w:p>
            <w:pPr>
              <w:spacing w:after="0"/>
              <w:rPr>
                <w:sz w:val="15"/>
                <w:szCs w:val="15"/>
                <w:color w:val="auto"/>
              </w:rPr>
            </w:pPr>
          </w:p>
        </w:tc>
        <w:tc>
          <w:tcPr>
            <w:tcW w:w="32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(16,707)</w:t>
            </w:r>
          </w:p>
        </w:tc>
        <w:tc>
          <w:tcPr>
            <w:tcW w:w="0" w:type="dxa"/>
            <w:vAlign w:val="bottom"/>
          </w:tcPr>
          <w:p>
            <w:pPr>
              <w:spacing w:after="0"/>
              <w:rPr>
                <w:sz w:val="1"/>
                <w:szCs w:val="1"/>
                <w:color w:val="auto"/>
              </w:rPr>
            </w:pPr>
          </w:p>
        </w:tc>
      </w:tr>
      <w:tr>
        <w:trPr>
          <w:trHeight w:val="196"/>
        </w:trPr>
        <w:tc>
          <w:tcPr>
            <w:tcW w:w="5240" w:type="dxa"/>
            <w:vAlign w:val="bottom"/>
          </w:tcPr>
          <w:p>
            <w:pPr>
              <w:ind w:left="560"/>
              <w:spacing w:after="0"/>
              <w:rPr>
                <w:sz w:val="20"/>
                <w:szCs w:val="20"/>
                <w:color w:val="auto"/>
              </w:rPr>
            </w:pPr>
            <w:r>
              <w:rPr>
                <w:rFonts w:ascii="Arial" w:cs="Arial" w:eastAsia="Arial" w:hAnsi="Arial"/>
                <w:sz w:val="14"/>
                <w:szCs w:val="14"/>
                <w:color w:val="auto"/>
              </w:rPr>
              <w:t>Exit of non-Encompass BPO Services</w:t>
            </w:r>
          </w:p>
        </w:tc>
        <w:tc>
          <w:tcPr>
            <w:tcW w:w="24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(3,619)</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(1,667)</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(10,809)</w:t>
            </w:r>
          </w:p>
        </w:tc>
        <w:tc>
          <w:tcPr>
            <w:tcW w:w="0" w:type="dxa"/>
            <w:vAlign w:val="bottom"/>
          </w:tcPr>
          <w:p>
            <w:pPr>
              <w:spacing w:after="0"/>
              <w:rPr>
                <w:sz w:val="1"/>
                <w:szCs w:val="1"/>
                <w:color w:val="auto"/>
              </w:rPr>
            </w:pPr>
          </w:p>
        </w:tc>
      </w:tr>
      <w:tr>
        <w:trPr>
          <w:trHeight w:val="129"/>
        </w:trPr>
        <w:tc>
          <w:tcPr>
            <w:tcW w:w="5240" w:type="dxa"/>
            <w:vAlign w:val="bottom"/>
          </w:tcPr>
          <w:p>
            <w:pPr>
              <w:ind w:left="360"/>
              <w:spacing w:after="0" w:line="129" w:lineRule="exact"/>
              <w:rPr>
                <w:sz w:val="20"/>
                <w:szCs w:val="20"/>
                <w:color w:val="auto"/>
              </w:rPr>
            </w:pPr>
            <w:r>
              <w:rPr>
                <w:rFonts w:ascii="Arial" w:cs="Arial" w:eastAsia="Arial" w:hAnsi="Arial"/>
                <w:sz w:val="14"/>
                <w:szCs w:val="14"/>
                <w:b w:val="1"/>
                <w:bCs w:val="1"/>
                <w:color w:val="auto"/>
              </w:rPr>
              <w:t>Adjusted EBITDA excluding Lookback Adjustments and non-</w:t>
            </w:r>
          </w:p>
        </w:tc>
        <w:tc>
          <w:tcPr>
            <w:tcW w:w="240" w:type="dxa"/>
            <w:vAlign w:val="bottom"/>
            <w:shd w:val="clear" w:color="auto" w:fill="929292"/>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523</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(33,060)</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27,899</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(27,516)</w:t>
            </w: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rPr>
                <w:sz w:val="20"/>
                <w:szCs w:val="20"/>
                <w:color w:val="auto"/>
              </w:rPr>
            </w:pPr>
            <w:r>
              <w:rPr>
                <w:rFonts w:ascii="Arial" w:cs="Arial" w:eastAsia="Arial" w:hAnsi="Arial"/>
                <w:sz w:val="14"/>
                <w:szCs w:val="14"/>
                <w:b w:val="1"/>
                <w:bCs w:val="1"/>
                <w:color w:val="auto"/>
              </w:rPr>
              <w:t>Encompass BPO Services</w:t>
            </w:r>
          </w:p>
        </w:tc>
        <w:tc>
          <w:tcPr>
            <w:tcW w:w="240" w:type="dxa"/>
            <w:vAlign w:val="bottom"/>
            <w:shd w:val="clear" w:color="auto" w:fill="929292"/>
          </w:tcPr>
          <w:p>
            <w:pPr>
              <w:spacing w:after="0"/>
              <w:rPr>
                <w:sz w:val="15"/>
                <w:szCs w:val="15"/>
                <w:color w:val="auto"/>
              </w:rPr>
            </w:pPr>
          </w:p>
        </w:tc>
        <w:tc>
          <w:tcPr>
            <w:tcW w:w="2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380"/>
              <w:spacing w:after="0" w:line="155" w:lineRule="exact"/>
              <w:rPr>
                <w:sz w:val="20"/>
                <w:szCs w:val="20"/>
                <w:color w:val="auto"/>
              </w:rPr>
            </w:pPr>
            <w:r>
              <w:rPr>
                <w:rFonts w:ascii="Arial" w:cs="Arial" w:eastAsia="Arial" w:hAnsi="Arial"/>
                <w:sz w:val="14"/>
                <w:szCs w:val="14"/>
                <w:color w:val="auto"/>
              </w:rPr>
              <w:t>Adjusted EBITDA margin excluding Lookback Adjustments and non-</w:t>
            </w:r>
          </w:p>
        </w:tc>
        <w:tc>
          <w:tcPr>
            <w:tcW w:w="24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260" w:type="dxa"/>
            <w:vAlign w:val="bottom"/>
            <w:tcBorders>
              <w:top w:val="single" w:sz="8" w:color="B6B6B6"/>
              <w:bottom w:val="single" w:sz="8" w:color="B6B6B6"/>
            </w:tcBorders>
          </w:tcPr>
          <w:p>
            <w:pPr>
              <w:spacing w:after="0" w:line="20" w:lineRule="exact"/>
              <w:rPr>
                <w:sz w:val="1"/>
                <w:szCs w:val="1"/>
                <w:color w:val="auto"/>
              </w:rPr>
            </w:pPr>
          </w:p>
        </w:tc>
        <w:tc>
          <w:tcPr>
            <w:tcW w:w="112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06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06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060" w:type="dxa"/>
            <w:vAlign w:val="bottom"/>
            <w:tcBorders>
              <w:top w:val="single" w:sz="8" w:color="B6B6B6"/>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240" w:type="dxa"/>
            <w:vAlign w:val="bottom"/>
            <w:vMerge w:val="continue"/>
          </w:tcPr>
          <w:p>
            <w:pPr>
              <w:spacing w:after="0"/>
              <w:rPr>
                <w:sz w:val="10"/>
                <w:szCs w:val="10"/>
                <w:color w:val="auto"/>
              </w:rPr>
            </w:pPr>
          </w:p>
        </w:tc>
        <w:tc>
          <w:tcPr>
            <w:tcW w:w="240" w:type="dxa"/>
            <w:vAlign w:val="bottom"/>
            <w:shd w:val="clear" w:color="auto" w:fill="929292"/>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5240" w:type="dxa"/>
            <w:vAlign w:val="bottom"/>
          </w:tcPr>
          <w:p>
            <w:pPr>
              <w:ind w:left="360"/>
              <w:spacing w:after="0"/>
              <w:rPr>
                <w:sz w:val="20"/>
                <w:szCs w:val="20"/>
                <w:color w:val="auto"/>
              </w:rPr>
            </w:pPr>
            <w:r>
              <w:rPr>
                <w:rFonts w:ascii="Arial" w:cs="Arial" w:eastAsia="Arial" w:hAnsi="Arial"/>
                <w:sz w:val="14"/>
                <w:szCs w:val="14"/>
                <w:color w:val="auto"/>
              </w:rPr>
              <w:t>Encompass BPO Services</w:t>
            </w:r>
          </w:p>
        </w:tc>
        <w:tc>
          <w:tcPr>
            <w:tcW w:w="240" w:type="dxa"/>
            <w:vAlign w:val="bottom"/>
            <w:shd w:val="clear" w:color="auto" w:fill="929292"/>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impact of Lookback Adjustments on non-Encompass BPO Services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Jun.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 30,</w:t>
            </w:r>
          </w:p>
        </w:tc>
      </w:tr>
      <w:tr>
        <w:trPr>
          <w:trHeight w:val="201"/>
        </w:trPr>
        <w:tc>
          <w:tcPr>
            <w:tcW w:w="516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B6B6B6"/>
            </w:tcBorders>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B6B6B6"/>
            </w:tcBorders>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929292"/>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516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10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ind w:left="46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9"/>
                <w:szCs w:val="9"/>
                <w:color w:val="auto"/>
              </w:rPr>
              <w:t>1</w:t>
            </w:r>
          </w:p>
        </w:tc>
        <w:tc>
          <w:tcPr>
            <w:tcW w:w="100" w:type="dxa"/>
            <w:vAlign w:val="bottom"/>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87,403</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109,027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184,934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300,720</w:t>
            </w:r>
          </w:p>
        </w:tc>
      </w:tr>
      <w:tr>
        <w:trPr>
          <w:trHeight w:val="201"/>
        </w:trPr>
        <w:tc>
          <w:tcPr>
            <w:tcW w:w="5160" w:type="dxa"/>
            <w:vAlign w:val="bottom"/>
          </w:tcPr>
          <w:p>
            <w:pPr>
              <w:ind w:left="460"/>
              <w:spacing w:after="0"/>
              <w:rPr>
                <w:sz w:val="20"/>
                <w:szCs w:val="20"/>
                <w:color w:val="auto"/>
              </w:rPr>
            </w:pPr>
            <w:r>
              <w:rPr>
                <w:rFonts w:ascii="Arial" w:cs="Arial" w:eastAsia="Arial" w:hAnsi="Arial"/>
                <w:sz w:val="14"/>
                <w:szCs w:val="14"/>
                <w:color w:val="auto"/>
              </w:rPr>
              <w:t>Partner Marketing and 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21,379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50,319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55,406</w:t>
            </w:r>
          </w:p>
        </w:tc>
      </w:tr>
      <w:tr>
        <w:trPr>
          <w:trHeight w:val="190"/>
        </w:trPr>
        <w:tc>
          <w:tcPr>
            <w:tcW w:w="5160" w:type="dxa"/>
            <w:vAlign w:val="bottom"/>
          </w:tcPr>
          <w:p>
            <w:pPr>
              <w:ind w:left="180"/>
              <w:spacing w:after="0"/>
              <w:rPr>
                <w:sz w:val="20"/>
                <w:szCs w:val="20"/>
                <w:color w:val="auto"/>
              </w:rPr>
            </w:pPr>
            <w:r>
              <w:rPr>
                <w:rFonts w:ascii="Arial" w:cs="Arial" w:eastAsia="Arial" w:hAnsi="Arial"/>
                <w:sz w:val="14"/>
                <w:szCs w:val="14"/>
                <w:color w:val="auto"/>
              </w:rPr>
              <w:t>Total Agency Revenue</w:t>
            </w:r>
          </w:p>
        </w:tc>
        <w:tc>
          <w:tcPr>
            <w:tcW w:w="100" w:type="dxa"/>
            <w:vAlign w:val="bottom"/>
            <w:tcBorders>
              <w:bottom w:val="single" w:sz="8" w:color="929292"/>
            </w:tcBorders>
            <w:shd w:val="clear" w:color="auto" w:fill="929292"/>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110,598</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130,406</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235,253</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356,126</w:t>
            </w:r>
          </w:p>
        </w:tc>
      </w:tr>
      <w:tr>
        <w:trPr>
          <w:trHeight w:val="189"/>
        </w:trPr>
        <w:tc>
          <w:tcPr>
            <w:tcW w:w="5160" w:type="dxa"/>
            <w:vAlign w:val="bottom"/>
          </w:tcPr>
          <w:p>
            <w:pPr>
              <w:ind w:left="180"/>
              <w:spacing w:after="0"/>
              <w:rPr>
                <w:sz w:val="20"/>
                <w:szCs w:val="20"/>
                <w:color w:val="auto"/>
              </w:rPr>
            </w:pPr>
            <w:r>
              <w:rPr>
                <w:rFonts w:ascii="Arial" w:cs="Arial" w:eastAsia="Arial" w:hAnsi="Arial"/>
                <w:sz w:val="14"/>
                <w:szCs w:val="14"/>
                <w:color w:val="auto"/>
              </w:rPr>
              <w:t>Non-Agency Revenue</w:t>
            </w:r>
          </w:p>
        </w:tc>
        <w:tc>
          <w:tcPr>
            <w:tcW w:w="100" w:type="dxa"/>
            <w:vAlign w:val="bottom"/>
            <w:tcBorders>
              <w:bottom w:val="single" w:sz="8" w:color="929292"/>
            </w:tcBorders>
            <w:shd w:val="clear" w:color="auto" w:fill="929292"/>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28,104</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3,548</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73,076</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9,300</w:t>
            </w:r>
          </w:p>
        </w:tc>
      </w:tr>
      <w:tr>
        <w:trPr>
          <w:trHeight w:val="19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Total Medicare Revenue</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138,702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133,954</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308,329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365,426</w:t>
            </w:r>
          </w:p>
        </w:tc>
      </w:tr>
      <w:tr>
        <w:trPr>
          <w:trHeight w:val="170"/>
        </w:trPr>
        <w:tc>
          <w:tcPr>
            <w:tcW w:w="51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5160" w:type="dxa"/>
            <w:vAlign w:val="bottom"/>
          </w:tcPr>
          <w:p>
            <w:pPr>
              <w:ind w:left="240"/>
              <w:spacing w:after="0"/>
              <w:rPr>
                <w:sz w:val="20"/>
                <w:szCs w:val="20"/>
                <w:color w:val="auto"/>
              </w:rPr>
            </w:pPr>
            <w:r>
              <w:rPr>
                <w:rFonts w:ascii="Arial" w:cs="Arial" w:eastAsia="Arial" w:hAnsi="Arial"/>
                <w:sz w:val="14"/>
                <w:szCs w:val="14"/>
                <w:color w:val="auto"/>
              </w:rPr>
              <w:t>Non-Encompass BPO Services Revenue</w:t>
            </w:r>
          </w:p>
        </w:tc>
        <w:tc>
          <w:tcPr>
            <w:tcW w:w="10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58,056</w:t>
            </w:r>
          </w:p>
        </w:tc>
      </w:tr>
      <w:tr>
        <w:trPr>
          <w:trHeight w:val="201"/>
        </w:trPr>
        <w:tc>
          <w:tcPr>
            <w:tcW w:w="5160" w:type="dxa"/>
            <w:vAlign w:val="bottom"/>
          </w:tcPr>
          <w:p>
            <w:pPr>
              <w:ind w:left="2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8,286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5,765</w:t>
            </w:r>
          </w:p>
        </w:tc>
      </w:tr>
      <w:tr>
        <w:trPr>
          <w:trHeight w:val="196"/>
        </w:trPr>
        <w:tc>
          <w:tcPr>
            <w:tcW w:w="5160" w:type="dxa"/>
            <w:vAlign w:val="bottom"/>
          </w:tcPr>
          <w:p>
            <w:pPr>
              <w:ind w:left="20"/>
              <w:spacing w:after="0"/>
              <w:rPr>
                <w:sz w:val="20"/>
                <w:szCs w:val="20"/>
                <w:color w:val="auto"/>
              </w:rPr>
            </w:pPr>
            <w:r>
              <w:rPr>
                <w:rFonts w:ascii="Arial" w:cs="Arial" w:eastAsia="Arial" w:hAnsi="Arial"/>
                <w:sz w:val="14"/>
                <w:szCs w:val="14"/>
                <w:color w:val="auto"/>
              </w:rPr>
              <w:t>Total 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4,077</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24,700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17,608</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63,821</w:t>
            </w:r>
          </w:p>
        </w:tc>
      </w:tr>
      <w:tr>
        <w:trPr>
          <w:trHeight w:val="216"/>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Total Net Revenue</w:t>
            </w:r>
          </w:p>
        </w:tc>
        <w:tc>
          <w:tcPr>
            <w:tcW w:w="100" w:type="dxa"/>
            <w:vAlign w:val="bottom"/>
            <w:shd w:val="clear" w:color="auto" w:fill="929292"/>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142,779</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158,654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325,937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429,247</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929292"/>
            </w:tcBorders>
          </w:tcPr>
          <w:p>
            <w:pPr>
              <w:spacing w:after="0" w:line="20" w:lineRule="exact"/>
              <w:rPr>
                <w:sz w:val="1"/>
                <w:szCs w:val="1"/>
                <w:color w:val="auto"/>
              </w:rPr>
            </w:pPr>
          </w:p>
        </w:tc>
        <w:tc>
          <w:tcPr>
            <w:tcW w:w="280" w:type="dxa"/>
            <w:vAlign w:val="bottom"/>
            <w:tcBorders>
              <w:top w:val="single" w:sz="8" w:color="B6B6B6"/>
              <w:bottom w:val="single" w:sz="8" w:color="B6B6B6"/>
            </w:tcBorders>
          </w:tcPr>
          <w:p>
            <w:pPr>
              <w:spacing w:after="0" w:line="20" w:lineRule="exact"/>
              <w:rPr>
                <w:sz w:val="1"/>
                <w:szCs w:val="1"/>
                <w:color w:val="auto"/>
              </w:rPr>
            </w:pPr>
          </w:p>
        </w:tc>
        <w:tc>
          <w:tcPr>
            <w:tcW w:w="114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10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10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100" w:type="dxa"/>
            <w:vAlign w:val="bottom"/>
            <w:tcBorders>
              <w:top w:val="single" w:sz="8" w:color="B6B6B6"/>
              <w:bottom w:val="single" w:sz="8" w:color="B6B6B6"/>
            </w:tcBorders>
          </w:tcPr>
          <w:p>
            <w:pPr>
              <w:spacing w:after="0" w:line="20" w:lineRule="exact"/>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Commissions revenue excludes commissions generated through the Company’s non-Encompass BPO Services as well as from the sale of individual and family plan insurance products.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Jun. 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 30,</w:t>
            </w:r>
          </w:p>
        </w:tc>
      </w:tr>
      <w:tr>
        <w:trPr>
          <w:trHeight w:val="189"/>
        </w:trPr>
        <w:tc>
          <w:tcPr>
            <w:tcW w:w="562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B6B6B6"/>
            </w:tcBorders>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929292"/>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656</w:t>
            </w:r>
          </w:p>
        </w:tc>
      </w:tr>
      <w:tr>
        <w:trPr>
          <w:trHeight w:val="203"/>
        </w:trPr>
        <w:tc>
          <w:tcPr>
            <w:tcW w:w="562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80" w:type="dxa"/>
            <w:vAlign w:val="bottom"/>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1,255</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929292"/>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1,609</w:t>
            </w:r>
          </w:p>
        </w:tc>
      </w:tr>
      <w:tr>
        <w:trPr>
          <w:trHeight w:val="215"/>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0" w:type="dxa"/>
            <w:vAlign w:val="bottom"/>
            <w:tcBorders>
              <w:bottom w:val="single" w:sz="8" w:color="929292"/>
            </w:tcBorders>
            <w:shd w:val="clear" w:color="auto" w:fill="929292"/>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8,310</w:t>
            </w:r>
          </w:p>
        </w:tc>
        <w:tc>
          <w:tcPr>
            <w:tcW w:w="100" w:type="dxa"/>
            <w:vAlign w:val="bottom"/>
          </w:tcPr>
          <w:p>
            <w:pPr>
              <w:spacing w:after="0"/>
              <w:rPr>
                <w:sz w:val="18"/>
                <w:szCs w:val="18"/>
                <w:color w:val="auto"/>
              </w:rPr>
            </w:pPr>
          </w:p>
        </w:tc>
        <w:tc>
          <w:tcPr>
            <w:tcW w:w="30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12,791</w:t>
            </w:r>
          </w:p>
        </w:tc>
        <w:tc>
          <w:tcPr>
            <w:tcW w:w="80" w:type="dxa"/>
            <w:vAlign w:val="bottom"/>
          </w:tcPr>
          <w:p>
            <w:pPr>
              <w:spacing w:after="0"/>
              <w:rPr>
                <w:sz w:val="18"/>
                <w:szCs w:val="18"/>
                <w:color w:val="auto"/>
              </w:rPr>
            </w:pPr>
          </w:p>
        </w:tc>
        <w:tc>
          <w:tcPr>
            <w:tcW w:w="28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13,457</w:t>
            </w:r>
          </w:p>
        </w:tc>
        <w:tc>
          <w:tcPr>
            <w:tcW w:w="100" w:type="dxa"/>
            <w:vAlign w:val="bottom"/>
          </w:tcPr>
          <w:p>
            <w:pPr>
              <w:spacing w:after="0"/>
              <w:rPr>
                <w:sz w:val="18"/>
                <w:szCs w:val="18"/>
                <w:color w:val="auto"/>
              </w:rPr>
            </w:pPr>
          </w:p>
        </w:tc>
        <w:tc>
          <w:tcPr>
            <w:tcW w:w="28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15,892</w:t>
            </w:r>
          </w:p>
        </w:tc>
      </w:tr>
      <w:tr>
        <w:trPr>
          <w:trHeight w:val="20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80" w:type="dxa"/>
            <w:vAlign w:val="bottom"/>
            <w:shd w:val="clear" w:color="auto" w:fill="929292"/>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10,120</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14,257</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16,704</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19,412</w:t>
            </w:r>
          </w:p>
        </w:tc>
      </w:tr>
      <w:tr>
        <w:trPr>
          <w:trHeight w:val="20"/>
        </w:trPr>
        <w:tc>
          <w:tcPr>
            <w:tcW w:w="5620" w:type="dxa"/>
            <w:vAlign w:val="bottom"/>
          </w:tcPr>
          <w:p>
            <w:pPr>
              <w:spacing w:after="0" w:line="20" w:lineRule="exact"/>
              <w:rPr>
                <w:sz w:val="1"/>
                <w:szCs w:val="1"/>
                <w:color w:val="auto"/>
              </w:rPr>
            </w:pPr>
          </w:p>
        </w:tc>
        <w:tc>
          <w:tcPr>
            <w:tcW w:w="80" w:type="dxa"/>
            <w:vAlign w:val="bottom"/>
            <w:tcBorders>
              <w:top w:val="single" w:sz="8" w:color="929292"/>
            </w:tcBorders>
          </w:tcPr>
          <w:p>
            <w:pPr>
              <w:spacing w:after="0" w:line="20" w:lineRule="exact"/>
              <w:rPr>
                <w:sz w:val="1"/>
                <w:szCs w:val="1"/>
                <w:color w:val="auto"/>
              </w:rPr>
            </w:pPr>
          </w:p>
        </w:tc>
        <w:tc>
          <w:tcPr>
            <w:tcW w:w="240" w:type="dxa"/>
            <w:vAlign w:val="bottom"/>
            <w:tcBorders>
              <w:top w:val="single" w:sz="8" w:color="B6B6B6"/>
              <w:bottom w:val="single" w:sz="8" w:color="B6B6B6"/>
            </w:tcBorders>
          </w:tcPr>
          <w:p>
            <w:pPr>
              <w:spacing w:after="0" w:line="20" w:lineRule="exact"/>
              <w:rPr>
                <w:sz w:val="1"/>
                <w:szCs w:val="1"/>
                <w:color w:val="auto"/>
              </w:rPr>
            </w:pPr>
          </w:p>
        </w:tc>
        <w:tc>
          <w:tcPr>
            <w:tcW w:w="108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B6B6B6"/>
              <w:bottom w:val="single" w:sz="8" w:color="B6B6B6"/>
            </w:tcBorders>
          </w:tcPr>
          <w:p>
            <w:pPr>
              <w:spacing w:after="0" w:line="20" w:lineRule="exact"/>
              <w:rPr>
                <w:sz w:val="1"/>
                <w:szCs w:val="1"/>
                <w:color w:val="auto"/>
              </w:rPr>
            </w:pPr>
          </w:p>
        </w:tc>
        <w:tc>
          <w:tcPr>
            <w:tcW w:w="1020" w:type="dxa"/>
            <w:vAlign w:val="bottom"/>
            <w:tcBorders>
              <w:top w:val="single" w:sz="8" w:color="B6B6B6"/>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B6B6B6"/>
              <w:bottom w:val="single" w:sz="8" w:color="B6B6B6"/>
            </w:tcBorders>
          </w:tcPr>
          <w:p>
            <w:pPr>
              <w:spacing w:after="0" w:line="20" w:lineRule="exact"/>
              <w:rPr>
                <w:sz w:val="1"/>
                <w:szCs w:val="1"/>
                <w:color w:val="auto"/>
              </w:rPr>
            </w:pPr>
          </w:p>
        </w:tc>
        <w:tc>
          <w:tcPr>
            <w:tcW w:w="104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B6B6B6"/>
              <w:bottom w:val="single" w:sz="8" w:color="B6B6B6"/>
            </w:tcBorders>
          </w:tcPr>
          <w:p>
            <w:pPr>
              <w:spacing w:after="0" w:line="20" w:lineRule="exact"/>
              <w:rPr>
                <w:sz w:val="1"/>
                <w:szCs w:val="1"/>
                <w:color w:val="auto"/>
              </w:rPr>
            </w:pPr>
          </w:p>
        </w:tc>
        <w:tc>
          <w:tcPr>
            <w:tcW w:w="1020" w:type="dxa"/>
            <w:vAlign w:val="bottom"/>
            <w:tcBorders>
              <w:top w:val="single" w:sz="8" w:color="B6B6B6"/>
              <w:bottom w:val="single" w:sz="8" w:color="B6B6B6"/>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1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00" w:type="dxa"/>
            <w:vAlign w:val="bottom"/>
            <w:tcBorders>
              <w:bottom w:val="single" w:sz="8" w:color="B6B6B6"/>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Jun. 30, 2023</w:t>
            </w:r>
          </w:p>
        </w:tc>
        <w:tc>
          <w:tcPr>
            <w:tcW w:w="100" w:type="dxa"/>
            <w:vAlign w:val="bottom"/>
            <w:tcBorders>
              <w:bottom w:val="single" w:sz="8" w:color="B6B6B6"/>
            </w:tcBorders>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Dec. 31, 2022</w:t>
            </w:r>
          </w:p>
        </w:tc>
        <w:tc>
          <w:tcPr>
            <w:tcW w:w="0" w:type="dxa"/>
            <w:vAlign w:val="bottom"/>
          </w:tcPr>
          <w:p>
            <w:pPr>
              <w:spacing w:after="0"/>
              <w:rPr>
                <w:sz w:val="1"/>
                <w:szCs w:val="1"/>
                <w:color w:val="auto"/>
              </w:rPr>
            </w:pPr>
          </w:p>
        </w:tc>
      </w:tr>
      <w:tr>
        <w:trPr>
          <w:trHeight w:val="194"/>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929292"/>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25,364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16,464</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$734 in 2023 and $89 in 2022</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4,703</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294,319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335,796</w:t>
            </w:r>
          </w:p>
        </w:tc>
        <w:tc>
          <w:tcPr>
            <w:tcW w:w="0" w:type="dxa"/>
            <w:vAlign w:val="bottom"/>
          </w:tcPr>
          <w:p>
            <w:pPr>
              <w:spacing w:after="0"/>
              <w:rPr>
                <w:sz w:val="1"/>
                <w:szCs w:val="1"/>
                <w:color w:val="auto"/>
              </w:rPr>
            </w:pPr>
          </w:p>
        </w:tc>
      </w:tr>
      <w:tr>
        <w:trPr>
          <w:trHeight w:val="201"/>
        </w:trPr>
        <w:tc>
          <w:tcPr>
            <w:tcW w:w="8400" w:type="dxa"/>
            <w:vAlign w:val="bottom"/>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10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12,431</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57,593</w:t>
            </w:r>
          </w:p>
        </w:tc>
        <w:tc>
          <w:tcPr>
            <w:tcW w:w="0" w:type="dxa"/>
            <w:vAlign w:val="bottom"/>
          </w:tcPr>
          <w:p>
            <w:pPr>
              <w:spacing w:after="0"/>
              <w:rPr>
                <w:sz w:val="1"/>
                <w:szCs w:val="1"/>
                <w:color w:val="auto"/>
              </w:rPr>
            </w:pPr>
          </w:p>
        </w:tc>
      </w:tr>
      <w:tr>
        <w:trPr>
          <w:trHeight w:val="190"/>
        </w:trPr>
        <w:tc>
          <w:tcPr>
            <w:tcW w:w="840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929292"/>
            </w:tcBorders>
            <w:shd w:val="clear" w:color="auto" w:fill="929292"/>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368,098</w:t>
            </w:r>
          </w:p>
        </w:tc>
        <w:tc>
          <w:tcPr>
            <w:tcW w:w="100" w:type="dxa"/>
            <w:vAlign w:val="bottom"/>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414,556</w:t>
            </w:r>
          </w:p>
        </w:tc>
        <w:tc>
          <w:tcPr>
            <w:tcW w:w="0" w:type="dxa"/>
            <w:vAlign w:val="bottom"/>
          </w:tcPr>
          <w:p>
            <w:pPr>
              <w:spacing w:after="0"/>
              <w:rPr>
                <w:sz w:val="1"/>
                <w:szCs w:val="1"/>
                <w:color w:val="auto"/>
              </w:rPr>
            </w:pPr>
          </w:p>
        </w:tc>
      </w:tr>
      <w:tr>
        <w:trPr>
          <w:trHeight w:val="190"/>
        </w:trPr>
        <w:tc>
          <w:tcPr>
            <w:tcW w:w="840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617,243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695,637</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Arial" w:cs="Arial" w:eastAsia="Arial" w:hAnsi="Arial"/>
                <w:sz w:val="14"/>
                <w:szCs w:val="14"/>
                <w:color w:val="auto"/>
              </w:rPr>
              <w:t>Operating lease ROU asset</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21,483</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23,870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25,282</w:t>
            </w:r>
          </w:p>
        </w:tc>
        <w:tc>
          <w:tcPr>
            <w:tcW w:w="0" w:type="dxa"/>
            <w:vAlign w:val="bottom"/>
          </w:tcPr>
          <w:p>
            <w:pPr>
              <w:spacing w:after="0"/>
              <w:rPr>
                <w:sz w:val="1"/>
                <w:szCs w:val="1"/>
                <w:color w:val="auto"/>
              </w:rPr>
            </w:pPr>
          </w:p>
        </w:tc>
      </w:tr>
      <w:tr>
        <w:trPr>
          <w:trHeight w:val="188"/>
        </w:trPr>
        <w:tc>
          <w:tcPr>
            <w:tcW w:w="84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00" w:type="dxa"/>
            <w:vAlign w:val="bottom"/>
            <w:tcBorders>
              <w:bottom w:val="single" w:sz="8" w:color="929292"/>
            </w:tcBorders>
            <w:shd w:val="clear" w:color="auto" w:fill="929292"/>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453,583</w:t>
            </w:r>
          </w:p>
        </w:tc>
        <w:tc>
          <w:tcPr>
            <w:tcW w:w="100" w:type="dxa"/>
            <w:vAlign w:val="bottom"/>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500,611</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1,482,252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1,659,290</w:t>
            </w:r>
          </w:p>
        </w:tc>
        <w:tc>
          <w:tcPr>
            <w:tcW w:w="0" w:type="dxa"/>
            <w:vAlign w:val="bottom"/>
          </w:tcPr>
          <w:p>
            <w:pPr>
              <w:spacing w:after="0"/>
              <w:rPr>
                <w:sz w:val="1"/>
                <w:szCs w:val="1"/>
                <w:color w:val="auto"/>
              </w:rPr>
            </w:pPr>
          </w:p>
        </w:tc>
      </w:tr>
      <w:tr>
        <w:trPr>
          <w:trHeight w:val="21"/>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w:t>
            </w:r>
          </w:p>
        </w:tc>
        <w:tc>
          <w:tcPr>
            <w:tcW w:w="10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160" w:type="dxa"/>
            <w:vAlign w:val="bottom"/>
            <w:tcBorders>
              <w:top w:val="single" w:sz="8" w:color="B6B6B6"/>
              <w:bottom w:val="single" w:sz="8" w:color="B6B6B6"/>
            </w:tcBorders>
          </w:tcPr>
          <w:p>
            <w:pPr>
              <w:spacing w:after="0" w:line="20" w:lineRule="exact"/>
              <w:rPr>
                <w:sz w:val="1"/>
                <w:szCs w:val="1"/>
                <w:color w:val="auto"/>
              </w:rPr>
            </w:pPr>
          </w:p>
        </w:tc>
        <w:tc>
          <w:tcPr>
            <w:tcW w:w="116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B6B6B6"/>
              <w:bottom w:val="single" w:sz="8" w:color="B6B6B6"/>
            </w:tcBorders>
          </w:tcPr>
          <w:p>
            <w:pPr>
              <w:spacing w:after="0" w:line="20" w:lineRule="exact"/>
              <w:rPr>
                <w:sz w:val="1"/>
                <w:szCs w:val="1"/>
                <w:color w:val="auto"/>
              </w:rPr>
            </w:pPr>
          </w:p>
        </w:tc>
        <w:tc>
          <w:tcPr>
            <w:tcW w:w="1160" w:type="dxa"/>
            <w:vAlign w:val="bottom"/>
            <w:tcBorders>
              <w:top w:val="single" w:sz="8" w:color="B6B6B6"/>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8400" w:type="dxa"/>
            <w:vAlign w:val="bottom"/>
            <w:vMerge w:val="continue"/>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929292"/>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8,704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15,148</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49,802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53,334</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Commissions payable - current</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103,953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122,023</w:t>
            </w:r>
          </w:p>
        </w:tc>
        <w:tc>
          <w:tcPr>
            <w:tcW w:w="0" w:type="dxa"/>
            <w:vAlign w:val="bottom"/>
          </w:tcPr>
          <w:p>
            <w:pPr>
              <w:spacing w:after="0"/>
              <w:rPr>
                <w:sz w:val="1"/>
                <w:szCs w:val="1"/>
                <w:color w:val="auto"/>
              </w:rPr>
            </w:pPr>
          </w:p>
        </w:tc>
      </w:tr>
      <w:tr>
        <w:trPr>
          <w:trHeight w:val="189"/>
        </w:trPr>
        <w:tc>
          <w:tcPr>
            <w:tcW w:w="8400" w:type="dxa"/>
            <w:vAlign w:val="bottom"/>
          </w:tcPr>
          <w:p>
            <w:pPr>
              <w:ind w:left="240"/>
              <w:spacing w:after="0"/>
              <w:rPr>
                <w:sz w:val="20"/>
                <w:szCs w:val="20"/>
                <w:color w:val="auto"/>
              </w:rPr>
            </w:pPr>
            <w:r>
              <w:rPr>
                <w:rFonts w:ascii="Arial" w:cs="Arial" w:eastAsia="Arial" w:hAnsi="Arial"/>
                <w:sz w:val="14"/>
                <w:szCs w:val="14"/>
                <w:color w:val="auto"/>
              </w:rPr>
              <w:t>Short-term operating lease liability</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8,974</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27,721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50,594</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201"/>
        </w:trPr>
        <w:tc>
          <w:tcPr>
            <w:tcW w:w="840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10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13,313</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10,112</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929292"/>
            </w:tcBorders>
            <w:shd w:val="clear" w:color="auto" w:fill="929292"/>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210,258</w:t>
            </w:r>
          </w:p>
        </w:tc>
        <w:tc>
          <w:tcPr>
            <w:tcW w:w="100" w:type="dxa"/>
            <w:vAlign w:val="bottom"/>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265,455</w:t>
            </w:r>
          </w:p>
        </w:tc>
        <w:tc>
          <w:tcPr>
            <w:tcW w:w="0" w:type="dxa"/>
            <w:vAlign w:val="bottom"/>
          </w:tcPr>
          <w:p>
            <w:pPr>
              <w:spacing w:after="0"/>
              <w:rPr>
                <w:sz w:val="1"/>
                <w:szCs w:val="1"/>
                <w:color w:val="auto"/>
              </w:rPr>
            </w:pPr>
          </w:p>
        </w:tc>
      </w:tr>
      <w:tr>
        <w:trPr>
          <w:trHeight w:val="177"/>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10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Commissions payable - non-current</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220,652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253,118</w:t>
            </w:r>
          </w:p>
        </w:tc>
        <w:tc>
          <w:tcPr>
            <w:tcW w:w="0" w:type="dxa"/>
            <w:vAlign w:val="bottom"/>
          </w:tcPr>
          <w:p>
            <w:pPr>
              <w:spacing w:after="0"/>
              <w:rPr>
                <w:sz w:val="1"/>
                <w:szCs w:val="1"/>
                <w:color w:val="auto"/>
              </w:rPr>
            </w:pPr>
          </w:p>
        </w:tc>
      </w:tr>
      <w:tr>
        <w:trPr>
          <w:trHeight w:val="189"/>
        </w:trPr>
        <w:tc>
          <w:tcPr>
            <w:tcW w:w="8400" w:type="dxa"/>
            <w:vAlign w:val="bottom"/>
          </w:tcPr>
          <w:p>
            <w:pPr>
              <w:ind w:left="240"/>
              <w:spacing w:after="0"/>
              <w:rPr>
                <w:sz w:val="20"/>
                <w:szCs w:val="20"/>
                <w:color w:val="auto"/>
              </w:rPr>
            </w:pPr>
            <w:r>
              <w:rPr>
                <w:rFonts w:ascii="Arial" w:cs="Arial" w:eastAsia="Arial" w:hAnsi="Arial"/>
                <w:sz w:val="14"/>
                <w:szCs w:val="14"/>
                <w:color w:val="auto"/>
              </w:rPr>
              <w:t>Long-term operating lease liability</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35,234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38,367</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496,224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504,810</w:t>
            </w:r>
          </w:p>
        </w:tc>
        <w:tc>
          <w:tcPr>
            <w:tcW w:w="0" w:type="dxa"/>
            <w:vAlign w:val="bottom"/>
          </w:tcPr>
          <w:p>
            <w:pPr>
              <w:spacing w:after="0"/>
              <w:rPr>
                <w:sz w:val="1"/>
                <w:szCs w:val="1"/>
                <w:color w:val="auto"/>
              </w:rPr>
            </w:pPr>
          </w:p>
        </w:tc>
      </w:tr>
      <w:tr>
        <w:trPr>
          <w:trHeight w:val="201"/>
        </w:trPr>
        <w:tc>
          <w:tcPr>
            <w:tcW w:w="8400" w:type="dxa"/>
            <w:vAlign w:val="bottom"/>
          </w:tcPr>
          <w:p>
            <w:pPr>
              <w:ind w:left="24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9,823</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non-current liabilities</w:t>
            </w:r>
          </w:p>
        </w:tc>
        <w:tc>
          <w:tcPr>
            <w:tcW w:w="10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761,933</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802,134</w:t>
            </w:r>
          </w:p>
        </w:tc>
        <w:tc>
          <w:tcPr>
            <w:tcW w:w="0" w:type="dxa"/>
            <w:vAlign w:val="bottom"/>
          </w:tcPr>
          <w:p>
            <w:pPr>
              <w:spacing w:after="0"/>
              <w:rPr>
                <w:sz w:val="1"/>
                <w:szCs w:val="1"/>
                <w:color w:val="auto"/>
              </w:rPr>
            </w:pPr>
          </w:p>
        </w:tc>
      </w:tr>
      <w:tr>
        <w:trPr>
          <w:trHeight w:val="184"/>
        </w:trPr>
        <w:tc>
          <w:tcPr>
            <w:tcW w:w="84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line="155" w:lineRule="exact"/>
              <w:rPr>
                <w:sz w:val="20"/>
                <w:szCs w:val="20"/>
                <w:color w:val="auto"/>
              </w:rPr>
            </w:pPr>
            <w:r>
              <w:rPr>
                <w:rFonts w:ascii="Arial" w:cs="Arial" w:eastAsia="Arial" w:hAnsi="Arial"/>
                <w:sz w:val="14"/>
                <w:szCs w:val="14"/>
                <w:color w:val="auto"/>
              </w:rPr>
              <w:t>Series A redeemable convertible preferred stock — $0.0001 par value; 50 shares authorized; 50 shares issued and outstanding at</w:t>
            </w:r>
          </w:p>
        </w:tc>
        <w:tc>
          <w:tcPr>
            <w:tcW w:w="10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June 30, 2023 and December 31, 2022. Liquidation preference of $50.9 million at June 30, 2023 and December 31, 2022.</w:t>
            </w:r>
          </w:p>
        </w:tc>
        <w:tc>
          <w:tcPr>
            <w:tcW w:w="10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49,302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49,302</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Stockholders’ equity:</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40"/>
              <w:spacing w:after="0" w:line="155" w:lineRule="exact"/>
              <w:rPr>
                <w:sz w:val="20"/>
                <w:szCs w:val="20"/>
                <w:color w:val="auto"/>
              </w:rPr>
            </w:pPr>
            <w:r>
              <w:rPr>
                <w:rFonts w:ascii="Arial" w:cs="Arial" w:eastAsia="Arial" w:hAnsi="Arial"/>
                <w:sz w:val="14"/>
                <w:szCs w:val="14"/>
                <w:color w:val="auto"/>
              </w:rPr>
              <w:t>Class A common stock – $0.0001 par value; 1,100,000 shares authorized; 9,499 and 8,963 shares issued; 9,418 and 8,950</w:t>
            </w:r>
          </w:p>
        </w:tc>
        <w:tc>
          <w:tcPr>
            <w:tcW w:w="10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240"/>
              <w:spacing w:after="0"/>
              <w:rPr>
                <w:sz w:val="20"/>
                <w:szCs w:val="20"/>
                <w:color w:val="auto"/>
              </w:rPr>
            </w:pPr>
            <w:r>
              <w:rPr>
                <w:rFonts w:ascii="Arial" w:cs="Arial" w:eastAsia="Arial" w:hAnsi="Arial"/>
                <w:sz w:val="14"/>
                <w:szCs w:val="14"/>
                <w:color w:val="auto"/>
              </w:rPr>
              <w:t>shares outstanding at June 30, 2023 and December 31, 2022, respectively.</w:t>
            </w:r>
          </w:p>
        </w:tc>
        <w:tc>
          <w:tcPr>
            <w:tcW w:w="10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0"/>
        </w:trPr>
        <w:tc>
          <w:tcPr>
            <w:tcW w:w="8400" w:type="dxa"/>
            <w:vAlign w:val="bottom"/>
          </w:tcPr>
          <w:p>
            <w:pPr>
              <w:ind w:left="240"/>
              <w:spacing w:after="0"/>
              <w:rPr>
                <w:sz w:val="20"/>
                <w:szCs w:val="20"/>
                <w:color w:val="auto"/>
              </w:rPr>
            </w:pPr>
            <w:r>
              <w:rPr>
                <w:rFonts w:ascii="Arial" w:cs="Arial" w:eastAsia="Arial" w:hAnsi="Arial"/>
                <w:sz w:val="14"/>
                <w:szCs w:val="14"/>
                <w:color w:val="auto"/>
              </w:rPr>
              <w:t>Class B common stock – $0.0001 par value; 616,022 and 616,259 shares authorized; 12,818 and 13,054 shares issued and</w:t>
            </w:r>
          </w:p>
        </w:tc>
        <w:tc>
          <w:tcPr>
            <w:tcW w:w="10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8400" w:type="dxa"/>
            <w:vAlign w:val="bottom"/>
          </w:tcPr>
          <w:p>
            <w:pPr>
              <w:ind w:left="240"/>
              <w:spacing w:after="0"/>
              <w:rPr>
                <w:sz w:val="20"/>
                <w:szCs w:val="20"/>
                <w:color w:val="auto"/>
              </w:rPr>
            </w:pPr>
            <w:r>
              <w:rPr>
                <w:rFonts w:ascii="Arial" w:cs="Arial" w:eastAsia="Arial" w:hAnsi="Arial"/>
                <w:sz w:val="14"/>
                <w:szCs w:val="14"/>
                <w:color w:val="auto"/>
              </w:rPr>
              <w:t>outstanding at June 30, 2023 and December 31, 2022, respectively.</w:t>
            </w:r>
          </w:p>
        </w:tc>
        <w:tc>
          <w:tcPr>
            <w:tcW w:w="10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40"/>
              <w:spacing w:after="0" w:line="155" w:lineRule="exact"/>
              <w:rPr>
                <w:sz w:val="20"/>
                <w:szCs w:val="20"/>
                <w:color w:val="auto"/>
              </w:rPr>
            </w:pPr>
            <w:r>
              <w:rPr>
                <w:rFonts w:ascii="Arial" w:cs="Arial" w:eastAsia="Arial" w:hAnsi="Arial"/>
                <w:sz w:val="14"/>
                <w:szCs w:val="14"/>
                <w:color w:val="auto"/>
              </w:rPr>
              <w:t>Preferred stock – $0.0001 par value; 20,000 shares authorized (including 50 shares of Series A redeemable convertible</w:t>
            </w:r>
          </w:p>
        </w:tc>
        <w:tc>
          <w:tcPr>
            <w:tcW w:w="10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400" w:type="dxa"/>
            <w:vAlign w:val="bottom"/>
          </w:tcPr>
          <w:p>
            <w:pPr>
              <w:ind w:left="240"/>
              <w:spacing w:after="0" w:line="143" w:lineRule="exact"/>
              <w:rPr>
                <w:sz w:val="20"/>
                <w:szCs w:val="20"/>
                <w:color w:val="auto"/>
              </w:rPr>
            </w:pPr>
            <w:r>
              <w:rPr>
                <w:rFonts w:ascii="Arial" w:cs="Arial" w:eastAsia="Arial" w:hAnsi="Arial"/>
                <w:sz w:val="14"/>
                <w:szCs w:val="14"/>
                <w:color w:val="auto"/>
              </w:rPr>
              <w:t>preferred stock authorized and 200 shares of Series A-1 convertible preferred stock authorized); 50 shares issued and</w:t>
            </w:r>
          </w:p>
        </w:tc>
        <w:tc>
          <w:tcPr>
            <w:tcW w:w="10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240"/>
              <w:spacing w:after="0"/>
              <w:rPr>
                <w:sz w:val="20"/>
                <w:szCs w:val="20"/>
                <w:color w:val="auto"/>
              </w:rPr>
            </w:pPr>
            <w:r>
              <w:rPr>
                <w:rFonts w:ascii="Arial" w:cs="Arial" w:eastAsia="Arial" w:hAnsi="Arial"/>
                <w:sz w:val="14"/>
                <w:szCs w:val="14"/>
                <w:color w:val="auto"/>
              </w:rPr>
              <w:t>outstanding at June 30, 2023 and December 31, 2022.</w:t>
            </w:r>
          </w:p>
        </w:tc>
        <w:tc>
          <w:tcPr>
            <w:tcW w:w="10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400" w:type="dxa"/>
            <w:vAlign w:val="bottom"/>
          </w:tcPr>
          <w:p>
            <w:pPr>
              <w:ind w:left="240"/>
              <w:spacing w:after="0"/>
              <w:rPr>
                <w:sz w:val="20"/>
                <w:szCs w:val="20"/>
                <w:color w:val="auto"/>
              </w:rPr>
            </w:pPr>
            <w:r>
              <w:rPr>
                <w:rFonts w:ascii="Arial" w:cs="Arial" w:eastAsia="Arial" w:hAnsi="Arial"/>
                <w:sz w:val="14"/>
                <w:szCs w:val="14"/>
                <w:color w:val="auto"/>
              </w:rPr>
              <w:t>Series A-1 convertible preferred stock— $0.0001 par value; 200 shares authorized; no shares issued and outstanding at June</w:t>
            </w:r>
          </w:p>
        </w:tc>
        <w:tc>
          <w:tcPr>
            <w:tcW w:w="10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400" w:type="dxa"/>
            <w:vAlign w:val="bottom"/>
          </w:tcPr>
          <w:p>
            <w:pPr>
              <w:ind w:left="240"/>
              <w:spacing w:after="0"/>
              <w:rPr>
                <w:sz w:val="20"/>
                <w:szCs w:val="20"/>
                <w:color w:val="auto"/>
              </w:rPr>
            </w:pPr>
            <w:r>
              <w:rPr>
                <w:rFonts w:ascii="Arial" w:cs="Arial" w:eastAsia="Arial" w:hAnsi="Arial"/>
                <w:sz w:val="14"/>
                <w:szCs w:val="14"/>
                <w:color w:val="auto"/>
              </w:rPr>
              <w:t>30, 2023 and December 31, 2022.</w:t>
            </w:r>
          </w:p>
        </w:tc>
        <w:tc>
          <w:tcPr>
            <w:tcW w:w="10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400" w:type="dxa"/>
            <w:vAlign w:val="bottom"/>
          </w:tcPr>
          <w:p>
            <w:pPr>
              <w:ind w:left="240"/>
              <w:spacing w:after="0"/>
              <w:rPr>
                <w:sz w:val="20"/>
                <w:szCs w:val="20"/>
                <w:color w:val="auto"/>
              </w:rPr>
            </w:pPr>
            <w:r>
              <w:rPr>
                <w:rFonts w:ascii="Arial" w:cs="Arial" w:eastAsia="Arial" w:hAnsi="Arial"/>
                <w:sz w:val="14"/>
                <w:szCs w:val="14"/>
                <w:color w:val="auto"/>
              </w:rPr>
              <w:t>Treasury stock – at cost; 81 and 13 shares of Class A common stock at June 30, 2023 and December 31, 2022, respectively.</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646,232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626,269</w:t>
            </w:r>
          </w:p>
        </w:tc>
        <w:tc>
          <w:tcPr>
            <w:tcW w:w="0" w:type="dxa"/>
            <w:vAlign w:val="bottom"/>
          </w:tcPr>
          <w:p>
            <w:pPr>
              <w:spacing w:after="0"/>
              <w:rPr>
                <w:sz w:val="1"/>
                <w:szCs w:val="1"/>
                <w:color w:val="auto"/>
              </w:rPr>
            </w:pPr>
          </w:p>
        </w:tc>
      </w:tr>
      <w:tr>
        <w:trPr>
          <w:trHeight w:val="189"/>
        </w:trPr>
        <w:tc>
          <w:tcPr>
            <w:tcW w:w="840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14"/>
        </w:trPr>
        <w:tc>
          <w:tcPr>
            <w:tcW w:w="840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929292"/>
            </w:tcBorders>
            <w:shd w:val="clear" w:color="auto" w:fill="929292"/>
          </w:tcPr>
          <w:p>
            <w:pPr>
              <w:spacing w:after="0"/>
              <w:rPr>
                <w:sz w:val="18"/>
                <w:szCs w:val="18"/>
                <w:color w:val="auto"/>
              </w:rPr>
            </w:pPr>
          </w:p>
        </w:tc>
        <w:tc>
          <w:tcPr>
            <w:tcW w:w="160" w:type="dxa"/>
            <w:vAlign w:val="bottom"/>
            <w:tcBorders>
              <w:bottom w:val="single" w:sz="8" w:color="B6B6B6"/>
            </w:tcBorders>
          </w:tcPr>
          <w:p>
            <w:pPr>
              <w:spacing w:after="0"/>
              <w:rPr>
                <w:sz w:val="18"/>
                <w:szCs w:val="18"/>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(395,144)</w:t>
            </w:r>
          </w:p>
        </w:tc>
        <w:tc>
          <w:tcPr>
            <w:tcW w:w="100" w:type="dxa"/>
            <w:vAlign w:val="bottom"/>
          </w:tcPr>
          <w:p>
            <w:pPr>
              <w:spacing w:after="0"/>
              <w:rPr>
                <w:sz w:val="18"/>
                <w:szCs w:val="18"/>
                <w:color w:val="auto"/>
              </w:rPr>
            </w:pPr>
          </w:p>
        </w:tc>
        <w:tc>
          <w:tcPr>
            <w:tcW w:w="160" w:type="dxa"/>
            <w:vAlign w:val="bottom"/>
            <w:tcBorders>
              <w:bottom w:val="single" w:sz="8" w:color="B6B6B6"/>
            </w:tcBorders>
          </w:tcPr>
          <w:p>
            <w:pPr>
              <w:spacing w:after="0"/>
              <w:rPr>
                <w:sz w:val="18"/>
                <w:szCs w:val="18"/>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(357,023)</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100" w:type="dxa"/>
            <w:vAlign w:val="bottom"/>
            <w:tcBorders>
              <w:bottom w:val="single" w:sz="8" w:color="929292"/>
            </w:tcBorders>
            <w:shd w:val="clear" w:color="auto" w:fill="929292"/>
          </w:tcPr>
          <w:p>
            <w:pPr>
              <w:spacing w:after="0"/>
              <w:rPr>
                <w:sz w:val="15"/>
                <w:szCs w:val="15"/>
                <w:color w:val="auto"/>
              </w:rPr>
            </w:pPr>
          </w:p>
        </w:tc>
        <w:tc>
          <w:tcPr>
            <w:tcW w:w="160" w:type="dxa"/>
            <w:vAlign w:val="bottom"/>
            <w:tcBorders>
              <w:bottom w:val="single" w:sz="8" w:color="B6B6B6"/>
            </w:tcBorders>
          </w:tcPr>
          <w:p>
            <w:pPr>
              <w:spacing w:after="0"/>
              <w:rPr>
                <w:sz w:val="15"/>
                <w:szCs w:val="15"/>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249,914</w:t>
            </w:r>
          </w:p>
        </w:tc>
        <w:tc>
          <w:tcPr>
            <w:tcW w:w="100" w:type="dxa"/>
            <w:vAlign w:val="bottom"/>
          </w:tcPr>
          <w:p>
            <w:pPr>
              <w:spacing w:after="0"/>
              <w:rPr>
                <w:sz w:val="15"/>
                <w:szCs w:val="15"/>
                <w:color w:val="auto"/>
              </w:rPr>
            </w:pPr>
          </w:p>
        </w:tc>
        <w:tc>
          <w:tcPr>
            <w:tcW w:w="160" w:type="dxa"/>
            <w:vAlign w:val="bottom"/>
            <w:tcBorders>
              <w:bottom w:val="single" w:sz="8" w:color="B6B6B6"/>
            </w:tcBorders>
          </w:tcPr>
          <w:p>
            <w:pPr>
              <w:spacing w:after="0"/>
              <w:rPr>
                <w:sz w:val="15"/>
                <w:szCs w:val="15"/>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268,759</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210,845</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273,640</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460,759</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542,399</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equity</w:t>
            </w:r>
          </w:p>
        </w:tc>
        <w:tc>
          <w:tcPr>
            <w:tcW w:w="10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1,482,252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1,659,290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929292"/>
            </w:tcBorders>
          </w:tcPr>
          <w:p>
            <w:pPr>
              <w:spacing w:after="0" w:line="20" w:lineRule="exact"/>
              <w:rPr>
                <w:sz w:val="1"/>
                <w:szCs w:val="1"/>
                <w:color w:val="auto"/>
              </w:rPr>
            </w:pPr>
          </w:p>
        </w:tc>
        <w:tc>
          <w:tcPr>
            <w:tcW w:w="160" w:type="dxa"/>
            <w:vAlign w:val="bottom"/>
            <w:tcBorders>
              <w:top w:val="single" w:sz="8" w:color="B6B6B6"/>
              <w:bottom w:val="single" w:sz="8" w:color="B6B6B6"/>
            </w:tcBorders>
          </w:tcPr>
          <w:p>
            <w:pPr>
              <w:spacing w:after="0" w:line="20" w:lineRule="exact"/>
              <w:rPr>
                <w:sz w:val="1"/>
                <w:szCs w:val="1"/>
                <w:color w:val="auto"/>
              </w:rPr>
            </w:pPr>
          </w:p>
        </w:tc>
        <w:tc>
          <w:tcPr>
            <w:tcW w:w="116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B6B6B6"/>
              <w:bottom w:val="single" w:sz="8" w:color="B6B6B6"/>
            </w:tcBorders>
          </w:tcPr>
          <w:p>
            <w:pPr>
              <w:spacing w:after="0" w:line="20" w:lineRule="exact"/>
              <w:rPr>
                <w:sz w:val="1"/>
                <w:szCs w:val="1"/>
                <w:color w:val="auto"/>
              </w:rPr>
            </w:pPr>
          </w:p>
        </w:tc>
        <w:tc>
          <w:tcPr>
            <w:tcW w:w="1160" w:type="dxa"/>
            <w:vAlign w:val="bottom"/>
            <w:tcBorders>
              <w:top w:val="single" w:sz="8" w:color="B6B6B6"/>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320" w:type="dxa"/>
            <w:vAlign w:val="bottom"/>
            <w:tcBorders>
              <w:top w:val="single" w:sz="8" w:color="929292"/>
              <w:left w:val="single" w:sz="8" w:color="929292"/>
            </w:tcBorders>
          </w:tcPr>
          <w:p>
            <w:pPr>
              <w:spacing w:after="0"/>
              <w:rPr>
                <w:sz w:val="18"/>
                <w:szCs w:val="18"/>
                <w:color w:val="auto"/>
              </w:rPr>
            </w:pPr>
          </w:p>
        </w:tc>
        <w:tc>
          <w:tcPr>
            <w:tcW w:w="120" w:type="dxa"/>
            <w:vAlign w:val="bottom"/>
            <w:tcBorders>
              <w:top w:val="single" w:sz="8" w:color="929292"/>
            </w:tcBorders>
            <w:shd w:val="clear" w:color="auto" w:fill="929292"/>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3"/>
          </w:tcPr>
          <w:p>
            <w:pPr>
              <w:jc w:val="right"/>
              <w:ind w:right="208"/>
              <w:spacing w:after="0"/>
              <w:rPr>
                <w:sz w:val="20"/>
                <w:szCs w:val="20"/>
                <w:color w:val="auto"/>
              </w:rPr>
            </w:pPr>
            <w:r>
              <w:rPr>
                <w:rFonts w:ascii="Arial" w:cs="Arial" w:eastAsia="Arial" w:hAnsi="Arial"/>
                <w:sz w:val="14"/>
                <w:szCs w:val="14"/>
                <w:color w:val="auto"/>
              </w:rPr>
              <w:t>Six months ended Jun.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5"/>
          </w:tcPr>
          <w:p>
            <w:pPr>
              <w:jc w:val="right"/>
              <w:ind w:right="388"/>
              <w:spacing w:after="0"/>
              <w:rPr>
                <w:sz w:val="20"/>
                <w:szCs w:val="20"/>
                <w:color w:val="auto"/>
              </w:rPr>
            </w:pPr>
            <w:r>
              <w:rPr>
                <w:rFonts w:ascii="Arial" w:cs="Arial" w:eastAsia="Arial" w:hAnsi="Arial"/>
                <w:sz w:val="14"/>
                <w:szCs w:val="14"/>
                <w:color w:val="auto"/>
              </w:rPr>
              <w:t>Trailing Twelve Months ended Jun. 30,</w:t>
            </w:r>
          </w:p>
        </w:tc>
      </w:tr>
      <w:tr>
        <w:trPr>
          <w:trHeight w:val="215"/>
        </w:trPr>
        <w:tc>
          <w:tcPr>
            <w:tcW w:w="4320" w:type="dxa"/>
            <w:vAlign w:val="bottom"/>
            <w:tcBorders>
              <w:left w:val="single" w:sz="8" w:color="929292"/>
            </w:tcBorders>
          </w:tcPr>
          <w:p>
            <w:pPr>
              <w:ind w:left="460"/>
              <w:spacing w:after="0"/>
              <w:rPr>
                <w:sz w:val="20"/>
                <w:szCs w:val="20"/>
                <w:color w:val="auto"/>
              </w:rPr>
            </w:pPr>
            <w:r>
              <w:rPr>
                <w:rFonts w:ascii="Arial" w:cs="Arial" w:eastAsia="Arial" w:hAnsi="Arial"/>
                <w:sz w:val="14"/>
                <w:szCs w:val="14"/>
                <w:b w:val="1"/>
                <w:bCs w:val="1"/>
                <w:color w:val="00497F"/>
              </w:rPr>
              <w:t>Net cash provided by (used in) operating activities</w:t>
            </w:r>
          </w:p>
        </w:tc>
        <w:tc>
          <w:tcPr>
            <w:tcW w:w="120" w:type="dxa"/>
            <w:vAlign w:val="bottom"/>
            <w:tcBorders>
              <w:bottom w:val="single" w:sz="8" w:color="929292"/>
            </w:tcBorders>
            <w:shd w:val="clear" w:color="auto" w:fill="929292"/>
          </w:tcPr>
          <w:p>
            <w:pPr>
              <w:spacing w:after="0"/>
              <w:rPr>
                <w:sz w:val="18"/>
                <w:szCs w:val="18"/>
                <w:color w:val="auto"/>
              </w:rPr>
            </w:pPr>
          </w:p>
        </w:tc>
        <w:tc>
          <w:tcPr>
            <w:tcW w:w="360" w:type="dxa"/>
            <w:vAlign w:val="bottom"/>
            <w:tcBorders>
              <w:bottom w:val="single" w:sz="8" w:color="B6B6B6"/>
            </w:tcBorders>
          </w:tcPr>
          <w:p>
            <w:pPr>
              <w:spacing w:after="0"/>
              <w:rPr>
                <w:sz w:val="18"/>
                <w:szCs w:val="18"/>
                <w:color w:val="auto"/>
              </w:rPr>
            </w:pPr>
          </w:p>
        </w:tc>
        <w:tc>
          <w:tcPr>
            <w:tcW w:w="126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108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B6B6B6"/>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B6B6B6"/>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B6B6B6"/>
            </w:tcBorders>
          </w:tcPr>
          <w:p>
            <w:pPr>
              <w:spacing w:after="0"/>
              <w:rPr>
                <w:sz w:val="18"/>
                <w:szCs w:val="18"/>
                <w:color w:val="auto"/>
              </w:rPr>
            </w:pPr>
          </w:p>
        </w:tc>
        <w:tc>
          <w:tcPr>
            <w:tcW w:w="126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2022</w:t>
            </w:r>
          </w:p>
        </w:tc>
      </w:tr>
      <w:tr>
        <w:trPr>
          <w:trHeight w:val="196"/>
        </w:trPr>
        <w:tc>
          <w:tcPr>
            <w:tcW w:w="4320" w:type="dxa"/>
            <w:vAlign w:val="bottom"/>
            <w:tcBorders>
              <w:left w:val="single" w:sz="8" w:color="929292"/>
              <w:bottom w:val="single" w:sz="8" w:color="929292"/>
            </w:tcBorders>
          </w:tcPr>
          <w:p>
            <w:pPr>
              <w:spacing w:after="0"/>
              <w:rPr>
                <w:sz w:val="17"/>
                <w:szCs w:val="17"/>
                <w:color w:val="auto"/>
              </w:rPr>
            </w:pPr>
          </w:p>
        </w:tc>
        <w:tc>
          <w:tcPr>
            <w:tcW w:w="120" w:type="dxa"/>
            <w:vAlign w:val="bottom"/>
            <w:tcBorders>
              <w:bottom w:val="single" w:sz="8" w:color="929292"/>
            </w:tcBorders>
            <w:shd w:val="clear" w:color="auto" w:fill="929292"/>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31,340</w:t>
            </w:r>
          </w:p>
        </w:tc>
        <w:tc>
          <w:tcPr>
            <w:tcW w:w="118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6,377</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85,867</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(260,379)</w:t>
            </w:r>
          </w:p>
        </w:tc>
      </w:tr>
    </w:tbl>
    <w:p>
      <w:pPr>
        <w:spacing w:after="0" w:line="200" w:lineRule="exact"/>
        <w:rPr>
          <w:sz w:val="20"/>
          <w:szCs w:val="20"/>
          <w:color w:val="auto"/>
        </w:rPr>
      </w:pPr>
    </w:p>
    <w:p>
      <w:pPr>
        <w:spacing w:after="0" w:line="235" w:lineRule="exact"/>
        <w:rPr>
          <w:sz w:val="20"/>
          <w:szCs w:val="20"/>
          <w:color w:val="auto"/>
        </w:rPr>
      </w:pPr>
    </w:p>
    <w:p>
      <w:pPr>
        <w:ind w:right="380"/>
        <w:spacing w:after="0" w:line="261"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besides EBITDA and Adjusted EBITDA, for our single operating and reportable segment.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Medicare Revenue per Submission, Operating Expense per Submission, and Gross Margin per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Submission to Sales per Submission, Cost Per Submission, and Adjusted Gross Margin per Submission for the periods indicated (unaudited):</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80" w:type="dxa"/>
            <w:vAlign w:val="bottom"/>
            <w:shd w:val="clear" w:color="auto" w:fill="929292"/>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Jun. 30,</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 30,</w:t>
            </w: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20"/>
                <w:szCs w:val="20"/>
                <w:color w:val="auto"/>
              </w:rPr>
            </w:pPr>
            <w:r>
              <w:rPr>
                <w:rFonts w:ascii="Arial" w:cs="Arial" w:eastAsia="Arial" w:hAnsi="Arial"/>
                <w:sz w:val="14"/>
                <w:szCs w:val="14"/>
                <w:b w:val="1"/>
                <w:bCs w:val="1"/>
                <w:color w:val="auto"/>
              </w:rPr>
              <w:t>Sales per Submission</w:t>
            </w:r>
          </w:p>
        </w:tc>
        <w:tc>
          <w:tcPr>
            <w:tcW w:w="80" w:type="dxa"/>
            <w:vAlign w:val="bottom"/>
            <w:shd w:val="clear" w:color="auto" w:fill="929292"/>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20" w:type="dxa"/>
            <w:vAlign w:val="bottom"/>
          </w:tcPr>
          <w:p>
            <w:pPr>
              <w:spacing w:after="0"/>
              <w:rPr>
                <w:sz w:val="20"/>
                <w:szCs w:val="20"/>
                <w:color w:val="auto"/>
              </w:rPr>
            </w:pPr>
            <w:r>
              <w:rPr>
                <w:rFonts w:ascii="Arial" w:cs="Arial" w:eastAsia="Arial" w:hAnsi="Arial"/>
                <w:sz w:val="14"/>
                <w:szCs w:val="14"/>
                <w:color w:val="auto"/>
              </w:rPr>
              <w:t>Medicare Revenue per Submission</w:t>
            </w:r>
          </w:p>
        </w:tc>
        <w:tc>
          <w:tcPr>
            <w:tcW w:w="80" w:type="dxa"/>
            <w:vAlign w:val="bottom"/>
            <w:shd w:val="clear" w:color="auto" w:fill="929292"/>
          </w:tcPr>
          <w:p>
            <w:pPr>
              <w:spacing w:after="0"/>
              <w:rPr>
                <w:sz w:val="16"/>
                <w:szCs w:val="16"/>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852</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865</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819</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01"/>
        </w:trPr>
        <w:tc>
          <w:tcPr>
            <w:tcW w:w="5020" w:type="dxa"/>
            <w:vAlign w:val="bottom"/>
          </w:tcPr>
          <w:p>
            <w:pPr>
              <w:ind w:left="100"/>
              <w:spacing w:after="0" w:line="201" w:lineRule="exact"/>
              <w:rPr>
                <w:sz w:val="20"/>
                <w:szCs w:val="20"/>
                <w:color w:val="auto"/>
              </w:rPr>
            </w:pPr>
            <w:r>
              <w:rPr>
                <w:rFonts w:ascii="Arial" w:cs="Arial" w:eastAsia="Arial" w:hAnsi="Arial"/>
                <w:sz w:val="14"/>
                <w:szCs w:val="14"/>
                <w:color w:val="auto"/>
              </w:rPr>
              <w:t>Lookback Adjustments reported during the indicated periods</w:t>
            </w:r>
            <w:r>
              <w:rPr>
                <w:rFonts w:ascii="Arial" w:cs="Arial" w:eastAsia="Arial" w:hAnsi="Arial"/>
                <w:sz w:val="18"/>
                <w:szCs w:val="18"/>
                <w:color w:val="auto"/>
                <w:vertAlign w:val="superscript"/>
              </w:rPr>
              <w:t>1</w:t>
            </w: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Sales per Submission</w:t>
            </w:r>
          </w:p>
        </w:tc>
        <w:tc>
          <w:tcPr>
            <w:tcW w:w="80" w:type="dxa"/>
            <w:vAlign w:val="bottom"/>
            <w:shd w:val="clear" w:color="auto" w:fill="929292"/>
          </w:tcPr>
          <w:p>
            <w:pPr>
              <w:spacing w:after="0"/>
              <w:rPr>
                <w:sz w:val="17"/>
                <w:szCs w:val="17"/>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852</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885</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819</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893</w:t>
            </w:r>
          </w:p>
        </w:tc>
        <w:tc>
          <w:tcPr>
            <w:tcW w:w="0" w:type="dxa"/>
            <w:vAlign w:val="bottom"/>
          </w:tcPr>
          <w:p>
            <w:pPr>
              <w:spacing w:after="0"/>
              <w:rPr>
                <w:sz w:val="1"/>
                <w:szCs w:val="1"/>
                <w:color w:val="auto"/>
              </w:rPr>
            </w:pPr>
          </w:p>
        </w:tc>
      </w:tr>
      <w:tr>
        <w:trPr>
          <w:trHeight w:val="2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Cost per Submission</w:t>
            </w:r>
          </w:p>
        </w:tc>
        <w:tc>
          <w:tcPr>
            <w:tcW w:w="8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260" w:type="dxa"/>
            <w:vAlign w:val="bottom"/>
            <w:tcBorders>
              <w:top w:val="single" w:sz="8" w:color="B6B6B6"/>
              <w:bottom w:val="single" w:sz="8" w:color="B6B6B6"/>
            </w:tcBorders>
          </w:tcPr>
          <w:p>
            <w:pPr>
              <w:spacing w:after="0" w:line="20" w:lineRule="exact"/>
              <w:rPr>
                <w:sz w:val="1"/>
                <w:szCs w:val="1"/>
                <w:color w:val="auto"/>
              </w:rPr>
            </w:pPr>
          </w:p>
        </w:tc>
        <w:tc>
          <w:tcPr>
            <w:tcW w:w="1100" w:type="dxa"/>
            <w:vAlign w:val="bottom"/>
            <w:tcBorders>
              <w:top w:val="single" w:sz="8" w:color="B6B6B6"/>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B6B6B6"/>
              <w:bottom w:val="single" w:sz="8" w:color="B6B6B6"/>
            </w:tcBorders>
          </w:tcPr>
          <w:p>
            <w:pPr>
              <w:spacing w:after="0" w:line="20" w:lineRule="exact"/>
              <w:rPr>
                <w:sz w:val="1"/>
                <w:szCs w:val="1"/>
                <w:color w:val="auto"/>
              </w:rPr>
            </w:pPr>
          </w:p>
        </w:tc>
        <w:tc>
          <w:tcPr>
            <w:tcW w:w="1040" w:type="dxa"/>
            <w:vAlign w:val="bottom"/>
            <w:tcBorders>
              <w:top w:val="single" w:sz="8" w:color="B6B6B6"/>
              <w:bottom w:val="single" w:sz="8" w:color="B6B6B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B6B6B6"/>
              <w:bottom w:val="single" w:sz="8" w:color="B6B6B6"/>
            </w:tcBorders>
          </w:tcPr>
          <w:p>
            <w:pPr>
              <w:spacing w:after="0" w:line="20" w:lineRule="exact"/>
              <w:rPr>
                <w:sz w:val="1"/>
                <w:szCs w:val="1"/>
                <w:color w:val="auto"/>
              </w:rPr>
            </w:pPr>
          </w:p>
        </w:tc>
        <w:tc>
          <w:tcPr>
            <w:tcW w:w="1040" w:type="dxa"/>
            <w:vAlign w:val="bottom"/>
            <w:tcBorders>
              <w:top w:val="single" w:sz="8" w:color="B6B6B6"/>
              <w:bottom w:val="single" w:sz="8" w:color="B6B6B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B6B6B6"/>
              <w:bottom w:val="single" w:sz="8" w:color="B6B6B6"/>
            </w:tcBorders>
          </w:tcPr>
          <w:p>
            <w:pPr>
              <w:spacing w:after="0" w:line="20" w:lineRule="exact"/>
              <w:rPr>
                <w:sz w:val="1"/>
                <w:szCs w:val="1"/>
                <w:color w:val="auto"/>
              </w:rPr>
            </w:pPr>
          </w:p>
        </w:tc>
        <w:tc>
          <w:tcPr>
            <w:tcW w:w="1040" w:type="dxa"/>
            <w:vAlign w:val="bottom"/>
            <w:tcBorders>
              <w:top w:val="single" w:sz="8" w:color="B6B6B6"/>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5020" w:type="dxa"/>
            <w:vAlign w:val="bottom"/>
            <w:vMerge w:val="continue"/>
          </w:tcPr>
          <w:p>
            <w:pPr>
              <w:spacing w:after="0"/>
              <w:rPr>
                <w:sz w:val="24"/>
                <w:szCs w:val="24"/>
                <w:color w:val="auto"/>
              </w:rPr>
            </w:pPr>
          </w:p>
        </w:tc>
        <w:tc>
          <w:tcPr>
            <w:tcW w:w="80" w:type="dxa"/>
            <w:vAlign w:val="bottom"/>
            <w:shd w:val="clear" w:color="auto" w:fill="929292"/>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020" w:type="dxa"/>
            <w:vAlign w:val="bottom"/>
          </w:tcPr>
          <w:p>
            <w:pPr>
              <w:spacing w:after="0"/>
              <w:rPr>
                <w:sz w:val="20"/>
                <w:szCs w:val="20"/>
                <w:color w:val="auto"/>
              </w:rPr>
            </w:pPr>
            <w:r>
              <w:rPr>
                <w:rFonts w:ascii="Arial" w:cs="Arial" w:eastAsia="Arial" w:hAnsi="Arial"/>
                <w:sz w:val="14"/>
                <w:szCs w:val="14"/>
                <w:color w:val="auto"/>
              </w:rPr>
              <w:t>Operating Expense per Submission</w:t>
            </w:r>
          </w:p>
        </w:tc>
        <w:tc>
          <w:tcPr>
            <w:tcW w:w="80" w:type="dxa"/>
            <w:vAlign w:val="bottom"/>
            <w:shd w:val="clear" w:color="auto" w:fill="929292"/>
          </w:tcPr>
          <w:p>
            <w:pPr>
              <w:spacing w:after="0"/>
              <w:rPr>
                <w:sz w:val="16"/>
                <w:szCs w:val="16"/>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1,202</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1,677</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1,022</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203"/>
        </w:trPr>
        <w:tc>
          <w:tcPr>
            <w:tcW w:w="5020" w:type="dxa"/>
            <w:vAlign w:val="bottom"/>
          </w:tcPr>
          <w:p>
            <w:pPr>
              <w:ind w:left="100"/>
              <w:spacing w:after="0"/>
              <w:rPr>
                <w:sz w:val="20"/>
                <w:szCs w:val="20"/>
                <w:color w:val="auto"/>
              </w:rPr>
            </w:pPr>
            <w:r>
              <w:rPr>
                <w:rFonts w:ascii="Arial" w:cs="Arial" w:eastAsia="Arial" w:hAnsi="Arial"/>
                <w:sz w:val="14"/>
                <w:szCs w:val="14"/>
                <w:color w:val="auto"/>
              </w:rPr>
              <w:t>Indirect operating expenses</w:t>
            </w:r>
            <w:r>
              <w:rPr>
                <w:rFonts w:ascii="Arial" w:cs="Arial" w:eastAsia="Arial" w:hAnsi="Arial"/>
                <w:sz w:val="9"/>
                <w:szCs w:val="9"/>
                <w:color w:val="auto"/>
              </w:rPr>
              <w:t>2</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(629)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(346)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9"/>
        </w:trPr>
        <w:tc>
          <w:tcPr>
            <w:tcW w:w="5020" w:type="dxa"/>
            <w:vAlign w:val="bottom"/>
          </w:tcPr>
          <w:p>
            <w:pPr>
              <w:ind w:left="100"/>
              <w:spacing w:after="0"/>
              <w:rPr>
                <w:sz w:val="20"/>
                <w:szCs w:val="20"/>
                <w:color w:val="auto"/>
              </w:rPr>
            </w:pPr>
            <w:r>
              <w:rPr>
                <w:rFonts w:ascii="Arial" w:cs="Arial" w:eastAsia="Arial" w:hAnsi="Arial"/>
                <w:sz w:val="14"/>
                <w:szCs w:val="14"/>
                <w:color w:val="auto"/>
              </w:rPr>
              <w:t>Lookback Adjustments reported during the indicated periods</w:t>
            </w:r>
            <w:r>
              <w:rPr>
                <w:rFonts w:ascii="Arial" w:cs="Arial" w:eastAsia="Arial" w:hAnsi="Arial"/>
                <w:sz w:val="18"/>
                <w:szCs w:val="18"/>
                <w:color w:val="auto"/>
                <w:vertAlign w:val="superscript"/>
              </w:rPr>
              <w:t>1</w:t>
            </w:r>
          </w:p>
        </w:tc>
        <w:tc>
          <w:tcPr>
            <w:tcW w:w="80" w:type="dxa"/>
            <w:vAlign w:val="bottom"/>
            <w:shd w:val="clear" w:color="auto" w:fill="929292"/>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5020" w:type="dxa"/>
            <w:vAlign w:val="bottom"/>
          </w:tcPr>
          <w:p>
            <w:pPr>
              <w:ind w:left="100"/>
              <w:spacing w:after="0"/>
              <w:rPr>
                <w:sz w:val="20"/>
                <w:szCs w:val="20"/>
                <w:color w:val="auto"/>
              </w:rPr>
            </w:pPr>
            <w:r>
              <w:rPr>
                <w:rFonts w:ascii="Arial" w:cs="Arial" w:eastAsia="Arial" w:hAnsi="Arial"/>
                <w:sz w:val="14"/>
                <w:szCs w:val="14"/>
                <w:color w:val="auto"/>
              </w:rPr>
              <w:t>Exit of non-Encompass BPO Services</w:t>
            </w:r>
          </w:p>
        </w:tc>
        <w:tc>
          <w:tcPr>
            <w:tcW w:w="80" w:type="dxa"/>
            <w:vAlign w:val="bottom"/>
            <w:shd w:val="clear" w:color="auto" w:fill="929292"/>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1"/>
        </w:trPr>
        <w:tc>
          <w:tcPr>
            <w:tcW w:w="5020" w:type="dxa"/>
            <w:vAlign w:val="bottom"/>
          </w:tcPr>
          <w:p>
            <w:pPr>
              <w:ind w:left="100"/>
              <w:spacing w:after="0"/>
              <w:rPr>
                <w:sz w:val="20"/>
                <w:szCs w:val="20"/>
                <w:color w:val="auto"/>
              </w:rPr>
            </w:pPr>
            <w:r>
              <w:rPr>
                <w:rFonts w:ascii="Arial" w:cs="Arial" w:eastAsia="Arial" w:hAnsi="Arial"/>
                <w:sz w:val="14"/>
                <w:szCs w:val="14"/>
                <w:color w:val="auto"/>
              </w:rPr>
              <w:t>Share-based compensation expense</w:t>
            </w: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Cost per Submission</w:t>
            </w: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725</w:t>
            </w:r>
          </w:p>
        </w:tc>
        <w:tc>
          <w:tcPr>
            <w:tcW w:w="100" w:type="dxa"/>
            <w:vAlign w:val="bottom"/>
          </w:tcPr>
          <w:p>
            <w:pPr>
              <w:spacing w:after="0"/>
              <w:rPr>
                <w:sz w:val="17"/>
                <w:szCs w:val="17"/>
                <w:color w:val="auto"/>
              </w:rPr>
            </w:pPr>
          </w:p>
        </w:tc>
        <w:tc>
          <w:tcPr>
            <w:tcW w:w="3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922</w:t>
            </w:r>
          </w:p>
        </w:tc>
        <w:tc>
          <w:tcPr>
            <w:tcW w:w="260" w:type="dxa"/>
            <w:vAlign w:val="bottom"/>
          </w:tcPr>
          <w:p>
            <w:pPr>
              <w:spacing w:after="0"/>
              <w:rPr>
                <w:sz w:val="17"/>
                <w:szCs w:val="17"/>
                <w:color w:val="auto"/>
              </w:rPr>
            </w:pPr>
          </w:p>
        </w:tc>
        <w:tc>
          <w:tcPr>
            <w:tcW w:w="3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651</w:t>
            </w:r>
          </w:p>
        </w:tc>
        <w:tc>
          <w:tcPr>
            <w:tcW w:w="24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830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Gross Margin per Submission</w:t>
            </w:r>
            <w:r>
              <w:rPr>
                <w:rFonts w:ascii="Arial" w:cs="Arial" w:eastAsia="Arial" w:hAnsi="Arial"/>
                <w:sz w:val="18"/>
                <w:szCs w:val="18"/>
                <w:color w:val="auto"/>
                <w:vertAlign w:val="superscript"/>
              </w:rPr>
              <w:t>3</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20" w:type="dxa"/>
            <w:vAlign w:val="bottom"/>
            <w:vMerge w:val="continue"/>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(350)</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(812)</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(203)</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99"/>
        </w:trPr>
        <w:tc>
          <w:tcPr>
            <w:tcW w:w="5020" w:type="dxa"/>
            <w:vAlign w:val="bottom"/>
          </w:tcPr>
          <w:p>
            <w:pPr>
              <w:spacing w:after="0" w:line="199" w:lineRule="exact"/>
              <w:rPr>
                <w:sz w:val="20"/>
                <w:szCs w:val="20"/>
                <w:color w:val="auto"/>
              </w:rPr>
            </w:pPr>
            <w:r>
              <w:rPr>
                <w:rFonts w:ascii="Arial" w:cs="Arial" w:eastAsia="Arial" w:hAnsi="Arial"/>
                <w:sz w:val="14"/>
                <w:szCs w:val="14"/>
                <w:color w:val="auto"/>
              </w:rPr>
              <w:t>Adjusted Gross Margin per Submission</w:t>
            </w:r>
            <w:r>
              <w:rPr>
                <w:rFonts w:ascii="Arial" w:cs="Arial" w:eastAsia="Arial" w:hAnsi="Arial"/>
                <w:sz w:val="18"/>
                <w:szCs w:val="18"/>
                <w:color w:val="auto"/>
                <w:vertAlign w:val="superscript"/>
              </w:rPr>
              <w:t>4</w:t>
            </w:r>
          </w:p>
        </w:tc>
        <w:tc>
          <w:tcPr>
            <w:tcW w:w="80" w:type="dxa"/>
            <w:vAlign w:val="bottom"/>
            <w:shd w:val="clear" w:color="auto" w:fill="929292"/>
          </w:tcPr>
          <w:p>
            <w:pPr>
              <w:spacing w:after="0"/>
              <w:rPr>
                <w:sz w:val="17"/>
                <w:szCs w:val="17"/>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(37)</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168</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impact of Lookback Adjustments on non-Encompass BPO Services.</w:t>
      </w:r>
    </w:p>
    <w:p>
      <w:pPr>
        <w:spacing w:after="0" w:line="11" w:lineRule="exact"/>
        <w:rPr>
          <w:rFonts w:ascii="Arial" w:cs="Arial" w:eastAsia="Arial" w:hAnsi="Arial"/>
          <w:sz w:val="13"/>
          <w:szCs w:val="13"/>
          <w:i w:val="1"/>
          <w:iCs w:val="1"/>
          <w:color w:val="auto"/>
        </w:rPr>
      </w:pPr>
    </w:p>
    <w:p>
      <w:pPr>
        <w:ind w:left="340" w:hanging="332"/>
        <w:spacing w:after="0"/>
        <w:tabs>
          <w:tab w:leader="none" w:pos="34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Indirect operating expenses include technology, general and administrative, amortization of intangible assets and operating lease impairment charges.</w:t>
      </w:r>
    </w:p>
    <w:p>
      <w:pPr>
        <w:ind w:left="340" w:hanging="332"/>
        <w:spacing w:after="0"/>
        <w:tabs>
          <w:tab w:leader="none" w:pos="34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Medicare Revenue per Submission less Operating Expense per Submission.</w:t>
      </w:r>
    </w:p>
    <w:p>
      <w:pPr>
        <w:ind w:left="340" w:hanging="332"/>
        <w:spacing w:after="0"/>
        <w:tabs>
          <w:tab w:leader="none" w:pos="34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Sales per Submission less Cost per Submission.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 (unaudited):</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28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3"/>
          </w:tcPr>
          <w:p>
            <w:pPr>
              <w:jc w:val="right"/>
              <w:ind w:right="648"/>
              <w:spacing w:after="0"/>
              <w:rPr>
                <w:sz w:val="20"/>
                <w:szCs w:val="20"/>
                <w:color w:val="auto"/>
              </w:rPr>
            </w:pPr>
            <w:r>
              <w:rPr>
                <w:rFonts w:ascii="Arial" w:cs="Arial" w:eastAsia="Arial" w:hAnsi="Arial"/>
                <w:sz w:val="14"/>
                <w:szCs w:val="14"/>
                <w:color w:val="auto"/>
              </w:rPr>
              <w:t>Three months ended Jun. 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tcBorders>
              <w:left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60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60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Change</w:t>
            </w:r>
          </w:p>
        </w:tc>
        <w:tc>
          <w:tcPr>
            <w:tcW w:w="152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8"/>
        </w:trPr>
        <w:tc>
          <w:tcPr>
            <w:tcW w:w="4280" w:type="dxa"/>
            <w:vAlign w:val="bottom"/>
            <w:tcBorders>
              <w:left w:val="single" w:sz="8" w:color="929292"/>
            </w:tcBorders>
            <w:vMerge w:val="restart"/>
          </w:tcPr>
          <w:p>
            <w:pPr>
              <w:ind w:left="170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162,837</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154,893</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7,944</w:t>
            </w:r>
          </w:p>
        </w:tc>
        <w:tc>
          <w:tcPr>
            <w:tcW w:w="1520" w:type="dxa"/>
            <w:vAlign w:val="bottom"/>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187"/>
        </w:trPr>
        <w:tc>
          <w:tcPr>
            <w:tcW w:w="428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vMerge w:val="restart"/>
          </w:tcPr>
          <w:p>
            <w:pPr>
              <w:jc w:val="right"/>
              <w:ind w:right="728"/>
              <w:spacing w:after="0"/>
              <w:rPr>
                <w:sz w:val="20"/>
                <w:szCs w:val="20"/>
                <w:color w:val="auto"/>
              </w:rPr>
            </w:pPr>
            <w:r>
              <w:rPr>
                <w:rFonts w:ascii="Arial" w:cs="Arial" w:eastAsia="Arial" w:hAnsi="Arial"/>
                <w:sz w:val="14"/>
                <w:szCs w:val="14"/>
                <w:color w:val="auto"/>
              </w:rPr>
              <w:t>Six months ended Jun.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28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80" w:type="dxa"/>
            <w:vAlign w:val="bottom"/>
            <w:tcBorders>
              <w:left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60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60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Change</w:t>
            </w:r>
          </w:p>
        </w:tc>
        <w:tc>
          <w:tcPr>
            <w:tcW w:w="152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0"/>
        </w:trPr>
        <w:tc>
          <w:tcPr>
            <w:tcW w:w="428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376,482</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415,559</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(39,077)</w:t>
            </w:r>
          </w:p>
        </w:tc>
        <w:tc>
          <w:tcPr>
            <w:tcW w:w="15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 presented (unaudited):</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280" w:type="dxa"/>
            <w:vAlign w:val="bottom"/>
            <w:tcBorders>
              <w:top w:val="single" w:sz="8" w:color="929292"/>
              <w:left w:val="single" w:sz="8" w:color="929292"/>
            </w:tcBorders>
          </w:tcPr>
          <w:p>
            <w:pPr>
              <w:spacing w:after="0"/>
              <w:rPr>
                <w:sz w:val="17"/>
                <w:szCs w:val="17"/>
                <w:color w:val="auto"/>
              </w:rPr>
            </w:pPr>
          </w:p>
        </w:tc>
        <w:tc>
          <w:tcPr>
            <w:tcW w:w="120" w:type="dxa"/>
            <w:vAlign w:val="bottom"/>
            <w:tcBorders>
              <w:top w:val="single" w:sz="8" w:color="929292"/>
            </w:tcBorders>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648"/>
              <w:spacing w:after="0"/>
              <w:rPr>
                <w:sz w:val="20"/>
                <w:szCs w:val="20"/>
                <w:color w:val="auto"/>
              </w:rPr>
            </w:pPr>
            <w:r>
              <w:rPr>
                <w:rFonts w:ascii="Arial" w:cs="Arial" w:eastAsia="Arial" w:hAnsi="Arial"/>
                <w:sz w:val="14"/>
                <w:szCs w:val="14"/>
                <w:color w:val="auto"/>
              </w:rPr>
              <w:t>Three months ended Jun. 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tcBorders>
              <w:left w:val="single" w:sz="8" w:color="929292"/>
            </w:tcBorders>
          </w:tcPr>
          <w:p>
            <w:pPr>
              <w:spacing w:after="0"/>
              <w:rPr>
                <w:sz w:val="17"/>
                <w:szCs w:val="17"/>
                <w:color w:val="auto"/>
              </w:rPr>
            </w:pPr>
          </w:p>
        </w:tc>
        <w:tc>
          <w:tcPr>
            <w:tcW w:w="12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929292"/>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929292"/>
            </w:tcBorders>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728"/>
              <w:spacing w:after="0"/>
              <w:rPr>
                <w:sz w:val="20"/>
                <w:szCs w:val="20"/>
                <w:color w:val="auto"/>
              </w:rPr>
            </w:pPr>
            <w:r>
              <w:rPr>
                <w:rFonts w:ascii="Arial" w:cs="Arial" w:eastAsia="Arial" w:hAnsi="Arial"/>
                <w:sz w:val="14"/>
                <w:szCs w:val="14"/>
                <w:color w:val="auto"/>
              </w:rPr>
              <w:t>$ Change</w:t>
            </w:r>
          </w:p>
        </w:tc>
        <w:tc>
          <w:tcPr>
            <w:tcW w:w="152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8"/>
        </w:trPr>
        <w:tc>
          <w:tcPr>
            <w:tcW w:w="4280" w:type="dxa"/>
            <w:vAlign w:val="bottom"/>
            <w:tcBorders>
              <w:left w:val="single" w:sz="8" w:color="929292"/>
            </w:tcBorders>
            <w:vMerge w:val="restart"/>
          </w:tcPr>
          <w:p>
            <w:pPr>
              <w:ind w:left="1400"/>
              <w:spacing w:after="0"/>
              <w:rPr>
                <w:sz w:val="20"/>
                <w:szCs w:val="20"/>
                <w:color w:val="auto"/>
              </w:rPr>
            </w:pPr>
            <w:r>
              <w:rPr>
                <w:rFonts w:ascii="Arial" w:cs="Arial" w:eastAsia="Arial" w:hAnsi="Arial"/>
                <w:sz w:val="14"/>
                <w:szCs w:val="14"/>
                <w:b w:val="1"/>
                <w:bCs w:val="1"/>
                <w:color w:val="00497F"/>
              </w:rPr>
              <w:t>Sales Per Submission</w:t>
            </w:r>
          </w:p>
        </w:tc>
        <w:tc>
          <w:tcPr>
            <w:tcW w:w="120" w:type="dxa"/>
            <w:vAlign w:val="bottom"/>
            <w:shd w:val="clear" w:color="auto" w:fill="929292"/>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852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885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68"/>
              <w:spacing w:after="0"/>
              <w:rPr>
                <w:sz w:val="20"/>
                <w:szCs w:val="20"/>
                <w:color w:val="auto"/>
              </w:rPr>
            </w:pPr>
            <w:r>
              <w:rPr>
                <w:rFonts w:ascii="Arial" w:cs="Arial" w:eastAsia="Arial" w:hAnsi="Arial"/>
                <w:sz w:val="14"/>
                <w:szCs w:val="14"/>
                <w:color w:val="auto"/>
              </w:rPr>
              <w:t>(33)</w:t>
            </w:r>
          </w:p>
        </w:tc>
        <w:tc>
          <w:tcPr>
            <w:tcW w:w="15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7"/>
        </w:trPr>
        <w:tc>
          <w:tcPr>
            <w:tcW w:w="4280" w:type="dxa"/>
            <w:vAlign w:val="bottom"/>
            <w:tcBorders>
              <w:left w:val="single" w:sz="8" w:color="929292"/>
            </w:tcBorders>
            <w:vMerge w:val="continue"/>
          </w:tcPr>
          <w:p>
            <w:pPr>
              <w:spacing w:after="0"/>
              <w:rPr>
                <w:sz w:val="16"/>
                <w:szCs w:val="16"/>
                <w:color w:val="auto"/>
              </w:rPr>
            </w:pPr>
          </w:p>
        </w:tc>
        <w:tc>
          <w:tcPr>
            <w:tcW w:w="12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4"/>
            <w:vMerge w:val="restart"/>
          </w:tcPr>
          <w:p>
            <w:pPr>
              <w:jc w:val="right"/>
              <w:ind w:right="728"/>
              <w:spacing w:after="0"/>
              <w:rPr>
                <w:sz w:val="20"/>
                <w:szCs w:val="20"/>
                <w:color w:val="auto"/>
              </w:rPr>
            </w:pPr>
            <w:r>
              <w:rPr>
                <w:rFonts w:ascii="Arial" w:cs="Arial" w:eastAsia="Arial" w:hAnsi="Arial"/>
                <w:sz w:val="14"/>
                <w:szCs w:val="14"/>
                <w:color w:val="auto"/>
              </w:rPr>
              <w:t>Six months ended Jun.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280" w:type="dxa"/>
            <w:vAlign w:val="bottom"/>
            <w:tcBorders>
              <w:left w:val="single" w:sz="8" w:color="929292"/>
            </w:tcBorders>
          </w:tcPr>
          <w:p>
            <w:pPr>
              <w:spacing w:after="0"/>
              <w:rPr>
                <w:sz w:val="14"/>
                <w:szCs w:val="14"/>
                <w:color w:val="auto"/>
              </w:rPr>
            </w:pPr>
          </w:p>
        </w:tc>
        <w:tc>
          <w:tcPr>
            <w:tcW w:w="120" w:type="dxa"/>
            <w:vAlign w:val="bottom"/>
            <w:shd w:val="clear" w:color="auto" w:fill="929292"/>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80" w:type="dxa"/>
            <w:vAlign w:val="bottom"/>
            <w:tcBorders>
              <w:left w:val="single" w:sz="8" w:color="929292"/>
            </w:tcBorders>
          </w:tcPr>
          <w:p>
            <w:pPr>
              <w:spacing w:after="0"/>
              <w:rPr>
                <w:sz w:val="17"/>
                <w:szCs w:val="17"/>
                <w:color w:val="auto"/>
              </w:rPr>
            </w:pPr>
          </w:p>
        </w:tc>
        <w:tc>
          <w:tcPr>
            <w:tcW w:w="12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929292"/>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929292"/>
            </w:tcBorders>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728"/>
              <w:spacing w:after="0"/>
              <w:rPr>
                <w:sz w:val="20"/>
                <w:szCs w:val="20"/>
                <w:color w:val="auto"/>
              </w:rPr>
            </w:pPr>
            <w:r>
              <w:rPr>
                <w:rFonts w:ascii="Arial" w:cs="Arial" w:eastAsia="Arial" w:hAnsi="Arial"/>
                <w:sz w:val="14"/>
                <w:szCs w:val="14"/>
                <w:color w:val="auto"/>
              </w:rPr>
              <w:t>$ Change</w:t>
            </w:r>
          </w:p>
        </w:tc>
        <w:tc>
          <w:tcPr>
            <w:tcW w:w="1520" w:type="dxa"/>
            <w:vAlign w:val="bottom"/>
            <w:tcBorders>
              <w:bottom w:val="single" w:sz="8" w:color="B6B6B6"/>
            </w:tcBorders>
          </w:tcPr>
          <w:p>
            <w:pPr>
              <w:jc w:val="right"/>
              <w:ind w:right="4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0"/>
        </w:trPr>
        <w:tc>
          <w:tcPr>
            <w:tcW w:w="4280" w:type="dxa"/>
            <w:vAlign w:val="bottom"/>
            <w:tcBorders>
              <w:left w:val="single" w:sz="8" w:color="929292"/>
              <w:bottom w:val="single" w:sz="8" w:color="929292"/>
            </w:tcBorders>
          </w:tcPr>
          <w:p>
            <w:pPr>
              <w:spacing w:after="0"/>
              <w:rPr>
                <w:sz w:val="16"/>
                <w:szCs w:val="16"/>
                <w:color w:val="auto"/>
              </w:rPr>
            </w:pPr>
          </w:p>
        </w:tc>
        <w:tc>
          <w:tcPr>
            <w:tcW w:w="120" w:type="dxa"/>
            <w:vAlign w:val="bottom"/>
            <w:shd w:val="clear" w:color="auto" w:fill="929292"/>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819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893</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68"/>
              <w:spacing w:after="0"/>
              <w:rPr>
                <w:sz w:val="20"/>
                <w:szCs w:val="20"/>
                <w:color w:val="auto"/>
              </w:rPr>
            </w:pPr>
            <w:r>
              <w:rPr>
                <w:rFonts w:ascii="Arial" w:cs="Arial" w:eastAsia="Arial" w:hAnsi="Arial"/>
                <w:sz w:val="14"/>
                <w:szCs w:val="14"/>
                <w:color w:val="auto"/>
              </w:rPr>
              <w:t>(74)</w:t>
            </w:r>
          </w:p>
        </w:tc>
        <w:tc>
          <w:tcPr>
            <w:tcW w:w="15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are our Sales/Cost of Submission, Cost of Submission (in thousands) and Cost Per Submission for the three and six months ended June 30, 2023 and 2022 (unaudited):</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88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2"/>
        </w:trPr>
        <w:tc>
          <w:tcPr>
            <w:tcW w:w="43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740" w:type="dxa"/>
            <w:vAlign w:val="bottom"/>
            <w:gridSpan w:val="4"/>
          </w:tcPr>
          <w:p>
            <w:pPr>
              <w:jc w:val="right"/>
              <w:ind w:right="120"/>
              <w:spacing w:after="0"/>
              <w:rPr>
                <w:sz w:val="20"/>
                <w:szCs w:val="20"/>
                <w:color w:val="auto"/>
              </w:rPr>
            </w:pPr>
            <w:r>
              <w:rPr>
                <w:rFonts w:ascii="Arial" w:cs="Arial" w:eastAsia="Arial" w:hAnsi="Arial"/>
                <w:sz w:val="14"/>
                <w:szCs w:val="14"/>
                <w:color w:val="auto"/>
              </w:rPr>
              <w:t>Three months ended Jun.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748"/>
              <w:spacing w:after="0"/>
              <w:rPr>
                <w:sz w:val="20"/>
                <w:szCs w:val="20"/>
                <w:color w:val="auto"/>
              </w:rPr>
            </w:pPr>
            <w:r>
              <w:rPr>
                <w:rFonts w:ascii="Arial" w:cs="Arial" w:eastAsia="Arial" w:hAnsi="Arial"/>
                <w:sz w:val="14"/>
                <w:szCs w:val="14"/>
                <w:color w:val="auto"/>
              </w:rPr>
              <w:t>Six months ended Jun. 30,</w:t>
            </w:r>
          </w:p>
        </w:tc>
      </w:tr>
      <w:tr>
        <w:trPr>
          <w:trHeight w:val="189"/>
        </w:trPr>
        <w:tc>
          <w:tcPr>
            <w:tcW w:w="4320" w:type="dxa"/>
            <w:vAlign w:val="bottom"/>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color w:val="auto"/>
              </w:rPr>
              <w:t>2022</w:t>
            </w:r>
          </w:p>
        </w:tc>
      </w:tr>
      <w:tr>
        <w:trPr>
          <w:trHeight w:val="184"/>
        </w:trPr>
        <w:tc>
          <w:tcPr>
            <w:tcW w:w="4320" w:type="dxa"/>
            <w:vAlign w:val="bottom"/>
            <w:tcBorders>
              <w:top w:val="single" w:sz="8" w:color="929292"/>
            </w:tcBorders>
          </w:tcPr>
          <w:p>
            <w:pPr>
              <w:ind w:left="20"/>
              <w:spacing w:after="0"/>
              <w:rPr>
                <w:sz w:val="20"/>
                <w:szCs w:val="20"/>
                <w:color w:val="auto"/>
              </w:rPr>
            </w:pPr>
            <w:r>
              <w:rPr>
                <w:rFonts w:ascii="Arial" w:cs="Arial" w:eastAsia="Arial" w:hAnsi="Arial"/>
                <w:sz w:val="14"/>
                <w:szCs w:val="14"/>
                <w:color w:val="auto"/>
              </w:rPr>
              <w:t>Sales/Cost of Submission</w:t>
            </w:r>
          </w:p>
        </w:tc>
        <w:tc>
          <w:tcPr>
            <w:tcW w:w="100" w:type="dxa"/>
            <w:vAlign w:val="bottom"/>
            <w:tcBorders>
              <w:top w:val="single" w:sz="8" w:color="929292"/>
            </w:tcBorders>
            <w:shd w:val="clear" w:color="auto" w:fill="929292"/>
          </w:tcPr>
          <w:p>
            <w:pPr>
              <w:spacing w:after="0"/>
              <w:rPr>
                <w:sz w:val="16"/>
                <w:szCs w:val="16"/>
                <w:color w:val="auto"/>
              </w:rPr>
            </w:pPr>
          </w:p>
        </w:tc>
        <w:tc>
          <w:tcPr>
            <w:tcW w:w="1020" w:type="dxa"/>
            <w:vAlign w:val="bottom"/>
            <w:tcBorders>
              <w:top w:val="single" w:sz="8" w:color="B6B6B6"/>
            </w:tcBorders>
          </w:tcPr>
          <w:p>
            <w:pPr>
              <w:spacing w:after="0"/>
              <w:rPr>
                <w:sz w:val="16"/>
                <w:szCs w:val="16"/>
                <w:color w:val="auto"/>
              </w:rPr>
            </w:pPr>
          </w:p>
        </w:tc>
        <w:tc>
          <w:tcPr>
            <w:tcW w:w="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00" w:type="dxa"/>
            <w:vAlign w:val="bottom"/>
            <w:tcBorders>
              <w:top w:val="single" w:sz="8" w:color="B6B6B6"/>
            </w:tcBorders>
          </w:tcPr>
          <w:p>
            <w:pPr>
              <w:spacing w:after="0"/>
              <w:rPr>
                <w:sz w:val="16"/>
                <w:szCs w:val="16"/>
                <w:color w:val="auto"/>
              </w:rPr>
            </w:pPr>
          </w:p>
        </w:tc>
        <w:tc>
          <w:tcPr>
            <w:tcW w:w="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80" w:type="dxa"/>
            <w:vAlign w:val="bottom"/>
            <w:tcBorders>
              <w:top w:val="single" w:sz="8" w:color="B6B6B6"/>
            </w:tcBorders>
          </w:tcPr>
          <w:p>
            <w:pPr>
              <w:spacing w:after="0"/>
              <w:rPr>
                <w:sz w:val="16"/>
                <w:szCs w:val="16"/>
                <w:color w:val="auto"/>
              </w:rPr>
            </w:pPr>
          </w:p>
        </w:tc>
        <w:tc>
          <w:tcPr>
            <w:tcW w:w="126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929292"/>
            </w:tcBorders>
          </w:tcPr>
          <w:p>
            <w:pPr>
              <w:spacing w:after="0"/>
              <w:rPr>
                <w:sz w:val="16"/>
                <w:szCs w:val="16"/>
                <w:color w:val="auto"/>
              </w:rPr>
            </w:pPr>
          </w:p>
        </w:tc>
        <w:tc>
          <w:tcPr>
            <w:tcW w:w="380" w:type="dxa"/>
            <w:vAlign w:val="bottom"/>
            <w:tcBorders>
              <w:top w:val="single" w:sz="8" w:color="B6B6B6"/>
            </w:tcBorders>
          </w:tcPr>
          <w:p>
            <w:pPr>
              <w:spacing w:after="0"/>
              <w:rPr>
                <w:sz w:val="16"/>
                <w:szCs w:val="16"/>
                <w:color w:val="auto"/>
              </w:rPr>
            </w:pPr>
          </w:p>
        </w:tc>
        <w:tc>
          <w:tcPr>
            <w:tcW w:w="12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Cost of Submission</w:t>
            </w:r>
          </w:p>
        </w:tc>
        <w:tc>
          <w:tcPr>
            <w:tcW w:w="100" w:type="dxa"/>
            <w:vAlign w:val="bottom"/>
            <w:shd w:val="clear" w:color="auto" w:fill="929292"/>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118,080</w:t>
            </w:r>
          </w:p>
        </w:tc>
        <w:tc>
          <w:tcPr>
            <w:tcW w:w="1100" w:type="dxa"/>
            <w:vAlign w:val="bottom"/>
            <w:gridSpan w:val="2"/>
          </w:tcPr>
          <w:p>
            <w:pPr>
              <w:jc w:val="right"/>
              <w:ind w:right="9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142,853</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245,250</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345,103</w:t>
            </w: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color w:val="auto"/>
              </w:rPr>
              <w:t>Cost per Submission</w:t>
            </w:r>
          </w:p>
        </w:tc>
        <w:tc>
          <w:tcPr>
            <w:tcW w:w="100" w:type="dxa"/>
            <w:vAlign w:val="bottom"/>
            <w:shd w:val="clear" w:color="auto" w:fill="929292"/>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1100" w:type="dxa"/>
            <w:vAlign w:val="bottom"/>
            <w:gridSpan w:val="2"/>
          </w:tcPr>
          <w:p>
            <w:pPr>
              <w:jc w:val="right"/>
              <w:ind w:right="9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922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830</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8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2023-08-10T06:14:57Z</dcterms:created>
  <dcterms:modified xsi:type="dcterms:W3CDTF">2023-08-10T06:14:57Z</dcterms:modified>
</cp:coreProperties>
</file>