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811"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Jones Clinton P.</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GoHealth,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GOCO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811"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4"/>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2"/>
              </w:rPr>
              <w:t>214 WEST HURON ST.</w:t>
            </w:r>
          </w:p>
        </w:tc>
        <w:tc>
          <w:tcPr>
            <w:tcW w:w="1080" w:type="dxa"/>
            <w:vAlign w:val="bottom"/>
          </w:tcPr>
          <w:p>
            <w:pPr>
              <w:spacing w:after="0"/>
              <w:rPr>
                <w:sz w:val="24"/>
                <w:szCs w:val="24"/>
                <w:color w:val="auto"/>
              </w:rPr>
            </w:pPr>
          </w:p>
        </w:tc>
      </w:tr>
      <w:tr>
        <w:trPr>
          <w:trHeight w:val="237"/>
        </w:trPr>
        <w:tc>
          <w:tcPr>
            <w:tcW w:w="9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8"/>
              </w:rPr>
              <w:t>CHICAGO</w:t>
            </w:r>
          </w:p>
        </w:tc>
        <w:tc>
          <w:tcPr>
            <w:tcW w:w="1040" w:type="dxa"/>
            <w:vAlign w:val="bottom"/>
          </w:tcPr>
          <w:p>
            <w:pPr>
              <w:ind w:left="80"/>
              <w:spacing w:after="0"/>
              <w:rPr>
                <w:sz w:val="20"/>
                <w:szCs w:val="20"/>
                <w:color w:val="auto"/>
              </w:rPr>
            </w:pPr>
            <w:r>
              <w:rPr>
                <w:rFonts w:ascii="Arial" w:cs="Arial" w:eastAsia="Arial" w:hAnsi="Arial"/>
                <w:sz w:val="20"/>
                <w:szCs w:val="20"/>
                <w:color w:val="0000FF"/>
              </w:rPr>
              <w:t>IL</w:t>
            </w:r>
          </w:p>
        </w:tc>
        <w:tc>
          <w:tcPr>
            <w:tcW w:w="1080" w:type="dxa"/>
            <w:vAlign w:val="bottom"/>
          </w:tcPr>
          <w:p>
            <w:pPr>
              <w:ind w:left="80"/>
              <w:spacing w:after="0"/>
              <w:rPr>
                <w:sz w:val="20"/>
                <w:szCs w:val="20"/>
                <w:color w:val="auto"/>
              </w:rPr>
            </w:pPr>
            <w:r>
              <w:rPr>
                <w:rFonts w:ascii="Arial" w:cs="Arial" w:eastAsia="Arial" w:hAnsi="Arial"/>
                <w:sz w:val="20"/>
                <w:szCs w:val="20"/>
                <w:color w:val="0000FF"/>
              </w:rPr>
              <w:t>60654</w:t>
            </w:r>
          </w:p>
        </w:tc>
      </w:tr>
      <w:tr>
        <w:trPr>
          <w:trHeight w:val="177"/>
        </w:trPr>
        <w:tc>
          <w:tcPr>
            <w:tcW w:w="9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44"/>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80"/>
              <w:spacing w:after="0"/>
              <w:rPr>
                <w:sz w:val="20"/>
                <w:szCs w:val="20"/>
                <w:color w:val="auto"/>
              </w:rPr>
            </w:pPr>
            <w:r>
              <w:rPr>
                <w:rFonts w:ascii="Arial" w:cs="Arial" w:eastAsia="Arial" w:hAnsi="Arial"/>
                <w:sz w:val="15"/>
                <w:szCs w:val="15"/>
                <w:color w:val="auto"/>
              </w:rPr>
              <w:t>(State)</w:t>
            </w:r>
          </w:p>
        </w:tc>
        <w:tc>
          <w:tcPr>
            <w:tcW w:w="1080" w:type="dxa"/>
            <w:vAlign w:val="bottom"/>
          </w:tcPr>
          <w:p>
            <w:pPr>
              <w:ind w:left="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460" w:type="dxa"/>
            <w:vAlign w:val="bottom"/>
          </w:tcPr>
          <w:p>
            <w:pPr>
              <w:ind w:left="20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460" w:type="dxa"/>
            <w:vAlign w:val="bottom"/>
          </w:tcPr>
          <w:p>
            <w:pPr>
              <w:ind w:left="52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12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460" w:type="dxa"/>
            <w:vAlign w:val="bottom"/>
            <w:vMerge w:val="restart"/>
          </w:tcPr>
          <w:p>
            <w:pPr>
              <w:ind w:left="52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441325</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811"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Class B Common Stock</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20"/>
                <w:szCs w:val="20"/>
                <w:color w:val="0000FF"/>
              </w:rPr>
              <w:t>103,658,920</w:t>
            </w:r>
          </w:p>
        </w:tc>
        <w:tc>
          <w:tcPr>
            <w:tcW w:w="1140" w:type="dxa"/>
            <w:vAlign w:val="bottom"/>
          </w:tcPr>
          <w:p>
            <w:pPr>
              <w:ind w:left="1000"/>
              <w:spacing w:after="0"/>
              <w:rPr>
                <w:sz w:val="20"/>
                <w:szCs w:val="20"/>
                <w:color w:val="auto"/>
              </w:rPr>
            </w:pPr>
            <w:r>
              <w:rPr>
                <w:rFonts w:ascii="Arial" w:cs="Arial" w:eastAsia="Arial" w:hAnsi="Arial"/>
                <w:sz w:val="20"/>
                <w:szCs w:val="20"/>
                <w:color w:val="0000FF"/>
              </w:rPr>
              <w:t>I</w:t>
            </w:r>
          </w:p>
        </w:tc>
        <w:tc>
          <w:tcPr>
            <w:tcW w:w="3340" w:type="dxa"/>
            <w:vAlign w:val="bottom"/>
            <w:gridSpan w:val="4"/>
          </w:tcPr>
          <w:p>
            <w:pPr>
              <w:ind w:left="560"/>
              <w:spacing w:after="0"/>
              <w:rPr>
                <w:sz w:val="20"/>
                <w:szCs w:val="20"/>
                <w:color w:val="auto"/>
              </w:rPr>
            </w:pPr>
            <w:r>
              <w:rPr>
                <w:rFonts w:ascii="Arial" w:cs="Arial" w:eastAsia="Arial" w:hAnsi="Arial"/>
                <w:sz w:val="20"/>
                <w:szCs w:val="20"/>
                <w:color w:val="0000FF"/>
              </w:rPr>
              <w:t>By NVX Holdings, Inc.</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gridSpan w:val="2"/>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Class B Common Stock</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00" w:type="dxa"/>
            <w:vAlign w:val="bottom"/>
          </w:tcPr>
          <w:p>
            <w:pPr>
              <w:jc w:val="right"/>
              <w:ind w:right="251"/>
              <w:spacing w:after="0"/>
              <w:rPr>
                <w:sz w:val="20"/>
                <w:szCs w:val="20"/>
                <w:color w:val="auto"/>
              </w:rPr>
            </w:pPr>
            <w:r>
              <w:rPr>
                <w:rFonts w:ascii="Arial" w:cs="Arial" w:eastAsia="Arial" w:hAnsi="Arial"/>
                <w:sz w:val="20"/>
                <w:szCs w:val="20"/>
                <w:color w:val="0000FF"/>
              </w:rPr>
              <w:t>49,009</w:t>
            </w:r>
          </w:p>
        </w:tc>
        <w:tc>
          <w:tcPr>
            <w:tcW w:w="1140" w:type="dxa"/>
            <w:vAlign w:val="bottom"/>
          </w:tcPr>
          <w:p>
            <w:pPr>
              <w:ind w:left="1000"/>
              <w:spacing w:after="0"/>
              <w:rPr>
                <w:sz w:val="20"/>
                <w:szCs w:val="20"/>
                <w:color w:val="auto"/>
              </w:rPr>
            </w:pPr>
            <w:r>
              <w:rPr>
                <w:rFonts w:ascii="Arial" w:cs="Arial" w:eastAsia="Arial" w:hAnsi="Arial"/>
                <w:sz w:val="20"/>
                <w:szCs w:val="20"/>
                <w:color w:val="0000FF"/>
              </w:rPr>
              <w:t>I</w:t>
            </w:r>
          </w:p>
        </w:tc>
        <w:tc>
          <w:tcPr>
            <w:tcW w:w="1920" w:type="dxa"/>
            <w:vAlign w:val="bottom"/>
            <w:gridSpan w:val="2"/>
          </w:tcPr>
          <w:p>
            <w:pPr>
              <w:ind w:left="560"/>
              <w:spacing w:after="0"/>
              <w:rPr>
                <w:sz w:val="20"/>
                <w:szCs w:val="20"/>
                <w:color w:val="auto"/>
              </w:rPr>
            </w:pPr>
            <w:r>
              <w:rPr>
                <w:rFonts w:ascii="Arial" w:cs="Arial" w:eastAsia="Arial" w:hAnsi="Arial"/>
                <w:sz w:val="20"/>
                <w:szCs w:val="20"/>
                <w:color w:val="0000FF"/>
              </w:rPr>
              <w:t>By BCCJ, LLC</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5720" w:type="dxa"/>
            <w:vAlign w:val="bottom"/>
            <w:tcBorders>
              <w:bottom w:val="single" w:sz="8" w:color="2C2C2C"/>
            </w:tcBorders>
            <w:gridSpan w:val="5"/>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720" w:type="dxa"/>
            <w:vAlign w:val="bottom"/>
            <w:tcBorders>
              <w:top w:val="single" w:sz="8" w:color="2C2C2C"/>
            </w:tcBorders>
            <w:gridSpan w:val="5"/>
          </w:tcPr>
          <w:p>
            <w:pPr>
              <w:ind w:left="3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820" w:type="dxa"/>
            <w:vAlign w:val="bottom"/>
            <w:gridSpan w:val="6"/>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8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14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140" w:type="dxa"/>
            <w:vAlign w:val="bottom"/>
          </w:tcPr>
          <w:p>
            <w:pPr>
              <w:ind w:left="1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LLC Interests</w:t>
            </w:r>
          </w:p>
        </w:tc>
        <w:tc>
          <w:tcPr>
            <w:tcW w:w="108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1140" w:type="dxa"/>
            <w:vAlign w:val="bottom"/>
            <w:vMerge w:val="restart"/>
          </w:tcPr>
          <w:p>
            <w:pPr>
              <w:jc w:val="center"/>
              <w:spacing w:after="0"/>
              <w:rPr>
                <w:sz w:val="20"/>
                <w:szCs w:val="20"/>
                <w:color w:val="auto"/>
              </w:rPr>
            </w:pPr>
            <w:r>
              <w:rPr>
                <w:rFonts w:ascii="Arial" w:cs="Arial" w:eastAsia="Arial" w:hAnsi="Arial"/>
                <w:sz w:val="20"/>
                <w:szCs w:val="20"/>
                <w:color w:val="0000FF"/>
                <w:w w:val="88"/>
              </w:rPr>
              <w:t>103,658,920</w:t>
            </w: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8000"/>
              </w:rPr>
              <w:t>(1)</w:t>
            </w:r>
          </w:p>
        </w:tc>
        <w:tc>
          <w:tcPr>
            <w:tcW w:w="920" w:type="dxa"/>
            <w:vAlign w:val="bottom"/>
            <w:vMerge w:val="restart"/>
          </w:tcPr>
          <w:p>
            <w:pPr>
              <w:jc w:val="center"/>
              <w:spacing w:after="0"/>
              <w:rPr>
                <w:sz w:val="20"/>
                <w:szCs w:val="20"/>
                <w:color w:val="auto"/>
              </w:rPr>
            </w:pPr>
            <w:r>
              <w:rPr>
                <w:rFonts w:ascii="Arial" w:cs="Arial" w:eastAsia="Arial" w:hAnsi="Arial"/>
                <w:sz w:val="20"/>
                <w:szCs w:val="20"/>
                <w:color w:val="0000FF"/>
              </w:rPr>
              <w:t>I</w:t>
            </w:r>
          </w:p>
        </w:tc>
        <w:tc>
          <w:tcPr>
            <w:tcW w:w="1420" w:type="dxa"/>
            <w:vAlign w:val="bottom"/>
            <w:gridSpan w:val="2"/>
          </w:tcPr>
          <w:p>
            <w:pPr>
              <w:ind w:left="80"/>
              <w:spacing w:after="0"/>
              <w:rPr>
                <w:sz w:val="20"/>
                <w:szCs w:val="20"/>
                <w:color w:val="auto"/>
              </w:rPr>
            </w:pPr>
            <w:r>
              <w:rPr>
                <w:rFonts w:ascii="Arial" w:cs="Arial" w:eastAsia="Arial" w:hAnsi="Arial"/>
                <w:sz w:val="20"/>
                <w:szCs w:val="20"/>
                <w:color w:val="0000FF"/>
              </w:rPr>
              <w:t>By NVX</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1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20"/>
                <w:szCs w:val="20"/>
                <w:color w:val="0000FF"/>
              </w:rPr>
              <w:t>Holdings, Inc.</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LLC Interests</w:t>
            </w:r>
          </w:p>
        </w:tc>
        <w:tc>
          <w:tcPr>
            <w:tcW w:w="108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1140" w:type="dxa"/>
            <w:vAlign w:val="bottom"/>
            <w:vMerge w:val="restart"/>
          </w:tcPr>
          <w:p>
            <w:pPr>
              <w:jc w:val="center"/>
              <w:spacing w:after="0"/>
              <w:rPr>
                <w:sz w:val="20"/>
                <w:szCs w:val="20"/>
                <w:color w:val="auto"/>
              </w:rPr>
            </w:pPr>
            <w:r>
              <w:rPr>
                <w:rFonts w:ascii="Arial" w:cs="Arial" w:eastAsia="Arial" w:hAnsi="Arial"/>
                <w:sz w:val="20"/>
                <w:szCs w:val="20"/>
                <w:color w:val="0000FF"/>
                <w:w w:val="88"/>
              </w:rPr>
              <w:t>49,009</w:t>
            </w: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8000"/>
              </w:rPr>
              <w:t>(1)</w:t>
            </w:r>
          </w:p>
        </w:tc>
        <w:tc>
          <w:tcPr>
            <w:tcW w:w="920" w:type="dxa"/>
            <w:vAlign w:val="bottom"/>
            <w:vMerge w:val="restart"/>
          </w:tcPr>
          <w:p>
            <w:pPr>
              <w:jc w:val="center"/>
              <w:spacing w:after="0"/>
              <w:rPr>
                <w:sz w:val="20"/>
                <w:szCs w:val="20"/>
                <w:color w:val="auto"/>
              </w:rPr>
            </w:pPr>
            <w:r>
              <w:rPr>
                <w:rFonts w:ascii="Arial" w:cs="Arial" w:eastAsia="Arial" w:hAnsi="Arial"/>
                <w:sz w:val="20"/>
                <w:szCs w:val="20"/>
                <w:color w:val="0000FF"/>
              </w:rPr>
              <w:t>I</w:t>
            </w:r>
          </w:p>
        </w:tc>
        <w:tc>
          <w:tcPr>
            <w:tcW w:w="1420" w:type="dxa"/>
            <w:vAlign w:val="bottom"/>
            <w:gridSpan w:val="2"/>
            <w:vMerge w:val="restart"/>
          </w:tcPr>
          <w:p>
            <w:pPr>
              <w:ind w:left="80"/>
              <w:spacing w:after="0"/>
              <w:rPr>
                <w:sz w:val="20"/>
                <w:szCs w:val="20"/>
                <w:color w:val="auto"/>
              </w:rPr>
            </w:pPr>
            <w:r>
              <w:rPr>
                <w:rFonts w:ascii="Arial" w:cs="Arial" w:eastAsia="Arial" w:hAnsi="Arial"/>
                <w:sz w:val="20"/>
                <w:szCs w:val="20"/>
                <w:color w:val="0000FF"/>
              </w:rPr>
              <w:t>By BCCJ, LLC</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1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Blizzard Management Feeder</w:t>
            </w:r>
          </w:p>
        </w:tc>
        <w:tc>
          <w:tcPr>
            <w:tcW w:w="108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(2)</w:t>
            </w: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90"/>
              </w:rPr>
              <w:t>LLC Interests</w:t>
            </w:r>
          </w:p>
        </w:tc>
        <w:tc>
          <w:tcPr>
            <w:tcW w:w="1140" w:type="dxa"/>
            <w:vAlign w:val="bottom"/>
            <w:vMerge w:val="restart"/>
          </w:tcPr>
          <w:p>
            <w:pPr>
              <w:jc w:val="center"/>
              <w:spacing w:after="0"/>
              <w:rPr>
                <w:sz w:val="20"/>
                <w:szCs w:val="20"/>
                <w:color w:val="auto"/>
              </w:rPr>
            </w:pPr>
            <w:r>
              <w:rPr>
                <w:rFonts w:ascii="Arial" w:cs="Arial" w:eastAsia="Arial" w:hAnsi="Arial"/>
                <w:sz w:val="20"/>
                <w:szCs w:val="20"/>
                <w:color w:val="0000FF"/>
                <w:w w:val="87"/>
              </w:rPr>
              <w:t>3,122,505</w:t>
            </w: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8000"/>
              </w:rPr>
              <w:t>(3)</w:t>
            </w:r>
          </w:p>
        </w:tc>
        <w:tc>
          <w:tcPr>
            <w:tcW w:w="920" w:type="dxa"/>
            <w:vAlign w:val="bottom"/>
            <w:vMerge w:val="restart"/>
          </w:tcPr>
          <w:p>
            <w:pPr>
              <w:jc w:val="center"/>
              <w:spacing w:after="0"/>
              <w:rPr>
                <w:sz w:val="20"/>
                <w:szCs w:val="20"/>
                <w:color w:val="auto"/>
              </w:rPr>
            </w:pPr>
            <w:r>
              <w:rPr>
                <w:rFonts w:ascii="Arial" w:cs="Arial" w:eastAsia="Arial" w:hAnsi="Arial"/>
                <w:sz w:val="20"/>
                <w:szCs w:val="20"/>
                <w:color w:val="0000FF"/>
                <w:w w:val="96"/>
              </w:rPr>
              <w:t>D</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LLC Interests</w:t>
            </w:r>
          </w:p>
        </w:tc>
        <w:tc>
          <w:tcPr>
            <w:tcW w:w="10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-2361565</wp:posOffset>
            </wp:positionV>
            <wp:extent cx="6946900" cy="2420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420620"/>
                    </a:xfrm>
                    <a:prstGeom prst="rect">
                      <a:avLst/>
                    </a:prstGeom>
                    <a:noFill/>
                  </pic:spPr>
                </pic:pic>
              </a:graphicData>
            </a:graphic>
          </wp:anchor>
        </w:drawing>
      </w:r>
    </w:p>
    <w:p>
      <w:pPr>
        <w:spacing w:after="0" w:line="9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LLC Interests may be redeemed by the Reporting Person at any time on or following the closing of the Initial Public Offering for shares of Class A Common Stock on a 1-to-</w:t>
      </w:r>
    </w:p>
    <w:p>
      <w:pPr>
        <w:spacing w:after="0" w:line="27" w:lineRule="exact"/>
        <w:rPr>
          <w:rFonts w:ascii="Arial" w:cs="Arial" w:eastAsia="Arial" w:hAnsi="Arial"/>
          <w:sz w:val="13"/>
          <w:szCs w:val="13"/>
          <w:color w:val="008000"/>
        </w:rPr>
      </w:pPr>
    </w:p>
    <w:p>
      <w:pPr>
        <w:ind w:left="40"/>
        <w:spacing w:after="0"/>
        <w:rPr>
          <w:rFonts w:ascii="Arial" w:cs="Arial" w:eastAsia="Arial" w:hAnsi="Arial"/>
          <w:sz w:val="13"/>
          <w:szCs w:val="13"/>
          <w:color w:val="008000"/>
        </w:rPr>
      </w:pPr>
      <w:r>
        <w:rPr>
          <w:rFonts w:ascii="Arial" w:cs="Arial" w:eastAsia="Arial" w:hAnsi="Arial"/>
          <w:sz w:val="15"/>
          <w:szCs w:val="15"/>
          <w:color w:val="008000"/>
        </w:rPr>
        <w:t>1 basis.</w:t>
      </w:r>
    </w:p>
    <w:p>
      <w:pPr>
        <w:spacing w:after="0" w:line="40" w:lineRule="exact"/>
        <w:rPr>
          <w:rFonts w:ascii="Arial" w:cs="Arial" w:eastAsia="Arial" w:hAnsi="Arial"/>
          <w:sz w:val="13"/>
          <w:szCs w:val="13"/>
          <w:color w:val="008000"/>
        </w:rPr>
      </w:pPr>
    </w:p>
    <w:p>
      <w:pPr>
        <w:ind w:left="40" w:right="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2,081,670 of the Blizzard Management Feeder LLC Interests ("Feeder Interests") are fully vested and currently exercisable. The remaining Feeder Interests will vest in five equal annual installments beginning on September 13, 2020 and have no expiration date.</w:t>
      </w:r>
    </w:p>
    <w:p>
      <w:pPr>
        <w:spacing w:after="0" w:line="26" w:lineRule="exact"/>
        <w:rPr>
          <w:rFonts w:ascii="Arial" w:cs="Arial" w:eastAsia="Arial" w:hAnsi="Arial"/>
          <w:sz w:val="15"/>
          <w:szCs w:val="15"/>
          <w:color w:val="008000"/>
        </w:rPr>
      </w:pPr>
    </w:p>
    <w:p>
      <w:pPr>
        <w:ind w:left="40" w:right="2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Feeder Interests are convertible at the option of the holder for LLC Interests on a 1-for-1 basis, which will be subsequently redeemed for an equal number of shares of Class A Common Stock.</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4"/>
              </w:rPr>
              <w:t>/s/ Clinton P. Jones</w:t>
            </w:r>
          </w:p>
        </w:tc>
        <w:tc>
          <w:tcPr>
            <w:tcW w:w="7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07/15/2020</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811"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936"/>
        <w:spacing w:after="0" w:line="269" w:lineRule="auto"/>
        <w:rPr>
          <w:sz w:val="20"/>
          <w:szCs w:val="20"/>
          <w:color w:val="auto"/>
        </w:rPr>
      </w:pPr>
      <w:r>
        <w:rPr>
          <w:rFonts w:ascii="Courier New" w:cs="Courier New" w:eastAsia="Courier New" w:hAnsi="Courier New"/>
          <w:sz w:val="18"/>
          <w:szCs w:val="18"/>
          <w:color w:val="auto"/>
        </w:rPr>
        <w:t>With respect to holdings of and transactions in securities issued by GoHealth, Inc. (the "Company"), the undersigned hereby constitutes and appoints the individual named on Schedule A attached hereto and as may be amended from time to time, with full power of substitution and resubstitution, to act as the undersigned's true and lawful attorney-in-fact to:</w:t>
      </w:r>
    </w:p>
    <w:p>
      <w:pPr>
        <w:spacing w:after="0" w:line="208" w:lineRule="exact"/>
        <w:rPr>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36" w:lineRule="exact"/>
        <w:rPr>
          <w:rFonts w:ascii="Courier New" w:cs="Courier New" w:eastAsia="Courier New" w:hAnsi="Courier New"/>
          <w:sz w:val="20"/>
          <w:szCs w:val="20"/>
          <w:color w:val="auto"/>
        </w:rPr>
      </w:pPr>
    </w:p>
    <w:p>
      <w:pPr>
        <w:jc w:val="both"/>
        <w:ind w:left="1400" w:right="839" w:hanging="698"/>
        <w:spacing w:after="0" w:line="236"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232"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8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GoHealth, Inc., unless earlier revoked by the undersigned in a signed writing delivered to the foregoing attorney-in-fact.</w:t>
      </w:r>
    </w:p>
    <w:p>
      <w:pPr>
        <w:spacing w:after="0" w:line="200" w:lineRule="exact"/>
        <w:rPr>
          <w:sz w:val="20"/>
          <w:szCs w:val="20"/>
          <w:color w:val="auto"/>
        </w:rPr>
      </w:pPr>
    </w:p>
    <w:p>
      <w:pPr>
        <w:spacing w:after="0" w:line="257" w:lineRule="exact"/>
        <w:rPr>
          <w:sz w:val="20"/>
          <w:szCs w:val="20"/>
          <w:color w:val="auto"/>
        </w:rPr>
      </w:pPr>
    </w:p>
    <w:p>
      <w:pPr>
        <w:ind w:right="73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executed this Power of Attorney on this 18th day of June,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Signature:</w:t>
        <w:tab/>
        <w:t>/s/ Clinton P. Jones</w:t>
      </w:r>
    </w:p>
    <w:p>
      <w:pPr>
        <w:ind w:left="1520"/>
        <w:spacing w:after="0" w:line="238" w:lineRule="auto"/>
        <w:rPr>
          <w:sz w:val="20"/>
          <w:szCs w:val="20"/>
          <w:color w:val="auto"/>
        </w:rPr>
      </w:pPr>
      <w:r>
        <w:rPr>
          <w:rFonts w:ascii="Courier New" w:cs="Courier New" w:eastAsia="Courier New" w:hAnsi="Courier New"/>
          <w:sz w:val="20"/>
          <w:szCs w:val="20"/>
          <w:color w:val="auto"/>
        </w:rPr>
        <w:t>--------------------</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CLINTON P. JONES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139" w:firstLine="936"/>
        <w:spacing w:after="0" w:line="236" w:lineRule="auto"/>
        <w:rPr>
          <w:sz w:val="20"/>
          <w:szCs w:val="20"/>
          <w:color w:val="auto"/>
        </w:rPr>
      </w:pPr>
      <w:r>
        <w:rPr>
          <w:rFonts w:ascii="Courier New" w:cs="Courier New" w:eastAsia="Courier New" w:hAnsi="Courier New"/>
          <w:sz w:val="20"/>
          <w:szCs w:val="20"/>
          <w:color w:val="auto"/>
        </w:rPr>
        <w:t>Individual Appointed as Attorney-in-Fact with Full Power of Substitution and Resubstitution</w:t>
      </w:r>
    </w:p>
    <w:p>
      <w:pPr>
        <w:sectPr>
          <w:pgSz w:w="11900" w:h="16838" w:orient="portrait"/>
          <w:cols w:equalWidth="0" w:num="1">
            <w:col w:w="9979"/>
          </w:cols>
          <w:pgMar w:left="48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Travis J. Matthiesen</w:t>
      </w:r>
    </w:p>
    <w:sectPr>
      <w:pgSz w:w="11900" w:h="16838" w:orient="portrait"/>
      <w:cols w:equalWidth="0" w:num="1">
        <w:col w:w="9979"/>
      </w:cols>
      <w:pgMar w:left="480" w:top="3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16028" TargetMode="External"/><Relationship Id="rId11"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2020-07-15T20:48:03Z</dcterms:created>
  <dcterms:modified xsi:type="dcterms:W3CDTF">2020-07-15T20:48:03Z</dcterms:modified>
</cp:coreProperties>
</file>