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July 2, 2020</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333-239287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GoHealth,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4"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Delaware</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6411</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85-0563805</w:t>
            </w:r>
          </w:p>
        </w:tc>
      </w:tr>
      <w:tr>
        <w:trPr>
          <w:trHeight w:val="148"/>
        </w:trPr>
        <w:tc>
          <w:tcPr>
            <w:tcW w:w="284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8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214 West Huron St.</w:t>
      </w:r>
    </w:p>
    <w:p>
      <w:pPr>
        <w:jc w:val="center"/>
        <w:ind w:right="-119"/>
        <w:spacing w:after="0" w:line="226" w:lineRule="auto"/>
        <w:rPr>
          <w:sz w:val="20"/>
          <w:szCs w:val="20"/>
          <w:color w:val="auto"/>
        </w:rPr>
      </w:pPr>
      <w:r>
        <w:rPr>
          <w:rFonts w:ascii="Arial" w:cs="Arial" w:eastAsia="Arial" w:hAnsi="Arial"/>
          <w:sz w:val="14"/>
          <w:szCs w:val="14"/>
          <w:b w:val="1"/>
          <w:bCs w:val="1"/>
          <w:color w:val="auto"/>
        </w:rPr>
        <w:t>Chicago, Illinois 60654</w:t>
      </w:r>
    </w:p>
    <w:p>
      <w:pPr>
        <w:jc w:val="center"/>
        <w:ind w:right="-119"/>
        <w:spacing w:after="0" w:line="221" w:lineRule="auto"/>
        <w:rPr>
          <w:sz w:val="20"/>
          <w:szCs w:val="20"/>
          <w:color w:val="auto"/>
        </w:rPr>
      </w:pPr>
      <w:r>
        <w:rPr>
          <w:rFonts w:ascii="Arial" w:cs="Arial" w:eastAsia="Arial" w:hAnsi="Arial"/>
          <w:sz w:val="14"/>
          <w:szCs w:val="14"/>
          <w:b w:val="1"/>
          <w:bCs w:val="1"/>
          <w:color w:val="auto"/>
        </w:rPr>
        <w:t>Telephone: (312) 386-8200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Bradley Burd, Esq.</w:t>
      </w:r>
    </w:p>
    <w:p>
      <w:pPr>
        <w:jc w:val="center"/>
        <w:ind w:right="-119"/>
        <w:spacing w:after="0" w:line="226" w:lineRule="auto"/>
        <w:rPr>
          <w:sz w:val="20"/>
          <w:szCs w:val="20"/>
          <w:color w:val="auto"/>
        </w:rPr>
      </w:pPr>
      <w:r>
        <w:rPr>
          <w:rFonts w:ascii="Arial" w:cs="Arial" w:eastAsia="Arial" w:hAnsi="Arial"/>
          <w:sz w:val="14"/>
          <w:szCs w:val="14"/>
          <w:b w:val="1"/>
          <w:bCs w:val="1"/>
          <w:color w:val="auto"/>
        </w:rPr>
        <w:t>General Counsel</w:t>
      </w:r>
    </w:p>
    <w:p>
      <w:pPr>
        <w:jc w:val="center"/>
        <w:ind w:right="-119"/>
        <w:spacing w:after="0" w:line="221" w:lineRule="auto"/>
        <w:rPr>
          <w:sz w:val="20"/>
          <w:szCs w:val="20"/>
          <w:color w:val="auto"/>
        </w:rPr>
      </w:pPr>
      <w:r>
        <w:rPr>
          <w:rFonts w:ascii="Arial" w:cs="Arial" w:eastAsia="Arial" w:hAnsi="Arial"/>
          <w:sz w:val="14"/>
          <w:szCs w:val="14"/>
          <w:b w:val="1"/>
          <w:bCs w:val="1"/>
          <w:color w:val="auto"/>
        </w:rPr>
        <w:t>214 West Huron St.</w:t>
      </w:r>
    </w:p>
    <w:p>
      <w:pPr>
        <w:jc w:val="center"/>
        <w:ind w:right="-119"/>
        <w:spacing w:after="0" w:line="222" w:lineRule="auto"/>
        <w:rPr>
          <w:sz w:val="20"/>
          <w:szCs w:val="20"/>
          <w:color w:val="auto"/>
        </w:rPr>
      </w:pPr>
      <w:r>
        <w:rPr>
          <w:rFonts w:ascii="Arial" w:cs="Arial" w:eastAsia="Arial" w:hAnsi="Arial"/>
          <w:sz w:val="14"/>
          <w:szCs w:val="14"/>
          <w:b w:val="1"/>
          <w:bCs w:val="1"/>
          <w:color w:val="auto"/>
        </w:rPr>
        <w:t>Chicago, Illinois 60654</w:t>
      </w:r>
    </w:p>
    <w:p>
      <w:pPr>
        <w:jc w:val="center"/>
        <w:ind w:right="-119"/>
        <w:spacing w:after="0" w:line="221" w:lineRule="auto"/>
        <w:rPr>
          <w:sz w:val="20"/>
          <w:szCs w:val="20"/>
          <w:color w:val="auto"/>
        </w:rPr>
      </w:pPr>
      <w:r>
        <w:rPr>
          <w:rFonts w:ascii="Arial" w:cs="Arial" w:eastAsia="Arial" w:hAnsi="Arial"/>
          <w:sz w:val="14"/>
          <w:szCs w:val="14"/>
          <w:b w:val="1"/>
          <w:bCs w:val="1"/>
          <w:color w:val="auto"/>
        </w:rPr>
        <w:t>Telephone: (312) 386-8200</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0" w:lineRule="exact"/>
        <w:rPr>
          <w:sz w:val="24"/>
          <w:szCs w:val="24"/>
          <w:color w:val="auto"/>
        </w:rPr>
      </w:pPr>
    </w:p>
    <w:tbl>
      <w:tblPr>
        <w:tblLayout w:type="fixed"/>
        <w:tblInd w:w="1140" w:type="dxa"/>
        <w:tblCellMar>
          <w:top w:w="0" w:type="dxa"/>
          <w:left w:w="0" w:type="dxa"/>
          <w:bottom w:w="0" w:type="dxa"/>
          <w:right w:w="0" w:type="dxa"/>
        </w:tblCellMar>
      </w:tblPr>
      <w:tr>
        <w:trPr>
          <w:trHeight w:val="182"/>
        </w:trPr>
        <w:tc>
          <w:tcPr>
            <w:tcW w:w="2460" w:type="dxa"/>
            <w:vAlign w:val="bottom"/>
          </w:tcPr>
          <w:p>
            <w:pPr>
              <w:spacing w:after="0"/>
              <w:rPr>
                <w:sz w:val="15"/>
                <w:szCs w:val="15"/>
                <w:color w:val="auto"/>
              </w:rPr>
            </w:pPr>
          </w:p>
        </w:tc>
        <w:tc>
          <w:tcPr>
            <w:tcW w:w="4220" w:type="dxa"/>
            <w:vAlign w:val="bottom"/>
          </w:tcPr>
          <w:p>
            <w:pPr>
              <w:ind w:left="1720"/>
              <w:spacing w:after="0"/>
              <w:rPr>
                <w:sz w:val="20"/>
                <w:szCs w:val="20"/>
                <w:color w:val="auto"/>
              </w:rPr>
            </w:pPr>
            <w:r>
              <w:rPr>
                <w:rFonts w:ascii="Arial" w:cs="Arial" w:eastAsia="Arial" w:hAnsi="Arial"/>
                <w:sz w:val="14"/>
                <w:szCs w:val="14"/>
                <w:b w:val="1"/>
                <w:bCs w:val="1"/>
                <w:i w:val="1"/>
                <w:iCs w:val="1"/>
                <w:color w:val="auto"/>
              </w:rPr>
              <w:t>Copies to:</w:t>
            </w:r>
          </w:p>
        </w:tc>
        <w:tc>
          <w:tcPr>
            <w:tcW w:w="2400" w:type="dxa"/>
            <w:vAlign w:val="bottom"/>
          </w:tcPr>
          <w:p>
            <w:pPr>
              <w:spacing w:after="0"/>
              <w:rPr>
                <w:sz w:val="15"/>
                <w:szCs w:val="15"/>
                <w:color w:val="auto"/>
              </w:rPr>
            </w:pPr>
          </w:p>
        </w:tc>
      </w:tr>
      <w:tr>
        <w:trPr>
          <w:trHeight w:val="232"/>
        </w:trPr>
        <w:tc>
          <w:tcPr>
            <w:tcW w:w="246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Ian D. Schuman, Esq.</w:t>
            </w: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w w:val="94"/>
              </w:rPr>
              <w:t>Brian Farley, Esq.</w:t>
            </w:r>
          </w:p>
        </w:tc>
        <w:tc>
          <w:tcPr>
            <w:tcW w:w="2400" w:type="dxa"/>
            <w:vAlign w:val="bottom"/>
          </w:tcPr>
          <w:p>
            <w:pPr>
              <w:jc w:val="center"/>
              <w:ind w:left="628"/>
              <w:spacing w:after="0"/>
              <w:rPr>
                <w:sz w:val="20"/>
                <w:szCs w:val="20"/>
                <w:color w:val="auto"/>
              </w:rPr>
            </w:pPr>
            <w:r>
              <w:rPr>
                <w:rFonts w:ascii="Arial" w:cs="Arial" w:eastAsia="Arial" w:hAnsi="Arial"/>
                <w:sz w:val="14"/>
                <w:szCs w:val="14"/>
                <w:b w:val="1"/>
                <w:bCs w:val="1"/>
                <w:color w:val="auto"/>
                <w:w w:val="94"/>
              </w:rPr>
              <w:t>Samir A. Gandhi, Esq.</w:t>
            </w:r>
          </w:p>
        </w:tc>
      </w:tr>
      <w:tr>
        <w:trPr>
          <w:trHeight w:val="148"/>
        </w:trPr>
        <w:tc>
          <w:tcPr>
            <w:tcW w:w="24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0"/>
              </w:rPr>
              <w:t>Stelios G. Saffos, Esq.</w:t>
            </w:r>
          </w:p>
        </w:tc>
        <w:tc>
          <w:tcPr>
            <w:tcW w:w="4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Legal Officer and Corporate Secretary</w:t>
            </w:r>
          </w:p>
        </w:tc>
        <w:tc>
          <w:tcPr>
            <w:tcW w:w="240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6"/>
              </w:rPr>
              <w:t>David Ni, Esq.</w:t>
            </w:r>
          </w:p>
        </w:tc>
      </w:tr>
      <w:tr>
        <w:trPr>
          <w:trHeight w:val="149"/>
        </w:trPr>
        <w:tc>
          <w:tcPr>
            <w:tcW w:w="24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5"/>
              </w:rPr>
              <w:t>Ryan K. deFord, Esq.</w:t>
            </w:r>
          </w:p>
        </w:tc>
        <w:tc>
          <w:tcPr>
            <w:tcW w:w="4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GoHealth, Inc.</w:t>
            </w:r>
          </w:p>
        </w:tc>
        <w:tc>
          <w:tcPr>
            <w:tcW w:w="240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5"/>
              </w:rPr>
              <w:t>Sidley Austin LLP</w:t>
            </w:r>
          </w:p>
        </w:tc>
      </w:tr>
      <w:tr>
        <w:trPr>
          <w:trHeight w:val="148"/>
        </w:trPr>
        <w:tc>
          <w:tcPr>
            <w:tcW w:w="24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4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214 West Huron St.</w:t>
            </w:r>
          </w:p>
        </w:tc>
        <w:tc>
          <w:tcPr>
            <w:tcW w:w="240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1"/>
              </w:rPr>
              <w:t>787 7th Avenue</w:t>
            </w:r>
          </w:p>
        </w:tc>
      </w:tr>
      <w:tr>
        <w:trPr>
          <w:trHeight w:val="149"/>
        </w:trPr>
        <w:tc>
          <w:tcPr>
            <w:tcW w:w="24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885 Third Avenue</w:t>
            </w:r>
          </w:p>
        </w:tc>
        <w:tc>
          <w:tcPr>
            <w:tcW w:w="4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Chicago, Illinois 60654</w:t>
            </w:r>
          </w:p>
        </w:tc>
        <w:tc>
          <w:tcPr>
            <w:tcW w:w="240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5"/>
              </w:rPr>
              <w:t>New York, New York 10019</w:t>
            </w:r>
          </w:p>
        </w:tc>
      </w:tr>
      <w:tr>
        <w:trPr>
          <w:trHeight w:val="148"/>
        </w:trPr>
        <w:tc>
          <w:tcPr>
            <w:tcW w:w="24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5"/>
              </w:rPr>
              <w:t>New York, New York 10022</w:t>
            </w:r>
          </w:p>
        </w:tc>
        <w:tc>
          <w:tcPr>
            <w:tcW w:w="4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Telephone: (312) 386-8200</w:t>
            </w:r>
          </w:p>
        </w:tc>
        <w:tc>
          <w:tcPr>
            <w:tcW w:w="240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2"/>
              </w:rPr>
              <w:t>Telephone: (212) 839-5300</w:t>
            </w:r>
          </w:p>
        </w:tc>
      </w:tr>
      <w:tr>
        <w:trPr>
          <w:trHeight w:val="148"/>
        </w:trPr>
        <w:tc>
          <w:tcPr>
            <w:tcW w:w="24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2"/>
              </w:rPr>
              <w:t>Telephone: (212) 906-1200</w:t>
            </w:r>
          </w:p>
        </w:tc>
        <w:tc>
          <w:tcPr>
            <w:tcW w:w="4220" w:type="dxa"/>
            <w:vAlign w:val="bottom"/>
          </w:tcPr>
          <w:p>
            <w:pPr>
              <w:spacing w:after="0"/>
              <w:rPr>
                <w:sz w:val="12"/>
                <w:szCs w:val="12"/>
                <w:color w:val="auto"/>
              </w:rPr>
            </w:pPr>
          </w:p>
        </w:tc>
        <w:tc>
          <w:tcPr>
            <w:tcW w:w="240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4"/>
              </w:rPr>
              <w:t>Fax: (212) 839-5599</w:t>
            </w:r>
          </w:p>
        </w:tc>
      </w:tr>
      <w:tr>
        <w:trPr>
          <w:trHeight w:val="186"/>
        </w:trPr>
        <w:tc>
          <w:tcPr>
            <w:tcW w:w="246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Fax: (212) 751-4864</w:t>
            </w:r>
          </w:p>
        </w:tc>
        <w:tc>
          <w:tcPr>
            <w:tcW w:w="4220" w:type="dxa"/>
            <w:vAlign w:val="bottom"/>
          </w:tcPr>
          <w:p>
            <w:pPr>
              <w:spacing w:after="0"/>
              <w:rPr>
                <w:sz w:val="16"/>
                <w:szCs w:val="16"/>
                <w:color w:val="auto"/>
              </w:rPr>
            </w:pPr>
          </w:p>
        </w:tc>
        <w:tc>
          <w:tcPr>
            <w:tcW w:w="2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144780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jc w:val="center"/>
        <w:ind w:left="420" w:right="80"/>
        <w:spacing w:after="0" w:line="258" w:lineRule="auto"/>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IS DECLARED EFFECTIVE.</w:t>
      </w:r>
    </w:p>
    <w:p>
      <w:pPr>
        <w:spacing w:after="0" w:line="49"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52" w:lineRule="exact"/>
        <w:rPr>
          <w:sz w:val="24"/>
          <w:szCs w:val="24"/>
          <w:color w:val="auto"/>
        </w:rPr>
      </w:pPr>
    </w:p>
    <w:p>
      <w:pPr>
        <w:ind w:left="120" w:right="14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2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left="120" w:right="3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135255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p>
      <w:pPr>
        <w:ind w:left="120" w:right="1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54610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Amendment No. 1 (this “Amendment”) to the Registration Statement on Form S-1 (File No. 333-239287) (the “Registration Statement”) of GoHealth, Inc. is being filed solely for the purpose of filing certain exhibits to the Registration Statement as indicated in Item 16(a) (Index to Exhibits) of Part II of this Amendment. Accordingly, this Amendment consists solely of the facing page, this explanatory note, Part II of the Registration Statement, the signatures and the filed exhibits and is not intended to amend or delete any part of the Registration Statement except as specifically noted herein.</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3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following table sets forth all fees and expenses, other than the underwriting discount payable solely by GoHealth, Inc. in connection with the offer and sale of the securities being registered. All amounts shown are estimated except for the SEC registration fee, the Financial Industry Regulatory Authority, Inc., or FINRA, filing fee and the Nasdaq listing fee.</w:t>
      </w:r>
    </w:p>
    <w:p>
      <w:pPr>
        <w:sectPr>
          <w:pgSz w:w="11900" w:h="16838" w:orient="portrait"/>
          <w:cols w:equalWidth="0" w:num="1">
            <w:col w:w="11080"/>
          </w:cols>
          <w:pgMar w:left="320" w:top="459" w:right="499" w:bottom="1440" w:gutter="0" w:footer="0" w:header="0"/>
        </w:sectPr>
      </w:pP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Blue sky qualification fees and expenses</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Miscellaneous fees and expenses</w:t>
      </w:r>
    </w:p>
    <w:p>
      <w:pPr>
        <w:spacing w:after="0" w:line="2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374"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25" w:hanging="125"/>
        <w:spacing w:after="0"/>
        <w:tabs>
          <w:tab w:leader="none" w:pos="125" w:val="left"/>
        </w:tabs>
        <w:numPr>
          <w:ilvl w:val="0"/>
          <w:numId w:val="1"/>
        </w:numPr>
        <w:rPr>
          <w:rFonts w:ascii="Arial" w:cs="Arial" w:eastAsia="Arial" w:hAnsi="Arial"/>
          <w:sz w:val="16"/>
          <w:szCs w:val="16"/>
          <w:color w:val="auto"/>
        </w:rPr>
      </w:pPr>
      <w:r>
        <w:rPr>
          <w:rFonts w:ascii="Arial" w:cs="Arial" w:eastAsia="Arial" w:hAnsi="Arial"/>
          <w:sz w:val="16"/>
          <w:szCs w:val="16"/>
          <w:color w:val="auto"/>
        </w:rPr>
        <w:t>12,980</w:t>
      </w:r>
    </w:p>
    <w:p>
      <w:pPr>
        <w:spacing w:after="0" w:line="46" w:lineRule="exact"/>
        <w:rPr>
          <w:rFonts w:ascii="Arial" w:cs="Arial" w:eastAsia="Arial" w:hAnsi="Arial"/>
          <w:sz w:val="16"/>
          <w:szCs w:val="16"/>
          <w:color w:val="auto"/>
        </w:rPr>
      </w:pPr>
    </w:p>
    <w:p>
      <w:pPr>
        <w:ind w:left="125"/>
        <w:spacing w:after="0"/>
        <w:rPr>
          <w:rFonts w:ascii="Arial" w:cs="Arial" w:eastAsia="Arial" w:hAnsi="Arial"/>
          <w:sz w:val="16"/>
          <w:szCs w:val="16"/>
          <w:color w:val="auto"/>
        </w:rPr>
      </w:pPr>
      <w:r>
        <w:rPr>
          <w:rFonts w:ascii="Arial" w:cs="Arial" w:eastAsia="Arial" w:hAnsi="Arial"/>
          <w:sz w:val="16"/>
          <w:szCs w:val="16"/>
          <w:color w:val="auto"/>
        </w:rPr>
        <w:t>15,500</w:t>
      </w:r>
    </w:p>
    <w:p>
      <w:pPr>
        <w:spacing w:after="0" w:line="32" w:lineRule="exact"/>
        <w:rPr>
          <w:rFonts w:ascii="Arial" w:cs="Arial" w:eastAsia="Arial" w:hAnsi="Arial"/>
          <w:sz w:val="16"/>
          <w:szCs w:val="16"/>
          <w:color w:val="auto"/>
        </w:rPr>
      </w:pPr>
    </w:p>
    <w:p>
      <w:pPr>
        <w:ind w:left="125"/>
        <w:spacing w:after="0"/>
        <w:rPr>
          <w:rFonts w:ascii="Arial" w:cs="Arial" w:eastAsia="Arial" w:hAnsi="Arial"/>
          <w:sz w:val="16"/>
          <w:szCs w:val="16"/>
          <w:color w:val="auto"/>
        </w:rPr>
      </w:pPr>
      <w:r>
        <w:rPr>
          <w:rFonts w:ascii="Arial" w:cs="Arial" w:eastAsia="Arial" w:hAnsi="Arial"/>
          <w:sz w:val="16"/>
          <w:szCs w:val="16"/>
          <w:color w:val="auto"/>
        </w:rPr>
        <w:t>25,000</w:t>
      </w:r>
    </w:p>
    <w:p>
      <w:pPr>
        <w:spacing w:after="0" w:line="32"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943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 w:lineRule="exact"/>
        <w:rPr>
          <w:sz w:val="20"/>
          <w:szCs w:val="20"/>
          <w:color w:val="auto"/>
        </w:rPr>
      </w:pPr>
    </w:p>
    <w:p>
      <w:pPr>
        <w:ind w:left="525" w:hanging="525"/>
        <w:spacing w:after="0"/>
        <w:tabs>
          <w:tab w:leader="none" w:pos="525" w:val="left"/>
        </w:tabs>
        <w:numPr>
          <w:ilvl w:val="0"/>
          <w:numId w:val="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943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3943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1210" w:lineRule="exact"/>
        <w:rPr>
          <w:sz w:val="20"/>
          <w:szCs w:val="20"/>
          <w:color w:val="auto"/>
        </w:rPr>
      </w:pPr>
    </w:p>
    <w:p>
      <w:pPr>
        <w:sectPr>
          <w:pgSz w:w="11900" w:h="16838" w:orient="portrait"/>
          <w:cols w:equalWidth="0" w:num="2">
            <w:col w:w="7955" w:space="720"/>
            <w:col w:w="2405"/>
          </w:cols>
          <w:pgMar w:left="320" w:top="459" w:right="499" w:bottom="1440" w:gutter="0" w:footer="0" w:header="0"/>
          <w:type w:val="continuous"/>
        </w:sectPr>
      </w:pPr>
    </w:p>
    <w:p>
      <w:pPr>
        <w:ind w:left="120" w:right="80"/>
        <w:spacing w:after="0" w:line="291"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80"/>
          </w:cols>
          <w:pgMar w:left="320" w:top="459" w:right="49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Upon consummation of the Transactions, our amended and restated certificate of incorporation and amended and restated bylaws will provide indemnification for our directors and officers to the fullest extent permitted by the General Corporation Law of the State of Delaware.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amended and restated bylaws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39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Prior to the consummation of this offering, we intend to enter into separate indemnification agreements with each of our directors and executive officers. Each indemnification agreement will provide, among other things, for indemnification to the fullest extent permitted by law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amended and restated bylaws.</w:t>
      </w:r>
    </w:p>
    <w:p>
      <w:pPr>
        <w:spacing w:after="0" w:line="1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33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jc w:val="both"/>
        <w:ind w:left="120" w:right="80"/>
        <w:spacing w:after="0" w:line="291" w:lineRule="auto"/>
        <w:rPr>
          <w:sz w:val="20"/>
          <w:szCs w:val="20"/>
          <w:color w:val="auto"/>
        </w:rPr>
      </w:pPr>
      <w:r>
        <w:rPr>
          <w:rFonts w:ascii="Arial" w:cs="Arial" w:eastAsia="Arial" w:hAnsi="Arial"/>
          <w:sz w:val="16"/>
          <w:szCs w:val="16"/>
          <w:color w:val="auto"/>
        </w:rPr>
        <w:t>On March 27, 2020, GoHealth, Inc. agreed to issue 1,000 shares of common stock, par value $0.001 per share, which shares will be cancelled upon the consummation of the Transactions, to an officer of GoHealth, Inc. in exchange for $1.00. The issuance was exempt from registration under Section 4(a)</w:t>
      </w:r>
    </w:p>
    <w:p>
      <w:pPr>
        <w:ind w:left="5480" w:right="4700" w:hanging="5364"/>
        <w:spacing w:after="0" w:line="472" w:lineRule="auto"/>
        <w:tabs>
          <w:tab w:leader="none" w:pos="362" w:val="left"/>
        </w:tabs>
        <w:numPr>
          <w:ilvl w:val="0"/>
          <w:numId w:val="3"/>
        </w:numPr>
        <w:rPr>
          <w:rFonts w:ascii="Arial" w:cs="Arial" w:eastAsia="Arial" w:hAnsi="Arial"/>
          <w:sz w:val="17"/>
          <w:szCs w:val="17"/>
          <w:color w:val="auto"/>
        </w:rPr>
      </w:pPr>
      <w:r>
        <w:rPr>
          <w:rFonts w:ascii="Arial" w:cs="Arial" w:eastAsia="Arial" w:hAnsi="Arial"/>
          <w:sz w:val="17"/>
          <w:szCs w:val="17"/>
          <w:color w:val="auto"/>
        </w:rPr>
        <w:t>of the Securities Act, as a transaction by an issuer not involving any public offering. II-2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statements.</w:t>
      </w:r>
    </w:p>
    <w:p>
      <w:pPr>
        <w:spacing w:after="0" w:line="131" w:lineRule="exact"/>
        <w:rPr>
          <w:sz w:val="20"/>
          <w:szCs w:val="20"/>
          <w:color w:val="auto"/>
        </w:rPr>
      </w:pPr>
    </w:p>
    <w:p>
      <w:pPr>
        <w:ind w:left="540" w:hanging="42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5226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580" w:type="dxa"/>
            <w:vAlign w:val="bottom"/>
          </w:tcPr>
          <w:p>
            <w:pPr>
              <w:ind w:left="80"/>
              <w:spacing w:after="0"/>
              <w:rPr>
                <w:sz w:val="20"/>
                <w:szCs w:val="20"/>
                <w:color w:val="auto"/>
              </w:rPr>
            </w:pPr>
            <w:r>
              <w:rPr>
                <w:rFonts w:ascii="Arial" w:cs="Arial" w:eastAsia="Arial" w:hAnsi="Arial"/>
                <w:sz w:val="18"/>
                <w:szCs w:val="18"/>
                <w:color w:val="auto"/>
              </w:rPr>
              <w:t>1.1</w:t>
            </w:r>
          </w:p>
        </w:tc>
        <w:tc>
          <w:tcPr>
            <w:tcW w:w="2920" w:type="dxa"/>
            <w:vAlign w:val="bottom"/>
            <w:gridSpan w:val="2"/>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Form of Underwriting Agreement.</w:t>
              </w:r>
            </w:hyperlink>
          </w:p>
        </w:tc>
        <w:tc>
          <w:tcPr>
            <w:tcW w:w="17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1580" w:type="dxa"/>
            <w:vAlign w:val="bottom"/>
          </w:tcPr>
          <w:p>
            <w:pPr>
              <w:ind w:left="80"/>
              <w:spacing w:after="0"/>
              <w:rPr>
                <w:sz w:val="20"/>
                <w:szCs w:val="20"/>
                <w:color w:val="auto"/>
              </w:rPr>
            </w:pPr>
            <w:r>
              <w:rPr>
                <w:rFonts w:ascii="Arial" w:cs="Arial" w:eastAsia="Arial" w:hAnsi="Arial"/>
                <w:sz w:val="18"/>
                <w:szCs w:val="18"/>
                <w:color w:val="auto"/>
              </w:rPr>
              <w:t>3.1**</w:t>
            </w:r>
          </w:p>
        </w:tc>
        <w:tc>
          <w:tcPr>
            <w:tcW w:w="9320" w:type="dxa"/>
            <w:vAlign w:val="bottom"/>
            <w:gridSpan w:val="6"/>
          </w:tcPr>
          <w:p>
            <w:pPr>
              <w:spacing w:after="0"/>
              <w:rPr>
                <w:rFonts w:ascii="Arial" w:cs="Arial" w:eastAsia="Arial" w:hAnsi="Arial"/>
                <w:sz w:val="18"/>
                <w:szCs w:val="18"/>
                <w:u w:val="single" w:color="auto"/>
                <w:color w:val="0000EE"/>
              </w:rPr>
            </w:pPr>
            <w:hyperlink r:id="rId32">
              <w:r>
                <w:rPr>
                  <w:rFonts w:ascii="Arial" w:cs="Arial" w:eastAsia="Arial" w:hAnsi="Arial"/>
                  <w:sz w:val="18"/>
                  <w:szCs w:val="18"/>
                  <w:u w:val="single" w:color="auto"/>
                  <w:color w:val="0000EE"/>
                </w:rPr>
                <w:t>Certificate of Incorporation of GoHealth, Inc., as in effect prior to the consummation of the Transactions.</w:t>
              </w:r>
            </w:hyperlink>
          </w:p>
        </w:tc>
      </w:tr>
      <w:tr>
        <w:trPr>
          <w:trHeight w:val="283"/>
        </w:trPr>
        <w:tc>
          <w:tcPr>
            <w:tcW w:w="1580" w:type="dxa"/>
            <w:vAlign w:val="bottom"/>
          </w:tcPr>
          <w:p>
            <w:pPr>
              <w:ind w:left="80"/>
              <w:spacing w:after="0"/>
              <w:rPr>
                <w:sz w:val="20"/>
                <w:szCs w:val="20"/>
                <w:color w:val="auto"/>
              </w:rPr>
            </w:pPr>
            <w:r>
              <w:rPr>
                <w:rFonts w:ascii="Arial" w:cs="Arial" w:eastAsia="Arial" w:hAnsi="Arial"/>
                <w:sz w:val="18"/>
                <w:szCs w:val="18"/>
                <w:color w:val="auto"/>
              </w:rPr>
              <w:t>3.2</w:t>
            </w:r>
          </w:p>
        </w:tc>
        <w:tc>
          <w:tcPr>
            <w:tcW w:w="9320" w:type="dxa"/>
            <w:vAlign w:val="bottom"/>
            <w:gridSpan w:val="6"/>
          </w:tcPr>
          <w:p>
            <w:pPr>
              <w:spacing w:after="0"/>
              <w:rPr>
                <w:rFonts w:ascii="Arial" w:cs="Arial" w:eastAsia="Arial" w:hAnsi="Arial"/>
                <w:sz w:val="18"/>
                <w:szCs w:val="18"/>
                <w:color w:val="0000EE"/>
                <w:w w:val="95"/>
              </w:rPr>
            </w:pPr>
            <w:hyperlink w:anchor="page53">
              <w:r>
                <w:rPr>
                  <w:rFonts w:ascii="Arial" w:cs="Arial" w:eastAsia="Arial" w:hAnsi="Arial"/>
                  <w:sz w:val="18"/>
                  <w:szCs w:val="18"/>
                  <w:color w:val="0000EE"/>
                  <w:w w:val="95"/>
                </w:rPr>
                <w:t>Form of Amended and Restated Certificate of Incorporation of GoHealth, Inc., to be in effect upon the consummation of the</w:t>
              </w:r>
            </w:hyperlink>
          </w:p>
        </w:tc>
      </w:tr>
      <w:tr>
        <w:trPr>
          <w:trHeight w:val="196"/>
        </w:trPr>
        <w:tc>
          <w:tcPr>
            <w:tcW w:w="1580" w:type="dxa"/>
            <w:vAlign w:val="bottom"/>
          </w:tcPr>
          <w:p>
            <w:pPr>
              <w:spacing w:after="0"/>
              <w:rPr>
                <w:sz w:val="17"/>
                <w:szCs w:val="17"/>
                <w:color w:val="auto"/>
              </w:rPr>
            </w:pPr>
          </w:p>
        </w:tc>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53">
              <w:r>
                <w:rPr>
                  <w:rFonts w:ascii="Arial" w:cs="Arial" w:eastAsia="Arial" w:hAnsi="Arial"/>
                  <w:sz w:val="18"/>
                  <w:szCs w:val="18"/>
                  <w:color w:val="0000EE"/>
                  <w:w w:val="86"/>
                </w:rPr>
                <w:t>Transactions.</w:t>
              </w:r>
            </w:hyperlink>
          </w:p>
        </w:tc>
        <w:tc>
          <w:tcPr>
            <w:tcW w:w="19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45"/>
        </w:trPr>
        <w:tc>
          <w:tcPr>
            <w:tcW w:w="1580" w:type="dxa"/>
            <w:vAlign w:val="bottom"/>
          </w:tcPr>
          <w:p>
            <w:pPr>
              <w:ind w:left="80"/>
              <w:spacing w:after="0"/>
              <w:rPr>
                <w:sz w:val="20"/>
                <w:szCs w:val="20"/>
                <w:color w:val="auto"/>
              </w:rPr>
            </w:pPr>
            <w:r>
              <w:rPr>
                <w:rFonts w:ascii="Arial" w:cs="Arial" w:eastAsia="Arial" w:hAnsi="Arial"/>
                <w:sz w:val="18"/>
                <w:szCs w:val="18"/>
                <w:color w:val="auto"/>
              </w:rPr>
              <w:t>3.3**</w:t>
            </w:r>
          </w:p>
        </w:tc>
        <w:tc>
          <w:tcPr>
            <w:tcW w:w="9320" w:type="dxa"/>
            <w:vAlign w:val="bottom"/>
            <w:gridSpan w:val="6"/>
          </w:tcPr>
          <w:p>
            <w:pPr>
              <w:spacing w:after="0"/>
              <w:rPr>
                <w:rFonts w:ascii="Arial" w:cs="Arial" w:eastAsia="Arial" w:hAnsi="Arial"/>
                <w:sz w:val="18"/>
                <w:szCs w:val="18"/>
                <w:u w:val="single" w:color="auto"/>
                <w:color w:val="0000EE"/>
              </w:rPr>
            </w:pPr>
            <w:hyperlink r:id="rId33">
              <w:r>
                <w:rPr>
                  <w:rFonts w:ascii="Arial" w:cs="Arial" w:eastAsia="Arial" w:hAnsi="Arial"/>
                  <w:sz w:val="18"/>
                  <w:szCs w:val="18"/>
                  <w:u w:val="single" w:color="auto"/>
                  <w:color w:val="0000EE"/>
                </w:rPr>
                <w:t>Bylaws of GoHealth, Inc., as in effect prior to the consummation of the Transactions.</w:t>
              </w:r>
            </w:hyperlink>
          </w:p>
        </w:tc>
      </w:tr>
      <w:tr>
        <w:trPr>
          <w:trHeight w:val="324"/>
        </w:trPr>
        <w:tc>
          <w:tcPr>
            <w:tcW w:w="1580" w:type="dxa"/>
            <w:vAlign w:val="bottom"/>
          </w:tcPr>
          <w:p>
            <w:pPr>
              <w:ind w:left="80"/>
              <w:spacing w:after="0"/>
              <w:rPr>
                <w:sz w:val="20"/>
                <w:szCs w:val="20"/>
                <w:color w:val="auto"/>
              </w:rPr>
            </w:pPr>
            <w:r>
              <w:rPr>
                <w:rFonts w:ascii="Arial" w:cs="Arial" w:eastAsia="Arial" w:hAnsi="Arial"/>
                <w:sz w:val="18"/>
                <w:szCs w:val="18"/>
                <w:color w:val="auto"/>
              </w:rPr>
              <w:t>3.4</w:t>
            </w:r>
          </w:p>
        </w:tc>
        <w:tc>
          <w:tcPr>
            <w:tcW w:w="9320" w:type="dxa"/>
            <w:vAlign w:val="bottom"/>
            <w:gridSpan w:val="6"/>
          </w:tcPr>
          <w:p>
            <w:pPr>
              <w:spacing w:after="0"/>
              <w:rPr>
                <w:rFonts w:ascii="Arial" w:cs="Arial" w:eastAsia="Arial" w:hAnsi="Arial"/>
                <w:sz w:val="18"/>
                <w:szCs w:val="18"/>
                <w:u w:val="single" w:color="auto"/>
                <w:color w:val="0000EE"/>
                <w:w w:val="99"/>
              </w:rPr>
            </w:pPr>
            <w:hyperlink w:anchor="page69">
              <w:r>
                <w:rPr>
                  <w:rFonts w:ascii="Arial" w:cs="Arial" w:eastAsia="Arial" w:hAnsi="Arial"/>
                  <w:sz w:val="18"/>
                  <w:szCs w:val="18"/>
                  <w:u w:val="single" w:color="auto"/>
                  <w:color w:val="0000EE"/>
                  <w:w w:val="99"/>
                </w:rPr>
                <w:t>Form of Amended and Restated Bylaws of GoHealth, Inc., to be in effect upon the consummation of the Transactions.</w:t>
              </w:r>
            </w:hyperlink>
          </w:p>
        </w:tc>
      </w:tr>
      <w:tr>
        <w:trPr>
          <w:trHeight w:val="324"/>
        </w:trPr>
        <w:tc>
          <w:tcPr>
            <w:tcW w:w="1580" w:type="dxa"/>
            <w:vAlign w:val="bottom"/>
          </w:tcPr>
          <w:p>
            <w:pPr>
              <w:ind w:left="80"/>
              <w:spacing w:after="0"/>
              <w:rPr>
                <w:sz w:val="20"/>
                <w:szCs w:val="20"/>
                <w:color w:val="auto"/>
              </w:rPr>
            </w:pPr>
            <w:r>
              <w:rPr>
                <w:rFonts w:ascii="Arial" w:cs="Arial" w:eastAsia="Arial" w:hAnsi="Arial"/>
                <w:sz w:val="18"/>
                <w:szCs w:val="18"/>
                <w:color w:val="auto"/>
              </w:rPr>
              <w:t>4.1**</w:t>
            </w:r>
          </w:p>
        </w:tc>
        <w:tc>
          <w:tcPr>
            <w:tcW w:w="9320" w:type="dxa"/>
            <w:vAlign w:val="bottom"/>
            <w:gridSpan w:val="6"/>
          </w:tcPr>
          <w:p>
            <w:pPr>
              <w:spacing w:after="0"/>
              <w:rPr>
                <w:rFonts w:ascii="Arial" w:cs="Arial" w:eastAsia="Arial" w:hAnsi="Arial"/>
                <w:sz w:val="18"/>
                <w:szCs w:val="18"/>
                <w:u w:val="single" w:color="auto"/>
                <w:color w:val="0000EE"/>
              </w:rPr>
            </w:pPr>
            <w:hyperlink r:id="rId34">
              <w:r>
                <w:rPr>
                  <w:rFonts w:ascii="Arial" w:cs="Arial" w:eastAsia="Arial" w:hAnsi="Arial"/>
                  <w:sz w:val="18"/>
                  <w:szCs w:val="18"/>
                  <w:u w:val="single" w:color="auto"/>
                  <w:color w:val="0000EE"/>
                </w:rPr>
                <w:t>Specimen Stock Certificate evidencing the shares of Class A common stock.</w:t>
              </w:r>
            </w:hyperlink>
          </w:p>
        </w:tc>
      </w:tr>
      <w:tr>
        <w:trPr>
          <w:trHeight w:val="324"/>
        </w:trPr>
        <w:tc>
          <w:tcPr>
            <w:tcW w:w="1580" w:type="dxa"/>
            <w:vAlign w:val="bottom"/>
          </w:tcPr>
          <w:p>
            <w:pPr>
              <w:ind w:left="80"/>
              <w:spacing w:after="0"/>
              <w:rPr>
                <w:sz w:val="20"/>
                <w:szCs w:val="20"/>
                <w:color w:val="auto"/>
              </w:rPr>
            </w:pPr>
            <w:r>
              <w:rPr>
                <w:rFonts w:ascii="Arial" w:cs="Arial" w:eastAsia="Arial" w:hAnsi="Arial"/>
                <w:sz w:val="18"/>
                <w:szCs w:val="18"/>
                <w:color w:val="auto"/>
              </w:rPr>
              <w:t>5.1*</w:t>
            </w:r>
          </w:p>
        </w:tc>
        <w:tc>
          <w:tcPr>
            <w:tcW w:w="2920" w:type="dxa"/>
            <w:vAlign w:val="bottom"/>
            <w:gridSpan w:val="2"/>
          </w:tcPr>
          <w:p>
            <w:pPr>
              <w:spacing w:after="0"/>
              <w:rPr>
                <w:sz w:val="20"/>
                <w:szCs w:val="20"/>
                <w:color w:val="auto"/>
              </w:rPr>
            </w:pPr>
            <w:r>
              <w:rPr>
                <w:rFonts w:ascii="Arial" w:cs="Arial" w:eastAsia="Arial" w:hAnsi="Arial"/>
                <w:sz w:val="18"/>
                <w:szCs w:val="18"/>
                <w:color w:val="auto"/>
              </w:rPr>
              <w:t>Opinion of Latham &amp; Watkins LLP.</w:t>
            </w:r>
          </w:p>
        </w:tc>
        <w:tc>
          <w:tcPr>
            <w:tcW w:w="1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10.1†</w:t>
            </w:r>
          </w:p>
        </w:tc>
        <w:tc>
          <w:tcPr>
            <w:tcW w:w="9320" w:type="dxa"/>
            <w:vAlign w:val="bottom"/>
            <w:gridSpan w:val="6"/>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Form of Tax Receivable Agreement, to be effective upon the consummation of the Transactions.</w:t>
              </w:r>
            </w:hyperlink>
          </w:p>
        </w:tc>
      </w:tr>
      <w:tr>
        <w:trPr>
          <w:trHeight w:val="310"/>
        </w:trPr>
        <w:tc>
          <w:tcPr>
            <w:tcW w:w="1580" w:type="dxa"/>
            <w:vAlign w:val="bottom"/>
          </w:tcPr>
          <w:p>
            <w:pPr>
              <w:spacing w:after="0"/>
              <w:rPr>
                <w:sz w:val="20"/>
                <w:szCs w:val="20"/>
                <w:color w:val="auto"/>
              </w:rPr>
            </w:pPr>
            <w:r>
              <w:rPr>
                <w:rFonts w:ascii="Arial" w:cs="Arial" w:eastAsia="Arial" w:hAnsi="Arial"/>
                <w:sz w:val="18"/>
                <w:szCs w:val="18"/>
                <w:color w:val="auto"/>
              </w:rPr>
              <w:t>10.2*</w:t>
            </w:r>
          </w:p>
        </w:tc>
        <w:tc>
          <w:tcPr>
            <w:tcW w:w="9320" w:type="dxa"/>
            <w:vAlign w:val="bottom"/>
            <w:gridSpan w:val="6"/>
          </w:tcPr>
          <w:p>
            <w:pPr>
              <w:spacing w:after="0"/>
              <w:rPr>
                <w:sz w:val="20"/>
                <w:szCs w:val="20"/>
                <w:color w:val="auto"/>
              </w:rPr>
            </w:pPr>
            <w:r>
              <w:rPr>
                <w:rFonts w:ascii="Arial" w:cs="Arial" w:eastAsia="Arial" w:hAnsi="Arial"/>
                <w:sz w:val="18"/>
                <w:szCs w:val="18"/>
                <w:color w:val="auto"/>
                <w:w w:val="91"/>
              </w:rPr>
              <w:t>Form of Second Amended and Restated LLC Agreement of GoHealth Holdings, LLC, to be effective upon the consummation of</w:t>
            </w:r>
          </w:p>
        </w:tc>
      </w:tr>
      <w:tr>
        <w:trPr>
          <w:trHeight w:val="230"/>
        </w:trPr>
        <w:tc>
          <w:tcPr>
            <w:tcW w:w="158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the Transactions.</w:t>
            </w:r>
          </w:p>
        </w:tc>
        <w:tc>
          <w:tcPr>
            <w:tcW w:w="17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10.3†</w:t>
            </w:r>
          </w:p>
        </w:tc>
        <w:tc>
          <w:tcPr>
            <w:tcW w:w="9320" w:type="dxa"/>
            <w:vAlign w:val="bottom"/>
            <w:gridSpan w:val="6"/>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Form of Stockholders Agreement, to be effective upon the consummation of the Transactions.</w:t>
              </w:r>
            </w:hyperlink>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10.4</w:t>
            </w:r>
          </w:p>
        </w:tc>
        <w:tc>
          <w:tcPr>
            <w:tcW w:w="9320" w:type="dxa"/>
            <w:vAlign w:val="bottom"/>
            <w:gridSpan w:val="6"/>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Form of Registration Rights Agreement, to be effective upon the consummation of the Transactions.</w:t>
              </w:r>
            </w:hyperlink>
          </w:p>
        </w:tc>
      </w:tr>
      <w:tr>
        <w:trPr>
          <w:trHeight w:val="283"/>
        </w:trPr>
        <w:tc>
          <w:tcPr>
            <w:tcW w:w="158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w:t>
            </w:r>
            <w:r>
              <w:rPr>
                <w:rFonts w:ascii="Arial" w:cs="Arial" w:eastAsia="Arial" w:hAnsi="Arial"/>
                <w:sz w:val="18"/>
                <w:szCs w:val="18"/>
                <w:color w:val="auto"/>
              </w:rPr>
              <w:t>†**</w:t>
            </w:r>
          </w:p>
        </w:tc>
        <w:tc>
          <w:tcPr>
            <w:tcW w:w="9320" w:type="dxa"/>
            <w:vAlign w:val="bottom"/>
            <w:tcBorders>
              <w:bottom w:val="single" w:sz="8" w:color="0000EE"/>
            </w:tcBorders>
            <w:gridSpan w:val="6"/>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Incremental Facility Agreement and Technical Amendment No. 2 to Credit Agreement, dated as of May 7, 2020, among Norvax,</w:t>
              </w:r>
            </w:hyperlink>
          </w:p>
        </w:tc>
      </w:tr>
      <w:tr>
        <w:trPr>
          <w:trHeight w:val="196"/>
        </w:trPr>
        <w:tc>
          <w:tcPr>
            <w:tcW w:w="1580" w:type="dxa"/>
            <w:vAlign w:val="bottom"/>
          </w:tcPr>
          <w:p>
            <w:pPr>
              <w:spacing w:after="0"/>
              <w:rPr>
                <w:sz w:val="17"/>
                <w:szCs w:val="17"/>
                <w:color w:val="auto"/>
              </w:rPr>
            </w:pPr>
          </w:p>
        </w:tc>
        <w:tc>
          <w:tcPr>
            <w:tcW w:w="90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LLC, as borrower, Blizzard Midco, LLC, as a guarantor, the other guarantors party thereto, Owl Rock Capital Corporation, as</w:t>
              </w:r>
            </w:hyperlink>
          </w:p>
        </w:tc>
        <w:tc>
          <w:tcPr>
            <w:tcW w:w="280" w:type="dxa"/>
            <w:vAlign w:val="bottom"/>
          </w:tcPr>
          <w:p>
            <w:pPr>
              <w:spacing w:after="0"/>
              <w:rPr>
                <w:sz w:val="17"/>
                <w:szCs w:val="17"/>
                <w:color w:val="auto"/>
              </w:rPr>
            </w:pPr>
          </w:p>
        </w:tc>
      </w:tr>
      <w:tr>
        <w:trPr>
          <w:trHeight w:val="237"/>
        </w:trPr>
        <w:tc>
          <w:tcPr>
            <w:tcW w:w="1580" w:type="dxa"/>
            <w:vAlign w:val="bottom"/>
          </w:tcPr>
          <w:p>
            <w:pPr>
              <w:spacing w:after="0"/>
              <w:rPr>
                <w:sz w:val="20"/>
                <w:szCs w:val="20"/>
                <w:color w:val="auto"/>
              </w:rPr>
            </w:pPr>
          </w:p>
        </w:tc>
        <w:tc>
          <w:tcPr>
            <w:tcW w:w="9320" w:type="dxa"/>
            <w:vAlign w:val="bottom"/>
            <w:gridSpan w:val="6"/>
          </w:tcPr>
          <w:p>
            <w:pPr>
              <w:spacing w:after="0"/>
              <w:rPr>
                <w:rFonts w:ascii="Arial" w:cs="Arial" w:eastAsia="Arial" w:hAnsi="Arial"/>
                <w:sz w:val="18"/>
                <w:szCs w:val="18"/>
                <w:u w:val="single" w:color="auto"/>
                <w:color w:val="0000EE"/>
              </w:rPr>
            </w:pPr>
            <w:hyperlink r:id="rId35">
              <w:r>
                <w:rPr>
                  <w:rFonts w:ascii="Arial" w:cs="Arial" w:eastAsia="Arial" w:hAnsi="Arial"/>
                  <w:sz w:val="18"/>
                  <w:szCs w:val="18"/>
                  <w:u w:val="single" w:color="auto"/>
                  <w:color w:val="0000EE"/>
                </w:rPr>
                <w:t>administrative agent, collateral agent and swingline lender and the other lenders from time to time party thereto.</w:t>
              </w:r>
            </w:hyperlink>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10.6#</w:t>
            </w:r>
          </w:p>
        </w:tc>
        <w:tc>
          <w:tcPr>
            <w:tcW w:w="4620" w:type="dxa"/>
            <w:vAlign w:val="bottom"/>
            <w:gridSpan w:val="3"/>
          </w:tcPr>
          <w:p>
            <w:pPr>
              <w:spacing w:after="0"/>
              <w:rPr>
                <w:rFonts w:ascii="Arial" w:cs="Arial" w:eastAsia="Arial" w:hAnsi="Arial"/>
                <w:sz w:val="18"/>
                <w:szCs w:val="18"/>
                <w:color w:val="0000EE"/>
              </w:rPr>
            </w:pPr>
            <w:hyperlink w:anchor="page188">
              <w:r>
                <w:rPr>
                  <w:rFonts w:ascii="Arial" w:cs="Arial" w:eastAsia="Arial" w:hAnsi="Arial"/>
                  <w:sz w:val="18"/>
                  <w:szCs w:val="18"/>
                  <w:u w:val="single" w:color="auto"/>
                  <w:color w:val="0000EE"/>
                </w:rPr>
                <w:t>GoHealth, Inc. 2020 Incentive Award Plan</w:t>
              </w:r>
              <w:r>
                <w:rPr>
                  <w:rFonts w:ascii="Arial" w:cs="Arial" w:eastAsia="Arial" w:hAnsi="Arial"/>
                  <w:sz w:val="18"/>
                  <w:szCs w:val="18"/>
                  <w:color w:val="0000EE"/>
                </w:rPr>
                <w:t>.</w:t>
              </w:r>
            </w:hyperlink>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10.7#</w:t>
            </w:r>
          </w:p>
        </w:tc>
        <w:tc>
          <w:tcPr>
            <w:tcW w:w="4620" w:type="dxa"/>
            <w:vAlign w:val="bottom"/>
            <w:gridSpan w:val="3"/>
          </w:tcPr>
          <w:p>
            <w:pPr>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GoHealth, Inc. 2020 Employee Stock Purchase Plan.</w:t>
              </w:r>
            </w:hyperlink>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10.8†</w:t>
            </w:r>
          </w:p>
        </w:tc>
        <w:tc>
          <w:tcPr>
            <w:tcW w:w="9320" w:type="dxa"/>
            <w:vAlign w:val="bottom"/>
            <w:gridSpan w:val="6"/>
          </w:tcPr>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Form of Indemnification and Advancement Agreement between GoHealth, Inc. and its directors and officers.</w:t>
              </w:r>
            </w:hyperlink>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10.9#</w:t>
            </w:r>
          </w:p>
        </w:tc>
        <w:tc>
          <w:tcPr>
            <w:tcW w:w="2920" w:type="dxa"/>
            <w:vAlign w:val="bottom"/>
            <w:gridSpan w:val="2"/>
          </w:tcPr>
          <w:p>
            <w:pPr>
              <w:spacing w:after="0"/>
              <w:rPr>
                <w:rFonts w:ascii="Arial" w:cs="Arial" w:eastAsia="Arial" w:hAnsi="Arial"/>
                <w:sz w:val="18"/>
                <w:szCs w:val="18"/>
                <w:u w:val="single" w:color="auto"/>
                <w:color w:val="0000EE"/>
                <w:w w:val="95"/>
              </w:rPr>
            </w:pPr>
            <w:hyperlink w:anchor="page248">
              <w:r>
                <w:rPr>
                  <w:rFonts w:ascii="Arial" w:cs="Arial" w:eastAsia="Arial" w:hAnsi="Arial"/>
                  <w:sz w:val="18"/>
                  <w:szCs w:val="18"/>
                  <w:u w:val="single" w:color="auto"/>
                  <w:color w:val="0000EE"/>
                  <w:w w:val="95"/>
                </w:rPr>
                <w:t>Blizzard Parent, LLC Profits Unit Plan.</w:t>
              </w:r>
            </w:hyperlink>
          </w:p>
        </w:tc>
        <w:tc>
          <w:tcPr>
            <w:tcW w:w="17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10.10†#</w:t>
            </w:r>
          </w:p>
        </w:tc>
        <w:tc>
          <w:tcPr>
            <w:tcW w:w="4620" w:type="dxa"/>
            <w:vAlign w:val="bottom"/>
            <w:gridSpan w:val="3"/>
          </w:tcPr>
          <w:p>
            <w:pPr>
              <w:spacing w:after="0"/>
              <w:rPr>
                <w:rFonts w:ascii="Arial" w:cs="Arial" w:eastAsia="Arial" w:hAnsi="Arial"/>
                <w:sz w:val="18"/>
                <w:szCs w:val="18"/>
                <w:u w:val="single" w:color="auto"/>
                <w:color w:val="0000EE"/>
                <w:w w:val="94"/>
              </w:rPr>
            </w:pPr>
            <w:hyperlink w:anchor="page267">
              <w:r>
                <w:rPr>
                  <w:rFonts w:ascii="Arial" w:cs="Arial" w:eastAsia="Arial" w:hAnsi="Arial"/>
                  <w:sz w:val="18"/>
                  <w:szCs w:val="18"/>
                  <w:u w:val="single" w:color="auto"/>
                  <w:color w:val="0000EE"/>
                  <w:w w:val="94"/>
                </w:rPr>
                <w:t>Form of Executive Common Unit and Profits Unit Agreement.</w:t>
              </w:r>
            </w:hyperlink>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10.11#*</w:t>
            </w:r>
          </w:p>
        </w:tc>
        <w:tc>
          <w:tcPr>
            <w:tcW w:w="9320" w:type="dxa"/>
            <w:vAlign w:val="bottom"/>
            <w:gridSpan w:val="6"/>
          </w:tcPr>
          <w:p>
            <w:pPr>
              <w:spacing w:after="0"/>
              <w:rPr>
                <w:sz w:val="20"/>
                <w:szCs w:val="20"/>
                <w:color w:val="auto"/>
              </w:rPr>
            </w:pPr>
            <w:r>
              <w:rPr>
                <w:rFonts w:ascii="Arial" w:cs="Arial" w:eastAsia="Arial" w:hAnsi="Arial"/>
                <w:sz w:val="18"/>
                <w:szCs w:val="18"/>
                <w:color w:val="auto"/>
              </w:rPr>
              <w:t>Form of Amendment No. 1 to Executive Common Unit and Profits Unit Agreement.</w:t>
            </w:r>
          </w:p>
        </w:tc>
      </w:tr>
      <w:tr>
        <w:trPr>
          <w:trHeight w:val="310"/>
        </w:trPr>
        <w:tc>
          <w:tcPr>
            <w:tcW w:w="1580" w:type="dxa"/>
            <w:vAlign w:val="bottom"/>
          </w:tcPr>
          <w:p>
            <w:pPr>
              <w:spacing w:after="0"/>
              <w:rPr>
                <w:sz w:val="20"/>
                <w:szCs w:val="20"/>
                <w:color w:val="auto"/>
              </w:rPr>
            </w:pPr>
            <w:r>
              <w:rPr>
                <w:rFonts w:ascii="Arial" w:cs="Arial" w:eastAsia="Arial" w:hAnsi="Arial"/>
                <w:sz w:val="18"/>
                <w:szCs w:val="18"/>
                <w:color w:val="auto"/>
              </w:rPr>
              <w:t>10.12#*</w:t>
            </w:r>
          </w:p>
        </w:tc>
        <w:tc>
          <w:tcPr>
            <w:tcW w:w="4620" w:type="dxa"/>
            <w:vAlign w:val="bottom"/>
            <w:gridSpan w:val="3"/>
          </w:tcPr>
          <w:p>
            <w:pPr>
              <w:spacing w:after="0"/>
              <w:rPr>
                <w:sz w:val="20"/>
                <w:szCs w:val="20"/>
                <w:color w:val="auto"/>
              </w:rPr>
            </w:pPr>
            <w:r>
              <w:rPr>
                <w:rFonts w:ascii="Arial" w:cs="Arial" w:eastAsia="Arial" w:hAnsi="Arial"/>
                <w:sz w:val="18"/>
                <w:szCs w:val="18"/>
                <w:color w:val="auto"/>
              </w:rPr>
              <w:t>Amended and Restated Employment Agreement, dated</w:t>
            </w:r>
          </w:p>
        </w:tc>
        <w:tc>
          <w:tcPr>
            <w:tcW w:w="4700" w:type="dxa"/>
            <w:vAlign w:val="bottom"/>
            <w:gridSpan w:val="3"/>
          </w:tcPr>
          <w:p>
            <w:pPr>
              <w:ind w:left="100"/>
              <w:spacing w:after="0"/>
              <w:rPr>
                <w:sz w:val="20"/>
                <w:szCs w:val="20"/>
                <w:color w:val="auto"/>
              </w:rPr>
            </w:pPr>
            <w:r>
              <w:rPr>
                <w:rFonts w:ascii="Arial" w:cs="Arial" w:eastAsia="Arial" w:hAnsi="Arial"/>
                <w:sz w:val="18"/>
                <w:szCs w:val="18"/>
                <w:color w:val="auto"/>
                <w:w w:val="93"/>
              </w:rPr>
              <w:t>, 2020, by and among Norvax, LLC, GoHealth, Inc., GoHealth</w:t>
            </w:r>
          </w:p>
        </w:tc>
      </w:tr>
      <w:tr>
        <w:trPr>
          <w:trHeight w:val="230"/>
        </w:trPr>
        <w:tc>
          <w:tcPr>
            <w:tcW w:w="158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w w:val="96"/>
              </w:rPr>
              <w:t>Holdings, LLC, and Brandon M. Cruz.</w:t>
            </w:r>
          </w:p>
        </w:tc>
        <w:tc>
          <w:tcPr>
            <w:tcW w:w="17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10.13#*</w:t>
            </w:r>
          </w:p>
        </w:tc>
        <w:tc>
          <w:tcPr>
            <w:tcW w:w="2920" w:type="dxa"/>
            <w:vAlign w:val="bottom"/>
            <w:gridSpan w:val="2"/>
          </w:tcPr>
          <w:p>
            <w:pPr>
              <w:spacing w:after="0"/>
              <w:rPr>
                <w:sz w:val="20"/>
                <w:szCs w:val="20"/>
                <w:color w:val="auto"/>
              </w:rPr>
            </w:pPr>
            <w:r>
              <w:rPr>
                <w:rFonts w:ascii="Arial" w:cs="Arial" w:eastAsia="Arial" w:hAnsi="Arial"/>
                <w:sz w:val="18"/>
                <w:szCs w:val="18"/>
                <w:color w:val="auto"/>
              </w:rPr>
              <w:t>Employment Agreement, dated</w:t>
            </w:r>
          </w:p>
        </w:tc>
        <w:tc>
          <w:tcPr>
            <w:tcW w:w="6400" w:type="dxa"/>
            <w:vAlign w:val="bottom"/>
            <w:gridSpan w:val="4"/>
          </w:tcPr>
          <w:p>
            <w:pPr>
              <w:ind w:left="100"/>
              <w:spacing w:after="0"/>
              <w:rPr>
                <w:sz w:val="20"/>
                <w:szCs w:val="20"/>
                <w:color w:val="auto"/>
              </w:rPr>
            </w:pPr>
            <w:r>
              <w:rPr>
                <w:rFonts w:ascii="Arial" w:cs="Arial" w:eastAsia="Arial" w:hAnsi="Arial"/>
                <w:sz w:val="18"/>
                <w:szCs w:val="18"/>
                <w:color w:val="auto"/>
                <w:w w:val="92"/>
              </w:rPr>
              <w:t>, 2020, by and among GoHealth, Inc., GoHealth Holdings, LLC, and Clinton P. Jones.</w:t>
            </w:r>
          </w:p>
        </w:tc>
      </w:tr>
      <w:tr>
        <w:trPr>
          <w:trHeight w:val="324"/>
        </w:trPr>
        <w:tc>
          <w:tcPr>
            <w:tcW w:w="1580" w:type="dxa"/>
            <w:vAlign w:val="bottom"/>
          </w:tcPr>
          <w:p>
            <w:pPr>
              <w:spacing w:after="0"/>
              <w:rPr>
                <w:sz w:val="20"/>
                <w:szCs w:val="20"/>
                <w:color w:val="auto"/>
              </w:rPr>
            </w:pPr>
            <w:r>
              <w:rPr>
                <w:rFonts w:ascii="Arial" w:cs="Arial" w:eastAsia="Arial" w:hAnsi="Arial"/>
                <w:sz w:val="18"/>
                <w:szCs w:val="18"/>
                <w:color w:val="auto"/>
              </w:rPr>
              <w:t>10.14#*</w:t>
            </w:r>
          </w:p>
        </w:tc>
        <w:tc>
          <w:tcPr>
            <w:tcW w:w="2920" w:type="dxa"/>
            <w:vAlign w:val="bottom"/>
            <w:gridSpan w:val="2"/>
          </w:tcPr>
          <w:p>
            <w:pPr>
              <w:spacing w:after="0"/>
              <w:rPr>
                <w:sz w:val="20"/>
                <w:szCs w:val="20"/>
                <w:color w:val="auto"/>
              </w:rPr>
            </w:pPr>
            <w:r>
              <w:rPr>
                <w:rFonts w:ascii="Arial" w:cs="Arial" w:eastAsia="Arial" w:hAnsi="Arial"/>
                <w:sz w:val="18"/>
                <w:szCs w:val="18"/>
                <w:color w:val="auto"/>
              </w:rPr>
              <w:t>Employment Agreement, dated</w:t>
            </w:r>
          </w:p>
        </w:tc>
        <w:tc>
          <w:tcPr>
            <w:tcW w:w="6400" w:type="dxa"/>
            <w:vAlign w:val="bottom"/>
            <w:gridSpan w:val="4"/>
          </w:tcPr>
          <w:p>
            <w:pPr>
              <w:ind w:left="100"/>
              <w:spacing w:after="0"/>
              <w:rPr>
                <w:sz w:val="20"/>
                <w:szCs w:val="20"/>
                <w:color w:val="auto"/>
              </w:rPr>
            </w:pPr>
            <w:r>
              <w:rPr>
                <w:rFonts w:ascii="Arial" w:cs="Arial" w:eastAsia="Arial" w:hAnsi="Arial"/>
                <w:sz w:val="18"/>
                <w:szCs w:val="18"/>
                <w:color w:val="auto"/>
                <w:w w:val="94"/>
              </w:rPr>
              <w:t>, 2020, by and among GoHealth, Inc., GoHealth Holdings, LLC, and Shane E. Cruz.</w:t>
            </w:r>
          </w:p>
        </w:tc>
      </w:tr>
      <w:tr>
        <w:trPr>
          <w:trHeight w:val="364"/>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ind w:left="860"/>
              <w:spacing w:after="0"/>
              <w:rPr>
                <w:sz w:val="20"/>
                <w:szCs w:val="20"/>
                <w:color w:val="auto"/>
              </w:rPr>
            </w:pPr>
            <w:r>
              <w:rPr>
                <w:rFonts w:ascii="Arial" w:cs="Arial" w:eastAsia="Arial" w:hAnsi="Arial"/>
                <w:sz w:val="18"/>
                <w:szCs w:val="18"/>
                <w:color w:val="auto"/>
              </w:rPr>
              <w:t>II-3</w:t>
            </w:r>
          </w:p>
        </w:tc>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5226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10.15#*</w:t>
            </w:r>
          </w:p>
        </w:tc>
        <w:tc>
          <w:tcPr>
            <w:tcW w:w="3420" w:type="dxa"/>
            <w:vAlign w:val="bottom"/>
          </w:tcPr>
          <w:p>
            <w:pPr>
              <w:ind w:left="560"/>
              <w:spacing w:after="0"/>
              <w:rPr>
                <w:sz w:val="20"/>
                <w:szCs w:val="20"/>
                <w:color w:val="auto"/>
              </w:rPr>
            </w:pPr>
            <w:r>
              <w:rPr>
                <w:rFonts w:ascii="Arial" w:cs="Arial" w:eastAsia="Arial" w:hAnsi="Arial"/>
                <w:sz w:val="18"/>
                <w:szCs w:val="18"/>
                <w:color w:val="auto"/>
              </w:rPr>
              <w:t>Employment Agreement, dated</w:t>
            </w:r>
          </w:p>
        </w:tc>
        <w:tc>
          <w:tcPr>
            <w:tcW w:w="5800" w:type="dxa"/>
            <w:vAlign w:val="bottom"/>
          </w:tcPr>
          <w:p>
            <w:pPr>
              <w:ind w:left="140"/>
              <w:spacing w:after="0"/>
              <w:rPr>
                <w:sz w:val="20"/>
                <w:szCs w:val="20"/>
                <w:color w:val="auto"/>
              </w:rPr>
            </w:pPr>
            <w:r>
              <w:rPr>
                <w:rFonts w:ascii="Arial" w:cs="Arial" w:eastAsia="Arial" w:hAnsi="Arial"/>
                <w:sz w:val="18"/>
                <w:szCs w:val="18"/>
                <w:color w:val="auto"/>
                <w:w w:val="91"/>
              </w:rPr>
              <w:t>, 2020, by and among GoHealth, Inc., GoHealth Holdings, LLC, and James A.</w:t>
            </w:r>
          </w:p>
        </w:tc>
      </w:tr>
      <w:tr>
        <w:trPr>
          <w:trHeight w:val="230"/>
        </w:trPr>
        <w:tc>
          <w:tcPr>
            <w:tcW w:w="1120" w:type="dxa"/>
            <w:vAlign w:val="bottom"/>
          </w:tcPr>
          <w:p>
            <w:pPr>
              <w:spacing w:after="0"/>
              <w:rPr>
                <w:sz w:val="20"/>
                <w:szCs w:val="20"/>
                <w:color w:val="auto"/>
              </w:rPr>
            </w:pPr>
          </w:p>
        </w:tc>
        <w:tc>
          <w:tcPr>
            <w:tcW w:w="3420" w:type="dxa"/>
            <w:vAlign w:val="bottom"/>
          </w:tcPr>
          <w:p>
            <w:pPr>
              <w:ind w:left="560"/>
              <w:spacing w:after="0"/>
              <w:rPr>
                <w:sz w:val="20"/>
                <w:szCs w:val="20"/>
                <w:color w:val="auto"/>
              </w:rPr>
            </w:pPr>
            <w:r>
              <w:rPr>
                <w:rFonts w:ascii="Arial" w:cs="Arial" w:eastAsia="Arial" w:hAnsi="Arial"/>
                <w:sz w:val="18"/>
                <w:szCs w:val="18"/>
                <w:color w:val="auto"/>
              </w:rPr>
              <w:t>Sharman.</w:t>
            </w:r>
          </w:p>
        </w:tc>
        <w:tc>
          <w:tcPr>
            <w:tcW w:w="5800" w:type="dxa"/>
            <w:vAlign w:val="bottom"/>
          </w:tcPr>
          <w:p>
            <w:pPr>
              <w:spacing w:after="0"/>
              <w:rPr>
                <w:sz w:val="20"/>
                <w:szCs w:val="20"/>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10.16#</w:t>
            </w:r>
          </w:p>
        </w:tc>
        <w:tc>
          <w:tcPr>
            <w:tcW w:w="9220" w:type="dxa"/>
            <w:vAlign w:val="bottom"/>
            <w:gridSpan w:val="2"/>
          </w:tcPr>
          <w:p>
            <w:pPr>
              <w:ind w:left="560"/>
              <w:spacing w:after="0"/>
              <w:rPr>
                <w:rFonts w:ascii="Arial" w:cs="Arial" w:eastAsia="Arial" w:hAnsi="Arial"/>
                <w:sz w:val="18"/>
                <w:szCs w:val="18"/>
                <w:u w:val="single" w:color="auto"/>
                <w:color w:val="0000EE"/>
              </w:rPr>
            </w:pPr>
            <w:hyperlink w:anchor="page301">
              <w:r>
                <w:rPr>
                  <w:rFonts w:ascii="Arial" w:cs="Arial" w:eastAsia="Arial" w:hAnsi="Arial"/>
                  <w:sz w:val="18"/>
                  <w:szCs w:val="18"/>
                  <w:u w:val="single" w:color="auto"/>
                  <w:color w:val="0000EE"/>
                </w:rPr>
                <w:t>GoHealth, Inc. Non-Employee Director Compensation Policy.</w:t>
              </w:r>
            </w:hyperlink>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21.1</w:t>
            </w:r>
          </w:p>
        </w:tc>
        <w:tc>
          <w:tcPr>
            <w:tcW w:w="3420" w:type="dxa"/>
            <w:vAlign w:val="bottom"/>
          </w:tcPr>
          <w:p>
            <w:pPr>
              <w:ind w:left="560"/>
              <w:spacing w:after="0"/>
              <w:rPr>
                <w:rFonts w:ascii="Arial" w:cs="Arial" w:eastAsia="Arial" w:hAnsi="Arial"/>
                <w:sz w:val="18"/>
                <w:szCs w:val="18"/>
                <w:u w:val="single" w:color="auto"/>
                <w:color w:val="0000EE"/>
                <w:w w:val="97"/>
              </w:rPr>
            </w:pPr>
            <w:hyperlink w:anchor="page304">
              <w:r>
                <w:rPr>
                  <w:rFonts w:ascii="Arial" w:cs="Arial" w:eastAsia="Arial" w:hAnsi="Arial"/>
                  <w:sz w:val="18"/>
                  <w:szCs w:val="18"/>
                  <w:u w:val="single" w:color="auto"/>
                  <w:color w:val="0000EE"/>
                  <w:w w:val="97"/>
                </w:rPr>
                <w:t>List of Subsidiaries of GoHealth, Inc.</w:t>
              </w:r>
            </w:hyperlink>
          </w:p>
        </w:tc>
        <w:tc>
          <w:tcPr>
            <w:tcW w:w="5800" w:type="dxa"/>
            <w:vAlign w:val="bottom"/>
          </w:tcPr>
          <w:p>
            <w:pPr>
              <w:spacing w:after="0"/>
              <w:rPr>
                <w:sz w:val="24"/>
                <w:szCs w:val="24"/>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23.1**</w:t>
            </w:r>
          </w:p>
        </w:tc>
        <w:tc>
          <w:tcPr>
            <w:tcW w:w="9220" w:type="dxa"/>
            <w:vAlign w:val="bottom"/>
            <w:gridSpan w:val="2"/>
          </w:tcPr>
          <w:p>
            <w:pPr>
              <w:ind w:left="560"/>
              <w:spacing w:after="0"/>
              <w:rPr>
                <w:rFonts w:ascii="Arial" w:cs="Arial" w:eastAsia="Arial" w:hAnsi="Arial"/>
                <w:sz w:val="18"/>
                <w:szCs w:val="18"/>
                <w:u w:val="single" w:color="auto"/>
                <w:color w:val="0000EE"/>
              </w:rPr>
            </w:pPr>
            <w:hyperlink r:id="rId38">
              <w:r>
                <w:rPr>
                  <w:rFonts w:ascii="Arial" w:cs="Arial" w:eastAsia="Arial" w:hAnsi="Arial"/>
                  <w:sz w:val="18"/>
                  <w:szCs w:val="18"/>
                  <w:u w:val="single" w:color="auto"/>
                  <w:color w:val="0000EE"/>
                </w:rPr>
                <w:t>Consent of Ernst &amp; Young LLP, as to GoHealth, Inc.</w:t>
              </w:r>
            </w:hyperlink>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23.2**</w:t>
            </w:r>
          </w:p>
        </w:tc>
        <w:tc>
          <w:tcPr>
            <w:tcW w:w="9220" w:type="dxa"/>
            <w:vAlign w:val="bottom"/>
            <w:gridSpan w:val="2"/>
          </w:tcPr>
          <w:p>
            <w:pPr>
              <w:ind w:left="560"/>
              <w:spacing w:after="0"/>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Consent of Ernst &amp; Young LLP, as to GoHealth Holdings, LLC.</w:t>
              </w:r>
            </w:hyperlink>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23.3*</w:t>
            </w:r>
          </w:p>
        </w:tc>
        <w:tc>
          <w:tcPr>
            <w:tcW w:w="9220" w:type="dxa"/>
            <w:vAlign w:val="bottom"/>
            <w:gridSpan w:val="2"/>
          </w:tcPr>
          <w:p>
            <w:pPr>
              <w:ind w:left="560"/>
              <w:spacing w:after="0"/>
              <w:rPr>
                <w:sz w:val="20"/>
                <w:szCs w:val="20"/>
                <w:color w:val="auto"/>
              </w:rPr>
            </w:pPr>
            <w:r>
              <w:rPr>
                <w:rFonts w:ascii="Arial" w:cs="Arial" w:eastAsia="Arial" w:hAnsi="Arial"/>
                <w:sz w:val="18"/>
                <w:szCs w:val="18"/>
                <w:color w:val="auto"/>
              </w:rPr>
              <w:t>Consent of Latham &amp; Watkins LLP (contained in its opinion filed as Exhibit 5.1 hereto).</w:t>
            </w:r>
          </w:p>
        </w:tc>
      </w:tr>
      <w:tr>
        <w:trPr>
          <w:trHeight w:val="324"/>
        </w:trPr>
        <w:tc>
          <w:tcPr>
            <w:tcW w:w="1120" w:type="dxa"/>
            <w:vAlign w:val="bottom"/>
          </w:tcPr>
          <w:p>
            <w:pPr>
              <w:spacing w:after="0"/>
              <w:rPr>
                <w:sz w:val="20"/>
                <w:szCs w:val="20"/>
                <w:color w:val="auto"/>
              </w:rPr>
            </w:pPr>
            <w:r>
              <w:rPr>
                <w:rFonts w:ascii="Arial" w:cs="Arial" w:eastAsia="Arial" w:hAnsi="Arial"/>
                <w:sz w:val="18"/>
                <w:szCs w:val="18"/>
                <w:color w:val="auto"/>
              </w:rPr>
              <w:t>24.1**</w:t>
            </w:r>
          </w:p>
        </w:tc>
        <w:tc>
          <w:tcPr>
            <w:tcW w:w="9220" w:type="dxa"/>
            <w:vAlign w:val="bottom"/>
            <w:gridSpan w:val="2"/>
          </w:tcPr>
          <w:p>
            <w:pPr>
              <w:ind w:left="560"/>
              <w:spacing w:after="0"/>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right="8640" w:hanging="4"/>
        <w:spacing w:after="0" w:line="291" w:lineRule="auto"/>
        <w:tabs>
          <w:tab w:leader="none" w:pos="552" w:val="left"/>
        </w:tabs>
        <w:numPr>
          <w:ilvl w:val="0"/>
          <w:numId w:val="5"/>
        </w:numPr>
        <w:rPr>
          <w:rFonts w:ascii="Arial" w:cs="Arial" w:eastAsia="Arial" w:hAnsi="Arial"/>
          <w:sz w:val="16"/>
          <w:szCs w:val="16"/>
          <w:i w:val="1"/>
          <w:iCs w:val="1"/>
          <w:color w:val="auto"/>
        </w:rPr>
      </w:pPr>
      <w:r>
        <w:rPr>
          <w:rFonts w:ascii="Arial" w:cs="Arial" w:eastAsia="Arial" w:hAnsi="Arial"/>
          <w:sz w:val="16"/>
          <w:szCs w:val="16"/>
          <w:color w:val="auto"/>
        </w:rPr>
        <w:t xml:space="preserve">To be filed by amendment. </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filed.</w:t>
      </w:r>
    </w:p>
    <w:p>
      <w:pPr>
        <w:ind w:left="120"/>
        <w:spacing w:after="0"/>
        <w:rPr>
          <w:rFonts w:ascii="Arial" w:cs="Arial" w:eastAsia="Arial" w:hAnsi="Arial"/>
          <w:sz w:val="16"/>
          <w:szCs w:val="16"/>
          <w:i w:val="1"/>
          <w:iCs w:val="1"/>
          <w:color w:val="auto"/>
        </w:rPr>
      </w:pPr>
      <w:r>
        <w:rPr>
          <w:rFonts w:ascii="Arial" w:cs="Arial" w:eastAsia="Arial" w:hAnsi="Arial"/>
          <w:sz w:val="18"/>
          <w:szCs w:val="18"/>
          <w:color w:val="auto"/>
        </w:rPr>
        <w:t>#</w:t>
      </w:r>
      <w:r>
        <w:rPr>
          <w:rFonts w:ascii="Arial" w:cs="Arial" w:eastAsia="Arial" w:hAnsi="Arial"/>
          <w:sz w:val="16"/>
          <w:szCs w:val="16"/>
          <w:color w:val="auto"/>
        </w:rPr>
        <w:t>Indicates management contract or compensatory plan.</w:t>
      </w:r>
    </w:p>
    <w:p>
      <w:pPr>
        <w:spacing w:after="0" w:line="8" w:lineRule="exact"/>
        <w:rPr>
          <w:sz w:val="20"/>
          <w:szCs w:val="20"/>
          <w:color w:val="auto"/>
        </w:rPr>
      </w:pPr>
    </w:p>
    <w:p>
      <w:pPr>
        <w:ind w:left="540" w:right="440" w:hanging="424"/>
        <w:spacing w:after="0" w:line="251" w:lineRule="auto"/>
        <w:tabs>
          <w:tab w:leader="none" w:pos="540" w:val="left"/>
        </w:tabs>
        <w:numPr>
          <w:ilvl w:val="0"/>
          <w:numId w:val="6"/>
        </w:numPr>
        <w:rPr>
          <w:rFonts w:ascii="Arial" w:cs="Arial" w:eastAsia="Arial" w:hAnsi="Arial"/>
          <w:sz w:val="15"/>
          <w:szCs w:val="15"/>
          <w:color w:val="auto"/>
        </w:rPr>
      </w:pPr>
      <w:r>
        <w:rPr>
          <w:rFonts w:ascii="Arial" w:cs="Arial" w:eastAsia="Arial" w:hAnsi="Arial"/>
          <w:sz w:val="18"/>
          <w:szCs w:val="18"/>
          <w:color w:val="auto"/>
        </w:rPr>
        <w:t>Certain of the schedules and attachments to this exhibit have been omitted pursuant to Regulation S-K, Item 601(a)(5). The registrant hereby undertakes to provide further information regarding such omitted materials to the Commission upon request.</w:t>
      </w:r>
    </w:p>
    <w:p>
      <w:pPr>
        <w:ind w:left="540" w:hanging="424"/>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601(a)(6).</w:t>
      </w:r>
    </w:p>
    <w:p>
      <w:pPr>
        <w:spacing w:after="0" w:line="359"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31" w:lineRule="exact"/>
        <w:rPr>
          <w:sz w:val="20"/>
          <w:szCs w:val="20"/>
          <w:color w:val="auto"/>
        </w:rPr>
      </w:pPr>
    </w:p>
    <w:p>
      <w:pPr>
        <w:ind w:left="540" w:right="160" w:hanging="424"/>
        <w:spacing w:after="0" w:line="34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29" w:lineRule="exact"/>
        <w:rPr>
          <w:rFonts w:ascii="Arial" w:cs="Arial" w:eastAsia="Arial" w:hAnsi="Arial"/>
          <w:sz w:val="16"/>
          <w:szCs w:val="16"/>
          <w:color w:val="auto"/>
        </w:rPr>
      </w:pPr>
    </w:p>
    <w:p>
      <w:pPr>
        <w:ind w:left="540" w:right="20" w:hanging="424"/>
        <w:spacing w:after="0" w:line="271" w:lineRule="auto"/>
        <w:tabs>
          <w:tab w:leader="none" w:pos="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GoHealth, Inc. pursuant to the foregoing provisions, or otherwise, GoHealth, Inc. has been advised that in the opinion of the SEC such indemnification is against public policy as expressed in the Securities Act and is, therefore, unenforceable. In the event that a claim for indemnification against such liabilities (other than the payment by GoHealth, Inc. of expenses incurred or paid by a director, officer or controlling person of GoHealth, Inc. in the successful defense of any action, suit or proceeding) is asserted by such director, officer or controlling person in connection with the securities being registered, GoHealth,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3" w:lineRule="exact"/>
        <w:rPr>
          <w:rFonts w:ascii="Arial" w:cs="Arial" w:eastAsia="Arial" w:hAnsi="Arial"/>
          <w:sz w:val="17"/>
          <w:szCs w:val="17"/>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hereby further undertakes that:</w:t>
      </w:r>
    </w:p>
    <w:p>
      <w:pPr>
        <w:spacing w:after="0" w:line="130" w:lineRule="exact"/>
        <w:rPr>
          <w:rFonts w:ascii="Arial" w:cs="Arial" w:eastAsia="Arial" w:hAnsi="Arial"/>
          <w:sz w:val="18"/>
          <w:szCs w:val="18"/>
          <w:color w:val="auto"/>
        </w:rPr>
      </w:pPr>
    </w:p>
    <w:p>
      <w:pPr>
        <w:ind w:left="1080" w:hanging="532"/>
        <w:spacing w:after="0" w:line="311" w:lineRule="auto"/>
        <w:tabs>
          <w:tab w:leader="none" w:pos="1080" w:val="left"/>
        </w:tabs>
        <w:numPr>
          <w:ilvl w:val="1"/>
          <w:numId w:val="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GoHealth, Inc. pursuant to Rule 424(b)(1) or (4) or 497(h) under the Securities Act shall be deemed to be part of this registration statement as of the time it was declared effective.</w:t>
      </w:r>
    </w:p>
    <w:p>
      <w:pPr>
        <w:spacing w:after="0" w:line="54" w:lineRule="exact"/>
        <w:rPr>
          <w:rFonts w:ascii="Arial" w:cs="Arial" w:eastAsia="Arial" w:hAnsi="Arial"/>
          <w:sz w:val="16"/>
          <w:szCs w:val="16"/>
          <w:color w:val="auto"/>
        </w:rPr>
      </w:pPr>
    </w:p>
    <w:p>
      <w:pPr>
        <w:ind w:left="1080" w:right="140" w:hanging="532"/>
        <w:spacing w:after="0" w:line="263" w:lineRule="auto"/>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Pursuant to the requirements of the Securities Act of 1933, as amended, GoHealth, Inc. has duly caused this registration statement to be signed on its behalf by the undersigned, thereunto duly authorized, in the city of Chicago, state of Illinois, on this 2nd day of July, 2020.</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GoHealth,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Clinton P. Jones</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22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4480" w:type="dxa"/>
            <w:vAlign w:val="bottom"/>
            <w:gridSpan w:val="2"/>
          </w:tcPr>
          <w:p>
            <w:pPr>
              <w:ind w:left="1700"/>
              <w:spacing w:after="0"/>
              <w:rPr>
                <w:sz w:val="20"/>
                <w:szCs w:val="20"/>
                <w:color w:val="auto"/>
              </w:rPr>
            </w:pPr>
            <w:r>
              <w:rPr>
                <w:rFonts w:ascii="Arial" w:cs="Arial" w:eastAsia="Arial" w:hAnsi="Arial"/>
                <w:sz w:val="14"/>
                <w:szCs w:val="14"/>
                <w:b w:val="1"/>
                <w:bCs w:val="1"/>
                <w:color w:val="auto"/>
              </w:rPr>
              <w:t>Signature</w:t>
            </w:r>
          </w:p>
        </w:tc>
        <w:tc>
          <w:tcPr>
            <w:tcW w:w="4260" w:type="dxa"/>
            <w:vAlign w:val="bottom"/>
          </w:tcPr>
          <w:p>
            <w:pPr>
              <w:ind w:left="1900"/>
              <w:spacing w:after="0"/>
              <w:rPr>
                <w:sz w:val="20"/>
                <w:szCs w:val="20"/>
                <w:color w:val="auto"/>
              </w:rPr>
            </w:pPr>
            <w:r>
              <w:rPr>
                <w:rFonts w:ascii="Arial" w:cs="Arial" w:eastAsia="Arial" w:hAnsi="Arial"/>
                <w:sz w:val="14"/>
                <w:szCs w:val="14"/>
                <w:b w:val="1"/>
                <w:bCs w:val="1"/>
                <w:color w:val="auto"/>
              </w:rPr>
              <w:t>Title</w:t>
            </w:r>
          </w:p>
        </w:tc>
        <w:tc>
          <w:tcPr>
            <w:tcW w:w="1300" w:type="dxa"/>
            <w:vAlign w:val="bottom"/>
          </w:tcPr>
          <w:p>
            <w:pPr>
              <w:jc w:val="center"/>
              <w:ind w:left="332"/>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Clinton P. Jones</w:t>
            </w:r>
          </w:p>
        </w:tc>
        <w:tc>
          <w:tcPr>
            <w:tcW w:w="4260" w:type="dxa"/>
            <w:vAlign w:val="bottom"/>
          </w:tcPr>
          <w:p>
            <w:pPr>
              <w:ind w:left="120"/>
              <w:spacing w:after="0"/>
              <w:rPr>
                <w:sz w:val="20"/>
                <w:szCs w:val="20"/>
                <w:color w:val="auto"/>
              </w:rPr>
            </w:pPr>
            <w:r>
              <w:rPr>
                <w:rFonts w:ascii="Arial" w:cs="Arial" w:eastAsia="Arial" w:hAnsi="Arial"/>
                <w:sz w:val="18"/>
                <w:szCs w:val="18"/>
                <w:color w:val="auto"/>
              </w:rPr>
              <w:t>Chief Executive Officer and Director (Principal</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Clinton P. Jones</w:t>
            </w:r>
          </w:p>
        </w:tc>
        <w:tc>
          <w:tcPr>
            <w:tcW w:w="4260" w:type="dxa"/>
            <w:vAlign w:val="bottom"/>
          </w:tcPr>
          <w:p>
            <w:pPr>
              <w:ind w:left="120"/>
              <w:spacing w:after="0"/>
              <w:rPr>
                <w:sz w:val="20"/>
                <w:szCs w:val="20"/>
                <w:color w:val="auto"/>
              </w:rPr>
            </w:pPr>
            <w:r>
              <w:rPr>
                <w:rFonts w:ascii="Arial" w:cs="Arial" w:eastAsia="Arial" w:hAnsi="Arial"/>
                <w:sz w:val="18"/>
                <w:szCs w:val="18"/>
                <w:color w:val="auto"/>
              </w:rPr>
              <w:t>Executive Officer)</w:t>
            </w:r>
          </w:p>
        </w:tc>
        <w:tc>
          <w:tcPr>
            <w:tcW w:w="1300" w:type="dxa"/>
            <w:vAlign w:val="bottom"/>
          </w:tcPr>
          <w:p>
            <w:pPr>
              <w:spacing w:after="0"/>
              <w:rPr>
                <w:sz w:val="19"/>
                <w:szCs w:val="19"/>
                <w:color w:val="auto"/>
              </w:rPr>
            </w:pPr>
          </w:p>
        </w:tc>
      </w:tr>
      <w:tr>
        <w:trPr>
          <w:trHeight w:val="431"/>
        </w:trPr>
        <w:tc>
          <w:tcPr>
            <w:tcW w:w="4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Travis J. Matthiesen</w:t>
            </w:r>
          </w:p>
        </w:tc>
        <w:tc>
          <w:tcPr>
            <w:tcW w:w="426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Travis J. Matthiesen</w:t>
            </w:r>
          </w:p>
        </w:tc>
        <w:tc>
          <w:tcPr>
            <w:tcW w:w="4260" w:type="dxa"/>
            <w:vAlign w:val="bottom"/>
          </w:tcPr>
          <w:p>
            <w:pPr>
              <w:ind w:left="120"/>
              <w:spacing w:after="0"/>
              <w:rPr>
                <w:sz w:val="20"/>
                <w:szCs w:val="20"/>
                <w:color w:val="auto"/>
              </w:rPr>
            </w:pPr>
            <w:r>
              <w:rPr>
                <w:rFonts w:ascii="Arial" w:cs="Arial" w:eastAsia="Arial" w:hAnsi="Arial"/>
                <w:sz w:val="18"/>
                <w:szCs w:val="18"/>
                <w:color w:val="auto"/>
              </w:rPr>
              <w:t>and Principal Accounting Officer)</w:t>
            </w:r>
          </w:p>
        </w:tc>
        <w:tc>
          <w:tcPr>
            <w:tcW w:w="130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ind w:left="24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Brandon M. Cruz</w:t>
            </w:r>
          </w:p>
        </w:tc>
        <w:tc>
          <w:tcPr>
            <w:tcW w:w="4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ind w:left="24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Rahm Emanuel</w:t>
            </w:r>
          </w:p>
        </w:tc>
        <w:tc>
          <w:tcPr>
            <w:tcW w:w="4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ind w:left="24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Joseph G. Flanagan</w:t>
            </w:r>
          </w:p>
        </w:tc>
        <w:tc>
          <w:tcPr>
            <w:tcW w:w="4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ind w:left="24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Jeremy W. Gelber</w:t>
            </w:r>
          </w:p>
        </w:tc>
        <w:tc>
          <w:tcPr>
            <w:tcW w:w="4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ind w:left="24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Miriam A. Tawil</w:t>
            </w:r>
          </w:p>
        </w:tc>
        <w:tc>
          <w:tcPr>
            <w:tcW w:w="4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ind w:left="244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300" w:type="dxa"/>
            <w:vAlign w:val="bottom"/>
          </w:tcPr>
          <w:p>
            <w:pPr>
              <w:jc w:val="center"/>
              <w:ind w:left="332"/>
              <w:spacing w:after="0"/>
              <w:rPr>
                <w:sz w:val="20"/>
                <w:szCs w:val="20"/>
                <w:color w:val="auto"/>
              </w:rPr>
            </w:pPr>
            <w:r>
              <w:rPr>
                <w:rFonts w:ascii="Arial" w:cs="Arial" w:eastAsia="Arial" w:hAnsi="Arial"/>
                <w:sz w:val="18"/>
                <w:szCs w:val="18"/>
                <w:color w:val="auto"/>
                <w:w w:val="90"/>
              </w:rPr>
              <w:t>July 2, 2020</w:t>
            </w:r>
          </w:p>
        </w:tc>
      </w:tr>
      <w:tr>
        <w:trPr>
          <w:trHeight w:val="224"/>
        </w:trPr>
        <w:tc>
          <w:tcPr>
            <w:tcW w:w="4960" w:type="dxa"/>
            <w:vAlign w:val="bottom"/>
            <w:gridSpan w:val="3"/>
          </w:tcPr>
          <w:p>
            <w:pPr>
              <w:spacing w:after="0"/>
              <w:rPr>
                <w:sz w:val="20"/>
                <w:szCs w:val="20"/>
                <w:color w:val="auto"/>
              </w:rPr>
            </w:pPr>
            <w:r>
              <w:rPr>
                <w:rFonts w:ascii="Arial" w:cs="Arial" w:eastAsia="Arial" w:hAnsi="Arial"/>
                <w:sz w:val="18"/>
                <w:szCs w:val="18"/>
                <w:color w:val="auto"/>
              </w:rPr>
              <w:t>Alexander E. Timm</w:t>
            </w:r>
          </w:p>
        </w:tc>
        <w:tc>
          <w:tcPr>
            <w:tcW w:w="4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58"/>
        </w:trPr>
        <w:tc>
          <w:tcPr>
            <w:tcW w:w="4960" w:type="dxa"/>
            <w:vAlign w:val="bottom"/>
            <w:gridSpan w:val="3"/>
          </w:tcPr>
          <w:p>
            <w:pPr>
              <w:spacing w:after="0"/>
              <w:rPr>
                <w:sz w:val="20"/>
                <w:szCs w:val="20"/>
                <w:color w:val="auto"/>
              </w:rPr>
            </w:pPr>
            <w:r>
              <w:rPr>
                <w:rFonts w:ascii="Arial" w:cs="Arial" w:eastAsia="Arial" w:hAnsi="Arial"/>
                <w:sz w:val="18"/>
                <w:szCs w:val="18"/>
                <w:color w:val="auto"/>
              </w:rPr>
              <w:t>*By:  /s/ Clinton P. Jones</w:t>
            </w:r>
          </w:p>
        </w:tc>
        <w:tc>
          <w:tcPr>
            <w:tcW w:w="4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9"/>
        </w:trPr>
        <w:tc>
          <w:tcPr>
            <w:tcW w:w="48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Clinton P. Jones</w:t>
            </w:r>
          </w:p>
        </w:tc>
        <w:tc>
          <w:tcPr>
            <w:tcW w:w="5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Arial" w:cs="Arial" w:eastAsia="Arial" w:hAnsi="Arial"/>
                <w:sz w:val="18"/>
                <w:szCs w:val="18"/>
                <w:i w:val="1"/>
                <w:iCs w:val="1"/>
                <w:color w:val="auto"/>
              </w:rPr>
              <w:t>Attorney-in-fact</w:t>
            </w:r>
          </w:p>
        </w:tc>
        <w:tc>
          <w:tcPr>
            <w:tcW w:w="4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4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60" w:type="dxa"/>
            <w:vAlign w:val="bottom"/>
          </w:tcPr>
          <w:p>
            <w:pPr>
              <w:ind w:left="400"/>
              <w:spacing w:after="0"/>
              <w:rPr>
                <w:sz w:val="20"/>
                <w:szCs w:val="20"/>
                <w:color w:val="auto"/>
              </w:rPr>
            </w:pPr>
            <w:r>
              <w:rPr>
                <w:rFonts w:ascii="Arial" w:cs="Arial" w:eastAsia="Arial" w:hAnsi="Arial"/>
                <w:sz w:val="18"/>
                <w:szCs w:val="18"/>
                <w:color w:val="auto"/>
              </w:rPr>
              <w:t>II-5</w:t>
            </w:r>
          </w:p>
        </w:tc>
        <w:tc>
          <w:tcPr>
            <w:tcW w:w="1300" w:type="dxa"/>
            <w:vAlign w:val="bottom"/>
          </w:tcPr>
          <w:p>
            <w:pPr>
              <w:spacing w:after="0"/>
              <w:rPr>
                <w:sz w:val="24"/>
                <w:szCs w:val="24"/>
                <w:color w:val="auto"/>
              </w:rPr>
            </w:pPr>
          </w:p>
        </w:tc>
      </w:tr>
    </w:tbl>
    <w:p>
      <w:pPr>
        <w:sectPr>
          <w:pgSz w:w="11900" w:h="16838" w:orient="portrait"/>
          <w:cols w:equalWidth="0" w:num="1">
            <w:col w:w="10820"/>
          </w:cols>
          <w:pgMar w:left="320" w:top="459" w:right="7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GoHealth, Inc., a Delaware corporation (the “Company”), proposes, subject to the terms and conditions stated in this agreement (this “Agreement”), to issue and sell to the several Underwriters named in Schedule I hereto (the “Underwriters”) for whom Goldman Sachs &amp; Co. LLC, BofA Securities, Inc. and Morgan Stanley &amp; Co. LLC are acting as representatives (together, the “Representatives”), an aggregate of [●] shares and, at the election of the several Underwriters, up to [●] additional shares, in each case, of Class A common stock, $0.0001 par value per share of the Company (the “Class A Common Stock” and, together with the Class B common stock, $[●] par value per share of the Company (the “Class B Common Stock”), the “Common Stock”). The aggregate of [●] shares of Class A Common Stock to be sold by the Company is herein called the “Firm Shares” and the aggregate of [●] additional shares of Class A Common Stock to be sold by the Company is herein called the “Optional Shares.” The Firm Shares and the Optional Shares that the Underwriters elect to purchase pursuant to Section 2 hereof are herein collectively called the “Shares.”</w:t>
      </w:r>
    </w:p>
    <w:p>
      <w:pPr>
        <w:spacing w:after="0" w:line="165" w:lineRule="exact"/>
        <w:rPr>
          <w:sz w:val="20"/>
          <w:szCs w:val="20"/>
          <w:color w:val="auto"/>
        </w:rPr>
      </w:pPr>
    </w:p>
    <w:p>
      <w:pPr>
        <w:ind w:right="340" w:firstLine="440"/>
        <w:spacing w:after="0" w:line="286" w:lineRule="auto"/>
        <w:rPr>
          <w:sz w:val="20"/>
          <w:szCs w:val="20"/>
          <w:color w:val="auto"/>
        </w:rPr>
      </w:pPr>
      <w:r>
        <w:rPr>
          <w:rFonts w:ascii="Arial" w:cs="Arial" w:eastAsia="Arial" w:hAnsi="Arial"/>
          <w:sz w:val="17"/>
          <w:szCs w:val="17"/>
          <w:color w:val="auto"/>
        </w:rPr>
        <w:t>The Company and Merrill Lynch, Pierce, Fenner &amp; Smith Incorporated, (an affiliate of BofA Securities, Inc., a participating Underwriter, hereafter referred to as the “Reserved Share Underwriter”) agree that up to [●]% of the Firm Shares to be purchased by Underwriters (the “Reserved Securities”) shall be reserved for sale by Merrill Lynch to certain persons designated by the Company (the</w:t>
      </w:r>
    </w:p>
    <w:p>
      <w:pPr>
        <w:sectPr>
          <w:pgSz w:w="11900" w:h="16838" w:orient="portrait"/>
          <w:cols w:equalWidth="0" w:num="1">
            <w:col w:w="11020"/>
          </w:cols>
          <w:pgMar w:left="440" w:top="121" w:right="439" w:bottom="1440" w:gutter="0" w:footer="0" w:header="0"/>
        </w:sectPr>
      </w:pPr>
    </w:p>
    <w:bookmarkStart w:id="8" w:name="page9"/>
    <w:bookmarkEnd w:id="8"/>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“Invitees”), as part of the distribution of the Shares by the Underwriters, subject to the terms of this Agreement, the applicable rules, regulations and interpretations of FINRA and all other applicable laws, rules and regulations. The Company has solely determined, without any direct or indirect participation by the Underwriters or the Reserved Share Underwriter, the Invitees who will purchase Reserved Securities (including the amount to be purchased by such persons) sold by the Reserved Share Underwriter. To the extent that such Reserved Securities are not orally confirmed for purchase by Invitees by 11:59 PM. (New York City time) on the date of this Agreement, such Reserved Securities may be offered to the public as part of the public offering contemplated hereby.</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In connection with the offering contemplated by this Agreement, the “Transactions” (as such term is defined in the Registration Statement and the Pricing Disclosure Package (each as defined below) under the caption “Our Organizational Structure”) were or will be effected, pursuant to which the Company will become the sole managing member of GoHealth Holdings, LLC, a Delaware limited liability Company (the “Holdings”). The Company and Holdings are collectively referred to herein as the “GoHealth Parties.”</w:t>
      </w:r>
    </w:p>
    <w:p>
      <w:pPr>
        <w:spacing w:after="0" w:line="187"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This Agreement, Holdings’ amended and restated limited liability company agreement to become effective on or prior to the First Time of Delivery (as so amended and restated, the “LLC Agreement”), the tax receivable agreement (the “Tax Receivable Agreement”) among the Company, Holdings and each other holder of LLC Units, the registration rights agreement (the “Registration Rights Agreement”) between the Company and certain stockholders of the Company party thereto and the stockholders agreement (the “Stockholders Agreement”) between the Company and certain stockholders of the Company party thereto are herein collectively called the “Transaction Documents.”</w:t>
      </w:r>
    </w:p>
    <w:p>
      <w:pPr>
        <w:spacing w:after="0" w:line="176" w:lineRule="exact"/>
        <w:rPr>
          <w:sz w:val="20"/>
          <w:szCs w:val="20"/>
          <w:color w:val="auto"/>
        </w:rPr>
      </w:pPr>
    </w:p>
    <w:p>
      <w:pPr>
        <w:ind w:left="620" w:hanging="18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Each GoHealth Party, jointly and severally, represents and warrants to, and agrees with, each of the Underwriters that:</w:t>
      </w:r>
    </w:p>
    <w:p>
      <w:pPr>
        <w:spacing w:after="0" w:line="117" w:lineRule="exact"/>
        <w:rPr>
          <w:rFonts w:ascii="Arial" w:cs="Arial" w:eastAsia="Arial" w:hAnsi="Arial"/>
          <w:sz w:val="18"/>
          <w:szCs w:val="18"/>
          <w:color w:val="auto"/>
        </w:rPr>
      </w:pPr>
    </w:p>
    <w:p>
      <w:pPr>
        <w:ind w:left="440" w:firstLine="419"/>
        <w:spacing w:after="0" w:line="268" w:lineRule="auto"/>
        <w:tabs>
          <w:tab w:leader="none" w:pos="1078" w:val="left"/>
        </w:tabs>
        <w:numPr>
          <w:ilvl w:val="1"/>
          <w:numId w:val="9"/>
        </w:numPr>
        <w:rPr>
          <w:rFonts w:ascii="Arial" w:cs="Arial" w:eastAsia="Arial" w:hAnsi="Arial"/>
          <w:sz w:val="17"/>
          <w:szCs w:val="17"/>
          <w:color w:val="auto"/>
        </w:rPr>
      </w:pPr>
      <w:r>
        <w:rPr>
          <w:rFonts w:ascii="Arial" w:cs="Arial" w:eastAsia="Arial" w:hAnsi="Arial"/>
          <w:sz w:val="17"/>
          <w:szCs w:val="17"/>
          <w:color w:val="auto"/>
        </w:rPr>
        <w:t>A registration statement on Form S–1 (File No. 333-239287) (the “Initial Registration Statement”) in respect of the Shares has been filed with the Securities and Exchange Commission (the “Commission”); the Initial Registration Statement and any post-effective amendment thereto, each in the form heretofore delivered to you, have been declared effective by the Commission in such form;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has been filed with the Commission; and no stop order suspending the effectiveness of the Initial Registration Statement, any post-effective amendment thereto or the Rule 462(b) Registration Statement, if any, has been issued and no proceeding for that purpose or pursuant to Section 8A under the Act has been initiated or, to the knowledge of the GoHealth Parties,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9" w:name="page10"/>
    <w:bookmarkEnd w:id="9"/>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Preliminary Prospectus relating to the Shares that was included in the Registration Statement immediately prior to the Applicable Time (as defined in Section 1(a)(iii) hereof) is hereinafter called the “Pricing Prospectus”; such final prospectus, in the form first filed pursuant to Rule 424(b) under the Act, is hereinafter called the “Prospectus”; any oral or written communication with potential investors undertaken in reliance on Section 5(d) of the Act or Rule 163B under the Act is hereinafter called a “Testing-the-Waters Communication”;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87" w:lineRule="exact"/>
        <w:rPr>
          <w:sz w:val="20"/>
          <w:szCs w:val="20"/>
          <w:color w:val="auto"/>
        </w:rPr>
      </w:pPr>
    </w:p>
    <w:p>
      <w:pPr>
        <w:ind w:right="160" w:firstLine="419"/>
        <w:spacing w:after="0" w:line="293" w:lineRule="auto"/>
        <w:tabs>
          <w:tab w:leader="none" w:pos="688"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 (as defined in Section 9(b) of this Agreement);</w:t>
      </w:r>
    </w:p>
    <w:p>
      <w:pPr>
        <w:spacing w:after="0" w:line="56" w:lineRule="exact"/>
        <w:rPr>
          <w:rFonts w:ascii="Arial" w:cs="Arial" w:eastAsia="Arial" w:hAnsi="Arial"/>
          <w:sz w:val="16"/>
          <w:szCs w:val="16"/>
          <w:color w:val="auto"/>
        </w:rPr>
      </w:pPr>
    </w:p>
    <w:p>
      <w:pPr>
        <w:ind w:firstLine="419"/>
        <w:spacing w:after="0" w:line="269" w:lineRule="auto"/>
        <w:tabs>
          <w:tab w:leader="none" w:pos="738" w:val="left"/>
        </w:tabs>
        <w:numPr>
          <w:ilvl w:val="0"/>
          <w:numId w:val="10"/>
        </w:numPr>
        <w:rPr>
          <w:rFonts w:ascii="Arial" w:cs="Arial" w:eastAsia="Arial" w:hAnsi="Arial"/>
          <w:sz w:val="17"/>
          <w:szCs w:val="17"/>
          <w:color w:val="auto"/>
        </w:rPr>
      </w:pPr>
      <w:r>
        <w:rPr>
          <w:rFonts w:ascii="Arial" w:cs="Arial" w:eastAsia="Arial" w:hAnsi="Arial"/>
          <w:sz w:val="17"/>
          <w:szCs w:val="17"/>
          <w:color w:val="auto"/>
        </w:rPr>
        <w:t>For the purposes of this Agreement, the “Applicable Time” is [●]:[●] [a.m.][p.m.]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73" w:lineRule="exact"/>
        <w:rPr>
          <w:rFonts w:ascii="Arial" w:cs="Arial" w:eastAsia="Arial" w:hAnsi="Arial"/>
          <w:sz w:val="17"/>
          <w:szCs w:val="17"/>
          <w:color w:val="auto"/>
        </w:rPr>
      </w:pPr>
    </w:p>
    <w:p>
      <w:pPr>
        <w:ind w:right="180" w:firstLine="419"/>
        <w:spacing w:after="0" w:line="277" w:lineRule="auto"/>
        <w:tabs>
          <w:tab w:leader="none" w:pos="7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documents were filed with the Commission since the Commission’s close of business on the business day immediately prior to the date of this Agreement and prior to the execution of this Agreement;</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Registration Statement, at the time it was declared effective, conforms, and any further amendments or supplements to the</w:t>
      </w:r>
    </w:p>
    <w:p>
      <w:pPr>
        <w:spacing w:after="0" w:line="34" w:lineRule="exact"/>
        <w:rPr>
          <w:rFonts w:ascii="Arial" w:cs="Arial" w:eastAsia="Arial" w:hAnsi="Arial"/>
          <w:sz w:val="17"/>
          <w:szCs w:val="17"/>
          <w:color w:val="auto"/>
        </w:rPr>
      </w:pPr>
    </w:p>
    <w:p>
      <w:pPr>
        <w:spacing w:after="0" w:line="253" w:lineRule="auto"/>
        <w:rPr>
          <w:rFonts w:ascii="Arial" w:cs="Arial" w:eastAsia="Arial" w:hAnsi="Arial"/>
          <w:sz w:val="17"/>
          <w:szCs w:val="17"/>
          <w:color w:val="auto"/>
        </w:rPr>
      </w:pPr>
      <w:r>
        <w:rPr>
          <w:rFonts w:ascii="Arial" w:cs="Arial" w:eastAsia="Arial" w:hAnsi="Arial"/>
          <w:sz w:val="18"/>
          <w:szCs w:val="18"/>
          <w:color w:val="auto"/>
        </w:rPr>
        <w:t>Registration Statement on the date when such amendment or supplement is first filed will conform, in all material respects to the requirements of the Act and the rules and regulations of the Commission thereunder and do not, and will not, as of the applicable effective date as to each part of the Registration Statement, and any amendment or supplement thereto, and as of each Time of Delivery, contain an untrue statement of a material fact or omit to state a material fact required to be stated therein or necessary to make the statements therein not misleading; and the Prospectus and any further amendments</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10" w:name="page11"/>
    <w:bookmarkEnd w:id="1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supplements to the Prospectus, on the date when such Prospectus or any such amendment or supplement is first filed, will conform, in all material respects to the requirements of the Act and the rules and regulations of the Commission thereunder and do not and will not, as of the applicable filing date as to the Prospectus and any amendment or supplement thereto, and as of each Time of Delivery, contain an untrue statement of a material fact or omit to state a material fact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70" w:lineRule="exact"/>
        <w:rPr>
          <w:sz w:val="20"/>
          <w:szCs w:val="20"/>
          <w:color w:val="auto"/>
        </w:rPr>
      </w:pPr>
    </w:p>
    <w:p>
      <w:pPr>
        <w:ind w:right="100" w:firstLine="419"/>
        <w:spacing w:after="0" w:line="286" w:lineRule="auto"/>
        <w:tabs>
          <w:tab w:leader="none" w:pos="7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GoHealth Parties and their respective subsidiaries, taken as a whole, have not, since the date of the latest audited financial statements included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GoHealth Parties and their respective subsidiaries taken as a whole or incurred any liability or obligation, direct or contingent, that is material to the GoHealth Parties and their respective subsidiaries taken as a whole, in each case otherwise than as set forth or contemplated in the Pricing Prospectus; and, since the respective dates as of which information is given in the Registration Statement and the Pricing Prospectus, there has not been (x) any change in the capital stock or membership interests (other than as a result of the exercise or settlement (including any “net” or “cashless” exercises or settlements), if any, of stock options or the award, if any, of stock options or restricted stock in the ordinary course of business pursuant to the Company’s equity plans that are described in the Pricing Prospectus and the Prospectus) or increase in the long-term debt of the GoHealth Parties or any of their respective subsidiaries or (y) any material adverse change or effect, or any development involving a prospective material adverse change or effect, in or affecting (i) the business, properties, general affairs, management, financial position, stockholders equity or results of operations of the GoHealth Parties and their respective subsidiaries, taken as a whole, except as set forth or contemplated in the Pricing Prospectus, or (ii) the ability of any GoHealth Party to perform its obligations under this Agreement;</w:t>
      </w:r>
    </w:p>
    <w:p>
      <w:pPr>
        <w:spacing w:after="0" w:line="62" w:lineRule="exact"/>
        <w:rPr>
          <w:rFonts w:ascii="Arial" w:cs="Arial" w:eastAsia="Arial" w:hAnsi="Arial"/>
          <w:sz w:val="16"/>
          <w:szCs w:val="16"/>
          <w:color w:val="auto"/>
        </w:rPr>
      </w:pPr>
    </w:p>
    <w:p>
      <w:pPr>
        <w:ind w:right="20" w:firstLine="419"/>
        <w:spacing w:after="0" w:line="270" w:lineRule="auto"/>
        <w:tabs>
          <w:tab w:leader="none" w:pos="77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GoHealth Parties and their respective subsidiaries do not own any real property. Except as would not, individually or in the aggregate, reasonably be expected to have a Material Adverse Effect (as defined below), the GoHealth Parties have good and marketable title in fee simple to all personal property owned by them, in each case free and clear of all liens, encumbrances and defects except such as are described in the Pricing Prospectus; and any real property and buildings held under lease by the GoHealth Parties and their respective subsidiaries are held by them under valid, subsisting and enforceable leases with such exceptions as would not, individually or in the aggregate, reasonably be expected to have a Material Adverse Effect; as used in this Agreement, “Material Adverse Effect” shall mean any material adverse change or effect in or affecting (i) the business, properties, financial position or results of operations of the GoHealth Parties and their respective subsidiaries, taken as a whole, except as set forth or contemplated in the Pricing Prospectus, or (ii) the ability of any GoHealth Party to perform its obligations under this Agreement;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11" w:name="page12"/>
    <w:bookmarkEnd w:id="11"/>
    <w:p>
      <w:pPr>
        <w:ind w:right="100" w:firstLine="419"/>
        <w:spacing w:after="0" w:line="272" w:lineRule="auto"/>
        <w:tabs>
          <w:tab w:leader="none" w:pos="828" w:val="left"/>
        </w:tabs>
        <w:numPr>
          <w:ilvl w:val="0"/>
          <w:numId w:val="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of the GoHealth Parties and each of their respective subsidiaries has been (i) duly organized and is validly existing and in good standing under the laws of its jurisdiction of organization, with power and authority (corporate and other) to own its properties and conduct its business as described in the Pricing Prospectus, and (ii) duly qualified as a foreign corporation or other business entity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required to be identified in the Registration Statement is set forth in Exhibit 21.1 of the Registration Statement;</w:t>
      </w:r>
    </w:p>
    <w:p>
      <w:pPr>
        <w:spacing w:after="0" w:line="69" w:lineRule="exact"/>
        <w:rPr>
          <w:rFonts w:ascii="Arial" w:cs="Arial" w:eastAsia="Arial" w:hAnsi="Arial"/>
          <w:sz w:val="17"/>
          <w:szCs w:val="17"/>
          <w:color w:val="auto"/>
        </w:rPr>
      </w:pPr>
    </w:p>
    <w:p>
      <w:pPr>
        <w:ind w:firstLine="419"/>
        <w:spacing w:after="0" w:line="291" w:lineRule="auto"/>
        <w:tabs>
          <w:tab w:leader="none" w:pos="7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GoHealth Parties have, and immediately following the Transactions, will have an authorized capitalization as set forth in the Pricing Prospectus and all of the issued shares of capital stock or membership interests, as applicable, of the GoHealth Parties have been duly and validly authorized and issued and are fully paid and non-assessable; and all of the issued shares of capital stock or similar ownership interest of each subsidiary of the GoHealth Parties have been duly and validly authorized and issued, are fully paid and non-assessable and, except as would not, individually or in the aggregate, reasonably be expected to result in a Material Adverse Effect, all of the issued equity interests of each subsidiary of the GoHealth Parties are owned directly or indirectly by the GoHealth Parties, as applicable, free and clear of all liens, encumbrances, equities or claims, except for such liens or encumbrances described in the Pricing Prospectus and the Prospectus;</w:t>
      </w:r>
    </w:p>
    <w:p>
      <w:pPr>
        <w:spacing w:after="0" w:line="58" w:lineRule="exact"/>
        <w:rPr>
          <w:rFonts w:ascii="Arial" w:cs="Arial" w:eastAsia="Arial" w:hAnsi="Arial"/>
          <w:sz w:val="16"/>
          <w:szCs w:val="16"/>
          <w:color w:val="auto"/>
        </w:rPr>
      </w:pPr>
    </w:p>
    <w:p>
      <w:pPr>
        <w:ind w:right="60" w:firstLine="419"/>
        <w:spacing w:after="0" w:line="255"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to be issued and sold by the Company hereunder and the shares of Class B Common Stock to be issued by the Company in the Transactions have been duly and validly authorized and, when issued and delivered, in the case of the Shares, against payment therefor as provided herein and, in the case of the shares of Class B Common Stock, in the Transactions, will be duly and validly issued and fully paid and non-assessable and will conform to the description of the Common Stock contained in the Pricing Disclosure Package and the Prospectus; and the issuance of the shares of Common Stock is not subject to any preemptive or similar rights, in each case other than rights that have been complied with or waived;</w:t>
      </w:r>
    </w:p>
    <w:p>
      <w:pPr>
        <w:spacing w:after="0" w:line="84" w:lineRule="exact"/>
        <w:rPr>
          <w:rFonts w:ascii="Arial" w:cs="Arial" w:eastAsia="Arial" w:hAnsi="Arial"/>
          <w:sz w:val="18"/>
          <w:szCs w:val="18"/>
          <w:color w:val="auto"/>
        </w:rPr>
      </w:pPr>
    </w:p>
    <w:p>
      <w:pPr>
        <w:ind w:firstLine="419"/>
        <w:spacing w:after="0" w:line="268" w:lineRule="auto"/>
        <w:tabs>
          <w:tab w:leader="none" w:pos="72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issue and sale of the Shares to be sold by the Company, the issuance of shares of Class B Common Stock by the Company in the Transactions and the compliance by the GoHealth Parties with the Transaction Documents and the consummation of the transactions contemplated in the Transaction Documents, the Pricing Prospectus and the Prospectus (including, without limitation, the Transactions) will not conflict with or result in a breach or violation of any of the terms or provisions of, or constitute a default under, (A) any indenture, mortgage, deed of trust, loan agreement, lease or other agreement or instrument to which any GoHealth Party or any subsidiary of any GoHealth Party is a party or by which any GoHealth Party or any subsidiary of any GoHealth Party is bound or to which any of the property or assets of any GoHealth Party or any subsidiary of any GoHealth Party is subject, except, in the case of this clause (A) for such defaults, breaches, or violations that would not, individually or in the aggregate, have a Material Adverse Effect, (B) the certificate of incorporation or by-laws (or other applicable organizational document) of any GoHealth Party or subsidiary of a GoHealth Party, or (C) any statute or any judgment, order, rule or regulation of any court, arbitrator or governmental or regulatory agency, body or authority (“Governmental Entity”) having jurisdiction over any GoHealth Party or a subsidiary of a GoHealth Party or any of its properties, except, in the case of this clause (C) for such defaults, breaches, or violations that would not, individually or in the aggregate, have a Material Adverse Effect; and no consent, approval, authorization, order, registration or qualification of or with any such Governmental Entity is required for the issuance of the Shares to be sold by the Company, the issuance of shares of Class B Common</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12" w:name="page13"/>
    <w:bookmarkEnd w:id="12"/>
    <w:p>
      <w:pPr>
        <w:ind w:left="4" w:righ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 by the Company in the Transactions and the sale of the Shares or the consummation by the GoHealth Parties of the transactions contemplated by Transaction Documents, the Pricing Prospectus and the Prospectus (including, without limitation, the Transactions), except</w:t>
      </w:r>
    </w:p>
    <w:p>
      <w:pPr>
        <w:ind w:left="4" w:right="120" w:hanging="4"/>
        <w:spacing w:after="0" w:line="295" w:lineRule="auto"/>
        <w:tabs>
          <w:tab w:leader="none" w:pos="298"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as have been obtained under the Act, the approval by the Financial Industry Regulatory Authority (“FINRA”) of the underwriting terms and arrangements and such consents, approvals, authorizations, orders, registrations or qualifications as may have been obtained or as may be required under state securities or Blue Sky laws in connection with the purchase and distribution of the Shares by the Underwriters and (Y) such as have been obtained under the laws and regulations of jurisdictions outside the United States in which the Reserved Securities were offered;</w:t>
      </w:r>
    </w:p>
    <w:p>
      <w:pPr>
        <w:spacing w:after="0" w:line="53" w:lineRule="exact"/>
        <w:rPr>
          <w:rFonts w:ascii="Arial" w:cs="Arial" w:eastAsia="Arial" w:hAnsi="Arial"/>
          <w:sz w:val="16"/>
          <w:szCs w:val="16"/>
          <w:color w:val="auto"/>
        </w:rPr>
      </w:pPr>
    </w:p>
    <w:p>
      <w:pPr>
        <w:ind w:left="4" w:right="40" w:firstLine="419"/>
        <w:spacing w:after="0" w:line="254" w:lineRule="auto"/>
        <w:tabs>
          <w:tab w:leader="none" w:pos="781"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any GoHealth Party nor any subsidiary of any GoHealth Party is (i) in violation of its certificate of incorporation or by-laws (or other applicable organizational document), (ii) in violation of any statute or any judgment, order, rule or regulation of any Governmental Entity having jurisdiction over the GoHealth Parties or any of their respective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86" w:lineRule="exact"/>
        <w:rPr>
          <w:rFonts w:ascii="Arial" w:cs="Arial" w:eastAsia="Arial" w:hAnsi="Arial"/>
          <w:sz w:val="18"/>
          <w:szCs w:val="18"/>
          <w:color w:val="auto"/>
        </w:rPr>
      </w:pPr>
    </w:p>
    <w:p>
      <w:pPr>
        <w:ind w:left="4" w:right="80" w:firstLine="419"/>
        <w:spacing w:after="0" w:line="263" w:lineRule="auto"/>
        <w:tabs>
          <w:tab w:leader="none" w:pos="83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statements set forth in the Pricing Prospectus and the Prospectus under the caption “Description of Capital Stock”, insofar as they purport to constitute a summary of the terms of the Common Stock, insofar as they purport to describe the provisions of the laws and documents referred to therein, are accurate, complete and fair in all material respects;</w:t>
      </w:r>
    </w:p>
    <w:p>
      <w:pPr>
        <w:spacing w:after="0" w:line="75" w:lineRule="exact"/>
        <w:rPr>
          <w:rFonts w:ascii="Arial" w:cs="Arial" w:eastAsia="Arial" w:hAnsi="Arial"/>
          <w:sz w:val="18"/>
          <w:szCs w:val="18"/>
          <w:color w:val="auto"/>
        </w:rPr>
      </w:pPr>
    </w:p>
    <w:p>
      <w:pPr>
        <w:ind w:left="4" w:firstLine="419"/>
        <w:spacing w:after="0" w:line="270" w:lineRule="auto"/>
        <w:tabs>
          <w:tab w:leader="none" w:pos="821" w:val="left"/>
        </w:tabs>
        <w:numPr>
          <w:ilvl w:val="1"/>
          <w:numId w:val="13"/>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there are no legal or governmental proceedings pending to which the GoHealth Parties or any of their respective subsidiaries or, to the GoHealth Parties’ knowledge, any officer or director of each of the GoHealth Parties is a party or of which any property or assets of the GoHealth Parties or any of their respective subsidiaries or, to the GoHealth Parties’ knowledge, any officer or director of any GoHealth Party is the subject which, if determined adversely to the GoHealth Parties or any of their respective subsidiaries (or such officer or director), would individually or in the aggregate (i) have a Material Adverse Effect; and, to the GoHealth Parties’ knowledge, no such proceedings are threatened or contemplated by governmental authorities or others or (ii) impair the ability of the GoHealth Parties to perform their obligations under Transaction Documents, including the issuance and sale of the Shares or the issuance of shares of Class B Common Stock by the Company in the Transactions or to consummate the transactions contemplated in Transaction Documents, the Pricing Prospectus and the Prospectus (including, without limitation, the Transactions);</w:t>
      </w:r>
    </w:p>
    <w:p>
      <w:pPr>
        <w:spacing w:after="0" w:line="72" w:lineRule="exact"/>
        <w:rPr>
          <w:rFonts w:ascii="Arial" w:cs="Arial" w:eastAsia="Arial" w:hAnsi="Arial"/>
          <w:sz w:val="17"/>
          <w:szCs w:val="17"/>
          <w:color w:val="auto"/>
        </w:rPr>
      </w:pPr>
    </w:p>
    <w:p>
      <w:pPr>
        <w:jc w:val="both"/>
        <w:ind w:left="4" w:right="20" w:firstLine="419"/>
        <w:spacing w:after="0" w:line="263" w:lineRule="auto"/>
        <w:tabs>
          <w:tab w:leader="none" w:pos="7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GoHealth Party is and, after giving effect to the offering and sale of the Shares and the application of the proceeds thereof, will be required to register as an “investment company,” as such term is defined in the Investment Company Act of 1940, as amended (the “Investment Company Act”);</w:t>
      </w:r>
    </w:p>
    <w:p>
      <w:pPr>
        <w:spacing w:after="0" w:line="75" w:lineRule="exact"/>
        <w:rPr>
          <w:rFonts w:ascii="Arial" w:cs="Arial" w:eastAsia="Arial" w:hAnsi="Arial"/>
          <w:sz w:val="18"/>
          <w:szCs w:val="18"/>
          <w:color w:val="auto"/>
        </w:rPr>
      </w:pPr>
    </w:p>
    <w:p>
      <w:pPr>
        <w:ind w:left="4" w:right="80" w:firstLine="419"/>
        <w:spacing w:after="0" w:line="263" w:lineRule="auto"/>
        <w:tabs>
          <w:tab w:leader="none" w:pos="82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13" w:name="page14"/>
    <w:bookmarkEnd w:id="13"/>
    <w:p>
      <w:pPr>
        <w:ind w:right="180" w:firstLine="419"/>
        <w:spacing w:after="0" w:line="263" w:lineRule="auto"/>
        <w:tabs>
          <w:tab w:leader="none" w:pos="868"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Ernst &amp; Young LLP, who have certified certain financial statements of the GoHealth Parties and their respective subsidiaries, are independent registered public accounting firm as required by the Act and the rules and regulations of the Commission thereunder and the Public Company Accounting Oversight Board;</w:t>
      </w:r>
    </w:p>
    <w:p>
      <w:pPr>
        <w:spacing w:after="0" w:line="75" w:lineRule="exact"/>
        <w:rPr>
          <w:rFonts w:ascii="Arial" w:cs="Arial" w:eastAsia="Arial" w:hAnsi="Arial"/>
          <w:sz w:val="18"/>
          <w:szCs w:val="18"/>
          <w:color w:val="auto"/>
        </w:rPr>
      </w:pPr>
    </w:p>
    <w:p>
      <w:pPr>
        <w:ind w:firstLine="419"/>
        <w:spacing w:after="0" w:line="269" w:lineRule="auto"/>
        <w:tabs>
          <w:tab w:leader="none" w:pos="9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Holdings maintains a system of internal control over financial reporting (as such term is defined in Rule 13a-15(f) under the Securities Exchange Act of 1934, as amended (the “Exchange Act”)) that (i) has been designed to comply with the requirements of the Exchange Act, (ii) has been designed by Holdings’ principal executive officer and principal financial officer, or under their supervision</w:t>
      </w:r>
      <w:r>
        <w:rPr>
          <w:rFonts w:ascii="Arial" w:cs="Arial" w:eastAsia="Arial" w:hAnsi="Arial"/>
          <w:sz w:val="17"/>
          <w:szCs w:val="17"/>
          <w:b w:val="1"/>
          <w:bCs w:val="1"/>
          <w:color w:val="auto"/>
        </w:rPr>
        <w:t>,</w:t>
      </w:r>
      <w:r>
        <w:rPr>
          <w:rFonts w:ascii="Arial" w:cs="Arial" w:eastAsia="Arial" w:hAnsi="Arial"/>
          <w:sz w:val="17"/>
          <w:szCs w:val="17"/>
          <w:color w:val="auto"/>
        </w:rPr>
        <w:t xml:space="preserve">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Holdings is not aware of any material weaknesses in its internal control over financial reporting; provided, however, that this subsection does not require that Holdings complies with Section 404 of the Sarbanes-Oxley Act of 2002 and the rules and regulations promulgated thereunder (the “Sarbanes-Oxley Act”) as of an earlier date than it would otherwise be required to so comply under applicable law;</w:t>
      </w:r>
    </w:p>
    <w:p>
      <w:pPr>
        <w:spacing w:after="0" w:line="70" w:lineRule="exact"/>
        <w:rPr>
          <w:rFonts w:ascii="Arial" w:cs="Arial" w:eastAsia="Arial" w:hAnsi="Arial"/>
          <w:sz w:val="17"/>
          <w:szCs w:val="17"/>
          <w:color w:val="auto"/>
        </w:rPr>
      </w:pPr>
    </w:p>
    <w:p>
      <w:pPr>
        <w:ind w:firstLine="419"/>
        <w:spacing w:after="0" w:line="263" w:lineRule="auto"/>
        <w:tabs>
          <w:tab w:leader="none" w:pos="8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in the Pricing Prospectus, there has been no change in Holding’s internal control over financial reporting that has materially affected, or is reasonably likely to materially affect, such internal control over financial reporting;</w:t>
      </w:r>
    </w:p>
    <w:p>
      <w:pPr>
        <w:spacing w:after="0" w:line="75" w:lineRule="exact"/>
        <w:rPr>
          <w:rFonts w:ascii="Arial" w:cs="Arial" w:eastAsia="Arial" w:hAnsi="Arial"/>
          <w:sz w:val="18"/>
          <w:szCs w:val="18"/>
          <w:color w:val="auto"/>
        </w:rPr>
      </w:pPr>
    </w:p>
    <w:p>
      <w:pPr>
        <w:ind w:right="120" w:firstLine="419"/>
        <w:spacing w:after="0" w:line="254" w:lineRule="auto"/>
        <w:tabs>
          <w:tab w:leader="none" w:pos="7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GoHealth Party and their respective subsidiaries has designed a system of disclosure controls and procedures (as such term is defined in Rule 13a-15(e) under the Exchange Act) that will comply with the requirements of the Exchange Act within the time period required; such disclosure controls and procedures have been designed to ensure that material information relating to the GoHealth Parties and their respective subsidiaries is made known to the applicable GoHealth Party’s principal executive officer and principal financial officer by others within those entities; provided, however, that this subsection does not require that each GoHealth Party complies with Section 404 of the Sarbanes-Oxley Act of 2002 and the rules and regulations promulgated thereunder (the “Sarbanes-Oxley Act”) as of an earlier date than it would otherwise be required to so comply under applicable law;</w:t>
      </w:r>
    </w:p>
    <w:p>
      <w:pPr>
        <w:spacing w:after="0" w:line="86" w:lineRule="exact"/>
        <w:rPr>
          <w:rFonts w:ascii="Arial" w:cs="Arial" w:eastAsia="Arial" w:hAnsi="Arial"/>
          <w:sz w:val="18"/>
          <w:szCs w:val="18"/>
          <w:color w:val="auto"/>
        </w:rPr>
      </w:pPr>
    </w:p>
    <w:p>
      <w:pPr>
        <w:ind w:right="80" w:firstLine="419"/>
        <w:spacing w:after="0" w:line="273" w:lineRule="auto"/>
        <w:tabs>
          <w:tab w:leader="none" w:pos="81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each of the GoHealth Parties; and each of the other Transaction Documents have been duly authorized by each GoHealth Party party thereto and, when duly executed and delivered in accordance with its terms by each of the parties thereto, will constitute a valid and legally binding obligation of each such GoHealth Party enforceable against it in accordance with its terms, except as enforceability may be limited by applicable bankruptcy, insolvency or similar laws affecting creditors’ rights generally or by equitable principles relating to enforceability; and each such Transaction Document conforms in all material respects to the description thereof contained in the Pricing Prospectus and the Prospectus;</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14" w:name="page15"/>
    <w:bookmarkEnd w:id="14"/>
    <w:p>
      <w:pPr>
        <w:jc w:val="both"/>
        <w:ind w:left="4" w:right="200" w:firstLine="419"/>
        <w:spacing w:after="0" w:line="291" w:lineRule="auto"/>
        <w:tabs>
          <w:tab w:leader="none" w:pos="871"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None of the GoHealth Parties, any of their respective subsidiaries or, to the knowledge of the GoHealth Parties, any director, officer, agent, employee, affiliate or other person associated with or acting on behalf of the GoHealth Parties or any of their respective subsidiaries have</w:t>
      </w:r>
    </w:p>
    <w:p>
      <w:pPr>
        <w:ind w:left="4" w:right="60" w:hanging="4"/>
        <w:spacing w:after="0" w:line="252" w:lineRule="auto"/>
        <w:tabs>
          <w:tab w:leader="none" w:pos="218"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the Bribery Act 2010 of the United Kingdom or any other applicable anti-bribery or anti-corruption law; neither any GoHealth Party nor any subsidiary of any GoHealth Party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85" w:lineRule="exact"/>
        <w:rPr>
          <w:rFonts w:ascii="Arial" w:cs="Arial" w:eastAsia="Arial" w:hAnsi="Arial"/>
          <w:sz w:val="18"/>
          <w:szCs w:val="18"/>
          <w:color w:val="auto"/>
        </w:rPr>
      </w:pPr>
    </w:p>
    <w:p>
      <w:pPr>
        <w:ind w:left="4" w:right="80" w:firstLine="419"/>
        <w:spacing w:after="0" w:line="293" w:lineRule="auto"/>
        <w:tabs>
          <w:tab w:leader="none" w:pos="921"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operations of the GoHealth Parties and their respective subsidiaries are and have been conducted at all times in compliance in all material respects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GoHealth Parties and their respective subsidiaries conduct business (collectively, the “Money Laundering Laws”) and no action, suit or proceeding by or before any Governmental Entity involving the GoHealth Parties or any of their respective subsidiaries with respect to the Money Laundering Laws is pending or, to the knowledge of the GoHealth Parties, threatened;</w:t>
      </w:r>
    </w:p>
    <w:p>
      <w:pPr>
        <w:spacing w:after="0" w:line="56" w:lineRule="exact"/>
        <w:rPr>
          <w:rFonts w:ascii="Arial" w:cs="Arial" w:eastAsia="Arial" w:hAnsi="Arial"/>
          <w:sz w:val="16"/>
          <w:szCs w:val="16"/>
          <w:color w:val="auto"/>
        </w:rPr>
      </w:pPr>
    </w:p>
    <w:p>
      <w:pPr>
        <w:ind w:left="4" w:firstLine="419"/>
        <w:spacing w:after="0" w:line="268" w:lineRule="auto"/>
        <w:tabs>
          <w:tab w:leader="none" w:pos="911" w:val="left"/>
        </w:tabs>
        <w:numPr>
          <w:ilvl w:val="1"/>
          <w:numId w:val="16"/>
        </w:numPr>
        <w:rPr>
          <w:rFonts w:ascii="Arial" w:cs="Arial" w:eastAsia="Arial" w:hAnsi="Arial"/>
          <w:sz w:val="17"/>
          <w:szCs w:val="17"/>
          <w:color w:val="auto"/>
        </w:rPr>
      </w:pPr>
      <w:r>
        <w:rPr>
          <w:rFonts w:ascii="Arial" w:cs="Arial" w:eastAsia="Arial" w:hAnsi="Arial"/>
          <w:sz w:val="17"/>
          <w:szCs w:val="17"/>
          <w:color w:val="auto"/>
        </w:rPr>
        <w:t>None of the GoHealth Parties, any of their respective subsidiaries or, to the knowledge of the GoHealth Parties, any director, officer, agent, employee or affiliate of the GoHealth Parties or any of their respective subsidiaries are (A)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or (B) located, organized, or resident in a country or territory that is the subject or target of Sanctions, and the GoHealth Parties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any GoHealth Party nor any subsidiary of any GoHealth Party have knowingly engaged in, or are now knowingly engaged in, any dealings or transactions with any Person, or in any country or territory, that at the time of the dealing or transaction is or was the subject of Sanctions;</w:t>
      </w:r>
    </w:p>
    <w:p>
      <w:pPr>
        <w:spacing w:after="0" w:line="119"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876" w:top="274" w:right="439" w:bottom="1440" w:gutter="0" w:footer="0" w:header="0"/>
        </w:sectPr>
      </w:pPr>
    </w:p>
    <w:bookmarkStart w:id="15" w:name="page16"/>
    <w:bookmarkEnd w:id="15"/>
    <w:p>
      <w:pPr>
        <w:ind w:right="60" w:firstLine="419"/>
        <w:spacing w:after="0" w:line="269" w:lineRule="auto"/>
        <w:tabs>
          <w:tab w:leader="none" w:pos="858"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financial statements included in the Registration Statement, the Pricing Prospectus and the Prospectus, together with the related schedules and notes, present fairly in all material respects the financial position of the GoHealth Parties and their respective subsidiaries at the dates indicated and the statement of operations, stockholders’ equity and cash flows of the GoHealth Parties and their respective subsidiaries for the periods specified; said financial statements have been prepared in conformity with U.S. generally accepted accounting principles (“GAAP”) applied on a consistent basis throughout the periods involved.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 All disclosures contained in the Registration Statement, the Pricing Prospectus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spacing w:after="0" w:line="70" w:lineRule="exact"/>
        <w:rPr>
          <w:rFonts w:ascii="Arial" w:cs="Arial" w:eastAsia="Arial" w:hAnsi="Arial"/>
          <w:sz w:val="17"/>
          <w:szCs w:val="17"/>
          <w:color w:val="auto"/>
        </w:rPr>
      </w:pPr>
    </w:p>
    <w:p>
      <w:pPr>
        <w:ind w:right="260" w:firstLine="419"/>
        <w:spacing w:after="0" w:line="263" w:lineRule="auto"/>
        <w:tabs>
          <w:tab w:leader="none" w:pos="9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a registration statement relating to the Shares with the Commission through the date hereof, the Company has been and is an “emerging growth company” as defined in Section 2(a)(19) of the Act (an “Emerging Growth Company”);</w:t>
      </w:r>
    </w:p>
    <w:p>
      <w:pPr>
        <w:spacing w:after="0" w:line="75" w:lineRule="exact"/>
        <w:rPr>
          <w:rFonts w:ascii="Arial" w:cs="Arial" w:eastAsia="Arial" w:hAnsi="Arial"/>
          <w:sz w:val="18"/>
          <w:szCs w:val="18"/>
          <w:color w:val="auto"/>
        </w:rPr>
      </w:pPr>
    </w:p>
    <w:p>
      <w:pPr>
        <w:ind w:firstLine="419"/>
        <w:spacing w:after="0" w:line="254" w:lineRule="auto"/>
        <w:tabs>
          <w:tab w:leader="none" w:pos="9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GoHealth Parties and their respective subsidiaries (i) are in compliance with any and all applicable foreign, federal, state and local laws and regulations relating to the protection of human health and safety, the environment or hazardous or toxic substances, wastes or materials,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w:t>
      </w:r>
    </w:p>
    <w:p>
      <w:pPr>
        <w:spacing w:after="0" w:line="86" w:lineRule="exact"/>
        <w:rPr>
          <w:rFonts w:ascii="Arial" w:cs="Arial" w:eastAsia="Arial" w:hAnsi="Arial"/>
          <w:sz w:val="18"/>
          <w:szCs w:val="18"/>
          <w:color w:val="auto"/>
        </w:rPr>
      </w:pPr>
    </w:p>
    <w:p>
      <w:pPr>
        <w:ind w:right="140" w:firstLine="419"/>
        <w:spacing w:after="0" w:line="311" w:lineRule="auto"/>
        <w:tabs>
          <w:tab w:leader="none" w:pos="10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There are no persons with registration rights or other similar rights to have any securities registered for sale pursuant to the Registration Statement or otherwise registered for sale or sold by the Company under the Act pursuant to this Agreement, other than those rights that have been disclosed in the Registration Statement, the Pricing Disclosure Package and the Prospectus and/or have been waived;</w:t>
      </w:r>
    </w:p>
    <w:p>
      <w:pPr>
        <w:spacing w:after="0" w:line="40" w:lineRule="exact"/>
        <w:rPr>
          <w:rFonts w:ascii="Arial" w:cs="Arial" w:eastAsia="Arial" w:hAnsi="Arial"/>
          <w:sz w:val="16"/>
          <w:szCs w:val="16"/>
          <w:color w:val="auto"/>
        </w:rPr>
      </w:pPr>
    </w:p>
    <w:p>
      <w:pPr>
        <w:ind w:right="60" w:firstLine="419"/>
        <w:spacing w:after="0" w:line="290" w:lineRule="auto"/>
        <w:tabs>
          <w:tab w:leader="none" w:pos="9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Material Adverse Effect, to each GoHealth Party’s knowledge (i) the GoHealth Parties and their respective subsidiaries own, possess or have a valid license to all patents, inventions, copyrights, know how (including trade secrets and other unpatented and/or unpatentable proprietary or confidential information, systems and procedures), data, databases, algorithms, software, domain names, trademarks, service marks and trade names and all other intellectual property and proprietary rights (collectively, “Intellectual Property Rights”) used in or reasonably necessary to the conduct of their businesses; (ii) to the GoHealth Parties’ knowledge, the Intellectual Property Rights owned by the GoHealth Parties or their respective subsidiaries (“Owned IP”) and the Intellectual Property Rights licensed to the GoHealth Parties or their respective subsidiaries, are valid, subsisting and enforceable, and there is no pending or, to the GoHealth Parties’ knowledge, threatened action, suit, proceeding or claim by others challenging</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80" w:top="274" w:right="479" w:bottom="1440" w:gutter="0" w:footer="0" w:header="0"/>
        </w:sectPr>
      </w:pPr>
    </w:p>
    <w:bookmarkStart w:id="16" w:name="page17"/>
    <w:bookmarkEnd w:id="16"/>
    <w:p>
      <w:pPr>
        <w:ind w:right="1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validity, scope or enforceability of any such Intellectual Property Rights; (iii) all Owned IP is owned solely by the GoHealth Parties and their respective subsidiaries free and clear of all liens, encumbrances and other similar restrictions (other than non-exclusive licenses granted to third parties in the ordinary course of business consistent with past practice); (iv) none of the GoHealth Parties or any of their respective subsidiaries have received any notice alleging or is otherwise aware of any infringement, misappropriation, dilution or other violation of Intellectual Property Rights; (v) to the GoHealth Parties’ knowledge, no third party is infringing, misappropriating, diluting or otherwise violating, or has infringed, misappropriated, diluted or otherwise violated, any Owned IP or any Intellectual Property Rights exclusively licensed to the GoHealth Parties or any of their respective subsidiaries; (vi) none of the GoHealth Parties or any of their respective subsidiaries infringe, misappropriate, dilute or otherwise violate, or has infringed, misappropriated, diluted or otherwise violated, any Intellectual Property Rights; (vii) all employees, consultants and contractors engaged in the development of Intellectual Property Rights for or on behalf of the GoHealth Parties or any of their respective subsidiaries have executed and delivered a valid and enforceable invention assignment agreement whereby such employee, consultant or contractor presently assigns all of their right, title and interest in and to such Intellectual Property Rights to the GoHealth Parties or their respective subsidiaries, as applicable, and to the GoHealth Parties’ knowledge no such agreement has been breached or violated; and (viii) the GoHealth Parties and their respective subsidiaries use, and have used, commercially reasonable efforts to protect the secrecy, confidentiality and value of all trade secrets and other confidential information used in the business of the GoHealth Parties and their respective subsidiaries and, to the knowledge of the GoHealth Parties, there has been no unauthorized use or disclosure;</w:t>
      </w:r>
    </w:p>
    <w:p>
      <w:pPr>
        <w:spacing w:after="0" w:line="59" w:lineRule="exact"/>
        <w:rPr>
          <w:sz w:val="20"/>
          <w:szCs w:val="20"/>
          <w:color w:val="auto"/>
        </w:rPr>
      </w:pPr>
    </w:p>
    <w:p>
      <w:pPr>
        <w:ind w:firstLine="419"/>
        <w:spacing w:after="0" w:line="269" w:lineRule="auto"/>
        <w:tabs>
          <w:tab w:leader="none" w:pos="8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The GoHealth Parties and their respective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(“Open Source Software”) in compliance with all license terms applicable to such Open Source Software; and (ii) neither the GoHealth Parties nor any of their respective subsidiaries use or distribute or have used or distributed any Open Source Software in any manner that requires or has required (A) the GoHealth Parties or any of their respective subsidiaries to permit reverse engineering of any software code or other technology owned by the GoHealth Parties or any of their respective subsidiaries; (B) any software code or other technology owned by the GoHealth Parties or any of their respective subsidiaries to be (1) disclosed or distributed in source code form, (2) licensed for the purpose of making derivative works or (3) redistributed at no charge; or (C) the licensing of any patents owned by the GoHealth Parties and their respective subsidiaries, except with respect to clause (i) and (ii), as would not, individually or in the aggregate, have a Material Adverse Effect on the GoHealth Parties;</w:t>
      </w:r>
    </w:p>
    <w:p>
      <w:pPr>
        <w:spacing w:after="0" w:line="77" w:lineRule="exact"/>
        <w:rPr>
          <w:rFonts w:ascii="Arial" w:cs="Arial" w:eastAsia="Arial" w:hAnsi="Arial"/>
          <w:sz w:val="17"/>
          <w:szCs w:val="17"/>
          <w:color w:val="auto"/>
        </w:rPr>
      </w:pPr>
    </w:p>
    <w:p>
      <w:pPr>
        <w:ind w:right="280" w:firstLine="419"/>
        <w:spacing w:after="0" w:line="254" w:lineRule="auto"/>
        <w:tabs>
          <w:tab w:leader="none" w:pos="90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The GoHealth Parties and their respective subsidiaries materially comply with all internal and external privacy policies, contractual obligations, and applicable federal, state, local and foreign laws, statutes, judgments, orders, rules and regulations relating to data privacy, data security, or the collection, use, processing, acquisition, access, transfer, import, export, storage, retention, protection, disposal and disclosure (“Processing”) of Personal Data (as defined below) that is Processed by or on behalf of the GoHealth Parties and their respective subsidiaries (“Data Privacy and Security Obligations”). These Data Privacy and Security Obligations include, to the extent applicable, the Payment Card Industry Data Security Standards (“PCI-DSS”) and similar relevant industry standards; the Health Insurance Portability and Accountability Act of 1996</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7" w:name="page18"/>
    <w:bookmarkEnd w:id="17"/>
    <w:p>
      <w:pPr>
        <w:ind w:left="4" w:right="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(“HIPAA”); and the privacy and security regulations promulgated thereunder at 45 C.F.R. Parts 160-164, as modified by the Health Information Technology for Economic and Clinical Health Act of 2009 (“HITECH”); the Federal Trade Commission Act, 15 U.S.C. § 45; the Children’s Online Privacy Protection Act (“COPPA”), 15 U.S.C. §§ 6501-6506; the CAN-SPAM Act of 2003, 15 U.S.C. §§ 7701 et seq.; the Financial Services Modernization Act of 1999 (the “Gramm-Leach-Bliley Act”), 15 U.S.C. §§ 6801, et seq.; the Telephone Consumer Protection Act of 1991 (“TCPA”); 47 U.S.C. § 227; U.S. state privacy, data security and data breach notification laws including, to the extent applicable, the California Consumer Privacy Act (“CCPA”), Cal. Civ. Code § 1798.100, et seq.; the California Online Privacy Protection Act (“CalOPPA”), Cal. Bus. &amp; Prof. Code § 22575, et seq.; the European Union’s General Data Protection Regulation 2016/679 (“GDPR”), and similar foreign laws, and all applicable rules or regulations promulgated under any such laws or requirements; (ii) the GoHealth Parties and their respective subsidiaries each have a valid and legal right (whether contractually, by law, or otherwise) to Process all Personal Data that is Processed by or on behalf of the GoHealth Parties and their respective subsidiaries in connection with the use and/or operation of their products, services and business; (iii) the GoHealth Parties and their respective subsidiaries have not received any notification, inquiry or complaint regarding, and there are no other facts that, individually or in the aggregate, would reasonably indicate material non-compliance with any Data Privacy and Security Obligation; and</w:t>
      </w:r>
    </w:p>
    <w:p>
      <w:pPr>
        <w:spacing w:after="0" w:line="3" w:lineRule="exact"/>
        <w:rPr>
          <w:sz w:val="20"/>
          <w:szCs w:val="20"/>
          <w:color w:val="auto"/>
        </w:rPr>
      </w:pPr>
    </w:p>
    <w:p>
      <w:pPr>
        <w:ind w:left="4" w:hanging="4"/>
        <w:spacing w:after="0" w:line="292" w:lineRule="auto"/>
        <w:tabs>
          <w:tab w:leader="none" w:pos="3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there is no action, suit or proceeding by or before any Governmental Entity pending or, to the GoHealth Parties’ knowledge, threatened alleging non-compliance or potential non-compliance with any Data Privacy and Security Obligation. For the avoidance of doubt, “Personal Data” shall mean all data Processed by or on behalf of the GoHealth Parties and their respective subsidiaries relating to an identifiable natural person, household, or device or that allows the identification of a natural person, including any information defined as “personal data,” “personal information,” “protected health information,” or other similar terms as defined by applicable Data Privacy and Security Obligations;</w:t>
      </w:r>
    </w:p>
    <w:p>
      <w:pPr>
        <w:spacing w:after="0" w:line="54" w:lineRule="exact"/>
        <w:rPr>
          <w:rFonts w:ascii="Arial" w:cs="Arial" w:eastAsia="Arial" w:hAnsi="Arial"/>
          <w:sz w:val="16"/>
          <w:szCs w:val="16"/>
          <w:color w:val="auto"/>
        </w:rPr>
      </w:pPr>
    </w:p>
    <w:p>
      <w:pPr>
        <w:ind w:left="4" w:right="80" w:firstLine="419"/>
        <w:spacing w:after="0" w:line="268" w:lineRule="auto"/>
        <w:tabs>
          <w:tab w:leader="none" w:pos="961"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The GoHealth Parties and their respective subsidiaries have established and maintain a written information security program that includes: (i) implementing administrative, technical and physical safeguards that protect the security, confidentiality, and integrity of all Personal Data Processed in information technology systems and all Personal Data that is Processed in connection with the operation of the GoHealth Parties’ and their respective subsidiaries’ businesses, (ii) contractually requiring third parties who receive access to or Process Personal Data to comply with applicable Data Privacy and Security Obligations, (iii) maintaining disaster recovery, business continuity, incident response, information technology, information security, cyber security and data protection controls, policies and procedures, and (iv) implementing protections against loss, misuse, or unauthorized access to or Processing of the Personal Data in information technology systems Processed by or on behalf of the GoHealth Parties and their respective subsidiaries, or other data security incident requiring notification to any person or Governmental Entity under Data Privacy and Security Obligations (“Data Breach”). The GoHealth Parties and their respective subsidiaries have neither suffered any material Data Breach nor have they been required to notify any person or Governmental Entity of a Data Breach. The GoHealth Parties’ information technology systems operate and perform as necessary to operate the GoHealth Parties’ and their respective subsidiaries’ businesses, and do not contain any “back door,” “drop dead device,” “time bomb,” “Trojan horse,” “virus,” “ransomware,” “worm,” or other disabling or malicious codes;</w:t>
      </w:r>
    </w:p>
    <w:p>
      <w:pPr>
        <w:spacing w:after="0" w:line="11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4"/>
          </w:cols>
          <w:pgMar w:left="876" w:top="274" w:right="479" w:bottom="1440" w:gutter="0" w:footer="0" w:header="0"/>
        </w:sectPr>
      </w:pPr>
    </w:p>
    <w:bookmarkStart w:id="18" w:name="page19"/>
    <w:bookmarkEnd w:id="18"/>
    <w:p>
      <w:pPr>
        <w:ind w:firstLine="419"/>
        <w:spacing w:after="0" w:line="289" w:lineRule="auto"/>
        <w:tabs>
          <w:tab w:leader="none" w:pos="1008"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GoHealth Parties and their respective subsidiaries possess such permits, licenses, approvals, consents and other authorizations (collectively, “Governmental Licenses”) issued by the appropriate Governmental Entities necessary to conduct the business now operated by them, except where the failure so to possess would not, individually or in the aggregate, result in a Material Adverse Effect. The GoHealth Parties and their respective subsidiaries are in compliance with the terms and conditions of all Governmental Licenses, except where the failure so to comply would not, individually or in the aggregate, result in a Material Adverse Effect. All of the Governmental Licenses are valid and in full force and effect, except when the invalidity of such Governmental Licenses or the failure of such Governmental Licenses to be in full force and effect would not, individually or in the aggregate, result in a Material Adverse Effect. None of the GoHealth Parties or any of their respective subsidiaries have received any notice of proceedings relating to the revocation or modification of any Governmental Licenses which, individually or in the aggregate, if the subject of an unfavorable decision, ruling or finding, would result in a Material Adverse Effect;</w:t>
      </w:r>
    </w:p>
    <w:p>
      <w:pPr>
        <w:spacing w:after="0" w:line="58" w:lineRule="exact"/>
        <w:rPr>
          <w:rFonts w:ascii="Arial" w:cs="Arial" w:eastAsia="Arial" w:hAnsi="Arial"/>
          <w:sz w:val="16"/>
          <w:szCs w:val="16"/>
          <w:color w:val="auto"/>
        </w:rPr>
      </w:pPr>
    </w:p>
    <w:p>
      <w:pPr>
        <w:ind w:right="80" w:firstLine="419"/>
        <w:spacing w:after="0" w:line="291" w:lineRule="auto"/>
        <w:tabs>
          <w:tab w:leader="none" w:pos="998"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Except where the failure to do so would not, singly or in the aggregate, result in a Material Adverse Effect: (i) the GoHealth Parties and/or their respective subsidiaries have an appointment to act as a producer for each insurance carrier from which such an appointment is used to conduct the GoHealth Parties’ or their respective subsidiaries’ business as currently conducted; and (ii) each such appointment is valid and binding in accordance with its terms on the parties thereto. To the GoHealth Parties’ knowledge, neither the GoHealth Parties nor any of their respective subsidiaries are in default under any of their material obligations to any insurance carrier through which it places insurance. There exists no actual or, to the GoHealth Parties’ knowledge, threatened, termination, cancellation or material limitation of, or material dispute with respect to, the business relationship of the GoHealth Parties or any of their respective subsidiaries with any such insurance carrier.</w:t>
      </w:r>
    </w:p>
    <w:p>
      <w:pPr>
        <w:spacing w:after="0" w:line="58" w:lineRule="exact"/>
        <w:rPr>
          <w:rFonts w:ascii="Arial" w:cs="Arial" w:eastAsia="Arial" w:hAnsi="Arial"/>
          <w:sz w:val="16"/>
          <w:szCs w:val="16"/>
          <w:color w:val="auto"/>
        </w:rPr>
      </w:pPr>
    </w:p>
    <w:p>
      <w:pPr>
        <w:ind w:right="20" w:firstLine="419"/>
        <w:spacing w:after="0" w:line="271" w:lineRule="auto"/>
        <w:tabs>
          <w:tab w:leader="none" w:pos="9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GoHealth Parties and their respective subsidiaries treat, and have at all times treated during the past three (3) years, all premiums and refunds payable to, or otherwise held on behalf of, any insured or insurance carrier, in accordance with all applicable legal requirements, except where the failure do so would not, singly or in the aggregate, result in a Material Adverse Effect. To the GoHealth Parties’ knowledge and except where the failure to do so would not, singly or in the aggregate, result in a Material Adverse Effect: (i) the GoHealth Parties and their respective subsidiaries have at all times during the past three (3) years conducted their business in accordance with fiduciary obligations applicable to insurance producers under the applicable legal requirements of each state, province or other jurisdiction in which they conduct business, and (ii) each premium trust account is fully funded and maintained in accordance with all applicable legal requirements, including regarding the separation and accounting of premium trust funds;</w:t>
      </w:r>
    </w:p>
    <w:p>
      <w:pPr>
        <w:spacing w:after="0" w:line="70" w:lineRule="exact"/>
        <w:rPr>
          <w:rFonts w:ascii="Arial" w:cs="Arial" w:eastAsia="Arial" w:hAnsi="Arial"/>
          <w:sz w:val="17"/>
          <w:szCs w:val="17"/>
          <w:color w:val="auto"/>
        </w:rPr>
      </w:pPr>
    </w:p>
    <w:p>
      <w:pPr>
        <w:ind w:right="20" w:firstLine="419"/>
        <w:spacing w:after="0" w:line="254" w:lineRule="auto"/>
        <w:tabs>
          <w:tab w:leader="none" w:pos="99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GoHealth Parties and/or their respective subsidiaries and producers are, and have been during the past three (3) years, in compliance with all insurance statutes and regulations and any other federal and state statutory and regulatory requirements applicable to insurance producers and the insurance products sold by the GoHealth Parties and/or their respective subsidiaries, including all industry and subregulatory requirements applicable to Medicare products, except where the failure to do so would not, singly or in the aggregate, result in a Material Adverse Effect. To the GoHealth Parties’ knowledge, no event has occurred during the past three (3) years that would make the GoHealth Parties or any of their respective subsidiaries unable to comply with any legal requirements or the requirements of any insurance carrier with whom the GoHealth Parties or any of their respective subsidiaries contract to sell such products, except where the failure to comply would not, singly or in the aggregate, result</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880" w:top="274" w:right="439" w:bottom="1440" w:gutter="0" w:footer="0" w:header="0"/>
        </w:sectPr>
      </w:pPr>
    </w:p>
    <w:bookmarkStart w:id="19" w:name="page20"/>
    <w:bookmarkEnd w:id="19"/>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 Material Adverse Effect. During the past three (3) years, neither the GoHealth Parties nor any of their respective subsidiaries have received any written notification from any Governmental Entity, or an insurance carrier with whom they contract that they have violated or failed to meet any government, regulatory, industry, or contractual requirement, in each case, that would have a Material Adverse Effect;</w:t>
      </w:r>
    </w:p>
    <w:p>
      <w:pPr>
        <w:spacing w:after="0" w:line="57" w:lineRule="exact"/>
        <w:rPr>
          <w:sz w:val="20"/>
          <w:szCs w:val="20"/>
          <w:color w:val="auto"/>
        </w:rPr>
      </w:pPr>
    </w:p>
    <w:p>
      <w:pPr>
        <w:ind w:firstLine="419"/>
        <w:spacing w:after="0" w:line="266" w:lineRule="auto"/>
        <w:tabs>
          <w:tab w:leader="none" w:pos="10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GoHealth Parties and their respective subsidiaries (i) are and at all times during the past three (3) years have been in compliance in all material respects with all Applicable Healthcare Laws, as defined herein, applicable to the establishment, processing, use, distribution, marketing, advertising, promotion, sale, operation, management, or offer for sale of any product or service of the GoHealth Parties and/or their respective subsidiaries, including, without limitation, the federal Anti-Kickback Statute (42 U.S.C. § 1320a-7b(b)), the federal False Claims Act (31 U.S.C. §§ 3729 et seq.), the Federal Criminal False Claims Act (18 U.S.C. § 287), the False Statements Relating to Health Care Matters law (18 U.S.C. § 1035), the criminal false statements and representations law (42 U.S.C. § 1320a-7b(a)), the civil monetary penalties laws (42 U.S.C. § 1320a-7a and 1320a-8), HIPAA (as defined above) All Payor Fraud Statute (42 U.S.C. § 1320a-7), the federal exclusion laws (42 U.S.C.§ 1320a-7), the Medicare statute (Title XVIII of the Social Security Act), the Medicaid statute (Title XIX of the Social Security Act), the Children’s Health Insurance Program (CHIP) statute (Title XXI of the Social Security Act), and all other government funded or sponsored healthcare programs, the Medicare Advantage marketing laws and rules, any other federal or state laws or rules relating to fraudulent, abusive, or unlawful practices in connection with the provision or marketing of healthcare items, services or coverage, the regulations promulgated pursuant to such laws, and all other local, state, federal, national, supranational and foreign laws and regulations relating to the regulation of the GoHealth Parties and their respective subsidiaries (collectively, the “Applicable Healthcare Laws”); (ii) have not, during the past three (3) years, received any written notice from any Governmental Entity, court, arbitrator, or third party alleging or asserting any non-compliance with any Applicable Healthcare Laws; (iii) are not subject, and during the past three (3) years have not been subject, to any claim, action, suit, litigation, complaint (including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compliant), subpoena, civil investigative demand, proceeding, hearing, enforcement, investigation, arbitration or other action from any Governmental Entity, court, arbitrator,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relator or whistleblower, or third party (collectively “Action”) alleging that any operation or activity of the GoHealth Parties or any of their respective subsidiaries is in violation of any Applicable Healthcare Laws, in any material respect, nor, to the GoHealth Parties’ knowledge, is any Action threatened; (iv) have, during the past three (3) years, filed, obtained, maintained or submitted on a timely basis all material reports, documents, forms, notices, applications, records, claims, submissions and supplements or amendments as required by any Applicable Healthcare Laws and all such reports, documents, forms, notices, applications, records, claims, submissions and supplements or amendments were complete and accurate on the date filed in all material respects (or were corrected in or supplemented by a subsequent filing corrected in a timely manner); and (v) are not a party to any corporate integrity agreements, non- or deferred-prosecution agreements, monitoring agreements, consent decrees, settlement orders, or similar agreements with or imposed by any Governmental Entity;</w:t>
      </w:r>
    </w:p>
    <w:p>
      <w:pPr>
        <w:spacing w:after="0" w:line="91" w:lineRule="exact"/>
        <w:rPr>
          <w:rFonts w:ascii="Arial" w:cs="Arial" w:eastAsia="Arial" w:hAnsi="Arial"/>
          <w:sz w:val="17"/>
          <w:szCs w:val="17"/>
          <w:color w:val="auto"/>
        </w:rPr>
      </w:pPr>
    </w:p>
    <w:p>
      <w:pPr>
        <w:ind w:right="160" w:firstLine="419"/>
        <w:spacing w:after="0" w:line="259" w:lineRule="auto"/>
        <w:tabs>
          <w:tab w:leader="none" w:pos="10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the GoHealth Parties, their respective subsidiaries, any of their respective officers, directors, or employees, or, to the GoHealth Parties’ knowledge, agents or contractors (i) has been, during the past three (3) years, or is currently, excluded, suspended or debarred by any Governmental Entity from participation in a Federal Health Care Program, as defined in 42 U.S.C. § 1320-7b(f), nor are any of the foregoing persons aware of any pending</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40"/>
          </w:cols>
          <w:pgMar w:left="880" w:top="274" w:right="479" w:bottom="1440" w:gutter="0" w:footer="0" w:header="0"/>
        </w:sectPr>
      </w:pPr>
    </w:p>
    <w:bookmarkStart w:id="20" w:name="page21"/>
    <w:bookmarkEnd w:id="20"/>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threatened Action that may lead to such an exclusion, suspension or debarment; (ii) has been assessed a civil money penalty under Applicable Healthcare Laws during the past three (3) years; (iii) has been convicted of any criminal offense under Applicable Healthcare Laws, including with regard to the delivery or payment of any item or service under a Federal Health Care Program during the past three (3) years; (iv) has entered into any corporate integrity agreement, settlement agreement, plan of correction, or other remedial measure with any Governmental Authority with regard to any alleged non-compliance with, or violation of, Applicable Healthcare Laws in any material respect during the past three</w:t>
      </w:r>
    </w:p>
    <w:p>
      <w:pPr>
        <w:spacing w:after="0" w:line="2" w:lineRule="exact"/>
        <w:rPr>
          <w:sz w:val="20"/>
          <w:szCs w:val="20"/>
          <w:color w:val="auto"/>
        </w:rPr>
      </w:pPr>
    </w:p>
    <w:p>
      <w:pPr>
        <w:ind w:left="4" w:right="400" w:hanging="4"/>
        <w:spacing w:after="0" w:line="260" w:lineRule="auto"/>
        <w:tabs>
          <w:tab w:leader="none" w:pos="258" w:val="left"/>
        </w:tabs>
        <w:numPr>
          <w:ilvl w:val="0"/>
          <w:numId w:val="22"/>
        </w:numPr>
        <w:rPr>
          <w:rFonts w:ascii="Arial" w:cs="Arial" w:eastAsia="Arial" w:hAnsi="Arial"/>
          <w:sz w:val="18"/>
          <w:szCs w:val="18"/>
          <w:color w:val="auto"/>
        </w:rPr>
      </w:pPr>
      <w:r>
        <w:rPr>
          <w:rFonts w:ascii="Arial" w:cs="Arial" w:eastAsia="Arial" w:hAnsi="Arial"/>
          <w:sz w:val="18"/>
          <w:szCs w:val="18"/>
          <w:color w:val="auto"/>
        </w:rPr>
        <w:t>years; or (v) has been a party to or subject to any Action concerning any alleged non-compliance with Applicable Healthcare Laws in any material respect during the past three (3) years;</w:t>
      </w:r>
    </w:p>
    <w:p>
      <w:pPr>
        <w:spacing w:after="0" w:line="77" w:lineRule="exact"/>
        <w:rPr>
          <w:rFonts w:ascii="Arial" w:cs="Arial" w:eastAsia="Arial" w:hAnsi="Arial"/>
          <w:sz w:val="18"/>
          <w:szCs w:val="18"/>
          <w:color w:val="auto"/>
        </w:rPr>
      </w:pPr>
    </w:p>
    <w:p>
      <w:pPr>
        <w:ind w:left="4" w:right="420" w:firstLine="419"/>
        <w:spacing w:after="0" w:line="257" w:lineRule="auto"/>
        <w:tabs>
          <w:tab w:leader="none" w:pos="1001"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has taken all necessary actions to ensure that, upon the effectiveness of the Registration Statement, it will be in compliance with all provisions of the Sarbanes-Oxley Act that are then in effect and with which the Company is required to comply as of the effectiveness of the Registration Statement, and is actively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80" w:lineRule="exact"/>
        <w:rPr>
          <w:sz w:val="20"/>
          <w:szCs w:val="20"/>
          <w:color w:val="auto"/>
        </w:rPr>
      </w:pPr>
    </w:p>
    <w:p>
      <w:pPr>
        <w:ind w:left="4" w:firstLine="423"/>
        <w:spacing w:after="0" w:line="291" w:lineRule="auto"/>
        <w:rPr>
          <w:sz w:val="20"/>
          <w:szCs w:val="20"/>
          <w:color w:val="auto"/>
        </w:rPr>
      </w:pPr>
      <w:r>
        <w:rPr>
          <w:rFonts w:ascii="Arial" w:cs="Arial" w:eastAsia="Arial" w:hAnsi="Arial"/>
          <w:sz w:val="16"/>
          <w:szCs w:val="16"/>
          <w:color w:val="auto"/>
        </w:rPr>
        <w:t>(xl) Except as would not, individually or in the aggregate, have, or reasonably be expected to have, a Material Adverse Effect, the GoHealth Parties and their respective subsidiaries carry or are entitled to the benefits of insurance in such amounts and covering such risks as is generally maintained by companies engaged in the same or similar business, and all such insurance is in full force and effect. The GoHealth Parties have no reason to believe that either of them or any of their respective subsidiaries will not be able (A) to renew their existing insurance coverage as and when such policies expire or (B) to obtain comparable coverage from similar institutions as may be necessary or appropriate to conduct their business as now conducted and at a cost that would not result in a Material Adverse Effect. None of the GoHealth Parties or any of their respective subsidiaries have been denied any insurance coverage which they have sought or for which they have applied;</w:t>
      </w:r>
    </w:p>
    <w:p>
      <w:pPr>
        <w:spacing w:after="0" w:line="58" w:lineRule="exact"/>
        <w:rPr>
          <w:sz w:val="20"/>
          <w:szCs w:val="20"/>
          <w:color w:val="auto"/>
        </w:rPr>
      </w:pPr>
    </w:p>
    <w:p>
      <w:pPr>
        <w:ind w:left="4" w:right="140" w:firstLine="423"/>
        <w:spacing w:after="0" w:line="259" w:lineRule="auto"/>
        <w:rPr>
          <w:sz w:val="20"/>
          <w:szCs w:val="20"/>
          <w:color w:val="auto"/>
        </w:rPr>
      </w:pPr>
      <w:r>
        <w:rPr>
          <w:rFonts w:ascii="Arial" w:cs="Arial" w:eastAsia="Arial" w:hAnsi="Arial"/>
          <w:sz w:val="18"/>
          <w:szCs w:val="18"/>
          <w:color w:val="auto"/>
        </w:rPr>
        <w:t>(xli) No labor dispute with the employees of the GoHealth Parties or any of their respective subsidiaries exists or, to the knowledge of the GoHealth Parties, is imminent, and the GoHealth Parties are not aware of any existing or imminent labor disturbance by the employees of any of their or any subsidiary’s principal suppliers, contracted insurance carriers, customers or contractors, which, in either case, would result in a Material Adverse Effect;</w:t>
      </w:r>
    </w:p>
    <w:p>
      <w:pPr>
        <w:spacing w:after="0" w:line="79" w:lineRule="exact"/>
        <w:rPr>
          <w:sz w:val="20"/>
          <w:szCs w:val="20"/>
          <w:color w:val="auto"/>
        </w:rPr>
      </w:pPr>
    </w:p>
    <w:p>
      <w:pPr>
        <w:ind w:left="4" w:right="120" w:firstLine="423"/>
        <w:spacing w:after="0" w:line="270" w:lineRule="auto"/>
        <w:rPr>
          <w:sz w:val="20"/>
          <w:szCs w:val="20"/>
          <w:color w:val="auto"/>
        </w:rPr>
      </w:pPr>
      <w:r>
        <w:rPr>
          <w:rFonts w:ascii="Arial" w:cs="Arial" w:eastAsia="Arial" w:hAnsi="Arial"/>
          <w:sz w:val="17"/>
          <w:szCs w:val="17"/>
          <w:color w:val="auto"/>
        </w:rPr>
        <w:t>(xlii) (i) Each employee benefit plan, within the meaning of Section 3(3) of the Employee Retirement Income Security Act of 1974, as amended (“ERISA”), for which the GoHealth Parties or any of their respective subsidiaries would have any liability (each, a “Plan”) has been maintained in compliance with its terms and the requirements of any applicable statutes, orders, rules and regulations, including, but not limited to, ERISA and the Internal Revenue Code of 1986, as amended (the “Code”); (ii) no prohibited transaction, within the meaning of Section 406 of ERISA or Section 4975 of the Code, has occurred with respect to any Plan, excluding transactions effected pursuant to a statutory or administrative exemption; (iii) no Plan is subject to Section 412 of the Code or Section 302 or Title IV of ERISA; (iv) none of the GoHealth Parties, any of their respective subsidiaries or any member of the “Controlled Group” (defined as any entity, whether or not incorporated, that is under common control with the GoHealth Parties within the meaning of Section 4001(a)(14) of ERISA or any entity that would be regarded as a single employer with the GoHealth Parties under Section 414(b), (c), (m) or (o) of the Code) has</w:t>
      </w:r>
    </w:p>
    <w:p>
      <w:pPr>
        <w:spacing w:after="0" w:line="11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4"/>
          </w:cols>
          <w:pgMar w:left="876" w:top="274" w:right="45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incurred, nor reasonably expects to incur, any material liability under Title IV of ERISA; (v) each Plan that is intended to be qualified under Section 401(a) of the Code is so qualified, to the knowledge of the Company, and nothing has occurred, whether by action or by failure to act, which would cause the loss of such qualification; and (vi) to the GoHealth Parties’ knowledge, there is no pending audit or investigation by the U.S. Internal Revenue Service, the U.S. Department of Labor, the PBGC or any other governmental agency or any non-U.S. regulatory agency with respect to any Plan, except in each case with respect to the events or conditions set forth in (i), (ii), (iv), (v) and (vi) hereof, as would not, individually or in the aggregate, reasonably be expected to have a Material Adverse Effect. Except as would not, individually or in the aggregate, have, or reasonably be expected to have, a Material Adverse Effect, there has not occurred nor is there reasonably likely to occur a material increase in the aggregate amount of contributions required to be made to all Plans by the GoHealth Parties or any of their respective subsidiaries in the current fiscal year of the GoHealth Parties and such subsidiaries compared to the amount of such contributions made in the GoHealth Parties and such subsidiaries’ most recently completed fiscal year. None of the GoHealth Parties or any of their respective subsidiaries have or have had any “accumulated post-retirement benefit obligations” (within the meaning of Statement of Financial Accounting Standards 106) with respect to any Plan or otherwise;</w:t>
      </w:r>
    </w:p>
    <w:p>
      <w:pPr>
        <w:spacing w:after="0" w:line="71" w:lineRule="exact"/>
        <w:rPr>
          <w:sz w:val="20"/>
          <w:szCs w:val="20"/>
          <w:color w:val="auto"/>
        </w:rPr>
      </w:pPr>
    </w:p>
    <w:p>
      <w:pPr>
        <w:ind w:right="100" w:firstLine="423"/>
        <w:spacing w:after="0" w:line="296" w:lineRule="auto"/>
        <w:rPr>
          <w:sz w:val="20"/>
          <w:szCs w:val="20"/>
          <w:color w:val="auto"/>
        </w:rPr>
      </w:pPr>
      <w:r>
        <w:rPr>
          <w:rFonts w:ascii="Arial" w:cs="Arial" w:eastAsia="Arial" w:hAnsi="Arial"/>
          <w:sz w:val="16"/>
          <w:szCs w:val="16"/>
          <w:color w:val="auto"/>
        </w:rPr>
        <w:t>(xliii) Except as set forth or contemplated in the Registration Statement, Pricing Prospectus and the Prospectus, no subsidiary of any GoHealth Party is currently prohibited, directly or indirectly, under any agreement or other instrument to which it is a party or is subject, from paying any dividends or distributions to any GoHealth Party, from making any other dividend or distribution on such subsidiary’s capital stock or similar ownership interest, from repaying to any GoHealth Party any loans or advances to such subsidiary from any GoHealth Party or from transferring any of such subsidiary’s properties or assets to any GoHealth Party or any other subsidiary of any GoHealth Party;</w:t>
      </w:r>
    </w:p>
    <w:p>
      <w:pPr>
        <w:spacing w:after="0" w:line="53" w:lineRule="exact"/>
        <w:rPr>
          <w:sz w:val="20"/>
          <w:szCs w:val="20"/>
          <w:color w:val="auto"/>
        </w:rPr>
      </w:pPr>
    </w:p>
    <w:p>
      <w:pPr>
        <w:ind w:right="100" w:firstLine="423"/>
        <w:spacing w:after="0" w:line="275" w:lineRule="auto"/>
        <w:rPr>
          <w:sz w:val="20"/>
          <w:szCs w:val="20"/>
          <w:color w:val="auto"/>
        </w:rPr>
      </w:pPr>
      <w:r>
        <w:rPr>
          <w:rFonts w:ascii="Arial" w:cs="Arial" w:eastAsia="Arial" w:hAnsi="Arial"/>
          <w:sz w:val="17"/>
          <w:szCs w:val="17"/>
          <w:color w:val="auto"/>
        </w:rPr>
        <w:t>(xliv) The Registration Statement, the Pricing Disclosure Package and the Prospectus, any Preliminary Prospectus, any Issuer Free Writing Prospectuses and any Written Testing-the-Waters Communication comply in all material respects, and any further amendments or supplements thereto will comply in all material respects, with any applicable laws or regulations of foreign jurisdictions in which the Pricing Disclosure Package, the Prospectus, any Preliminary Prospectus, any Issuer Free Writing Prospectus and any Written Testing-the-Waters Communication, as amended or supplemented, if applicable, are distributed in connection with the Reserved Share Program;</w:t>
      </w:r>
    </w:p>
    <w:p>
      <w:pPr>
        <w:spacing w:after="0" w:line="68" w:lineRule="exact"/>
        <w:rPr>
          <w:sz w:val="20"/>
          <w:szCs w:val="20"/>
          <w:color w:val="auto"/>
        </w:rPr>
      </w:pPr>
    </w:p>
    <w:p>
      <w:pPr>
        <w:ind w:right="240" w:firstLine="423"/>
        <w:spacing w:after="0" w:line="263" w:lineRule="auto"/>
        <w:rPr>
          <w:sz w:val="20"/>
          <w:szCs w:val="20"/>
          <w:color w:val="auto"/>
        </w:rPr>
      </w:pPr>
      <w:r>
        <w:rPr>
          <w:rFonts w:ascii="Arial" w:cs="Arial" w:eastAsia="Arial" w:hAnsi="Arial"/>
          <w:sz w:val="18"/>
          <w:szCs w:val="18"/>
          <w:color w:val="auto"/>
        </w:rPr>
        <w:t>(xlv) No authorization, approval, consent, license, order, registration or qualification of or with any government, governmental instrumentality or court, other than such as have been obtained, is necessary under the securities laws and regulations of foreign jurisdictions in which the Reserved Shares are offered outside the United States;</w:t>
      </w:r>
    </w:p>
    <w:p>
      <w:pPr>
        <w:spacing w:after="0" w:line="76" w:lineRule="exact"/>
        <w:rPr>
          <w:sz w:val="20"/>
          <w:szCs w:val="20"/>
          <w:color w:val="auto"/>
        </w:rPr>
      </w:pPr>
    </w:p>
    <w:p>
      <w:pPr>
        <w:ind w:right="40" w:firstLine="423"/>
        <w:spacing w:after="0" w:line="257" w:lineRule="auto"/>
        <w:rPr>
          <w:sz w:val="20"/>
          <w:szCs w:val="20"/>
          <w:color w:val="auto"/>
        </w:rPr>
      </w:pPr>
      <w:r>
        <w:rPr>
          <w:rFonts w:ascii="Arial" w:cs="Arial" w:eastAsia="Arial" w:hAnsi="Arial"/>
          <w:sz w:val="18"/>
          <w:szCs w:val="18"/>
          <w:color w:val="auto"/>
        </w:rPr>
        <w:t>(xlvi) The Company has not offered, or caused the Reserved Share Underwriter or its affiliates to offer, Shares to any person pursuant to the Reserved Share Program (i) for any consideration other than the cash payment of the initial public offering price per share set forth in Schedule II hereof or (ii) with the specific intent to unlawfully influence (x) a customer or supplier of the Company to alter the customer or supplier’s terms, level or type of business with the Company or (y) a trade journalist or publication to write or publish favorable information about the Company or its products; and</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22" w:name="page23"/>
    <w:bookmarkEnd w:id="22"/>
    <w:p>
      <w:pPr>
        <w:ind w:left="440" w:right="34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(xlvii) There are (and prior to each Time of Delivery, will be) no debt securities, convertible securities or preferred stock issued or guaranteed by the GoHealth Parties’ or any of their subsidiaries that are rated by any “nationally recognized statistical rating organization,” as defined in Section 3(a)(62) of the Exchange Act.</w:t>
      </w:r>
    </w:p>
    <w:p>
      <w:pPr>
        <w:spacing w:after="0" w:line="184" w:lineRule="exact"/>
        <w:rPr>
          <w:sz w:val="20"/>
          <w:szCs w:val="20"/>
          <w:color w:val="auto"/>
        </w:rPr>
      </w:pPr>
    </w:p>
    <w:p>
      <w:pPr>
        <w:ind w:firstLine="436"/>
        <w:spacing w:after="0" w:line="269"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Subject to the terms and conditions herein set forth, (a) the Company agrees to sell to each of the Underwriters, and each of the Underwriters agrees, severally and not jointly, to purchase from the Company, at a purchase price per share of $[●],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the Representatives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Company hereby grants to the Underwriters the right to purchase at their election up to [●] Optional Shares, at the purchase price per share set 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the Representatives to the Company, given within a period of 30 calendar days after the date of this Agreement and setting forth the aggregate number of Optional Shares to be purchased and the date on which such Optional Shares are to be delivered, as determined by the Representatives but in no event earlier than the First Time of Delivery (as defined in Section 4 hereof) or, unless the Representatives and the Company otherwise agree in writing, earlier than two or later than ten business days after the date of such notice.</w:t>
      </w:r>
    </w:p>
    <w:p>
      <w:pPr>
        <w:spacing w:after="0" w:line="178" w:lineRule="exact"/>
        <w:rPr>
          <w:sz w:val="20"/>
          <w:szCs w:val="20"/>
          <w:color w:val="auto"/>
        </w:rPr>
      </w:pPr>
    </w:p>
    <w:p>
      <w:pPr>
        <w:ind w:right="180" w:firstLine="436"/>
        <w:spacing w:after="0" w:line="277"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authorization by the Representatives of the release of the Firm Shares, the several Underwriters propose to offer the Firm Shares for sale upon the terms and conditions set forth in the Pricing Prospectus and the Prospectus.</w:t>
      </w:r>
    </w:p>
    <w:p>
      <w:pPr>
        <w:spacing w:after="0" w:line="170" w:lineRule="exact"/>
        <w:rPr>
          <w:rFonts w:ascii="Arial" w:cs="Arial" w:eastAsia="Arial" w:hAnsi="Arial"/>
          <w:sz w:val="18"/>
          <w:szCs w:val="18"/>
          <w:color w:val="auto"/>
        </w:rPr>
      </w:pPr>
    </w:p>
    <w:p>
      <w:pPr>
        <w:ind w:right="140" w:firstLine="436"/>
        <w:spacing w:after="0" w:line="273"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accounts specified by the Company to the Representatives at least forty-eight hours in advance. The Company will cause the certificates, if any, representing the Shares to be made available for checking and packaging at least twenty-four hours prior to the Time of Delivery (as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3" w:name="page24"/>
    <w:bookmarkEnd w:id="23"/>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defined below) with respect thereto at the office of DTC or its designated custodian (the “Designated Office”). The time and date of such delivery and payment shall be, with respect to the Firm Shares, 9:30 a.m., New York City time, on [●], 2020 or such other time and date as the Representatives and the Company may agree upon in writing, and, with respect to the Optional Shares, 9:30 a.m., New York City time, on the date specified by the Representatives in each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each such time and date for delivery of the Optional Shares, if not the First Time of Delivery, is herein called the “Second Time of Delivery,” and each such time and date for delivery is herein called a “Time of Delivery.”</w:t>
      </w:r>
    </w:p>
    <w:p>
      <w:pPr>
        <w:spacing w:after="0" w:line="58" w:lineRule="exact"/>
        <w:rPr>
          <w:sz w:val="20"/>
          <w:szCs w:val="20"/>
          <w:color w:val="auto"/>
        </w:rPr>
      </w:pPr>
    </w:p>
    <w:p>
      <w:pPr>
        <w:ind w:right="120" w:firstLine="436"/>
        <w:spacing w:after="0" w:line="259"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8(l) hereof will be delivered at the offices of Sidley Austin LLP, 787 Seventh Avenue, New York, New York 10019 (the “Closing Location”), and the Shares will be delivered at the Designated Office, all at such Time of Delivery.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 The GoHealth Parties, jointly and severally, agree with each of the Underwriters:</w:t>
      </w:r>
    </w:p>
    <w:p>
      <w:pPr>
        <w:spacing w:after="0" w:line="117" w:lineRule="exact"/>
        <w:rPr>
          <w:sz w:val="20"/>
          <w:szCs w:val="20"/>
          <w:color w:val="auto"/>
        </w:rPr>
      </w:pPr>
    </w:p>
    <w:p>
      <w:pPr>
        <w:ind w:firstLine="436"/>
        <w:spacing w:after="0" w:line="287" w:lineRule="auto"/>
        <w:tabs>
          <w:tab w:leader="none" w:pos="68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materials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59" w:lineRule="exact"/>
        <w:rPr>
          <w:rFonts w:ascii="Arial" w:cs="Arial" w:eastAsia="Arial" w:hAnsi="Arial"/>
          <w:sz w:val="16"/>
          <w:szCs w:val="16"/>
          <w:color w:val="auto"/>
        </w:rPr>
      </w:pPr>
    </w:p>
    <w:p>
      <w:pPr>
        <w:ind w:right="180" w:firstLine="436"/>
        <w:spacing w:after="0" w:line="257"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reasonably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(where not otherwise required) or to file a general consent to service of process in any jurisdiction (where not otherwise required);</w:t>
      </w:r>
    </w:p>
    <w:p>
      <w:pPr>
        <w:spacing w:after="0" w:line="79" w:lineRule="exact"/>
        <w:rPr>
          <w:rFonts w:ascii="Arial" w:cs="Arial" w:eastAsia="Arial" w:hAnsi="Arial"/>
          <w:sz w:val="18"/>
          <w:szCs w:val="18"/>
          <w:color w:val="auto"/>
        </w:rPr>
      </w:pPr>
    </w:p>
    <w:p>
      <w:pPr>
        <w:jc w:val="both"/>
        <w:ind w:right="40" w:firstLine="436"/>
        <w:spacing w:after="0" w:line="263" w:lineRule="auto"/>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 w:name="page25"/>
    <w:bookmarkEnd w:id="24"/>
    <w:p>
      <w:pPr>
        <w:ind w:left="4"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at any time prior to the expiration of nine months after 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and for the purposes of this Section 5 and Section 9 hereof, “New York Business Day” shall mean each Monday, Tuesday, Wednesday, Thursday and Friday which is not a day on which banking institutions in New York City are generally authorized or obligated by law or executive order to close;</w:t>
      </w:r>
    </w:p>
    <w:p>
      <w:pPr>
        <w:spacing w:after="0" w:line="66" w:lineRule="exact"/>
        <w:rPr>
          <w:sz w:val="20"/>
          <w:szCs w:val="20"/>
          <w:color w:val="auto"/>
        </w:rPr>
      </w:pPr>
    </w:p>
    <w:p>
      <w:pPr>
        <w:ind w:left="4" w:firstLine="436"/>
        <w:spacing w:after="0" w:line="259" w:lineRule="auto"/>
        <w:tabs>
          <w:tab w:leader="none" w:pos="6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make generally available to the Company’s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78" w:lineRule="exact"/>
        <w:rPr>
          <w:rFonts w:ascii="Arial" w:cs="Arial" w:eastAsia="Arial" w:hAnsi="Arial"/>
          <w:sz w:val="18"/>
          <w:szCs w:val="18"/>
          <w:color w:val="auto"/>
        </w:rPr>
      </w:pPr>
    </w:p>
    <w:p>
      <w:pPr>
        <w:ind w:left="4" w:right="40" w:firstLine="436"/>
        <w:spacing w:after="0" w:line="283" w:lineRule="auto"/>
        <w:tabs>
          <w:tab w:leader="none" w:pos="689"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(i) During the period beginning from the date hereof and continuing to and including the date 180 days after the date of the Prospectus (the “Company Lock-Up Period”), not to (A) offer, sell, contract to sell, pledge, grant any option to purchase, make any short sale or otherwise transfer or dispose of, directly or indirectly, or file with the Commission a registration statement under the Act relating to, any securities of the GoHealth Parties that are substantially similar to the Shares, including, but not limited to, Class B Common Stock or any options or warrants to purchase shares of capital stock or membership interests of any of the GoHealth Parties (the “Lock-Up Securities”) or any securities that are convertible into or exchangeable for, or that represent the right to receive, Lock-Up Securities, or publicly disclose the intention to make any offer, sale, pledge, disposition, confidential submission or filing or (B) enter into any swap or other agreement that transfers, in whole or in part, any of the economic consequences of ownership of Lock-Up Securities, whether any such transaction described in clause (A) or (B) above is to be settled by delivery of Lock-Up Securities, in cash or otherwise, without the prior written consent of the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restrictions in the foregoing sentence shall not apply to</w:t>
      </w:r>
    </w:p>
    <w:p>
      <w:pPr>
        <w:spacing w:after="0" w:line="5" w:lineRule="exact"/>
        <w:rPr>
          <w:rFonts w:ascii="Arial" w:cs="Arial" w:eastAsia="Arial" w:hAnsi="Arial"/>
          <w:sz w:val="16"/>
          <w:szCs w:val="16"/>
          <w:color w:val="auto"/>
        </w:rPr>
      </w:pPr>
    </w:p>
    <w:p>
      <w:pPr>
        <w:ind w:left="4" w:right="160" w:hanging="4"/>
        <w:spacing w:after="0" w:line="269" w:lineRule="auto"/>
        <w:tabs>
          <w:tab w:leader="none" w:pos="24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Shares to be sold hereunder; (b) Shares or any securities (including without limitation options, restricted stock or restricted stock units) convertible into, or exercisable for, Shares pursuant to any employee stock option plan, incentive plan, stock plan, dividend reinvestment plan or otherwise in equity compensation arrangements in place as of the Applicable Time and as described in the Pricing Disclosure Package; (c) the grant of awards pursuant to employee equity-based compensation plans, incentive plans, stock plans, or other arrangements in place as of the Applicable Time and as described in the Pricing Disclosure Package, provided that any directors or officers who are the recipients thereof have provided to the Representatives a signed lock-up agreement substantially in the form of Annex III hereto; (d) the filing of a registration statement on Form S-8 in connection with the registration of Shares issuable under any employee equity-based compensation</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4" w:right="479" w:bottom="1440" w:gutter="0" w:footer="0" w:header="0"/>
        </w:sectPr>
      </w:pPr>
    </w:p>
    <w:bookmarkStart w:id="25" w:name="page26"/>
    <w:bookmarkEnd w:id="2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plan, incentive plan, stock plan, dividend reinvestment plan adopted and approved by the Company’s board of directors; and (e) the issuance of up to 5% of the outstanding shares of Class A Common Stock in connection with the acquisition of the assets of, or a majority or controlling portion of the equity of, or a joint venture with another entity in connection with its acquisition by the Company or any of its subsidiaries of such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recipient of any shares of capital stock, membership interests of any of the GoHealth Parties pledged, issued or sold pursuant to clause (e) above executes and delivers to the Representatives prior to such issuance or sale (as the case may be) an agreement having substantially the same terms as the lock-up letters described in this Agreement;</w:t>
      </w:r>
    </w:p>
    <w:p>
      <w:pPr>
        <w:spacing w:after="0" w:line="84" w:lineRule="exact"/>
        <w:rPr>
          <w:sz w:val="20"/>
          <w:szCs w:val="20"/>
          <w:color w:val="auto"/>
        </w:rPr>
      </w:pPr>
    </w:p>
    <w:p>
      <w:pPr>
        <w:ind w:right="140" w:firstLine="987"/>
        <w:spacing w:after="0" w:line="257" w:lineRule="auto"/>
        <w:tabs>
          <w:tab w:leader="none" w:pos="12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If the Representatives, in their sole discretion, agree to release or waive the restrictions in lock-up letters delivered pursuant to Section 8(h) hereof, in each case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Annex II hereto through a major news service at least two business days before the effective date of the release or waiver;</w:t>
      </w:r>
    </w:p>
    <w:p>
      <w:pPr>
        <w:spacing w:after="0" w:line="79" w:lineRule="exact"/>
        <w:rPr>
          <w:rFonts w:ascii="Arial" w:cs="Arial" w:eastAsia="Arial" w:hAnsi="Arial"/>
          <w:sz w:val="18"/>
          <w:szCs w:val="18"/>
          <w:color w:val="auto"/>
        </w:rPr>
      </w:pPr>
    </w:p>
    <w:p>
      <w:pPr>
        <w:ind w:firstLine="987"/>
        <w:spacing w:after="0" w:line="255" w:lineRule="auto"/>
        <w:tabs>
          <w:tab w:leader="none" w:pos="130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connection with any offer and sale of Reserved Securities outside the United States, each Preliminary Prospectus, the Prospectus and any amendment or supplement thereto, complied and will comply in all material respects with any applicable laws or regulations of foreign jurisdictions in which the same is distributed. The Company has not offered, or caused Merrill Lynch to offer, Reserved Securities to any person with the specific intent to unlawfully influence (i) a customer or supplier of the Company or any of its affiliates to alter the customer’s or supplier’s level or type of business with any such entity or (ii) a trade journalist or publication to write or publish favorable information about the Company or any of its affiliates, or their respective businesses or products.</w:t>
      </w:r>
    </w:p>
    <w:p>
      <w:pPr>
        <w:spacing w:after="0" w:line="84" w:lineRule="exact"/>
        <w:rPr>
          <w:rFonts w:ascii="Arial" w:cs="Arial" w:eastAsia="Arial" w:hAnsi="Arial"/>
          <w:sz w:val="18"/>
          <w:szCs w:val="18"/>
          <w:color w:val="auto"/>
        </w:rPr>
      </w:pPr>
    </w:p>
    <w:p>
      <w:pPr>
        <w:ind w:right="60" w:firstLine="987"/>
        <w:spacing w:after="0" w:line="271" w:lineRule="auto"/>
        <w:tabs>
          <w:tab w:leader="none" w:pos="1296"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GoHealth Parties will enforce all existing agreements between the GoHealth Parties and any of their respective securityholders that prohibit the sale, transfer, assignment, pledge or hypothecation of any of the GoHealth Parties’ securities in connection with the Company’s initial public offering until, in respect of any particular securityholder, the earlier to occur of (i) the expiration of the Company Lock-Up Period or (ii) the expiration, which shall not be amended or otherwise modified, of any similar arrangement entered into by such securityholder with the Representatives; to direct the transfer agent to place stop transfer restrictions upon any such securities of the GoHealth Parties that are bound by such existing “lock-up,” “market stand-off,” “holdback” or similar provisions of such agreements for the duration of the periods contemplated in the preceding clause; and not to release or otherwise grant any waiver of such provisions in such agreements during such periods without the prior written consent of the Representatives, on behalf of the Underwriters;</w:t>
      </w:r>
    </w:p>
    <w:p>
      <w:pPr>
        <w:spacing w:after="0" w:line="70" w:lineRule="exact"/>
        <w:rPr>
          <w:rFonts w:ascii="Arial" w:cs="Arial" w:eastAsia="Arial" w:hAnsi="Arial"/>
          <w:sz w:val="17"/>
          <w:szCs w:val="17"/>
          <w:color w:val="auto"/>
        </w:rPr>
      </w:pPr>
    </w:p>
    <w:p>
      <w:pPr>
        <w:ind w:firstLine="987"/>
        <w:spacing w:after="0" w:line="255" w:lineRule="auto"/>
        <w:tabs>
          <w:tab w:leader="none" w:pos="124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hereby agrees that it will ensure that the Reserved Securities will be restricted as required by FINRA or the FINRA rules from sale, transfer, assignment, pledge or hypothecation for a period of six months following the date of this Agreement. The Reserved Share Underwriter will notify the Company as to which persons will need to be so restricted. Should the Company release, or seek to release, from such restrictions any of the Reserved Securities, the Company agrees to reimburse the Reserved Share Underwriter for any reasonable expenses (including, without limitation, legal expenses) they incur in connection with such release (any such expenses incurred, for the avoidance of doubt, shall be subject to the cap in Section 7(v);</w:t>
      </w:r>
    </w:p>
    <w:p>
      <w:pPr>
        <w:spacing w:after="0" w:line="84" w:lineRule="exact"/>
        <w:rPr>
          <w:rFonts w:ascii="Arial" w:cs="Arial" w:eastAsia="Arial" w:hAnsi="Arial"/>
          <w:sz w:val="18"/>
          <w:szCs w:val="18"/>
          <w:color w:val="auto"/>
        </w:rPr>
      </w:pPr>
    </w:p>
    <w:p>
      <w:pPr>
        <w:ind w:right="100" w:firstLine="436"/>
        <w:spacing w:after="0" w:line="291" w:lineRule="auto"/>
        <w:tabs>
          <w:tab w:leader="none" w:pos="6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a period of two (2) years from the effective date of the Registration Statement, so long as the Company is subject to the reporting requirements of either Section 13 or 15(d) of the Exchange Act, to furnish to the Company’s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provided that no reports, documents or other information need to be furnished pursuant to this Section 5(f) to the extent they are available on EDGAR or any successor thereto;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 w:name="page27"/>
    <w:bookmarkEnd w:id="26"/>
    <w:p>
      <w:pPr>
        <w:ind w:left="-40" w:right="60" w:firstLine="436"/>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use the net proceeds received by it from the sale of the Shares pursuant to this Agreement in the manner specified in the Pricing Prospectus under the caption “Use of Proceeds”;</w:t>
      </w:r>
    </w:p>
    <w:p>
      <w:pPr>
        <w:spacing w:after="0" w:line="58" w:lineRule="exact"/>
        <w:rPr>
          <w:rFonts w:ascii="Arial" w:cs="Arial" w:eastAsia="Arial" w:hAnsi="Arial"/>
          <w:sz w:val="18"/>
          <w:szCs w:val="18"/>
          <w:color w:val="auto"/>
        </w:rPr>
      </w:pPr>
    </w:p>
    <w:p>
      <w:pPr>
        <w:ind w:left="660" w:hanging="264"/>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use its best efforts to list for trading</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official notice of issuance</w:t>
      </w:r>
      <w:r>
        <w:rPr>
          <w:rFonts w:ascii="Arial" w:cs="Arial" w:eastAsia="Arial" w:hAnsi="Arial"/>
          <w:sz w:val="17"/>
          <w:szCs w:val="17"/>
          <w:b w:val="1"/>
          <w:bCs w:val="1"/>
          <w:color w:val="auto"/>
        </w:rPr>
        <w:t>,</w:t>
      </w:r>
      <w:r>
        <w:rPr>
          <w:rFonts w:ascii="Arial" w:cs="Arial" w:eastAsia="Arial" w:hAnsi="Arial"/>
          <w:sz w:val="17"/>
          <w:szCs w:val="17"/>
          <w:color w:val="auto"/>
        </w:rPr>
        <w:t xml:space="preserve"> the Shares on The Nasdaq Global Market (the “Exchange”);</w:t>
      </w:r>
    </w:p>
    <w:p>
      <w:pPr>
        <w:spacing w:after="0" w:line="132" w:lineRule="exact"/>
        <w:rPr>
          <w:rFonts w:ascii="Arial" w:cs="Arial" w:eastAsia="Arial" w:hAnsi="Arial"/>
          <w:sz w:val="17"/>
          <w:szCs w:val="17"/>
          <w:color w:val="auto"/>
        </w:rPr>
      </w:pPr>
    </w:p>
    <w:p>
      <w:pPr>
        <w:ind w:left="620" w:hanging="22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w:t>
      </w:r>
    </w:p>
    <w:p>
      <w:pPr>
        <w:spacing w:after="0" w:line="117" w:lineRule="exact"/>
        <w:rPr>
          <w:rFonts w:ascii="Arial" w:cs="Arial" w:eastAsia="Arial" w:hAnsi="Arial"/>
          <w:sz w:val="18"/>
          <w:szCs w:val="18"/>
          <w:color w:val="auto"/>
        </w:rPr>
      </w:pPr>
    </w:p>
    <w:p>
      <w:pPr>
        <w:ind w:left="-40" w:right="80" w:firstLine="436"/>
        <w:spacing w:after="0" w:line="259"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3a(c) of the Commission’s Informal and Other Procedures (16 CFR 202.3a);</w:t>
      </w:r>
    </w:p>
    <w:p>
      <w:pPr>
        <w:spacing w:after="0" w:line="78" w:lineRule="exact"/>
        <w:rPr>
          <w:rFonts w:ascii="Arial" w:cs="Arial" w:eastAsia="Arial" w:hAnsi="Arial"/>
          <w:sz w:val="18"/>
          <w:szCs w:val="18"/>
          <w:color w:val="auto"/>
        </w:rPr>
      </w:pPr>
    </w:p>
    <w:p>
      <w:pPr>
        <w:ind w:left="-40" w:firstLine="436"/>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78" w:lineRule="exact"/>
        <w:rPr>
          <w:rFonts w:ascii="Arial" w:cs="Arial" w:eastAsia="Arial" w:hAnsi="Arial"/>
          <w:sz w:val="18"/>
          <w:szCs w:val="18"/>
          <w:color w:val="auto"/>
        </w:rPr>
      </w:pPr>
    </w:p>
    <w:p>
      <w:pPr>
        <w:ind w:left="-40" w:right="500" w:firstLine="436"/>
        <w:spacing w:after="0" w:line="277" w:lineRule="auto"/>
        <w:tabs>
          <w:tab w:leader="none" w:pos="6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62" w:lineRule="exact"/>
        <w:rPr>
          <w:rFonts w:ascii="Arial" w:cs="Arial" w:eastAsia="Arial" w:hAnsi="Arial"/>
          <w:sz w:val="18"/>
          <w:szCs w:val="18"/>
          <w:color w:val="auto"/>
        </w:rPr>
      </w:pPr>
    </w:p>
    <w:p>
      <w:pPr>
        <w:ind w:left="-40" w:right="80" w:firstLine="436"/>
        <w:spacing w:after="0" w:line="277"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comply with all applicable securities and other laws, rules and regulations in each jurisdiction in which the Reserved Shares are offered in connection with the Reserved Share Program; and</w:t>
      </w:r>
    </w:p>
    <w:p>
      <w:pPr>
        <w:spacing w:after="0" w:line="62" w:lineRule="exact"/>
        <w:rPr>
          <w:rFonts w:ascii="Arial" w:cs="Arial" w:eastAsia="Arial" w:hAnsi="Arial"/>
          <w:sz w:val="18"/>
          <w:szCs w:val="18"/>
          <w:color w:val="auto"/>
        </w:rPr>
      </w:pPr>
    </w:p>
    <w:p>
      <w:pPr>
        <w:ind w:left="-40" w:right="200" w:firstLine="436"/>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request of any Underwriter, the Company will deliver to such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left="-40" w:right="120" w:firstLine="436"/>
        <w:spacing w:after="0" w:line="275" w:lineRule="auto"/>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The GoHealth Parties represent and agree that, without the prior consent of the Representatives, they have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required to be filed with the Commission; and any such free writing prospectus the use of which has been consented to by the Company and the Representatives is listed on Schedule II(a) hereto;</w:t>
      </w:r>
    </w:p>
    <w:p>
      <w:pPr>
        <w:spacing w:after="0" w:line="68" w:lineRule="exact"/>
        <w:rPr>
          <w:sz w:val="20"/>
          <w:szCs w:val="20"/>
          <w:color w:val="auto"/>
        </w:rPr>
      </w:pPr>
    </w:p>
    <w:p>
      <w:pPr>
        <w:ind w:left="-40" w:right="20" w:firstLine="436"/>
        <w:spacing w:after="0" w:line="311"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has complied and will comply with the requirements of Rule 433 under the Act applicable to any Issuer Free Writing Prospectus, including timely filing with the Commission or retention where required and legending; and the Company represents that it has satisfied and agrees that it will satisfy the conditions under Rule 433 under the Act to avoid a requirement to file with the Commission any electronic roadshow;</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480" w:top="274" w:right="479" w:bottom="1440" w:gutter="0" w:footer="0" w:header="0"/>
        </w:sectPr>
      </w:pPr>
    </w:p>
    <w:bookmarkStart w:id="27" w:name="page28"/>
    <w:bookmarkEnd w:id="27"/>
    <w:p>
      <w:pPr>
        <w:ind w:left="4" w:firstLine="436"/>
        <w:spacing w:after="0" w:line="254" w:lineRule="auto"/>
        <w:tabs>
          <w:tab w:leader="none" w:pos="689"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w:t>
      </w:r>
    </w:p>
    <w:p>
      <w:pPr>
        <w:spacing w:after="0" w:line="86" w:lineRule="exact"/>
        <w:rPr>
          <w:rFonts w:ascii="Arial" w:cs="Arial" w:eastAsia="Arial" w:hAnsi="Arial"/>
          <w:sz w:val="18"/>
          <w:szCs w:val="18"/>
          <w:color w:val="auto"/>
        </w:rPr>
      </w:pPr>
    </w:p>
    <w:p>
      <w:pPr>
        <w:ind w:left="4" w:right="160" w:firstLine="436"/>
        <w:spacing w:after="0" w:line="293" w:lineRule="auto"/>
        <w:tabs>
          <w:tab w:leader="none" w:pos="699"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GoHealth Party represents and agrees that (i) it has not engaged in, or authorized any other person to engage in, any Testing-the-Waters Communications, other than Testing-the-Waters Communications with the prior consent of the Representatives with entities that the Company reasonably believes are qualified institutional buyers as defined in Rule 144A under the Act or institutions that are accredited investors as defined in Rule 501(a)(1), (a)(2), (a)(3), (a)(7) or (a)(8) under the Act; and (ii) it has not distributed, or authorized any other person to distribute, any Written Testing-the-Waters Communication, other than those distributed with the prior consent of the Representatives that are listed on Schedule II(d) hereto; and the Company reconfirms that the Underwriters have been authorized to act on its behalf in engaging in Testing-the-Waters Communications;</w:t>
      </w:r>
    </w:p>
    <w:p>
      <w:pPr>
        <w:spacing w:after="0" w:line="56" w:lineRule="exact"/>
        <w:rPr>
          <w:rFonts w:ascii="Arial" w:cs="Arial" w:eastAsia="Arial" w:hAnsi="Arial"/>
          <w:sz w:val="16"/>
          <w:szCs w:val="16"/>
          <w:color w:val="auto"/>
        </w:rPr>
      </w:pPr>
    </w:p>
    <w:p>
      <w:pPr>
        <w:ind w:left="4" w:firstLine="436"/>
        <w:spacing w:after="0" w:line="263" w:lineRule="auto"/>
        <w:tabs>
          <w:tab w:leader="none" w:pos="68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Underwriter represents and agrees that any Testing-the-Waters Communications undertaken by it were with entities that such Underwriter reasonably believes are qualified institutional buyers as defined in Rule 144A under the Act or institutions that are accredited investors as defined in Rule 501(a)(1), (a)(2), (a)(3), (a)(7) or (a)(8) under the Act.</w:t>
      </w:r>
    </w:p>
    <w:p>
      <w:pPr>
        <w:spacing w:after="0" w:line="184" w:lineRule="exact"/>
        <w:rPr>
          <w:sz w:val="20"/>
          <w:szCs w:val="20"/>
          <w:color w:val="auto"/>
        </w:rPr>
      </w:pPr>
    </w:p>
    <w:p>
      <w:pPr>
        <w:ind w:left="4" w:right="20" w:firstLine="436"/>
        <w:spacing w:after="0" w:line="283" w:lineRule="auto"/>
        <w:tabs>
          <w:tab w:leader="none" w:pos="624"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GoHealth Parties covenant and agree, jointly and several, with one another and the several Underwriters that (a) the GoHealth Parties will, jointly and severally, pay or cause to be paid the following: (i) the fees, disbursements and expenses of GoHealth Party’s counsel and accountants in connection with the registration of the Shares under the Act and all other expenses in connection with the preparation, printing, reproduction and filing of the Registration Statement,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the Transaction Documents,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reasonably incurred and documented fees and disbursements of counsel for the Underwriters in connection with such qualification and in connection with the Blue Sky survey; (iv) all fees and expenses in connection with listing the Shares on the Exchange; (v) all costs and expenses of the Reserved Share Underwriter including the fees and disbursements of counsel (such counsel’s fees not to exceed $15,000), stamp duties, similar taxes or duties or other taxes, if any, incurred by the Reserved Share Underwriter in connection with matters related to the Reserved Securities which are designated by the Company for sale to the Invitees; (vi) the filing fees incident to, and the reasonably incurred and documented fees and disbursements of counsel for the Underwriters in connection with, any required review by FINRA of the terms of the sale of the Shares; (vii) the cost of preparing stock certificates, if applicable;</w:t>
      </w:r>
    </w:p>
    <w:p>
      <w:pPr>
        <w:spacing w:after="0" w:line="1" w:lineRule="exact"/>
        <w:rPr>
          <w:rFonts w:ascii="Arial" w:cs="Arial" w:eastAsia="Arial" w:hAnsi="Arial"/>
          <w:sz w:val="16"/>
          <w:szCs w:val="16"/>
          <w:color w:val="auto"/>
        </w:rPr>
      </w:pPr>
    </w:p>
    <w:p>
      <w:pPr>
        <w:ind w:left="4" w:right="40" w:hanging="4"/>
        <w:spacing w:after="0" w:line="260" w:lineRule="auto"/>
        <w:tabs>
          <w:tab w:leader="none" w:pos="4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and charges of any transfer agent or registrar, and (ix) all other costs and expenses incident to the performance of its obligations hereunder which</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8" w:name="page29"/>
    <w:bookmarkEnd w:id="28"/>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are not otherwise specifically provided for in this Section; provided, that, (x) in connection with the “road show” undertaken in connection with the marketing of the Shares, the GoHealth Parties and the Underwriters will each bear 50% of the costs associated with any chartered aircraft used by both the GoHealth Parties and the Underwriters and (y) the aggregate amount payable by the Company pursuant to subsections (iii) and (vi) (excluding filing fees) shall not exceed $35,000. It is understood, however, that the GoHealth Parties shall bear the cost of any other matters not directly relating to the sale and purchase of the Shares pursuant to this Agreement, and that, except as provided in this Section, and Sections 9, 10 and 13 hereof, the Underwriters will pay all of their own costs and expenses, including the fees of their counsel, stock transfer taxes on resale of any of the Shares by them, and any advertising expenses connected with any offers they may make.</w:t>
      </w:r>
    </w:p>
    <w:p>
      <w:pPr>
        <w:spacing w:after="0" w:line="177" w:lineRule="exact"/>
        <w:rPr>
          <w:sz w:val="20"/>
          <w:szCs w:val="20"/>
          <w:color w:val="auto"/>
        </w:rPr>
      </w:pPr>
    </w:p>
    <w:p>
      <w:pPr>
        <w:jc w:val="both"/>
        <w:ind w:right="100" w:firstLine="436"/>
        <w:spacing w:after="0" w:line="259"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obligations of the Underwriters hereunder, as to the Shares to be delivered at each Time of Delivery, shall be subject, in their discretion, to the condition that all representations and warranties and other statements of the GoHealth Parties herein are, at and as of the Applicable Time and such Time of Delivery, true and correct, the condition that the GoHealth Parties shall have performed all of their obligations hereunder theretofore to be performed, and the following additional conditions:</w:t>
      </w:r>
    </w:p>
    <w:p>
      <w:pPr>
        <w:spacing w:after="0" w:line="79" w:lineRule="exact"/>
        <w:rPr>
          <w:sz w:val="20"/>
          <w:szCs w:val="20"/>
          <w:color w:val="auto"/>
        </w:rPr>
      </w:pPr>
    </w:p>
    <w:p>
      <w:pPr>
        <w:ind w:right="20" w:firstLine="436"/>
        <w:spacing w:after="0" w:line="289"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to the knowledge of the GoHealth Parties, threatened by the Commission no stop order suspending or preventing the use of the Pricing Prospectus, Prospectus or any Issuer Free Writing Prospectus shall have been initiated or, to the knowledge of the GoHealth Parties, threatened by the Commission; and all requests for additional information on the part of the Commission shall have been complied with to your reasonable satisfaction;</w:t>
      </w:r>
    </w:p>
    <w:p>
      <w:pPr>
        <w:spacing w:after="0" w:line="58" w:lineRule="exact"/>
        <w:rPr>
          <w:rFonts w:ascii="Arial" w:cs="Arial" w:eastAsia="Arial" w:hAnsi="Arial"/>
          <w:sz w:val="16"/>
          <w:szCs w:val="16"/>
          <w:color w:val="auto"/>
        </w:rPr>
      </w:pPr>
    </w:p>
    <w:p>
      <w:pPr>
        <w:ind w:right="240" w:firstLine="436"/>
        <w:spacing w:after="0" w:line="263"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Sidley Austin LLP, counsel for the Underwriters, shall have furnished to you such written opinion or opinions and negative assurance letter, each dated such Time of Delivery, in form and substance reasonably satisfactory to you, and such counsel shall have received such papers and information as they may reasonably request to enable them to pass upon such matters;</w:t>
      </w:r>
    </w:p>
    <w:p>
      <w:pPr>
        <w:spacing w:after="0" w:line="75" w:lineRule="exact"/>
        <w:rPr>
          <w:rFonts w:ascii="Arial" w:cs="Arial" w:eastAsia="Arial" w:hAnsi="Arial"/>
          <w:sz w:val="18"/>
          <w:szCs w:val="18"/>
          <w:color w:val="auto"/>
        </w:rPr>
      </w:pPr>
    </w:p>
    <w:p>
      <w:pPr>
        <w:ind w:right="260" w:firstLine="436"/>
        <w:spacing w:after="0" w:line="342" w:lineRule="auto"/>
        <w:tabs>
          <w:tab w:leader="none" w:pos="685" w:val="left"/>
        </w:tabs>
        <w:numPr>
          <w:ilvl w:val="0"/>
          <w:numId w:val="38"/>
        </w:numPr>
        <w:rPr>
          <w:rFonts w:ascii="Arial" w:cs="Arial" w:eastAsia="Arial" w:hAnsi="Arial"/>
          <w:sz w:val="16"/>
          <w:szCs w:val="16"/>
          <w:color w:val="auto"/>
        </w:rPr>
      </w:pPr>
      <w:r>
        <w:rPr>
          <w:rFonts w:ascii="Arial" w:cs="Arial" w:eastAsia="Arial" w:hAnsi="Arial"/>
          <w:sz w:val="16"/>
          <w:szCs w:val="16"/>
          <w:color w:val="auto"/>
        </w:rPr>
        <w:t>Latham &amp; Watkins LLP, counsel for the Company, shall have furnished to you their written opinion and negative assurance letter (a form of such opinion and letter is attached as Annex I(a) hereto), each dated such Time of Delivery, in form and substance reasonably satisfactory to you;</w:t>
      </w:r>
    </w:p>
    <w:p>
      <w:pPr>
        <w:spacing w:after="0" w:line="15" w:lineRule="exact"/>
        <w:rPr>
          <w:rFonts w:ascii="Arial" w:cs="Arial" w:eastAsia="Arial" w:hAnsi="Arial"/>
          <w:sz w:val="16"/>
          <w:szCs w:val="16"/>
          <w:color w:val="auto"/>
        </w:rPr>
      </w:pPr>
    </w:p>
    <w:p>
      <w:pPr>
        <w:ind w:firstLine="436"/>
        <w:spacing w:after="0" w:line="311" w:lineRule="auto"/>
        <w:tabs>
          <w:tab w:leader="none" w:pos="6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9" w:name="page30"/>
    <w:bookmarkEnd w:id="29"/>
    <w:p>
      <w:pPr>
        <w:ind w:left="-20" w:firstLine="436"/>
        <w:spacing w:after="0" w:line="286" w:lineRule="auto"/>
        <w:tabs>
          <w:tab w:leader="none" w:pos="665"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Neither any GoHealth Party nor any subsidiary of any GoHealth Party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membership interests or increase in long-term debt of the GoHealth Parties or any of their respective subsidiaries or any change or effect, or any development involving a prospective change or effect, in or affecting (x) the business, properties, general affairs, management, financial position, stockholders’ equity or results of operations of the GoHealth Parties or their respective subsidiaries, taken as a whole, except as set forth or contemplated in the Pricing Prospectus and the Prospectus, or (y) the ability of the GoHealth Parties to perform their obligations under Transaction Documents</w:t>
      </w:r>
      <w:r>
        <w:rPr>
          <w:rFonts w:ascii="Arial" w:cs="Arial" w:eastAsia="Arial" w:hAnsi="Arial"/>
          <w:sz w:val="16"/>
          <w:szCs w:val="16"/>
          <w:b w:val="1"/>
          <w:bCs w:val="1"/>
          <w:color w:val="auto"/>
        </w:rPr>
        <w:t>,</w:t>
      </w:r>
      <w:r>
        <w:rPr>
          <w:rFonts w:ascii="Arial" w:cs="Arial" w:eastAsia="Arial" w:hAnsi="Arial"/>
          <w:sz w:val="16"/>
          <w:szCs w:val="16"/>
          <w:color w:val="auto"/>
        </w:rPr>
        <w:t xml:space="preserve"> including the issuance and sale of the Shares or the issuance of shares of Class B Common Stock by the Company in the Transactions</w:t>
      </w:r>
      <w:r>
        <w:rPr>
          <w:rFonts w:ascii="Arial" w:cs="Arial" w:eastAsia="Arial" w:hAnsi="Arial"/>
          <w:sz w:val="16"/>
          <w:szCs w:val="16"/>
          <w:b w:val="1"/>
          <w:bCs w:val="1"/>
          <w:color w:val="auto"/>
        </w:rPr>
        <w:t>,</w:t>
      </w:r>
      <w:r>
        <w:rPr>
          <w:rFonts w:ascii="Arial" w:cs="Arial" w:eastAsia="Arial" w:hAnsi="Arial"/>
          <w:sz w:val="16"/>
          <w:szCs w:val="16"/>
          <w:color w:val="auto"/>
        </w:rPr>
        <w:t xml:space="preserve"> or to consummate the transactions contemplated in Transaction Documents, the Pricing Prospectus and the Prospectus (including, without limitation, the Transactions),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65" w:lineRule="exact"/>
        <w:rPr>
          <w:rFonts w:ascii="Arial" w:cs="Arial" w:eastAsia="Arial" w:hAnsi="Arial"/>
          <w:sz w:val="16"/>
          <w:szCs w:val="16"/>
          <w:color w:val="auto"/>
        </w:rPr>
      </w:pPr>
    </w:p>
    <w:p>
      <w:pPr>
        <w:ind w:left="-20" w:right="60" w:firstLine="436"/>
        <w:spacing w:after="0" w:line="271" w:lineRule="auto"/>
        <w:tabs>
          <w:tab w:leader="none" w:pos="645"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70" w:lineRule="exact"/>
        <w:rPr>
          <w:rFonts w:ascii="Arial" w:cs="Arial" w:eastAsia="Arial" w:hAnsi="Arial"/>
          <w:sz w:val="17"/>
          <w:szCs w:val="17"/>
          <w:color w:val="auto"/>
        </w:rPr>
      </w:pPr>
    </w:p>
    <w:p>
      <w:pPr>
        <w:ind w:left="680" w:hanging="264"/>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Shares to be sold at such Time of Delivery shall have been duly listed, subject to official notice of issuance, on the Exchange;</w:t>
      </w:r>
    </w:p>
    <w:p>
      <w:pPr>
        <w:spacing w:after="0" w:line="128" w:lineRule="exact"/>
        <w:rPr>
          <w:rFonts w:ascii="Arial" w:cs="Arial" w:eastAsia="Arial" w:hAnsi="Arial"/>
          <w:sz w:val="17"/>
          <w:szCs w:val="17"/>
          <w:color w:val="auto"/>
        </w:rPr>
      </w:pPr>
    </w:p>
    <w:p>
      <w:pPr>
        <w:ind w:left="-20" w:right="120" w:firstLine="436"/>
        <w:spacing w:after="0" w:line="308" w:lineRule="auto"/>
        <w:tabs>
          <w:tab w:leader="none" w:pos="67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shall have obtained and delivered to the Underwriters executed copies of an agreement from each stockholder of the Company listed on Schedule III hereto, substantially to the effect set forth in Annex III hereto in form and substance satisfactory to you;</w:t>
      </w:r>
    </w:p>
    <w:p>
      <w:pPr>
        <w:spacing w:after="0" w:line="38" w:lineRule="exact"/>
        <w:rPr>
          <w:rFonts w:ascii="Arial" w:cs="Arial" w:eastAsia="Arial" w:hAnsi="Arial"/>
          <w:sz w:val="17"/>
          <w:szCs w:val="17"/>
          <w:color w:val="auto"/>
        </w:rPr>
      </w:pPr>
    </w:p>
    <w:p>
      <w:pPr>
        <w:ind w:left="-20" w:right="200" w:firstLine="436"/>
        <w:spacing w:after="0" w:line="277"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62" w:lineRule="exact"/>
        <w:rPr>
          <w:rFonts w:ascii="Arial" w:cs="Arial" w:eastAsia="Arial" w:hAnsi="Arial"/>
          <w:sz w:val="18"/>
          <w:szCs w:val="18"/>
          <w:color w:val="auto"/>
        </w:rPr>
      </w:pPr>
    </w:p>
    <w:p>
      <w:pPr>
        <w:ind w:left="-20" w:right="60" w:firstLine="436"/>
        <w:spacing w:after="0" w:line="257"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GoHealth Parties shall have furnished or caused to be furnished to you at such Time of Delivery certificates of officers of each of the GoHealth Parties satisfactory to you as to the accuracy of the representations and warranties of each GoHealth Party herein at and as of such Time of Delivery, as to the performance by each of the GoHealth Parties of all of their respective obligations hereunder to be performed at or prior to such Time of Delivery, as to such other matters as you may reasonably request, and the GoHealth Parties shall have furnished or caused to be furnished certificates as to the matters set forth in subsections (a) and (f) of this Section 8.</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60" w:top="274" w:right="479" w:bottom="1440" w:gutter="0" w:footer="0" w:header="0"/>
        </w:sectPr>
      </w:pPr>
    </w:p>
    <w:bookmarkStart w:id="30" w:name="page31"/>
    <w:bookmarkEnd w:id="30"/>
    <w:p>
      <w:pPr>
        <w:ind w:right="80" w:firstLine="436"/>
        <w:spacing w:after="0" w:line="277"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have furnished or caused to be furnished to you, on the date hereof and at such Time of Delivery, a certificate of the Chief Financial Officer of the Company in a form reasonably acceptable to you.</w:t>
      </w:r>
    </w:p>
    <w:p>
      <w:pPr>
        <w:spacing w:after="0" w:line="62" w:lineRule="exact"/>
        <w:rPr>
          <w:rFonts w:ascii="Arial" w:cs="Arial" w:eastAsia="Arial" w:hAnsi="Arial"/>
          <w:sz w:val="18"/>
          <w:szCs w:val="18"/>
          <w:color w:val="auto"/>
        </w:rPr>
      </w:pPr>
    </w:p>
    <w:p>
      <w:pPr>
        <w:ind w:right="640" w:firstLine="436"/>
        <w:spacing w:after="0" w:line="263"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Prior to or substantially concurrent with the issuance of the Firm Shares and payment therefor in accordance with this Agreement, the Transactions shall have been consummated in a manner consistent in all material respects with the descriptions thereof in the Pricing Disclosure Package, the Prospectus and the Registration Statement.</w:t>
      </w:r>
    </w:p>
    <w:p>
      <w:pPr>
        <w:spacing w:after="0" w:line="184" w:lineRule="exact"/>
        <w:rPr>
          <w:sz w:val="20"/>
          <w:szCs w:val="20"/>
          <w:color w:val="auto"/>
        </w:rPr>
      </w:pPr>
    </w:p>
    <w:p>
      <w:pPr>
        <w:ind w:right="20" w:firstLine="436"/>
        <w:spacing w:after="0" w:line="287"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Each of the GoHealth Parties, jointly and severally, shall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 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and documented by such Underwriter in connection with investigating or defending any such action or claim as such expenses are incurred; provided, however, that the GoHealth Parties shall not be liable in any such case to the extent that any such loss, claim, damage or liability arises out of or is based upon an untrue statement or alleged untrue statement or omission or alleged omission made in the Registration Statement,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60" w:lineRule="exact"/>
        <w:rPr>
          <w:sz w:val="20"/>
          <w:szCs w:val="20"/>
          <w:color w:val="auto"/>
        </w:rPr>
      </w:pPr>
    </w:p>
    <w:p>
      <w:pPr>
        <w:ind w:firstLine="436"/>
        <w:spacing w:after="0" w:line="286"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Each Underwriter, severally and not jointly, shall indemnify and hold harmless each of the GoHealth Parties against any losses, claims, damages or liabilities to which the GoHealth Parties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each of the GoHealth Parties for any legal or other expenses reasonably incurred by the GoHealth Parties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and reallowance figures appearing in the [fifth] paragraph under the caption “Underwriting,” and the information contained in the [ninth, tenth and eleventh] paragraphs under the caption “Underwriting.”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1" w:name="page32"/>
    <w:bookmarkEnd w:id="31"/>
    <w:p>
      <w:pPr>
        <w:ind w:left="4" w:firstLine="436"/>
        <w:spacing w:after="0" w:line="267" w:lineRule="auto"/>
        <w:tabs>
          <w:tab w:leader="none" w:pos="689" w:val="left"/>
        </w:tabs>
        <w:numPr>
          <w:ilvl w:val="1"/>
          <w:numId w:val="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after receipt by an indemnified party under subsection (a) or (b) of this Section 9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83" w:lineRule="exact"/>
        <w:rPr>
          <w:rFonts w:ascii="Arial" w:cs="Arial" w:eastAsia="Arial" w:hAnsi="Arial"/>
          <w:sz w:val="17"/>
          <w:szCs w:val="17"/>
          <w:color w:val="auto"/>
        </w:rPr>
      </w:pPr>
    </w:p>
    <w:p>
      <w:pPr>
        <w:ind w:left="704" w:hanging="264"/>
        <w:spacing w:after="0"/>
        <w:tabs>
          <w:tab w:leader="none" w:pos="704" w:val="left"/>
        </w:tabs>
        <w:numPr>
          <w:ilvl w:val="1"/>
          <w:numId w:val="43"/>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9 is unavailable to or insufficient to hold harmless an indemnified party under subsection</w:t>
      </w:r>
    </w:p>
    <w:p>
      <w:pPr>
        <w:spacing w:after="0" w:line="34" w:lineRule="exact"/>
        <w:rPr>
          <w:rFonts w:ascii="Arial" w:cs="Arial" w:eastAsia="Arial" w:hAnsi="Arial"/>
          <w:sz w:val="17"/>
          <w:szCs w:val="17"/>
          <w:color w:val="auto"/>
        </w:rPr>
      </w:pPr>
    </w:p>
    <w:p>
      <w:pPr>
        <w:ind w:left="4" w:hanging="4"/>
        <w:spacing w:after="0" w:line="267" w:lineRule="auto"/>
        <w:tabs>
          <w:tab w:leader="none" w:pos="249" w:val="left"/>
        </w:tabs>
        <w:numPr>
          <w:ilvl w:val="0"/>
          <w:numId w:val="44"/>
        </w:numPr>
        <w:rPr>
          <w:rFonts w:ascii="Arial" w:cs="Arial" w:eastAsia="Arial" w:hAnsi="Arial"/>
          <w:sz w:val="17"/>
          <w:szCs w:val="17"/>
          <w:color w:val="auto"/>
        </w:rPr>
      </w:pPr>
      <w:r>
        <w:rPr>
          <w:rFonts w:ascii="Arial" w:cs="Arial" w:eastAsia="Arial" w:hAnsi="Arial"/>
          <w:sz w:val="17"/>
          <w:szCs w:val="17"/>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GoHealth Parties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GoHealth Parties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GoHealth Parties on the one hand and the Underwriters on the other shall be deemed to be in the same proportion as the total net proceeds from the offering (before deducting expenses) received by the GoHealth Parties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GoHealth Parties on the one hand or the Underwriters on the other and the parties’ relative intent, knowledge, access to information and opportunity to correct or prevent such statement or omission. Each of the GoHealth Parties and</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2" w:name="page33"/>
    <w:bookmarkEnd w:id="32"/>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Underwriters agree that it would not be just and equitable if contribution pursuant to this subsection (e) were determined by pro rata allocation (even if the Underwriters were treated as one entity for such purpose) or by any other method of allocation which does not take account of the equitable considerations referred to above in this subsection (e). The amount paid or payable by an indemnified party as a result of the losses, claims, damages or liabilities (or actions in respect thereof) referred to above in this subsection (e) shall be deemed to include any legal or other expenses reasonably incurred by such indemnified party in connection with investigating or defending any such action or claim. Notwithstanding the provisions of this subsection (e),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74" w:lineRule="exact"/>
        <w:rPr>
          <w:sz w:val="20"/>
          <w:szCs w:val="20"/>
          <w:color w:val="auto"/>
        </w:rPr>
      </w:pPr>
    </w:p>
    <w:p>
      <w:pPr>
        <w:ind w:left="4" w:firstLine="436"/>
        <w:spacing w:after="0" w:line="255" w:lineRule="auto"/>
        <w:tabs>
          <w:tab w:leader="none" w:pos="6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at any time an indemnified party under subsection (a) or (b) above shall have requested an indemnifying party under such section to reimburse the indemnified party for fees and expenses of counsel, such indemnifying party agrees that it shall be liable for any settlement of the nature contemplated by this Section 9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84" w:lineRule="exact"/>
        <w:rPr>
          <w:rFonts w:ascii="Arial" w:cs="Arial" w:eastAsia="Arial" w:hAnsi="Arial"/>
          <w:sz w:val="18"/>
          <w:szCs w:val="18"/>
          <w:color w:val="auto"/>
        </w:rPr>
      </w:pPr>
    </w:p>
    <w:p>
      <w:pPr>
        <w:ind w:left="4" w:right="140" w:firstLine="436"/>
        <w:spacing w:after="0" w:line="255" w:lineRule="auto"/>
        <w:tabs>
          <w:tab w:leader="none" w:pos="6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obligations of the GoHealth Parties under this Section 9 shall be in addition to any liability which the GoHealth Parties may otherwise have and shall extend, upon the same terms and conditions, to each employee, officer and director of each Underwriter and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GoHealth Parties and to each person, if any, who controls any of the GoHealth Parties within the meaning of the Act.</w:t>
      </w:r>
    </w:p>
    <w:p>
      <w:pPr>
        <w:spacing w:after="0" w:line="192" w:lineRule="exact"/>
        <w:rPr>
          <w:sz w:val="20"/>
          <w:szCs w:val="20"/>
          <w:color w:val="auto"/>
        </w:rPr>
      </w:pPr>
    </w:p>
    <w:p>
      <w:pPr>
        <w:ind w:left="4" w:right="60" w:firstLine="436"/>
        <w:spacing w:after="0" w:line="286" w:lineRule="auto"/>
        <w:tabs>
          <w:tab w:leader="none" w:pos="714"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In connection with the offer and sale of the Reserved Securities, the Company agrees to indemnify and hold harmless the Reserved Share Underwriter, its affiliates and selling agents and each person, if any, who controls the Reserved Share Underwriter within the meaning of either Section 15 of the Act or Section 20 of the Exchange Act, from and against any and all loss, liability, claim, damage and expense (including, without limitation, any legal or other expenses reasonably incurred in connection with defending, investigating or settling any such action or claim), as incurred,</w:t>
      </w:r>
    </w:p>
    <w:p>
      <w:pPr>
        <w:spacing w:after="0" w:line="1" w:lineRule="exact"/>
        <w:rPr>
          <w:rFonts w:ascii="Arial" w:cs="Arial" w:eastAsia="Arial" w:hAnsi="Arial"/>
          <w:sz w:val="16"/>
          <w:szCs w:val="16"/>
          <w:color w:val="auto"/>
        </w:rPr>
      </w:pPr>
    </w:p>
    <w:p>
      <w:pPr>
        <w:ind w:left="4" w:right="80" w:hanging="4"/>
        <w:spacing w:after="0" w:line="290" w:lineRule="auto"/>
        <w:tabs>
          <w:tab w:leader="none" w:pos="219" w:val="left"/>
        </w:tabs>
        <w:numPr>
          <w:ilvl w:val="0"/>
          <w:numId w:val="47"/>
        </w:numPr>
        <w:rPr>
          <w:rFonts w:ascii="Arial" w:cs="Arial" w:eastAsia="Arial" w:hAnsi="Arial"/>
          <w:sz w:val="16"/>
          <w:szCs w:val="16"/>
          <w:color w:val="auto"/>
        </w:rPr>
      </w:pPr>
      <w:r>
        <w:rPr>
          <w:rFonts w:ascii="Arial" w:cs="Arial" w:eastAsia="Arial" w:hAnsi="Arial"/>
          <w:sz w:val="16"/>
          <w:szCs w:val="16"/>
          <w:color w:val="auto"/>
        </w:rPr>
        <w:t>arising out of the violation of any applicable laws or regulations of foreign jurisdictions where Reserved Securities have been offered, (ii) arising out of any untrue statement or alleged untrue statement of a material fact contained in any material prepared by or with the consent of the Company for distribution to Invitees in connection with the offering of the Reserved Securities or caused by any omission or alleged omission to state therein a material fact required to be stated therein or necessary to make the statements therein not misleading, (iii) caused by the failure of any Invitee to pay for and accept delivery of Reserved Securities which have been orally confirmed for purchase by any Invitee by 11:59 P.M. (New York City time) on the date of the Agreement or (iv) related to, or arising out of or in connection with, the offering of the Reserved Securities.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3" w:name="page34"/>
    <w:bookmarkEnd w:id="33"/>
    <w:p>
      <w:pPr>
        <w:ind w:firstLine="436"/>
        <w:spacing w:after="0" w:line="285" w:lineRule="auto"/>
        <w:tabs>
          <w:tab w:leader="none" w:pos="695"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after receipt by the Reserved Share Underwriter of notice of the commencement of any action, the Reserved Share Underwriter shall, if a claim in respect thereof is to be made against the Company, notify the Company in writing of the commencement thereof; provided that the failure to notify the Company shall not relieve the Company from any liability that it may have under the preceding paragraph of this Section 10 except to the extent that it has been materially prejudiced (through the forfeiture of substantive rights or defenses) by such failure; and provided further that the failure to notify the Company shall not relieve it from any liability that it may have to the Reserved Share Underwriter otherwise than under the preceding paragraph of this Section 10. In case any such action shall be brought against the Reserved Share Underwriter and it shall notify the Company of the commencement thereof, the Company shall be entitled to participate therein and, to the extent that it shall wish, to assume the defense thereof, with counsel satisfactory to the Reserved Share Underwriter (who shall not, except with the consent of the Reserved Share Underwriter, be counsel to the Company), and, after notice from the Company to the Reserved Share Underwriter of its election so to assume the defense thereof, the Company shall not be liable to the Reserved Share Underwriter under this subsection for any legal expenses of other counsel or any other expenses, in each case subsequently incurred by the Reserved Share Underwriter, in connection with the defense thereof. The Company shall not, without the written consent of the Reserved Share Underwriter, effect the settlement or compromise of, or consent to the entry of any judgment with respect to, any pending or threatened action or claim in respect of which indemnification or contribution may be sought hereunder (whether or not the Reserved Share Underwriter is an actual or potential party to such action or claim) unless such settlement, compromise or judgment (i) includes an unconditional release of the Reserved Share Underwriter from all liability arising out of such action or claim and (ii) does not include a statement as to or an admission of fault, culpability or a failure to act, by or on behalf of the Reserved Share Underwriter.</w:t>
      </w:r>
    </w:p>
    <w:p>
      <w:pPr>
        <w:spacing w:after="0" w:line="68" w:lineRule="exact"/>
        <w:rPr>
          <w:rFonts w:ascii="Arial" w:cs="Arial" w:eastAsia="Arial" w:hAnsi="Arial"/>
          <w:sz w:val="16"/>
          <w:szCs w:val="16"/>
          <w:color w:val="auto"/>
        </w:rPr>
      </w:pPr>
    </w:p>
    <w:p>
      <w:pPr>
        <w:ind w:right="20" w:firstLine="436"/>
        <w:spacing w:after="0" w:line="285" w:lineRule="auto"/>
        <w:tabs>
          <w:tab w:leader="none" w:pos="6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10 is unavailable to or insufficient to hold harmless the Reserved Share Underwriter under subsection (a) above in respect of any losses, claims, damages or liabilities (or actions in respect thereof) referred to therein, then the Company shall contribute to the amount paid or payable by the Reserved Share Underwriter as a result of such losses, claims, damages or liabilities (or actions in respect thereof) in such proportion as is appropriate to reflect the relative benefits received by the Company on the one hand and the Reserved Share Underwriter on the other from the offering of the Reserved Shares. If, however, the allocation provided by the immediately preceding sentence is not permitted by applicable law, then the Company shall contribute to such amount paid or payable by the Reserved Share Underwriter in such proportion as is appropriate to reflect not only such relative benefits but also the relative fault of the Company on the one hand and the Reserved Share Underwriter on the other in connection with any statements or omissions which resulted in such losses, claims, damages or liabilities (or actions in respect thereof), as well as any other relevant equitable considerations. The relative benefits received by the Company on the one hand and the Reserved Share Underwriter on the other shall be deemed to be in the same proportion as the total net proceeds from the offering of the Reserved Shares (before deducting expenses) received by the Company bear to the total underwriting discounts and commissions received by the Reserved Share Underwriter for the Reserved Shares. If the loss, claim, damage or liability arises out of or is based upon an untrue statement or alleged untrue statement of a material fact or arise out of or are based upon the omission or alleged omission to state therein a material fact required to be stated therein or necessary to make the statements therein not misleading, the relative fault shall be determined by reference to, among other things, whether the untrue or alleged untrue statement of a material fact or the omission or alleged omission to state a material fact relates to information supplied by the Company on the one hand or the Reserved Share Underwriter on the other and the parties’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4" w:name="page35"/>
    <w:bookmarkEnd w:id="34"/>
    <w:p>
      <w:pPr>
        <w:ind w:right="1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relative intent, knowledge, access to information and opportunity to correct or prevent such statement or omission. The Company and the Reserved Share Underwriter agree that it would not be just and equitable if contribution pursuant to this subsection (c) were determined by pro rata allocation or by any other method of allocation which does not take account of the equitable considerations referred to above in this subsection (c). The amount paid or payable by the Reserved Share Underwriter as a result of the losses, claims, damages or liabilities (or actions in respect thereof) referred to above in this subsection (c) shall be deemed to include any legal or other expenses reasonably incurred by the Reserved Share Underwriter in connection with investigating or defending any such action or claim. Notwithstanding the provisions of this subsection (c), the Reserved Share Underwriter shall not be required to contribute any amount in excess of the amount by which the total price at which the Reserved Shares sold by it and distributed to the Participants exceeds the amount of any damages which the Reserved Share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60" w:lineRule="exact"/>
        <w:rPr>
          <w:sz w:val="20"/>
          <w:szCs w:val="20"/>
          <w:color w:val="auto"/>
        </w:rPr>
      </w:pPr>
    </w:p>
    <w:p>
      <w:pPr>
        <w:ind w:right="220" w:firstLine="436"/>
        <w:spacing w:after="0" w:line="311"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obligations of the Company under this Section 10 shall be in addition to any liability which the Company may otherwise have and shall extend, upon the same terms and conditions, to each employee, officer and director of the Reserved Share Underwriter and each person, if any, who controls the Reserved Share Underwriter within the meaning of the Act and each broker-dealer or other affiliate of the Reserved Share Underwriter.</w:t>
      </w:r>
    </w:p>
    <w:p>
      <w:pPr>
        <w:spacing w:after="0" w:line="149" w:lineRule="exact"/>
        <w:rPr>
          <w:sz w:val="20"/>
          <w:szCs w:val="20"/>
          <w:color w:val="auto"/>
        </w:rPr>
      </w:pPr>
    </w:p>
    <w:p>
      <w:pPr>
        <w:ind w:firstLine="436"/>
        <w:spacing w:after="0" w:line="288" w:lineRule="auto"/>
        <w:tabs>
          <w:tab w:leader="none" w:pos="704"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that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60" w:lineRule="exact"/>
        <w:rPr>
          <w:sz w:val="20"/>
          <w:szCs w:val="20"/>
          <w:color w:val="auto"/>
        </w:rPr>
      </w:pPr>
    </w:p>
    <w:p>
      <w:pPr>
        <w:ind w:right="60" w:firstLine="436"/>
        <w:spacing w:after="0" w:line="254"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5" w:name="page36"/>
    <w:bookmarkEnd w:id="35"/>
    <w:p>
      <w:pPr>
        <w:ind w:left="4" w:right="60" w:firstLine="436"/>
        <w:spacing w:after="0" w:line="271" w:lineRule="auto"/>
        <w:tabs>
          <w:tab w:leader="none" w:pos="689"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a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and 10 hereof; but nothing herein shall relieve a defaulting Underwriter from liability for its default.</w:t>
      </w:r>
    </w:p>
    <w:p>
      <w:pPr>
        <w:spacing w:after="0" w:line="178" w:lineRule="exact"/>
        <w:rPr>
          <w:sz w:val="20"/>
          <w:szCs w:val="20"/>
          <w:color w:val="auto"/>
        </w:rPr>
      </w:pPr>
    </w:p>
    <w:p>
      <w:pPr>
        <w:ind w:left="4" w:firstLine="436"/>
        <w:spacing w:after="0" w:line="257" w:lineRule="auto"/>
        <w:tabs>
          <w:tab w:leader="none" w:pos="7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GoHealth Parties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GoHealth Parties, or any officer or director or controlling person of any of the GoHealth Parties, and shall survive delivery of and payment for the Shares.</w:t>
      </w:r>
    </w:p>
    <w:p>
      <w:pPr>
        <w:spacing w:after="0" w:line="187" w:lineRule="exact"/>
        <w:rPr>
          <w:rFonts w:ascii="Arial" w:cs="Arial" w:eastAsia="Arial" w:hAnsi="Arial"/>
          <w:sz w:val="18"/>
          <w:szCs w:val="18"/>
          <w:color w:val="auto"/>
        </w:rPr>
      </w:pPr>
    </w:p>
    <w:p>
      <w:pPr>
        <w:ind w:left="4" w:firstLine="436"/>
        <w:spacing w:after="0" w:line="254" w:lineRule="auto"/>
        <w:tabs>
          <w:tab w:leader="none" w:pos="7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this Agreement shall be terminated pursuant to Section 11 hereof, none of the GoHealth Parties shall then be under any liability to any Underwriter except as provided in Sections 7 and 9 hereof; but, if for any other reason any Shares are not delivered by or on behalf of the Company as provided herein, or the Underwriters decline to purchase the Shares for any reason permitted under this Agreement, the GoHealth Parties shall, jointly and severally, reimburse the Underwriters through you for all reasonably incurred and documented out-of-pocket expenses approved in writing by you, including reasonably incurred and documented fees and disbursements of counsel, incurred by the Underwriters in making preparations for the purchase, sale and delivery of the Shares not so delivered, but the GoHealth Parties shall then be under no further liability to any Underwriter except as provided in Sections 7 and 9 hereof.</w:t>
      </w:r>
    </w:p>
    <w:p>
      <w:pPr>
        <w:spacing w:after="0" w:line="194" w:lineRule="exact"/>
        <w:rPr>
          <w:rFonts w:ascii="Arial" w:cs="Arial" w:eastAsia="Arial" w:hAnsi="Arial"/>
          <w:sz w:val="18"/>
          <w:szCs w:val="18"/>
          <w:color w:val="auto"/>
        </w:rPr>
      </w:pPr>
    </w:p>
    <w:p>
      <w:pPr>
        <w:ind w:left="4" w:right="80" w:firstLine="436"/>
        <w:spacing w:after="0" w:line="308" w:lineRule="auto"/>
        <w:tabs>
          <w:tab w:leader="none" w:pos="714"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 jointly.</w:t>
      </w:r>
    </w:p>
    <w:p>
      <w:pPr>
        <w:spacing w:after="0" w:line="146"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GoHealth Parties, which information may include the name and address of their respective clients, as well as other information that will allow the Underwriters to properly identify their respective clients.</w:t>
      </w:r>
    </w:p>
    <w:p>
      <w:pPr>
        <w:spacing w:after="0" w:line="149" w:lineRule="exact"/>
        <w:rPr>
          <w:sz w:val="20"/>
          <w:szCs w:val="20"/>
          <w:color w:val="auto"/>
        </w:rPr>
      </w:pPr>
    </w:p>
    <w:p>
      <w:pPr>
        <w:ind w:left="4" w:right="140" w:firstLine="440"/>
        <w:spacing w:after="0" w:line="291"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telex or facsimile transmission to (i) Goldman Sachs &amp; Co. LLC</w:t>
      </w:r>
      <w:r>
        <w:rPr>
          <w:rFonts w:ascii="Arial" w:cs="Arial" w:eastAsia="Arial" w:hAnsi="Arial"/>
          <w:sz w:val="16"/>
          <w:szCs w:val="16"/>
          <w:b w:val="1"/>
          <w:bCs w:val="1"/>
          <w:color w:val="auto"/>
        </w:rPr>
        <w:t>,</w:t>
      </w:r>
      <w:r>
        <w:rPr>
          <w:rFonts w:ascii="Arial" w:cs="Arial" w:eastAsia="Arial" w:hAnsi="Arial"/>
          <w:sz w:val="16"/>
          <w:szCs w:val="16"/>
          <w:color w:val="auto"/>
        </w:rPr>
        <w:t xml:space="preserve"> 200 West Street, New York, New York 10282, Attention: Registration Department,</w:t>
      </w:r>
    </w:p>
    <w:p>
      <w:pPr>
        <w:ind w:left="4" w:right="60" w:hanging="4"/>
        <w:spacing w:after="0" w:line="255" w:lineRule="auto"/>
        <w:tabs>
          <w:tab w:leader="none" w:pos="2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BofA Securities, Inc., One Bryant Park, New York, New York 10036, attention of Syndicate Department (facsimile: (646) 855-3073), with a copy to ECM Legal (facsimile: (212) 230-8730) and (iii) Morgan Stanley &amp; Co. LLC, 1585 Broadway, New York, New York 10036, Attention: Equity Syndicate Desk, with a copy to the Legal Department; if to any GoHealth Party shall be delivered or sent by mail, telex</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6" w:name="page37"/>
    <w:bookmarkEnd w:id="3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facsimile transmission to GoHealth, Inc., 214 West Huron Street, Chicago, Illinois 60654, Attention: Chief Legal Officer, Chief Financial Officer; provided, however,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by you on request; provided further that notices under subsection 5(e) shall be in writing, and if to the Underwriters shall be delivered or sent by mail, telex or facsimile transmission to you as you at (i) Goldman Sachs &amp; Co. LLC, 200 West Street, New York, New York 10282, Attention: Control Room and (ii) BofA Securities, Inc., One Bryant Park, New York, New York 10036, attention of Syndicate Department (facsimile: (646)</w:t>
      </w:r>
    </w:p>
    <w:p>
      <w:pPr>
        <w:spacing w:after="0" w:line="4"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855-3073), with a copy to ECM Legal (facsimile: (212) 230-8730). Any such statements, requests, notices or agreements shall take effect upon receipt thereof.</w:t>
      </w:r>
    </w:p>
    <w:p>
      <w:pPr>
        <w:spacing w:after="0" w:line="185" w:lineRule="exact"/>
        <w:rPr>
          <w:sz w:val="20"/>
          <w:szCs w:val="20"/>
          <w:color w:val="auto"/>
        </w:rPr>
      </w:pPr>
    </w:p>
    <w:p>
      <w:pPr>
        <w:ind w:firstLine="436"/>
        <w:spacing w:after="0" w:line="257" w:lineRule="auto"/>
        <w:tabs>
          <w:tab w:leader="none" w:pos="7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and the GoHealth Parties and, to the extent provided in Sections 9 and 12 hereof, the officers and directors of the GoHealth Parties and each person who controls the GoHealth Parties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7" w:lineRule="exact"/>
        <w:rPr>
          <w:rFonts w:ascii="Arial" w:cs="Arial" w:eastAsia="Arial" w:hAnsi="Arial"/>
          <w:sz w:val="18"/>
          <w:szCs w:val="18"/>
          <w:color w:val="auto"/>
        </w:rPr>
      </w:pPr>
    </w:p>
    <w:p>
      <w:pPr>
        <w:ind w:right="100" w:firstLine="436"/>
        <w:spacing w:after="0" w:line="277" w:lineRule="auto"/>
        <w:tabs>
          <w:tab w:leader="none" w:pos="7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right="140" w:firstLine="436"/>
        <w:spacing w:after="0" w:line="287" w:lineRule="auto"/>
        <w:tabs>
          <w:tab w:leader="none" w:pos="7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GoHealth Parties acknowledge and agree that (i) the purchase and sale of the Shares pursuant to this Agreement is an arm’s-length commercial transaction between the GoHealth Parties, on the one hand, and the several Underwriters, on the other, a recommendation, investment advice, or solicitation of any action by the several Underwriters, (ii) in connection therewith and with the process leading to such transaction each Underwriter is acting solely as a principal and not the agent or fiduciary of the GoHealth Parties, (iii) no Underwriter has assumed an advisory or fiduciary responsibility in favor of the GoHealth Parties with respect to the offering contemplated hereby or the process leading thereto (irrespective of whether such Underwriter has advised or is currently advising the GoHealth Parties on other matters) or any other obligation to the GoHealth Parties except the obligations expressly set forth in this Agreement, (iv) each GoHealth Party has consulted its own legal and financial advisors to the extent it deemed appropriate and (v) none of the activities of the several Underwriters in connection with the transactions contemplated by this Agreement constitutes a recommendation, investment advice or solicitation of any action by the Underwriters with respect to any entity or natural person. Each GoHealth Party agrees that it will not claim that the Underwriters, or any of them, has rendered advisory services of any nature or respect, or owes a fiduciary or similar duty to it, in connection with such transaction or the process leading thereto.</w:t>
      </w:r>
    </w:p>
    <w:p>
      <w:pPr>
        <w:spacing w:after="0" w:line="171" w:lineRule="exact"/>
        <w:rPr>
          <w:rFonts w:ascii="Arial" w:cs="Arial" w:eastAsia="Arial" w:hAnsi="Arial"/>
          <w:sz w:val="16"/>
          <w:szCs w:val="16"/>
          <w:color w:val="auto"/>
        </w:rPr>
      </w:pPr>
    </w:p>
    <w:p>
      <w:pPr>
        <w:ind w:right="820" w:firstLine="436"/>
        <w:spacing w:after="0" w:line="277" w:lineRule="auto"/>
        <w:tabs>
          <w:tab w:leader="none" w:pos="7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GoHealth Parties and the Underwriters, or any of them, with respect to the subject matter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7" w:name="page38"/>
    <w:bookmarkEnd w:id="37"/>
    <w:p>
      <w:pPr>
        <w:ind w:left="-436" w:firstLine="436"/>
        <w:spacing w:after="0" w:line="255" w:lineRule="auto"/>
        <w:tabs>
          <w:tab w:leader="none" w:pos="274"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and any transaction contemplated by this Agreement and any claim, controversy or dispute arising under or related thereto shall be governed by and construed in accordance with the laws of the State of New York without regard to principles of conflict of laws that would result in the application of any other law than the laws of the State of New York. The GoHealth Parties agree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GoHealth Parties agree to submit to the jurisdiction of, and to venue in, such courts.</w:t>
      </w:r>
    </w:p>
    <w:p>
      <w:pPr>
        <w:spacing w:after="0" w:line="192" w:lineRule="exact"/>
        <w:rPr>
          <w:rFonts w:ascii="Arial" w:cs="Arial" w:eastAsia="Arial" w:hAnsi="Arial"/>
          <w:sz w:val="18"/>
          <w:szCs w:val="18"/>
          <w:color w:val="auto"/>
        </w:rPr>
      </w:pPr>
    </w:p>
    <w:p>
      <w:pPr>
        <w:ind w:left="-436" w:right="340" w:firstLine="436"/>
        <w:spacing w:after="0" w:line="308" w:lineRule="auto"/>
        <w:tabs>
          <w:tab w:leader="none" w:pos="27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GoHealth Parties and each of the Underwriters hereby irrevocably waive, to the fullest extent permitted by applicable law, any and all right to trial by jury in any legal proceeding arising out of or relating to this Agreement or the transactions contemplated hereby.</w:t>
      </w:r>
    </w:p>
    <w:p>
      <w:pPr>
        <w:spacing w:after="0" w:line="146" w:lineRule="exact"/>
        <w:rPr>
          <w:rFonts w:ascii="Arial" w:cs="Arial" w:eastAsia="Arial" w:hAnsi="Arial"/>
          <w:sz w:val="17"/>
          <w:szCs w:val="17"/>
          <w:color w:val="auto"/>
        </w:rPr>
      </w:pPr>
    </w:p>
    <w:p>
      <w:pPr>
        <w:ind w:left="-436" w:right="40" w:firstLine="436"/>
        <w:spacing w:after="0" w:line="277" w:lineRule="auto"/>
        <w:tabs>
          <w:tab w:leader="none" w:pos="27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left="-436" w:firstLine="436"/>
        <w:spacing w:after="0" w:line="296" w:lineRule="auto"/>
        <w:tabs>
          <w:tab w:leader="none" w:pos="274"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GoHealth Parties are authorized to disclose to any persons the U.S. federal and state income tax treatment and tax structure of the potential transaction and all materials of any kind (including tax opinions and other tax analyses) provided to the GoHealth Parties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61" w:lineRule="exact"/>
        <w:rPr>
          <w:rFonts w:ascii="Arial" w:cs="Arial" w:eastAsia="Arial" w:hAnsi="Arial"/>
          <w:sz w:val="16"/>
          <w:szCs w:val="16"/>
          <w:color w:val="auto"/>
        </w:rPr>
      </w:pPr>
    </w:p>
    <w:p>
      <w:pPr>
        <w:ind w:left="264" w:hanging="264"/>
        <w:spacing w:after="0"/>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225" w:lineRule="exact"/>
        <w:rPr>
          <w:sz w:val="20"/>
          <w:szCs w:val="20"/>
          <w:color w:val="auto"/>
        </w:rPr>
      </w:pPr>
    </w:p>
    <w:p>
      <w:pPr>
        <w:ind w:left="-436" w:right="60" w:firstLine="436"/>
        <w:spacing w:after="0" w:line="259"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left="-436" w:right="20" w:firstLine="436"/>
        <w:spacing w:after="0" w:line="259"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244" w:hanging="244"/>
        <w:spacing w:after="0"/>
        <w:tabs>
          <w:tab w:leader="none" w:pos="24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117" w:lineRule="exact"/>
        <w:rPr>
          <w:sz w:val="20"/>
          <w:szCs w:val="20"/>
          <w:color w:val="auto"/>
        </w:rPr>
      </w:pPr>
    </w:p>
    <w:p>
      <w:pPr>
        <w:ind w:left="324"/>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129" w:lineRule="exact"/>
        <w:rPr>
          <w:sz w:val="20"/>
          <w:szCs w:val="20"/>
          <w:color w:val="auto"/>
        </w:rPr>
      </w:pPr>
    </w:p>
    <w:p>
      <w:pPr>
        <w:ind w:left="324"/>
        <w:spacing w:after="0"/>
        <w:rPr>
          <w:sz w:val="20"/>
          <w:szCs w:val="20"/>
          <w:color w:val="auto"/>
        </w:rPr>
      </w:pPr>
      <w:r>
        <w:rPr>
          <w:rFonts w:ascii="Arial" w:cs="Arial" w:eastAsia="Arial" w:hAnsi="Arial"/>
          <w:sz w:val="18"/>
          <w:szCs w:val="18"/>
          <w:color w:val="auto"/>
        </w:rPr>
        <w:t>“Covered Entity” means any of the following:</w:t>
      </w:r>
    </w:p>
    <w:p>
      <w:pPr>
        <w:spacing w:after="0" w:line="117" w:lineRule="exact"/>
        <w:rPr>
          <w:sz w:val="20"/>
          <w:szCs w:val="20"/>
          <w:color w:val="auto"/>
        </w:rPr>
      </w:pPr>
    </w:p>
    <w:p>
      <w:pPr>
        <w:jc w:val="center"/>
        <w:ind w:left="4984" w:right="1940" w:hanging="3992"/>
        <w:spacing w:after="0" w:line="449" w:lineRule="auto"/>
        <w:tabs>
          <w:tab w:leader="none" w:pos="12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 31</w:t>
      </w:r>
    </w:p>
    <w:p>
      <w:pPr>
        <w:sectPr>
          <w:pgSz w:w="11900" w:h="16838" w:orient="portrait"/>
          <w:cols w:equalWidth="0" w:num="1">
            <w:col w:w="10564"/>
          </w:cols>
          <w:pgMar w:left="876" w:top="274" w:right="459" w:bottom="1440" w:gutter="0" w:footer="0" w:header="0"/>
        </w:sectPr>
      </w:pPr>
    </w:p>
    <w:bookmarkStart w:id="38" w:name="page39"/>
    <w:bookmarkEnd w:id="38"/>
    <w:p>
      <w:pPr>
        <w:ind w:left="1700" w:hanging="272"/>
        <w:spacing w:after="0"/>
        <w:tabs>
          <w:tab w:leader="none" w:pos="1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sz w:val="20"/>
          <w:szCs w:val="20"/>
          <w:color w:val="auto"/>
        </w:rPr>
      </w:pPr>
    </w:p>
    <w:p>
      <w:pPr>
        <w:ind w:left="760" w:right="14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62" w:lineRule="exact"/>
        <w:rPr>
          <w:sz w:val="20"/>
          <w:szCs w:val="20"/>
          <w:color w:val="auto"/>
        </w:rPr>
      </w:pPr>
    </w:p>
    <w:p>
      <w:pPr>
        <w:ind w:left="760" w:right="460"/>
        <w:spacing w:after="0" w:line="342" w:lineRule="auto"/>
        <w:rPr>
          <w:sz w:val="20"/>
          <w:szCs w:val="20"/>
          <w:color w:val="auto"/>
        </w:rPr>
      </w:pPr>
      <w:r>
        <w:rPr>
          <w:rFonts w:ascii="Arial" w:cs="Arial" w:eastAsia="Arial" w:hAnsi="Arial"/>
          <w:sz w:val="16"/>
          <w:szCs w:val="16"/>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If the foregoing is in accordance with your understanding, please sign and return to us counterparts hereof, and upon the acceptance hereof by you, on behalf of each of the Underwriters, this letter and such acceptance hereof shall constitute a binding agreement among each of the Underwriters and the GoHealth Parties. It is understood that your acceptance of this letter on behalf of each of the Underwriters is pursuant to the authority set forth in a form of Agreement among Underwriters, the form of which shall be submitted to the GoHealth Parties for examination, upon request, but without warranty on your part as to the authority of the signers thereof.</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9" w:name="page40"/>
    <w:bookmarkEnd w:id="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GoHealth,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GoHealth Holdings, LLC</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274" w:right="1440"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19"/>
          </w:cols>
          <w:pgMar w:left="440" w:top="274" w:right="1440" w:bottom="1440" w:gutter="0" w:footer="0" w:header="0"/>
        </w:sectPr>
      </w:pPr>
    </w:p>
    <w:bookmarkStart w:id="41" w:name="page42"/>
    <w:bookmarkEnd w:id="41"/>
    <w:p>
      <w:pPr>
        <w:jc w:val="right"/>
        <w:ind w:right="39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35"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360" w:type="dxa"/>
            <w:vAlign w:val="bottom"/>
          </w:tcPr>
          <w:p>
            <w:pPr>
              <w:jc w:val="center"/>
              <w:ind w:left="11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360" w:type="dxa"/>
            <w:vAlign w:val="bottom"/>
          </w:tcPr>
          <w:p>
            <w:pPr>
              <w:jc w:val="center"/>
              <w:ind w:left="1188"/>
              <w:spacing w:after="0" w:line="149" w:lineRule="exact"/>
              <w:rPr>
                <w:sz w:val="20"/>
                <w:szCs w:val="20"/>
                <w:color w:val="auto"/>
              </w:rPr>
            </w:pPr>
            <w:r>
              <w:rPr>
                <w:rFonts w:ascii="Arial" w:cs="Arial" w:eastAsia="Arial" w:hAnsi="Arial"/>
                <w:sz w:val="14"/>
                <w:szCs w:val="14"/>
                <w:b w:val="1"/>
                <w:bCs w:val="1"/>
                <w:color w:val="auto"/>
                <w:w w:val="95"/>
              </w:rPr>
              <w:t>Optional</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Total Number of</w:t>
            </w:r>
          </w:p>
        </w:tc>
        <w:tc>
          <w:tcPr>
            <w:tcW w:w="2360" w:type="dxa"/>
            <w:vAlign w:val="bottom"/>
          </w:tcPr>
          <w:p>
            <w:pPr>
              <w:jc w:val="center"/>
              <w:ind w:left="1188"/>
              <w:spacing w:after="0" w:line="149" w:lineRule="exact"/>
              <w:rPr>
                <w:sz w:val="20"/>
                <w:szCs w:val="20"/>
                <w:color w:val="auto"/>
              </w:rPr>
            </w:pPr>
            <w:r>
              <w:rPr>
                <w:rFonts w:ascii="Arial" w:cs="Arial" w:eastAsia="Arial" w:hAnsi="Arial"/>
                <w:sz w:val="14"/>
                <w:szCs w:val="14"/>
                <w:b w:val="1"/>
                <w:bCs w:val="1"/>
                <w:color w:val="auto"/>
                <w:w w:val="88"/>
              </w:rPr>
              <w:t>Shares to be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720" w:type="dxa"/>
            <w:vAlign w:val="bottom"/>
            <w:vMerge w:val="continue"/>
          </w:tcPr>
          <w:p>
            <w:pPr>
              <w:spacing w:after="0"/>
              <w:rPr>
                <w:sz w:val="12"/>
                <w:szCs w:val="12"/>
                <w:color w:val="auto"/>
              </w:rPr>
            </w:pPr>
          </w:p>
        </w:tc>
        <w:tc>
          <w:tcPr>
            <w:tcW w:w="2360" w:type="dxa"/>
            <w:vAlign w:val="bottom"/>
          </w:tcPr>
          <w:p>
            <w:pPr>
              <w:jc w:val="center"/>
              <w:ind w:left="1188"/>
              <w:spacing w:after="0" w:line="149" w:lineRule="exact"/>
              <w:rPr>
                <w:sz w:val="20"/>
                <w:szCs w:val="20"/>
                <w:color w:val="auto"/>
              </w:rPr>
            </w:pPr>
            <w:r>
              <w:rPr>
                <w:rFonts w:ascii="Arial" w:cs="Arial" w:eastAsia="Arial" w:hAnsi="Arial"/>
                <w:sz w:val="14"/>
                <w:szCs w:val="14"/>
                <w:b w:val="1"/>
                <w:bCs w:val="1"/>
                <w:color w:val="auto"/>
                <w:w w:val="92"/>
              </w:rPr>
              <w:t>Purchased if</w:t>
            </w:r>
          </w:p>
        </w:tc>
        <w:tc>
          <w:tcPr>
            <w:tcW w:w="0" w:type="dxa"/>
            <w:vAlign w:val="bottom"/>
          </w:tcPr>
          <w:p>
            <w:pPr>
              <w:spacing w:after="0"/>
              <w:rPr>
                <w:sz w:val="1"/>
                <w:szCs w:val="1"/>
                <w:color w:val="auto"/>
              </w:rPr>
            </w:pPr>
          </w:p>
        </w:tc>
      </w:tr>
      <w:tr>
        <w:trPr>
          <w:trHeight w:val="148"/>
        </w:trPr>
        <w:tc>
          <w:tcPr>
            <w:tcW w:w="22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37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3"/>
              </w:rPr>
              <w:t>Firm Shares</w:t>
            </w:r>
          </w:p>
        </w:tc>
        <w:tc>
          <w:tcPr>
            <w:tcW w:w="2360" w:type="dxa"/>
            <w:vAlign w:val="bottom"/>
          </w:tcPr>
          <w:p>
            <w:pPr>
              <w:jc w:val="center"/>
              <w:ind w:left="1188"/>
              <w:spacing w:after="0" w:line="149" w:lineRule="exact"/>
              <w:rPr>
                <w:sz w:val="20"/>
                <w:szCs w:val="20"/>
                <w:color w:val="auto"/>
              </w:rPr>
            </w:pPr>
            <w:r>
              <w:rPr>
                <w:rFonts w:ascii="Arial" w:cs="Arial" w:eastAsia="Arial" w:hAnsi="Arial"/>
                <w:sz w:val="14"/>
                <w:szCs w:val="14"/>
                <w:b w:val="1"/>
                <w:bCs w:val="1"/>
                <w:color w:val="auto"/>
                <w:w w:val="96"/>
              </w:rPr>
              <w:t>Maximum Option</w:t>
            </w:r>
          </w:p>
        </w:tc>
        <w:tc>
          <w:tcPr>
            <w:tcW w:w="0" w:type="dxa"/>
            <w:vAlign w:val="bottom"/>
          </w:tcPr>
          <w:p>
            <w:pPr>
              <w:spacing w:after="0"/>
              <w:rPr>
                <w:sz w:val="1"/>
                <w:szCs w:val="1"/>
                <w:color w:val="auto"/>
              </w:rPr>
            </w:pPr>
          </w:p>
        </w:tc>
      </w:tr>
      <w:tr>
        <w:trPr>
          <w:trHeight w:val="186"/>
        </w:trPr>
        <w:tc>
          <w:tcPr>
            <w:tcW w:w="2240" w:type="dxa"/>
            <w:vAlign w:val="bottom"/>
            <w:vMerge w:val="continue"/>
          </w:tcPr>
          <w:p>
            <w:pPr>
              <w:spacing w:after="0"/>
              <w:rPr>
                <w:sz w:val="16"/>
                <w:szCs w:val="16"/>
                <w:color w:val="auto"/>
              </w:rPr>
            </w:pPr>
          </w:p>
        </w:tc>
        <w:tc>
          <w:tcPr>
            <w:tcW w:w="3720" w:type="dxa"/>
            <w:vAlign w:val="bottom"/>
          </w:tcPr>
          <w:p>
            <w:pPr>
              <w:jc w:val="center"/>
              <w:ind w:left="148"/>
              <w:spacing w:after="0"/>
              <w:rPr>
                <w:sz w:val="20"/>
                <w:szCs w:val="20"/>
                <w:color w:val="auto"/>
              </w:rPr>
            </w:pPr>
            <w:r>
              <w:rPr>
                <w:rFonts w:ascii="Arial" w:cs="Arial" w:eastAsia="Arial" w:hAnsi="Arial"/>
                <w:sz w:val="14"/>
                <w:szCs w:val="14"/>
                <w:b w:val="1"/>
                <w:bCs w:val="1"/>
                <w:color w:val="auto"/>
                <w:w w:val="89"/>
              </w:rPr>
              <w:t>to be Purchased</w:t>
            </w:r>
          </w:p>
        </w:tc>
        <w:tc>
          <w:tcPr>
            <w:tcW w:w="2360" w:type="dxa"/>
            <w:vAlign w:val="bottom"/>
          </w:tcPr>
          <w:p>
            <w:pPr>
              <w:jc w:val="center"/>
              <w:ind w:left="1188"/>
              <w:spacing w:after="0"/>
              <w:rPr>
                <w:sz w:val="20"/>
                <w:szCs w:val="20"/>
                <w:color w:val="auto"/>
              </w:rPr>
            </w:pPr>
            <w:r>
              <w:rPr>
                <w:rFonts w:ascii="Arial" w:cs="Arial" w:eastAsia="Arial" w:hAnsi="Arial"/>
                <w:sz w:val="14"/>
                <w:szCs w:val="14"/>
                <w:b w:val="1"/>
                <w:bCs w:val="1"/>
                <w:color w:val="auto"/>
                <w:w w:val="87"/>
              </w:rPr>
              <w:t>Exercised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0</wp:posOffset>
            </wp:positionV>
            <wp:extent cx="44659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44659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019"/>
          </w:cols>
          <w:pgMar w:left="440" w:top="270" w:right="1440" w:bottom="1440" w:gutter="0" w:footer="0" w:header="0"/>
        </w:sectPr>
      </w:pPr>
    </w:p>
    <w:bookmarkStart w:id="42" w:name="page43"/>
    <w:bookmarkEnd w:id="42"/>
    <w:p>
      <w:pPr>
        <w:ind w:left="49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w:t>
      </w:r>
    </w:p>
    <w:p>
      <w:pPr>
        <w:spacing w:after="0" w:line="121" w:lineRule="exact"/>
        <w:rPr>
          <w:sz w:val="20"/>
          <w:szCs w:val="20"/>
          <w:color w:val="auto"/>
        </w:rPr>
      </w:pPr>
    </w:p>
    <w:p>
      <w:pPr>
        <w:ind w:left="444" w:right="3999" w:hanging="444"/>
        <w:spacing w:after="0" w:line="375" w:lineRule="auto"/>
        <w:tabs>
          <w:tab w:leader="none" w:pos="24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Electronic Roadshow, dated [ ● ], 2020</w:t>
      </w:r>
    </w:p>
    <w:p>
      <w:pPr>
        <w:spacing w:after="0" w:line="1" w:lineRule="exact"/>
        <w:rPr>
          <w:rFonts w:ascii="Arial" w:cs="Arial" w:eastAsia="Arial" w:hAnsi="Arial"/>
          <w:sz w:val="18"/>
          <w:szCs w:val="18"/>
          <w:color w:val="auto"/>
        </w:rPr>
      </w:pPr>
    </w:p>
    <w:p>
      <w:pPr>
        <w:ind w:left="244" w:hanging="244"/>
        <w:spacing w:after="0"/>
        <w:tabs>
          <w:tab w:leader="none" w:pos="24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Additional documents incorporated by reference</w:t>
      </w:r>
    </w:p>
    <w:p>
      <w:pPr>
        <w:spacing w:after="0" w:line="200" w:lineRule="exact"/>
        <w:rPr>
          <w:sz w:val="20"/>
          <w:szCs w:val="20"/>
          <w:color w:val="auto"/>
        </w:rPr>
      </w:pPr>
    </w:p>
    <w:p>
      <w:pPr>
        <w:spacing w:after="0" w:line="241" w:lineRule="exact"/>
        <w:rPr>
          <w:sz w:val="20"/>
          <w:szCs w:val="20"/>
          <w:color w:val="auto"/>
        </w:rPr>
      </w:pPr>
    </w:p>
    <w:p>
      <w:pPr>
        <w:ind w:left="444" w:right="3179" w:hanging="444"/>
        <w:spacing w:after="0" w:line="375" w:lineRule="auto"/>
        <w:tabs>
          <w:tab w:leader="none" w:pos="2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 the Pricing Disclosure Package The initial public offering price per share for the Shares is $[ ● ]</w:t>
      </w:r>
    </w:p>
    <w:p>
      <w:pPr>
        <w:spacing w:after="0" w:line="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number of Shares purchased by the Underwriters is [ ● ]</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61"/>
        </w:numPr>
        <w:rPr>
          <w:rFonts w:ascii="Arial" w:cs="Arial" w:eastAsia="Arial" w:hAnsi="Arial"/>
          <w:sz w:val="18"/>
          <w:szCs w:val="18"/>
          <w:color w:val="auto"/>
        </w:rPr>
      </w:pPr>
      <w:r>
        <w:rPr>
          <w:rFonts w:ascii="Arial" w:cs="Arial" w:eastAsia="Arial" w:hAnsi="Arial"/>
          <w:sz w:val="18"/>
          <w:szCs w:val="18"/>
          <w:color w:val="auto"/>
        </w:rPr>
        <w:t>Written Testing-the-Waters Communications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Testing-the-Waters presentation, dated June, 2020</w:t>
      </w:r>
    </w:p>
    <w:p>
      <w:pPr>
        <w:sectPr>
          <w:pgSz w:w="11900" w:h="16838" w:orient="portrait"/>
          <w:cols w:equalWidth="0" w:num="1">
            <w:col w:w="10023"/>
          </w:cols>
          <w:pgMar w:left="436" w:top="270" w:right="1440" w:bottom="1440" w:gutter="0" w:footer="0" w:header="0"/>
        </w:sectPr>
      </w:pPr>
    </w:p>
    <w:bookmarkStart w:id="43" w:name="page44"/>
    <w:bookmarkEnd w:id="43"/>
    <w:p>
      <w:pPr>
        <w:jc w:val="right"/>
        <w:ind w:right="38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III</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Blizzard Aggregator,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NVX Holdings,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BCCJ,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Jones 2018 Family Gift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Cruz Dynasty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 GH 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OR GH II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Clinton P. Jones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Brandon M. Cruz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Shane E. Cruz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Farley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Travis J. Matthiesen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James A. Sharman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Rahm Emanuel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Joseph G. Flanagan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Helene D. Gayle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Jeremy W. Gelber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Anita V. Pramoda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Miriam A. Tawil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Alexander E. Timm</w:t>
      </w:r>
    </w:p>
    <w:p>
      <w:pPr>
        <w:sectPr>
          <w:pgSz w:w="11900" w:h="16838" w:orient="portrait"/>
          <w:cols w:equalWidth="0" w:num="1">
            <w:col w:w="10019"/>
          </w:cols>
          <w:pgMar w:left="440" w:top="270"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FORM OF OPINION OF</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COUNSEL FOR THE COMPANY</w:t>
      </w:r>
    </w:p>
    <w:p>
      <w:pPr>
        <w:sectPr>
          <w:pgSz w:w="11900" w:h="16838" w:orient="portrait"/>
          <w:cols w:equalWidth="0" w:num="1">
            <w:col w:w="10020"/>
          </w:cols>
          <w:pgMar w:left="1440" w:top="270" w:right="4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GoHealth, Inc. (“Company”) announced today that Goldman Sachs &amp; Co. LLC, BofA Securities, Inc. and [ ● ], the lead book-running managers in the recent public sale of shares of the Company’s Class A Common Stock, $[●] par value per share (“Common Stock”), are [waiving] [releasing] a lock-up restriction with respect to shares of the Company’s [Common Stock][Class B Common Stock, $[●] par value per share,] held by [certain officers or directors] [an officer or director] of the Company. The [waiver] [release] will take effect on , 202[0][1], and the shares may be sold on or after such date.</w:t>
      </w:r>
    </w:p>
    <w:p>
      <w:pPr>
        <w:spacing w:after="0" w:line="15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III</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[FORM OF LOCK-UP AGREEMENT]</w:t>
      </w:r>
    </w:p>
    <w:p>
      <w:pPr>
        <w:sectPr>
          <w:pgSz w:w="11900" w:h="16838" w:orient="portrait"/>
          <w:cols w:equalWidth="0" w:num="1">
            <w:col w:w="10020"/>
          </w:cols>
          <w:pgMar w:left="1440" w:top="270" w:right="4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GoHealth,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GoHealth, Inc.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380" w:firstLine="440"/>
        <w:spacing w:after="0" w:line="255" w:lineRule="auto"/>
        <w:rPr>
          <w:sz w:val="20"/>
          <w:szCs w:val="20"/>
          <w:color w:val="auto"/>
        </w:rPr>
      </w:pPr>
      <w:r>
        <w:rPr>
          <w:rFonts w:ascii="Arial" w:cs="Arial" w:eastAsia="Arial" w:hAnsi="Arial"/>
          <w:sz w:val="18"/>
          <w:szCs w:val="18"/>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GoHealth, Inc., a Delaware corporation (the “Company”), providing for a public offering (the “Offering”) of shares of Class A Common Stock, par value $0.0001 per share, of the Company (together with the Class B Common Stock, par value $0.0001 per share, of the Company, the “Common Stock”) pursuant to a Registration Statement on Form S-1 (as may be amended from time to time, the “Registration Statement”) to be filed with the Securities and Exchange Commission (the “SEC”).</w:t>
      </w:r>
    </w:p>
    <w:p>
      <w:pPr>
        <w:spacing w:after="0" w:line="192"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In consideration of the agreement by the Underwriters to offer and sell the shares of Class A Common Stock, and of other good and valuable consideration the receipt and sufficiency of which is hereby acknowledged, the undersigned agrees that, during the period beginning from the date of this lock-up agreement (this “Lock-up Agreement”) and continuing to, and including, the date that is 180 days after the date set forth on the final prospectus (the “Prospectus”) used to sell the shares of Class A Common Stock (the “Lock-Up Period”), the undersigned shall not, and shall not cause or direct any of its affiliates to, without the prior written consent of any two Representatives (the “Required Representatives”) (i) offer, sell, contract to sell, pledge, grant any option to purchase, lend or otherwise dispose of any shares of Common Stock of the Company, or any options or warrants to purchase any shares of Common Stock of the Company, or any securities convertible into, exchangeable for or that represent the right to receive shares of Common Stock of the Company (such options, warrants or other securities, collectively, “Derivative Instruments”), including without limitation any such shares of Common Stock or Derivative Instruments now owned or hereafter acquired by the undersigned (collectively, the “Undersigned’s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the Undersigned’s Shares, whether any such transaction or arrangement (or instrument provided for thereunder) would be settled by delivery of shares of Common Stock or other securities, in cash or otherwise (any such sale, loan,</w:t>
      </w:r>
    </w:p>
    <w:p>
      <w:pPr>
        <w:sectPr>
          <w:pgSz w:w="11900" w:h="16838" w:orient="portrait"/>
          <w:cols w:equalWidth="0" w:num="1">
            <w:col w:w="11000"/>
          </w:cols>
          <w:pgMar w:left="440" w:top="270" w:right="459" w:bottom="1440" w:gutter="0" w:footer="0" w:header="0"/>
        </w:sectPr>
      </w:pPr>
    </w:p>
    <w:bookmarkStart w:id="48" w:name="page49"/>
    <w:bookmarkEnd w:id="4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pledge or other disposition, or transfer of economic consequences, a “Transfer”) or (iii) otherwise publicly announce any intention to engage in or cause any action or activity described in clause (i) above or transaction or arrangement described in clause (ii) above. The undersigned represents and warrants that the undersigned is not, and has not caused or directed any of its affiliates to be or become, currently a party to any agreement or arrangement that provides for, is designed to or which reasonably could be expected to lead to or result in any Transfer during the Lock-Up Period other than to the extent disclosed in the Prospectus or Registration Statement. For the avoidance of doubt, the undersigned agrees that the foregoing restrictions [shall be equally applicable][shall not be applicable] to any issuer-directed or other shares of Class A Common Stock the undersigned may purchase in the Offering.</w:t>
      </w:r>
    </w:p>
    <w:p>
      <w:pPr>
        <w:spacing w:after="0" w:line="164"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If the undersigned is not a natural person, the undersigned represents and warrants that no single natural person, entity or “group” (within the meaning of Section 13(d)(3) of the Securities Exchange Act of 1934, as amended),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pacing w:after="0" w:line="171"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If the undersigned is an officer or director of the Company, (i) the Representatives agree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Required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restrictions shall not apply to:</w:t>
      </w:r>
    </w:p>
    <w:p>
      <w:pPr>
        <w:spacing w:after="0" w:line="131" w:lineRule="exact"/>
        <w:rPr>
          <w:sz w:val="20"/>
          <w:szCs w:val="20"/>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transfer of the Undersigned’s Shares to the Underwriters pursuant to the Underwriting Agreement;</w:t>
      </w:r>
    </w:p>
    <w:p>
      <w:pPr>
        <w:spacing w:after="0" w:line="130" w:lineRule="exact"/>
        <w:rPr>
          <w:rFonts w:ascii="Arial" w:cs="Arial" w:eastAsia="Arial" w:hAnsi="Arial"/>
          <w:sz w:val="18"/>
          <w:szCs w:val="18"/>
          <w:color w:val="auto"/>
        </w:rPr>
      </w:pPr>
    </w:p>
    <w:p>
      <w:pPr>
        <w:ind w:left="960" w:right="140" w:hanging="532"/>
        <w:spacing w:after="0" w:line="273" w:lineRule="auto"/>
        <w:tabs>
          <w:tab w:leader="none" w:pos="9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any transfer or disposition of the Undersigned’s Shares in connection with the Transactions (as defined in the Prospectus or the Registration Statement), including pursuant to any redemption of membership interests or exchange of membership interests of GoHealth Holdings, LLC or Blizzard Management Feeder, LLC (including, in each case, for the avoidance of doubt, profits units or common units issued in connection with the GoHealth Holdings, LLC Profits Units Plan, as amended) for a corresponding number of shares of Class A Common Stock in accordance with the Operating Agreement of GoHealth Holdings, LLC or Blizzard Management Feeder, LLC, as applicable and as may be amended and restated at the consummation of the Offering;</w:t>
      </w:r>
    </w:p>
    <w:p>
      <w:pPr>
        <w:spacing w:after="0" w:line="83" w:lineRule="exact"/>
        <w:rPr>
          <w:rFonts w:ascii="Arial" w:cs="Arial" w:eastAsia="Arial" w:hAnsi="Arial"/>
          <w:sz w:val="17"/>
          <w:szCs w:val="17"/>
          <w:color w:val="auto"/>
        </w:rPr>
      </w:pPr>
    </w:p>
    <w:p>
      <w:pPr>
        <w:ind w:left="960" w:hanging="532"/>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shares of Class A Common Stock acquired by the undersigned in the open market after the completion of the Offering;</w:t>
      </w:r>
    </w:p>
    <w:p>
      <w:pPr>
        <w:spacing w:after="0" w:line="130"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the Undersigned’s Shares transferred as a bona fide gift or gifts, provided that the donee or donees thereof agree to be bound in writing by the restrictions set forth herein;</w:t>
      </w:r>
    </w:p>
    <w:p>
      <w:pPr>
        <w:spacing w:after="0" w:line="75"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the Undersigned’s Shares transferred to any beneficiary of the undersigned pursuant to a will, other testamentary document or intestate succession to the legal representatives, heirs, beneficiary or immediate family member of the undersigned, provided that the donee or donees, beneficiary or beneficiaries, heir or heirs or legal representatives thereof agree to be bound in writing by the restrictions set forth herein;</w:t>
      </w:r>
    </w:p>
    <w:p>
      <w:pPr>
        <w:sectPr>
          <w:pgSz w:w="11900" w:h="16838" w:orient="portrait"/>
          <w:cols w:equalWidth="0" w:num="1">
            <w:col w:w="11000"/>
          </w:cols>
          <w:pgMar w:left="440" w:top="274" w:right="459" w:bottom="1440" w:gutter="0" w:footer="0" w:header="0"/>
        </w:sectPr>
      </w:pPr>
    </w:p>
    <w:bookmarkStart w:id="49" w:name="page50"/>
    <w:bookmarkEnd w:id="49"/>
    <w:p>
      <w:pPr>
        <w:ind w:left="532" w:right="60" w:hanging="532"/>
        <w:spacing w:after="0" w:line="259"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of the Undersigned’s Shares transferred to any trust, partnership, limited liability company or other entity for the direct or indirect benefit of the undersigned or the immediate family of the undersigned, or if the undersigned is a trust, to any beneficiary (including such beneficiary’s estate) of the undersigned, provided that the trustee of the trust or the partnership, limited liability company or other entity or beneficiary agrees to be bound in writing by the restrictions set forth herein;</w:t>
      </w:r>
    </w:p>
    <w:p>
      <w:pPr>
        <w:spacing w:after="0" w:line="92" w:lineRule="exact"/>
        <w:rPr>
          <w:rFonts w:ascii="Arial" w:cs="Arial" w:eastAsia="Arial" w:hAnsi="Arial"/>
          <w:sz w:val="18"/>
          <w:szCs w:val="18"/>
          <w:color w:val="auto"/>
        </w:rPr>
      </w:pPr>
    </w:p>
    <w:p>
      <w:pPr>
        <w:ind w:left="532" w:right="420" w:hanging="532"/>
        <w:spacing w:after="0" w:line="277"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the Undersigned’s Shares transferred or disposed of pursuant to an order of a court or regulatory agency or to comply with any regulations related to the undersigned’s ownership of the Undersigned’s Shares;</w:t>
      </w:r>
    </w:p>
    <w:p>
      <w:pPr>
        <w:spacing w:after="0" w:line="75" w:lineRule="exact"/>
        <w:rPr>
          <w:rFonts w:ascii="Arial" w:cs="Arial" w:eastAsia="Arial" w:hAnsi="Arial"/>
          <w:sz w:val="18"/>
          <w:szCs w:val="18"/>
          <w:color w:val="auto"/>
        </w:rPr>
      </w:pPr>
    </w:p>
    <w:p>
      <w:pPr>
        <w:ind w:left="532" w:right="740" w:hanging="532"/>
        <w:spacing w:after="0" w:line="277" w:lineRule="auto"/>
        <w:tabs>
          <w:tab w:leader="none" w:pos="53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the Undersigned’s Shares transferred to the Company or GoHealth Holdings, LLC upon death, disability or termination of employment, in each case, of the undersigned;</w:t>
      </w:r>
    </w:p>
    <w:p>
      <w:pPr>
        <w:spacing w:after="0" w:line="75" w:lineRule="exact"/>
        <w:rPr>
          <w:rFonts w:ascii="Arial" w:cs="Arial" w:eastAsia="Arial" w:hAnsi="Arial"/>
          <w:sz w:val="18"/>
          <w:szCs w:val="18"/>
          <w:color w:val="auto"/>
        </w:rPr>
      </w:pPr>
    </w:p>
    <w:p>
      <w:pPr>
        <w:ind w:left="532" w:hanging="532"/>
        <w:spacing w:after="0" w:line="284" w:lineRule="auto"/>
        <w:tabs>
          <w:tab w:leader="none" w:pos="532" w:val="left"/>
        </w:tabs>
        <w:numPr>
          <w:ilvl w:val="0"/>
          <w:numId w:val="63"/>
        </w:numPr>
        <w:rPr>
          <w:rFonts w:ascii="Arial" w:cs="Arial" w:eastAsia="Arial" w:hAnsi="Arial"/>
          <w:sz w:val="16"/>
          <w:szCs w:val="16"/>
          <w:color w:val="auto"/>
        </w:rPr>
      </w:pPr>
      <w:r>
        <w:rPr>
          <w:rFonts w:ascii="Arial" w:cs="Arial" w:eastAsia="Arial" w:hAnsi="Arial"/>
          <w:sz w:val="16"/>
          <w:szCs w:val="16"/>
          <w:color w:val="auto"/>
        </w:rPr>
        <w:t>(1) the receipt by the undersigned from the Company or GoHealth Holdings, LLC of shares of Common Stock or other securities of the Company or GoHealth Holdings, LLC, as applicable, upon the exercise, vesting or settlement of options, restricted stock units or other equity awards granted under a stock incentive plan or other equity award plan, which plan is described in the Prospectus or Registration Statement or warrants to purchase shares of Common Stock or securities of the Company or GoHealth Holdings, LLC, as applicable, insofar as such options or warrants are outstanding as of the date of the Prospectus and are disclosed in the Prospectus; or (2) the transfer of shares of Common Stock or other securities of Company or GoHealth Holdings, LLC, as applicable, to the Company or GoHealth Holdings, LLC, as applicable, upon a vesting or settlement event of the Company’s or GoHealth Holdings, LLC’s securities or upon the exercise of options to purchase the Company’s or GoHealth Holdings, LLC’s securities on a “cashless” or “net exercise” basis to the extent permitted by the instruments representing such options (and any transfer to the Company or GoHealth Holdings, LLC, as applicable, necessary in respect of such amount needed for the payment of taxes, including estimated taxes and withholding tax and remittance obligations, due as a result of such vesting, settlement or exercise whether by means of a “net settlement” or otherwise) so long as such securities or options were granted under a stock incentive plan or other equity award plan, which plan is described in the Prospectus or Registration Statement, or such securities or options are outstanding as of the date of the Prospectus and are disclosed in the Prospectus, and so long as such vesting, settlement, “cashless” exercise or “net exercise” is effected solely by the surrender of outstanding options (or shares of Common Stock or other securities of the Company or GoHealth Holdings, LLC, as applicable, issuable upon the exercise thereof) or shares of Common Stock or other securities of the Company or GoHealth Holdings, LLC, as applicable, and the Company’s or GoHealth Holdings, LLC’s, as applicable, cancellation of all or a portion thereof to pay the exercise price and/or withholding tax and remittance obligations in connection with the vesting, settlement or exercise of the restricted stock unit, option or other equity award; provided (yy) that the shares or other securities received upon vesting, settlement or exercise of the restricted stock unit, option or other equity award are subject to this Lock-Up Agreement, and (zz) that in the case of clauses (1) or (2), any filing required under Section 16 of the Exchange Act to be made during the Lock-Up Period shall include a statement to the effect that (A) such transaction reflects the circumstances described in (1) or (2), as the case may be, (B) such transaction was only with the Company or GoHealth Holdings, LLC and (C) in the case of (1) shares or other securities received upon exercise or settlement of the option, restricted stock units or other equity awards are subject to this Lock-Up Agreement;</w:t>
      </w:r>
    </w:p>
    <w:p>
      <w:pPr>
        <w:spacing w:after="0" w:line="298" w:lineRule="exact"/>
        <w:rPr>
          <w:rFonts w:ascii="Arial" w:cs="Arial" w:eastAsia="Arial" w:hAnsi="Arial"/>
          <w:sz w:val="16"/>
          <w:szCs w:val="16"/>
          <w:color w:val="auto"/>
        </w:rPr>
      </w:pPr>
    </w:p>
    <w:p>
      <w:pPr>
        <w:ind w:left="532" w:right="80" w:hanging="532"/>
        <w:spacing w:after="0" w:line="279" w:lineRule="auto"/>
        <w:tabs>
          <w:tab w:leader="none" w:pos="53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transfer of the Undersigned’s Shares to the Company or GoHealth Holdings, LLC in connection with the repurchase of shares of Common Stock or other securities granted under any stock incentive plan, stock purchase plan or other equity award plan of the Company or GoHealth Holdings, LLC, which plan is described in the Prospectus or Registration Statement, provided that the underlying shares or other securities shall continue to be subject to the restrictions on transfer set forth in this Lock-Up Agreement;</w:t>
      </w:r>
    </w:p>
    <w:p>
      <w:pPr>
        <w:sectPr>
          <w:pgSz w:w="11900" w:h="16838" w:orient="portrait"/>
          <w:cols w:equalWidth="0" w:num="1">
            <w:col w:w="10572"/>
          </w:cols>
          <w:pgMar w:left="868" w:top="274" w:right="459" w:bottom="1440" w:gutter="0" w:footer="0" w:header="0"/>
        </w:sectPr>
      </w:pPr>
    </w:p>
    <w:bookmarkStart w:id="50" w:name="page51"/>
    <w:bookmarkEnd w:id="50"/>
    <w:p>
      <w:pPr>
        <w:ind w:left="960" w:right="280" w:hanging="532"/>
        <w:spacing w:after="0" w:line="263"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 nominee or custodian of a person or entity to whom a disposition or transfer would be permissible in connection with the foregoing clauses (i) through (ix) as applicable; provided that such nominee or custodian agree to be bound in writing by the restrictions set forth herein if required by the applicable foregoing clause;</w:t>
      </w:r>
    </w:p>
    <w:p>
      <w:pPr>
        <w:spacing w:after="0" w:line="89" w:lineRule="exact"/>
        <w:rPr>
          <w:rFonts w:ascii="Arial" w:cs="Arial" w:eastAsia="Arial" w:hAnsi="Arial"/>
          <w:sz w:val="18"/>
          <w:szCs w:val="18"/>
          <w:color w:val="auto"/>
        </w:rPr>
      </w:pPr>
    </w:p>
    <w:p>
      <w:pPr>
        <w:ind w:left="960" w:right="60" w:hanging="532"/>
        <w:spacing w:after="0" w:line="25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provided that (i) no transfers occur under such plan during such Lock-Up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the Undersigned’s Shares may be made under such plan during the Lock-Up Period; or</w:t>
      </w:r>
    </w:p>
    <w:p>
      <w:pPr>
        <w:spacing w:after="0" w:line="93" w:lineRule="exact"/>
        <w:rPr>
          <w:rFonts w:ascii="Arial" w:cs="Arial" w:eastAsia="Arial" w:hAnsi="Arial"/>
          <w:sz w:val="18"/>
          <w:szCs w:val="18"/>
          <w:color w:val="auto"/>
        </w:rPr>
      </w:pPr>
    </w:p>
    <w:p>
      <w:pPr>
        <w:ind w:left="960" w:right="120" w:hanging="532"/>
        <w:spacing w:after="0" w:line="289"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transfers, sales, tenders or other dispositions of the Undersigned’s Shares to a bona fide third party pursuant to a tender or exchange offer for securities of the Company or other transaction, including, without limitation, a merger, consolidation or other business combination, involving a change of control of the Company that, in each case, has been approved by the Company’s board of directors (including, without limitation, entering into any lock-up, voting or similar agreement pursuant to which the undersigned may agree to transfer, sell, tender or otherwise dispose of the Undersigned’s Shares in connection with any such transaction, or vote any of the Undersigned’s Shares in favor of any such transaction), provided that all of the Undersigned’s Shares subject to this Lock-Up Agreement that are not so transferred, sold, tendered or otherwise disposed of remain subject to this Lock-Up Agreement; and provided, further, that it shall be a condition of transfer, sale, tender or other disposition that if such tender offer or other transaction is not completed, any of the Undersigned’s Shares subject to this Lock-Up Agreement shall remain subject to the restrictions herein;</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provided, that (1) in connection with any transfer pursuant to clauses (iii) through (viii) and (xi) above, no filing under Section 16(a) of the Exchange Act, reporting a reduction in beneficial ownership of the Undersigned’s Shares shall be required during the Lock-Up Period (other (A) than on Form 5 if such Form 5 is filed after the expiration of the Lock-Up Period) unless such filing indicates in the footnotes thereto that the filing relates to the circumstances described in the applicable clause above and that no shares of Common Stock were sold to the public by the undersigned and, where applicable, the shares remain subject to a lock-up agreement (provided that in the case of clause (vii), no such statement in the footnotes of the filing shall be included to the extent it would be prohibited by any applicable law, regulation, or order of a court or regulatory authority) nor shall a public announcement be voluntarily made by the undersigned or the transferee during the Lock-Up Period; and (2) in connection with any transfer pursuant to clauses (vi) and (xi), any such transfer shall not involve a disposition for value.</w:t>
      </w:r>
    </w:p>
    <w:p>
      <w:pPr>
        <w:spacing w:after="0" w:line="178"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For purposes of this Lock-Up Agreement, “immediate family” shall mean any relationship by blood, marriage or adoption, not more remote than first cousin and “change of control” shall mean the transfer (whether by tender offer, merger, consolidation or other similar transaction), in one transaction or a series of related transactions, to a person or group of affiliated persons (other than an underwriter pursuant to the Offering, Centerbridge Capital Partners III, L.P. or any affiliates of Centerbridge Capital Partners III, L.P.), of the Company’s voting securities if, after such transfer, such person or group of affiliated persons would hold more than 50% of the outstanding voting power of the Company (or the surviving entity).</w:t>
      </w:r>
    </w:p>
    <w:p>
      <w:pPr>
        <w:spacing w:after="0" w:line="16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In addition, notwithstanding the foregoing, if the undersigned is a corporation, partnership, limited liability company, trust or other business entity, the undersigned may transfer the Undersigned’s Shares (A) to another corporation, partnership, limited liability company, trust or other business entity that is an affiliate (as defined in Rule 405 promulgated under the Securities Act of 1933, as amended) of the undersigned, or to any investment fund or</w:t>
      </w:r>
    </w:p>
    <w:p>
      <w:pPr>
        <w:sectPr>
          <w:pgSz w:w="11900" w:h="16838" w:orient="portrait"/>
          <w:cols w:equalWidth="0" w:num="1">
            <w:col w:w="11000"/>
          </w:cols>
          <w:pgMar w:left="440" w:top="274" w:right="459" w:bottom="1440" w:gutter="0" w:footer="0" w:header="0"/>
        </w:sectPr>
      </w:pPr>
    </w:p>
    <w:bookmarkStart w:id="51" w:name="page52"/>
    <w:bookmarkEnd w:id="5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entity controlled or managed by the undersigned or affiliates of the undersigned, in each case without consideration or (B) as part of a distribution, transfer or disposition without consideration by the undersigned to its stockholders, partners, members, beneficiaries or other equity holders; provided, however, that in any such case, it shall be a condition to the transfer that the transferee execute an agreement stating that the transferee is receiving and holding such capital stock subject to the provisions of this Lock-Up Agreement and there shall be no further transfer of such Undersigned’s Shares except in accordance with this Lock-Up Agreement, and provided further that any such transfer shall not involve a disposition for value. The undersigned now has, and, except as contemplated pursuant to this Lock-up Agreement, for the duration of this Lock-Up Agreement will have, good and marketable title to the Undersigned’s Shares of the Company,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8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For the avoidance of doubt, and consistent with clause (ii) above, the restrictions described in this Lock-Up Agreement shall not prohibit any transfer of the Undersigned’s Shares contemplated by the Transactions.</w:t>
      </w:r>
    </w:p>
    <w:p>
      <w:pPr>
        <w:spacing w:after="0" w:line="170"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This Lock-Up Agreement shall be terminated and the undersigned shall be released from its obligations hereunder upon the earlier of (i) prior to the execution of the Underwriting Agreement, if the Company or any Representatives advise in writing that they have determined not to proceed with the Offering, (ii) the date the Registration Statement filed with the SEC with respect to the Offering is withdrawn, (iii) the date on which the Underwriting Agreement is terminated prior to payment for and delivery of the shares to be sold thereunder (other than pursuant to the Underwriters’ over-allotment option) or (iv) August 15, 2020, if the Offering is not completed by such date; provided, however, that the Company may, by written notice to the undersigned prior to such date, extend such date for a period of up to three additional months.</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undersigned agrees that, without the prior written consent of Required Representatives on behalf of the Underwriters, it will not, during the Lock-Up Period, make any demand for or exercise any right with respect to, the registration of any of the Undersigned’s Shares. This Lock-Up Agreement and any claim, controversy or dispute arising under or related to this Lock-Up Agreement shall be governed by and construed in accordance with the laws of the State of New York, without regard to the conflict of laws principles thereof.</w:t>
      </w:r>
    </w:p>
    <w:p>
      <w:pPr>
        <w:spacing w:after="0" w:line="187"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 For the avoidance of doubt, any waiver, modification or release of the Undersigned’s Shares pursuant to this Lock-up Agreement only requires the consent of the Required Representatives.</w:t>
      </w:r>
    </w:p>
    <w:p>
      <w:pPr>
        <w:spacing w:after="0" w:line="171"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ectPr>
          <w:pgSz w:w="11900" w:h="16838" w:orient="portrait"/>
          <w:cols w:equalWidth="0" w:num="1">
            <w:col w:w="11000"/>
          </w:cols>
          <w:pgMar w:left="440" w:top="274" w:right="4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Inc., a corporation organized and existing under the laws of the State of Delaware, hereby certifies as follows:</w:t>
      </w:r>
    </w:p>
    <w:p>
      <w:pPr>
        <w:spacing w:after="0" w:line="117" w:lineRule="exact"/>
        <w:rPr>
          <w:sz w:val="20"/>
          <w:szCs w:val="20"/>
          <w:color w:val="auto"/>
        </w:rPr>
      </w:pPr>
    </w:p>
    <w:p>
      <w:pPr>
        <w:ind w:right="480" w:firstLine="436"/>
        <w:spacing w:after="0" w:line="277"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original Certificate of Incorporation of the Corporation was filed with the Office of the Secretary of State of the State of Delaware on March 27, 2020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60" w:firstLine="436"/>
        <w:spacing w:after="0" w:line="259" w:lineRule="auto"/>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The Corporation is filing this Amended and Restated Certificate of Incorporation of the Corporation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which restates, integrates and further amends the Original Certificate, as heretofore amended, and which was duly adopted by all necessary action of the board of directors of the Corporation and the stockholders of the Corporation in accordance with the provisions of Sections 242, 245 and 228 of the General Corporation Law of the State of Delaware.</w:t>
      </w:r>
    </w:p>
    <w:p>
      <w:pPr>
        <w:spacing w:after="0" w:line="78" w:lineRule="exact"/>
        <w:rPr>
          <w:rFonts w:ascii="Arial" w:cs="Arial" w:eastAsia="Arial" w:hAnsi="Arial"/>
          <w:sz w:val="18"/>
          <w:szCs w:val="18"/>
          <w:color w:val="auto"/>
        </w:rPr>
      </w:pPr>
    </w:p>
    <w:p>
      <w:pPr>
        <w:ind w:left="620" w:hanging="184"/>
        <w:spacing w:after="0"/>
        <w:tabs>
          <w:tab w:leader="none" w:pos="6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text of the Original Certificate is hereby amended and restated in its entirety hereby to read in full as follows:</w:t>
      </w:r>
    </w:p>
    <w:p>
      <w:pPr>
        <w:spacing w:after="0" w:line="200" w:lineRule="exact"/>
        <w:rPr>
          <w:sz w:val="20"/>
          <w:szCs w:val="20"/>
          <w:color w:val="auto"/>
        </w:rPr>
      </w:pPr>
    </w:p>
    <w:p>
      <w:pPr>
        <w:spacing w:after="0" w:line="23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GoHealth,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New Castle County, Wilmington, Delaware, 19808. The name of its registered agent at such address is Corporation Service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nature of the business of the Corporation and the objects or purposes to be transacted, promoted or carried on by the Corporation is to engage in any lawful act or activity for which corporations may be organized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including, without limitation, (i) investing in securities of GoHealth Holdings, LLC, a Delaware limited liability company, or any successor entities thereto (“</w:t>
      </w:r>
      <w:r>
        <w:rPr>
          <w:rFonts w:ascii="Arial" w:cs="Arial" w:eastAsia="Arial" w:hAnsi="Arial"/>
          <w:sz w:val="18"/>
          <w:szCs w:val="18"/>
          <w:b w:val="1"/>
          <w:bCs w:val="1"/>
          <w:i w:val="1"/>
          <w:iCs w:val="1"/>
          <w:color w:val="auto"/>
        </w:rPr>
        <w:t>GoHealth LLC</w:t>
      </w:r>
      <w:r>
        <w:rPr>
          <w:rFonts w:ascii="Arial" w:cs="Arial" w:eastAsia="Arial" w:hAnsi="Arial"/>
          <w:sz w:val="18"/>
          <w:szCs w:val="18"/>
          <w:color w:val="auto"/>
        </w:rPr>
        <w:t>”) and any of its subsidiaries, (ii) exercising all rights, powers, privileges and other incidents of ownership or possession with respect to the Corporation’s assets, including managing, holding, selling and disposing of such assets and (iii) engaging in any other activities incidental or ancillary thereto.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Stock and Recapitalization</w:t>
      </w:r>
      <w:r>
        <w:rPr>
          <w:rFonts w:ascii="Arial" w:cs="Arial" w:eastAsia="Arial" w:hAnsi="Arial"/>
          <w:sz w:val="18"/>
          <w:szCs w:val="18"/>
          <w:color w:val="auto"/>
        </w:rPr>
        <w:t>.</w:t>
      </w:r>
    </w:p>
    <w:p>
      <w:pPr>
        <w:spacing w:after="0" w:line="117" w:lineRule="exact"/>
        <w:rPr>
          <w:sz w:val="20"/>
          <w:szCs w:val="20"/>
          <w:color w:val="auto"/>
        </w:rPr>
      </w:pPr>
    </w:p>
    <w:p>
      <w:pPr>
        <w:ind w:right="380" w:firstLine="987"/>
        <w:spacing w:after="0" w:line="277" w:lineRule="auto"/>
        <w:tabs>
          <w:tab w:leader="none" w:pos="123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Authorized Stock</w:t>
      </w:r>
      <w:r>
        <w:rPr>
          <w:rFonts w:ascii="Arial" w:cs="Arial" w:eastAsia="Arial" w:hAnsi="Arial"/>
          <w:sz w:val="18"/>
          <w:szCs w:val="18"/>
          <w:color w:val="auto"/>
        </w:rPr>
        <w:t>. The total number of shares of all classes of stock that the Corporation is authorized to issue is one billion, eight hundred ten million (1,810,000,000), consisting of three classes as follows:</w:t>
      </w:r>
    </w:p>
    <w:p>
      <w:pPr>
        <w:spacing w:after="0" w:line="62" w:lineRule="exact"/>
        <w:rPr>
          <w:rFonts w:ascii="Arial" w:cs="Arial" w:eastAsia="Arial" w:hAnsi="Arial"/>
          <w:sz w:val="18"/>
          <w:szCs w:val="18"/>
          <w:color w:val="auto"/>
        </w:rPr>
      </w:pPr>
    </w:p>
    <w:p>
      <w:pPr>
        <w:ind w:right="280" w:firstLine="1428"/>
        <w:spacing w:after="0" w:line="277" w:lineRule="auto"/>
        <w:tabs>
          <w:tab w:leader="none" w:pos="1647" w:val="left"/>
        </w:tabs>
        <w:numPr>
          <w:ilvl w:val="1"/>
          <w:numId w:val="66"/>
        </w:numPr>
        <w:rPr>
          <w:rFonts w:ascii="Arial" w:cs="Arial" w:eastAsia="Arial" w:hAnsi="Arial"/>
          <w:sz w:val="18"/>
          <w:szCs w:val="18"/>
          <w:color w:val="auto"/>
        </w:rPr>
      </w:pPr>
      <w:r>
        <w:rPr>
          <w:rFonts w:ascii="Arial" w:cs="Arial" w:eastAsia="Arial" w:hAnsi="Arial"/>
          <w:sz w:val="18"/>
          <w:szCs w:val="18"/>
          <w:color w:val="auto"/>
        </w:rPr>
        <w:t>One billion, one hundred million (1,100,000,000) shares of Class A common stock, with a par value of $0.0001 per share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700" w:hanging="272"/>
        <w:spacing w:after="0"/>
        <w:tabs>
          <w:tab w:leader="none" w:pos="1700" w:val="left"/>
        </w:tabs>
        <w:numPr>
          <w:ilvl w:val="1"/>
          <w:numId w:val="66"/>
        </w:numPr>
        <w:rPr>
          <w:rFonts w:ascii="Arial" w:cs="Arial" w:eastAsia="Arial" w:hAnsi="Arial"/>
          <w:sz w:val="16"/>
          <w:szCs w:val="16"/>
          <w:color w:val="auto"/>
        </w:rPr>
      </w:pPr>
      <w:r>
        <w:rPr>
          <w:rFonts w:ascii="Arial" w:cs="Arial" w:eastAsia="Arial" w:hAnsi="Arial"/>
          <w:sz w:val="16"/>
          <w:szCs w:val="16"/>
          <w:color w:val="auto"/>
        </w:rPr>
        <w:t>Six hundred ninety million (690,000,000) shares of Class B common stock, with a par value of $0.0001 per share (the “</w:t>
      </w:r>
      <w:r>
        <w:rPr>
          <w:rFonts w:ascii="Arial" w:cs="Arial" w:eastAsia="Arial" w:hAnsi="Arial"/>
          <w:sz w:val="16"/>
          <w:szCs w:val="16"/>
          <w:b w:val="1"/>
          <w:bCs w:val="1"/>
          <w:i w:val="1"/>
          <w:iCs w:val="1"/>
          <w:color w:val="auto"/>
        </w:rPr>
        <w:t>Class B</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w:t>
      </w:r>
    </w:p>
    <w:p>
      <w:pPr>
        <w:spacing w:after="0" w:line="102" w:lineRule="exact"/>
        <w:rPr>
          <w:rFonts w:ascii="Arial" w:cs="Arial" w:eastAsia="Arial" w:hAnsi="Arial"/>
          <w:sz w:val="16"/>
          <w:szCs w:val="16"/>
          <w:color w:val="auto"/>
        </w:rPr>
      </w:pPr>
    </w:p>
    <w:p>
      <w:pPr>
        <w:ind w:left="1740" w:hanging="312"/>
        <w:spacing w:after="0"/>
        <w:tabs>
          <w:tab w:leader="none" w:pos="17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Twenty million (20,000,000) shares of preferred stock, with a par value of $0.0001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140" w:firstLine="987"/>
        <w:spacing w:after="0" w:line="254"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Effective upon the filing of this Certificate of Incorporation with the Secretary of State of the State of Delaware, all shares of common stock, par value $0.0001 per share, of the Corporation issued and outstanding immediately prior to the filing of this Certificate of Incorporation (the “</w:t>
      </w:r>
      <w:r>
        <w:rPr>
          <w:rFonts w:ascii="Arial" w:cs="Arial" w:eastAsia="Arial" w:hAnsi="Arial"/>
          <w:sz w:val="18"/>
          <w:szCs w:val="18"/>
          <w:b w:val="1"/>
          <w:bCs w:val="1"/>
          <w:i w:val="1"/>
          <w:iCs w:val="1"/>
          <w:color w:val="auto"/>
        </w:rPr>
        <w:t>Existing Common Stock</w:t>
      </w:r>
      <w:r>
        <w:rPr>
          <w:rFonts w:ascii="Arial" w:cs="Arial" w:eastAsia="Arial" w:hAnsi="Arial"/>
          <w:sz w:val="18"/>
          <w:szCs w:val="18"/>
          <w:color w:val="auto"/>
        </w:rPr>
        <w:t>”) shall be recapitalized, reclassified and reconstituted into one (1) fully paid and non-assessable share of Class A Common Stock (as defined below) (the “</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The Recapitalization shall occur automatically without any further action by the holders of Existing Common Stock. The outstanding stock certificate that, immediately prior to the Recapitalization, represented the outstanding Existing Common Shares shall, upon and after the Recapitalization, be deemed to represent one (1) share of Class A Common Stock, without the need for surrender or exchange thereof.</w:t>
      </w:r>
    </w:p>
    <w:p>
      <w:pPr>
        <w:spacing w:after="0" w:line="195"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board of directors of the Corporation (the “</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is authorized, subject to any limitations prescribed by law or by that certain Stockholders Agreement, dated as of [ ● ], 2020, by and among the Corporation and the other Persons party thereto (as such agreement may be further amended, restated, amended and restated, supplemented or otherwise modified from time to time, the “</w:t>
      </w: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to provide, out of the unissued shares of Preferred Stock, for the issuance of shares of Preferred Stock in one or more series, and by filing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certificate pursuant to the applicable law of the State of Delaware (such certificate being hereinafter referred to as a “</w:t>
      </w:r>
      <w:r>
        <w:rPr>
          <w:rFonts w:ascii="Arial" w:cs="Arial" w:eastAsia="Arial" w:hAnsi="Arial"/>
          <w:sz w:val="16"/>
          <w:szCs w:val="16"/>
          <w:b w:val="1"/>
          <w:bCs w:val="1"/>
          <w:i w:val="1"/>
          <w:iCs w:val="1"/>
          <w:color w:val="auto"/>
        </w:rPr>
        <w:t>Preferred Stock Designation</w:t>
      </w:r>
      <w:r>
        <w:rPr>
          <w:rFonts w:ascii="Arial" w:cs="Arial" w:eastAsia="Arial" w:hAnsi="Arial"/>
          <w:sz w:val="16"/>
          <w:szCs w:val="16"/>
          <w:color w:val="auto"/>
        </w:rPr>
        <w:t>”), to establish from time to time the number of shares to be included in each such series and to fix the powers, designations, preferences and relative, participating, optional or other special rights, and qualifications, limitations or restrictions thereof, including, without limitation, the authority to fix the dividend rights, dividend rates, conversion rights, exchange rights, voting rights, rights and terms of redemption (including sinking and purchase fund provisions), the redemption price or prices, restrictions on the issuance of shares of such series, the dissolution preferences and the rights in respect of any distribution of assets of any wholly unissued series of Preferred Stock, or any of them and to increase or decrease the number of shares of any series so created (except where otherwise provided in the Preferred Stock Designation), subsequent to the issue of that series but not below the number of shares of such series then outstanding. In case the authorized number of shares of any series shall be so decreased, the shares constituting such decrease shall resume the status which they had prior to the adoption of the resolution originally fixing the number of shares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54" w:name="page55"/>
    <w:bookmarkEnd w:id="5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such series (except where otherwise provided in the Preferred Stock Designation). There shall be no limitation or restriction on any variation between any of the different series of Preferred Stock as to the designations, preferences and relative, participating, optional or other special rights, and the qualifications, limitations or restrictions thereof; and the several series of Preferred Stock may vary in any and all respects as fixed and determined by the resolution or resolutions of the Board of Directors or by a duly authorized committee of the Board of Directors, providing for the issuance of the various series of Preferred Stock.</w:t>
      </w:r>
    </w:p>
    <w:p>
      <w:pPr>
        <w:spacing w:after="0" w:line="188"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Number of Authorized Shares</w:t>
      </w:r>
      <w:r>
        <w:rPr>
          <w:rFonts w:ascii="Arial" w:cs="Arial" w:eastAsia="Arial" w:hAnsi="Arial"/>
          <w:sz w:val="18"/>
          <w:szCs w:val="18"/>
          <w:color w:val="auto"/>
        </w:rPr>
        <w:t>. Subject to any limitations prescribed by the Stockholders Agreement, the number of authorized shares of any of the Class A Common Stock, Class B Common Stock or Preferred Stock may be increased or decreased (but not below the number of shares thereof then outstanding) by the affirmative vote of the holders of a majority of the voting power of all of the outstanding shares of stock of the Corporation entitled to vote thereon, without a separate vote of any holders of shares of Class A Common Stock, Class B Common Stock or Preferred Stock, or of any series thereof, irrespective of the provisions of Section 242(b)(2) of the DGCL, unless a separate vote of any such holders is required pursuant to the terms of any Preferred Stock Designation.</w:t>
      </w:r>
    </w:p>
    <w:p>
      <w:pPr>
        <w:spacing w:after="0" w:line="192" w:lineRule="exact"/>
        <w:rPr>
          <w:sz w:val="20"/>
          <w:szCs w:val="20"/>
          <w:color w:val="auto"/>
        </w:rPr>
      </w:pPr>
    </w:p>
    <w:p>
      <w:pPr>
        <w:ind w:right="760" w:firstLine="440"/>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Common Stock</w:t>
      </w:r>
      <w:r>
        <w:rPr>
          <w:rFonts w:ascii="Arial" w:cs="Arial" w:eastAsia="Arial" w:hAnsi="Arial"/>
          <w:sz w:val="18"/>
          <w:szCs w:val="18"/>
          <w:color w:val="auto"/>
        </w:rPr>
        <w:t>. The powers, preferences and rights of the Class A Common Stock and the Class B Common Stock, and the qualifications, limitations or restrictions thereof are as follows:</w:t>
      </w:r>
    </w:p>
    <w:p>
      <w:pPr>
        <w:spacing w:after="0" w:line="62" w:lineRule="exact"/>
        <w:rPr>
          <w:sz w:val="20"/>
          <w:szCs w:val="20"/>
          <w:color w:val="auto"/>
        </w:rPr>
      </w:pPr>
    </w:p>
    <w:p>
      <w:pPr>
        <w:ind w:left="1240" w:hanging="253"/>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law,</w:t>
      </w:r>
    </w:p>
    <w:p>
      <w:pPr>
        <w:spacing w:after="0" w:line="117" w:lineRule="exact"/>
        <w:rPr>
          <w:rFonts w:ascii="Arial" w:cs="Arial" w:eastAsia="Arial" w:hAnsi="Arial"/>
          <w:sz w:val="18"/>
          <w:szCs w:val="18"/>
          <w:color w:val="auto"/>
        </w:rPr>
      </w:pPr>
    </w:p>
    <w:p>
      <w:pPr>
        <w:ind w:right="220" w:firstLine="1428"/>
        <w:spacing w:after="0" w:line="263" w:lineRule="auto"/>
        <w:tabs>
          <w:tab w:leader="none" w:pos="16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share of Class A Common Stock shall entitle the record holder thereof as of the applicable record date to one (1) vote per share in person or by proxy on all matters submitted to a vote of the holders of Class A Common Stock, whether voting separately as a class or otherwise.</w:t>
      </w:r>
    </w:p>
    <w:p>
      <w:pPr>
        <w:spacing w:after="0" w:line="75" w:lineRule="exact"/>
        <w:rPr>
          <w:rFonts w:ascii="Arial" w:cs="Arial" w:eastAsia="Arial" w:hAnsi="Arial"/>
          <w:sz w:val="18"/>
          <w:szCs w:val="18"/>
          <w:color w:val="auto"/>
        </w:rPr>
      </w:pPr>
    </w:p>
    <w:p>
      <w:pPr>
        <w:ind w:right="160" w:firstLine="1428"/>
        <w:spacing w:after="0" w:line="263" w:lineRule="auto"/>
        <w:tabs>
          <w:tab w:leader="none" w:pos="1697" w:val="left"/>
        </w:tabs>
        <w:numPr>
          <w:ilvl w:val="1"/>
          <w:numId w:val="67"/>
        </w:numPr>
        <w:rPr>
          <w:rFonts w:ascii="Arial" w:cs="Arial" w:eastAsia="Arial" w:hAnsi="Arial"/>
          <w:sz w:val="18"/>
          <w:szCs w:val="18"/>
          <w:color w:val="auto"/>
        </w:rPr>
      </w:pPr>
      <w:r>
        <w:rPr>
          <w:rFonts w:ascii="Arial" w:cs="Arial" w:eastAsia="Arial" w:hAnsi="Arial"/>
          <w:sz w:val="18"/>
          <w:szCs w:val="18"/>
          <w:color w:val="auto"/>
        </w:rPr>
        <w:t>Each share of Class B Common Stock shall entitle the record holder thereof as of the applicable record date to one (1) vote per share in person or by proxy on all matters submitted to a vote of the holders of Class B Common Stock, whether voting separately as a class or otherwise.</w:t>
      </w:r>
    </w:p>
    <w:p>
      <w:pPr>
        <w:spacing w:after="0" w:line="75" w:lineRule="exact"/>
        <w:rPr>
          <w:rFonts w:ascii="Arial" w:cs="Arial" w:eastAsia="Arial" w:hAnsi="Arial"/>
          <w:sz w:val="18"/>
          <w:szCs w:val="18"/>
          <w:color w:val="auto"/>
        </w:rPr>
      </w:pPr>
    </w:p>
    <w:p>
      <w:pPr>
        <w:ind w:right="200" w:firstLine="1428"/>
        <w:spacing w:after="0" w:line="259" w:lineRule="auto"/>
        <w:tabs>
          <w:tab w:leader="none" w:pos="1747" w:val="left"/>
        </w:tabs>
        <w:numPr>
          <w:ilvl w:val="1"/>
          <w:numId w:val="67"/>
        </w:numPr>
        <w:rPr>
          <w:rFonts w:ascii="Arial" w:cs="Arial" w:eastAsia="Arial" w:hAnsi="Arial"/>
          <w:sz w:val="18"/>
          <w:szCs w:val="18"/>
          <w:color w:val="auto"/>
        </w:rPr>
      </w:pPr>
      <w:r>
        <w:rPr>
          <w:rFonts w:ascii="Arial" w:cs="Arial" w:eastAsia="Arial" w:hAnsi="Arial"/>
          <w:sz w:val="18"/>
          <w:szCs w:val="18"/>
          <w:color w:val="auto"/>
        </w:rPr>
        <w:t>Except as otherwise required in this Certificate of Incorporation, the holders of shares of Class A Common Stock and Class B Common Stock shall vote together as a single class (or, if any holders of shares of Preferred Stock are entitled to vote together with the holders of Class A Common Stock and Class B Common Stock, as a single class with such holders of Preferred Stock) on all matters submitted to a vote of stockholders of the Corporation.</w:t>
      </w:r>
    </w:p>
    <w:p>
      <w:pPr>
        <w:spacing w:after="0" w:line="78" w:lineRule="exact"/>
        <w:rPr>
          <w:rFonts w:ascii="Arial" w:cs="Arial" w:eastAsia="Arial" w:hAnsi="Arial"/>
          <w:sz w:val="18"/>
          <w:szCs w:val="18"/>
          <w:color w:val="auto"/>
        </w:rPr>
      </w:pPr>
    </w:p>
    <w:p>
      <w:pPr>
        <w:ind w:firstLine="987"/>
        <w:spacing w:after="0" w:line="254" w:lineRule="auto"/>
        <w:tabs>
          <w:tab w:leader="none" w:pos="1246"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 Subject to applicable law and the rights, if any, of the holders of any outstanding series of Preferred Stock or any class or series of stock having a preference over or the right to participate with the Class A Common Stock with respect to the payment of dividends, dividends may be declared and paid on the Class A Common Stock out of the assets or funds of the Corporation that are by law available therefor, at such times and in such amounts as the Board of Directors in its discretion shall determine. Other than in connection with a dividend declared by the Board of Directors in connection with a “poison pill” or similar stockholder rights plan, dividends shall not be declared or paid on the Class B Common Stock and the holders of shares of Class B Common Stock shall have no right to receive dividends in respect of such shares of Class B Common Stock.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55" w:name="page56"/>
    <w:bookmarkEnd w:id="55"/>
    <w:p>
      <w:pPr>
        <w:ind w:right="20" w:firstLine="987"/>
        <w:spacing w:after="0" w:line="269" w:lineRule="auto"/>
        <w:tabs>
          <w:tab w:leader="none" w:pos="1236"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Rights</w:t>
      </w:r>
      <w:r>
        <w:rPr>
          <w:rFonts w:ascii="Arial" w:cs="Arial" w:eastAsia="Arial" w:hAnsi="Arial"/>
          <w:sz w:val="17"/>
          <w:szCs w:val="17"/>
          <w:color w:val="auto"/>
        </w:rPr>
        <w:t xml:space="preserve">. In the event of liquidation, dissolution or winding up of the affairs of the Corporation, whether voluntary or involuntary, after payment or provision for payment of the debts and other liabilities of the Corporation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the Corporation available for distribution shall be divided among and paid ratably to the holders of all outstanding shares of Class A Common Stock and Class B Common Stock in proportion to the number of shares held by each such stockholder;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holders of shares of Class B Common Stock shall be entitled to receive $0.0001 per share, and upon receiving such amount, the holders of shares of Class B Common Stock, as such, shall not be entitled to receive any other assets or funds of the Corporation. A consolidation, reorganization or merger of the Corporation with any other Person or Persons (as defined below), or a sale of all or substantially all of the assets of the Corporation, shall not be considered to be a dissolution, liquidation or winding up of the Corporation within the meaning of this </w:t>
      </w:r>
      <w:r>
        <w:rPr>
          <w:rFonts w:ascii="Arial" w:cs="Arial" w:eastAsia="Arial" w:hAnsi="Arial"/>
          <w:sz w:val="17"/>
          <w:szCs w:val="17"/>
          <w:u w:val="single" w:color="auto"/>
          <w:color w:val="auto"/>
        </w:rPr>
        <w:t>Section 4.4(c)</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1240" w:hanging="253"/>
        <w:spacing w:after="0"/>
        <w:tabs>
          <w:tab w:leader="none" w:pos="12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Class B Common Stock</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 From and after the effectiveness of this Certificate of Incorporation with the Secretary of State of the State of Delaware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shares of Class B Common Stock may be issued only to, and registered only in the name of, the Existing Owners (as defined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their respective successors and assigns as well as their Permitted Transferees (as defined below) in accordance with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(including all subsequent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successors, assigns and Permitted Transferees) (the Existing Owners together with such Persons, collectively, the “</w:t>
      </w:r>
      <w:r>
        <w:rPr>
          <w:rFonts w:ascii="Arial" w:cs="Arial" w:eastAsia="Arial" w:hAnsi="Arial"/>
          <w:sz w:val="16"/>
          <w:szCs w:val="16"/>
          <w:b w:val="1"/>
          <w:bCs w:val="1"/>
          <w:i w:val="1"/>
          <w:iCs w:val="1"/>
          <w:color w:val="auto"/>
        </w:rPr>
        <w:t>Permitted Class B Owners</w:t>
      </w:r>
      <w:r>
        <w:rPr>
          <w:rFonts w:ascii="Arial" w:cs="Arial" w:eastAsia="Arial" w:hAnsi="Arial"/>
          <w:sz w:val="16"/>
          <w:szCs w:val="16"/>
          <w:color w:val="auto"/>
        </w:rPr>
        <w:t>”)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number of shares of Class B Common Stock at any time registered in the name of each such Permitted Class B Owner must be equal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number of Common Units (as defined below) held of record at such time by such Permitted Class B Owner under the LLC Agreement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defined below). As used in this Certificate of Incorporation, (A) “</w:t>
      </w:r>
      <w:r>
        <w:rPr>
          <w:rFonts w:ascii="Arial" w:cs="Arial" w:eastAsia="Arial" w:hAnsi="Arial"/>
          <w:sz w:val="17"/>
          <w:szCs w:val="17"/>
          <w:b w:val="1"/>
          <w:bCs w:val="1"/>
          <w:i w:val="1"/>
          <w:iCs w:val="1"/>
          <w:color w:val="auto"/>
        </w:rPr>
        <w:t>Existing Owner</w:t>
      </w:r>
      <w:r>
        <w:rPr>
          <w:rFonts w:ascii="Arial" w:cs="Arial" w:eastAsia="Arial" w:hAnsi="Arial"/>
          <w:sz w:val="17"/>
          <w:szCs w:val="17"/>
          <w:color w:val="auto"/>
        </w:rPr>
        <w:t>” means each of the holders of Common Units (other than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of GoHealth LLC, as set forth on Schedule 1 of the LLC Agreement (as defined below) (as such Schedule 1 may be amended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in accordance with the LLC Agreement), (B) “</w:t>
      </w:r>
      <w:r>
        <w:rPr>
          <w:rFonts w:ascii="Arial" w:cs="Arial" w:eastAsia="Arial" w:hAnsi="Arial"/>
          <w:sz w:val="16"/>
          <w:szCs w:val="16"/>
          <w:b w:val="1"/>
          <w:bCs w:val="1"/>
          <w:i w:val="1"/>
          <w:iCs w:val="1"/>
          <w:color w:val="auto"/>
        </w:rPr>
        <w:t>Common Unit</w:t>
      </w:r>
      <w:r>
        <w:rPr>
          <w:rFonts w:ascii="Arial" w:cs="Arial" w:eastAsia="Arial" w:hAnsi="Arial"/>
          <w:sz w:val="16"/>
          <w:szCs w:val="16"/>
          <w:color w:val="auto"/>
        </w:rPr>
        <w:t>” means a membership interest in GoHealth LLC, authorized and issued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Second Amended and Restated Limited Liability Company Agreement of GoHealth LLC, dated as of the date hereof, as such agreement may be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restated, amended and restated, supplemented or otherwise modified from time to time (the “</w:t>
      </w:r>
      <w:r>
        <w:rPr>
          <w:rFonts w:ascii="Arial" w:cs="Arial" w:eastAsia="Arial" w:hAnsi="Arial"/>
          <w:sz w:val="16"/>
          <w:szCs w:val="16"/>
          <w:b w:val="1"/>
          <w:bCs w:val="1"/>
          <w:i w:val="1"/>
          <w:iCs w:val="1"/>
          <w:color w:val="auto"/>
        </w:rPr>
        <w:t>LLC Agreement</w:t>
      </w:r>
      <w:r>
        <w:rPr>
          <w:rFonts w:ascii="Arial" w:cs="Arial" w:eastAsia="Arial" w:hAnsi="Arial"/>
          <w:sz w:val="16"/>
          <w:szCs w:val="16"/>
          <w:color w:val="auto"/>
        </w:rPr>
        <w:t>”), and constituting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 as defined in such LLC Agreement and (C)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has the meaning given to it in the LLC Agreement.</w:t>
      </w:r>
    </w:p>
    <w:p>
      <w:pPr>
        <w:spacing w:after="0" w:line="103" w:lineRule="exact"/>
        <w:rPr>
          <w:sz w:val="20"/>
          <w:szCs w:val="20"/>
          <w:color w:val="auto"/>
        </w:rPr>
      </w:pPr>
    </w:p>
    <w:p>
      <w:pPr>
        <w:ind w:firstLine="1428"/>
        <w:spacing w:after="0" w:line="259" w:lineRule="auto"/>
        <w:tabs>
          <w:tab w:leader="none" w:pos="169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Corporation shall, to the fullest extent permitted by law, undertake all necessary and appropriate action to ensure that the number of shares of Class B Common Stock issued by the Corporation at any time to, or otherwise held of record by, any Permitted Class B Owner shall be equal to the aggregate number of Common Units held of record by such Permitted Class B Owner in accordance with the terms of the LLC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6" w:name="page57"/>
    <w:bookmarkEnd w:id="56"/>
    <w:p>
      <w:pPr>
        <w:ind w:left="-100" w:firstLine="1428"/>
        <w:spacing w:after="0" w:line="301" w:lineRule="auto"/>
        <w:tabs>
          <w:tab w:leader="none" w:pos="1647" w:val="left"/>
        </w:tabs>
        <w:numPr>
          <w:ilvl w:val="0"/>
          <w:numId w:val="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there is a merger, consolidation or Change of Control (as defined below) of the Corporation that was approved by the Board of Directors prior to such merger, consolidation or Change of Control, then the holders of shares of Class B Common Stock shall not be entitled to receive more than $0.0001 per share of Class B Common Stock, whether in the form of consideration for such shares or in the form of a distribution of the proceeds of a sale of all or substantially all of the assets of the Corporation with respect to such shares.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Transfer of Class B Common Stock</w:t>
      </w:r>
      <w:r>
        <w:rPr>
          <w:rFonts w:ascii="Arial" w:cs="Arial" w:eastAsia="Arial" w:hAnsi="Arial"/>
          <w:sz w:val="18"/>
          <w:szCs w:val="18"/>
          <w:color w:val="auto"/>
        </w:rPr>
        <w:t>.</w:t>
      </w:r>
    </w:p>
    <w:p>
      <w:pPr>
        <w:spacing w:after="0" w:line="117" w:lineRule="exact"/>
        <w:rPr>
          <w:sz w:val="20"/>
          <w:szCs w:val="20"/>
          <w:color w:val="auto"/>
        </w:rPr>
      </w:pPr>
    </w:p>
    <w:p>
      <w:pPr>
        <w:ind w:left="-100" w:right="520" w:firstLine="987"/>
        <w:spacing w:after="0" w:line="311" w:lineRule="auto"/>
        <w:tabs>
          <w:tab w:leader="none" w:pos="11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holder of Class B Common Stock may surrender shares of Class B Common Stock to the Corporation for cancellation for no consideration at any time. Following the surrender, or other acquisition, of any shares of Class B Common Stock to or by the Corporation, the Corporation will take all actions necessary to cancel and retire such shares and such shares shall not be re-issued by the Corporation.</w:t>
      </w:r>
    </w:p>
    <w:p>
      <w:pPr>
        <w:spacing w:after="0" w:line="40" w:lineRule="exact"/>
        <w:rPr>
          <w:rFonts w:ascii="Arial" w:cs="Arial" w:eastAsia="Arial" w:hAnsi="Arial"/>
          <w:sz w:val="16"/>
          <w:szCs w:val="16"/>
          <w:color w:val="auto"/>
        </w:rPr>
      </w:pPr>
    </w:p>
    <w:p>
      <w:pPr>
        <w:jc w:val="both"/>
        <w:ind w:left="-100" w:right="20" w:firstLine="987"/>
        <w:spacing w:after="0" w:line="279" w:lineRule="auto"/>
        <w:tabs>
          <w:tab w:leader="none" w:pos="1146"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a holder of Class B Common Stock may transfer or assign shares of Class B Common Stock (or any legal or beneficial interest in such shares) (directly or indirectly, including by operation of law) only to a Permitted Transferee of such holder, and only if such holder also simultaneously transfers an equal number of such holder’s Common Units to such Permitted Transferee in compliance with the LLC Agreement. The transfer restrictions described in this </w:t>
      </w:r>
      <w:r>
        <w:rPr>
          <w:rFonts w:ascii="Arial" w:cs="Arial" w:eastAsia="Arial" w:hAnsi="Arial"/>
          <w:sz w:val="17"/>
          <w:szCs w:val="17"/>
          <w:u w:val="single" w:color="auto"/>
          <w:color w:val="auto"/>
        </w:rPr>
        <w:t>Section 4.5(b)</w:t>
      </w:r>
      <w:r>
        <w:rPr>
          <w:rFonts w:ascii="Arial" w:cs="Arial" w:eastAsia="Arial" w:hAnsi="Arial"/>
          <w:sz w:val="17"/>
          <w:szCs w:val="17"/>
          <w:color w:val="auto"/>
        </w:rPr>
        <w:t xml:space="preserve"> are referred to as the “</w:t>
      </w:r>
      <w:r>
        <w:rPr>
          <w:rFonts w:ascii="Arial" w:cs="Arial" w:eastAsia="Arial" w:hAnsi="Arial"/>
          <w:sz w:val="17"/>
          <w:szCs w:val="17"/>
          <w:b w:val="1"/>
          <w:bCs w:val="1"/>
          <w:i w:val="1"/>
          <w:iCs w:val="1"/>
          <w:color w:val="auto"/>
        </w:rPr>
        <w:t>Restrictions</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left="-100" w:right="80" w:firstLine="987"/>
        <w:spacing w:after="0" w:line="291" w:lineRule="auto"/>
        <w:tabs>
          <w:tab w:leader="none" w:pos="11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purported transfer of shares of Class B Common Stock in violation of the Restrictions shall be null and void. If, notwithstanding the Restrictions, a Person shall, voluntarily or involuntarily, purportedly become or attempt to become, the purported owner (“</w:t>
      </w:r>
      <w:r>
        <w:rPr>
          <w:rFonts w:ascii="Arial" w:cs="Arial" w:eastAsia="Arial" w:hAnsi="Arial"/>
          <w:sz w:val="16"/>
          <w:szCs w:val="16"/>
          <w:b w:val="1"/>
          <w:bCs w:val="1"/>
          <w:i w:val="1"/>
          <w:iCs w:val="1"/>
          <w:color w:val="auto"/>
        </w:rPr>
        <w:t>Purported Owner</w:t>
      </w:r>
      <w:r>
        <w:rPr>
          <w:rFonts w:ascii="Arial" w:cs="Arial" w:eastAsia="Arial" w:hAnsi="Arial"/>
          <w:sz w:val="16"/>
          <w:szCs w:val="16"/>
          <w:color w:val="auto"/>
        </w:rPr>
        <w:t>”) of shares of Class B Common Stock in violation of the Restrictions, then the Purported Owner shall not obtain any rights in, to or with respect to such shares of Class B Common Stock (the “</w:t>
      </w:r>
      <w:r>
        <w:rPr>
          <w:rFonts w:ascii="Arial" w:cs="Arial" w:eastAsia="Arial" w:hAnsi="Arial"/>
          <w:sz w:val="16"/>
          <w:szCs w:val="16"/>
          <w:b w:val="1"/>
          <w:bCs w:val="1"/>
          <w:i w:val="1"/>
          <w:iCs w:val="1"/>
          <w:color w:val="auto"/>
        </w:rPr>
        <w:t>Restricted Shares</w:t>
      </w:r>
      <w:r>
        <w:rPr>
          <w:rFonts w:ascii="Arial" w:cs="Arial" w:eastAsia="Arial" w:hAnsi="Arial"/>
          <w:sz w:val="16"/>
          <w:szCs w:val="16"/>
          <w:color w:val="auto"/>
        </w:rPr>
        <w:t>”), and the purported transfer of the Restricted Shares to the Purported Owner shall not be recognized by the Corporation, the Corporation’s transfer agent (the “</w:t>
      </w:r>
      <w:r>
        <w:rPr>
          <w:rFonts w:ascii="Arial" w:cs="Arial" w:eastAsia="Arial" w:hAnsi="Arial"/>
          <w:sz w:val="16"/>
          <w:szCs w:val="16"/>
          <w:b w:val="1"/>
          <w:bCs w:val="1"/>
          <w:i w:val="1"/>
          <w:iCs w:val="1"/>
          <w:color w:val="auto"/>
        </w:rPr>
        <w:t>Transfer Agent</w:t>
      </w:r>
      <w:r>
        <w:rPr>
          <w:rFonts w:ascii="Arial" w:cs="Arial" w:eastAsia="Arial" w:hAnsi="Arial"/>
          <w:sz w:val="16"/>
          <w:szCs w:val="16"/>
          <w:color w:val="auto"/>
        </w:rPr>
        <w:t>”) or the Secretary of the Corporation and each Restricted Share shall, to the fullest extent permitted by law, automatically, without any further action on the part of the Corporation, the holder thereof, the Purported Owner or any other party, lose all voting rights as set forth herein and become a non-voting share.</w:t>
      </w:r>
    </w:p>
    <w:p>
      <w:pPr>
        <w:spacing w:after="0" w:line="58" w:lineRule="exact"/>
        <w:rPr>
          <w:rFonts w:ascii="Arial" w:cs="Arial" w:eastAsia="Arial" w:hAnsi="Arial"/>
          <w:sz w:val="16"/>
          <w:szCs w:val="16"/>
          <w:color w:val="auto"/>
        </w:rPr>
      </w:pPr>
    </w:p>
    <w:p>
      <w:pPr>
        <w:ind w:left="-100" w:firstLine="987"/>
        <w:spacing w:after="0" w:line="257" w:lineRule="auto"/>
        <w:tabs>
          <w:tab w:leader="none" w:pos="11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a determination by the Board of Directors that a Person has attempted or may attempt to transfer or to acquire Restricted Shares in violation of the Restrictions, the Corporation may take such action as it deems advisable to refuse to give effect to such transfer or acquisition on the books and records of the Corporation, including without limitation to cause the Transfer Agent or the Secretary of the Corporation, as applicable, to not record the Purported Owner as the record owner of the Restricted Shares, and to institute proceedings to enjoin or rescind any such transfer or acquisition.</w:t>
      </w:r>
    </w:p>
    <w:p>
      <w:pPr>
        <w:spacing w:after="0" w:line="79" w:lineRule="exact"/>
        <w:rPr>
          <w:rFonts w:ascii="Arial" w:cs="Arial" w:eastAsia="Arial" w:hAnsi="Arial"/>
          <w:sz w:val="18"/>
          <w:szCs w:val="18"/>
          <w:color w:val="auto"/>
        </w:rPr>
      </w:pPr>
    </w:p>
    <w:p>
      <w:pPr>
        <w:ind w:left="-100" w:firstLine="987"/>
        <w:spacing w:after="0" w:line="296" w:lineRule="auto"/>
        <w:tabs>
          <w:tab w:leader="none" w:pos="1136"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The Board of Directors may, to the extent permitted by law, from time to time establish, modify, amend or rescind, by bylaw or otherwise, regulations and procedures not inconsistent with the provisions of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for determining whether any transfer or acquisition of shares of Class B Common Stock would violate the Restrictions and for the orderly application, administration and implementation of the provisions of this </w:t>
      </w:r>
      <w:r>
        <w:rPr>
          <w:rFonts w:ascii="Arial" w:cs="Arial" w:eastAsia="Arial" w:hAnsi="Arial"/>
          <w:sz w:val="16"/>
          <w:szCs w:val="16"/>
          <w:u w:val="single" w:color="auto"/>
          <w:color w:val="auto"/>
        </w:rPr>
        <w:t>Section 4.5</w:t>
      </w:r>
      <w:r>
        <w:rPr>
          <w:rFonts w:ascii="Arial" w:cs="Arial" w:eastAsia="Arial" w:hAnsi="Arial"/>
          <w:sz w:val="16"/>
          <w:szCs w:val="16"/>
          <w:color w:val="auto"/>
        </w:rPr>
        <w:t>. Any such procedures and regulations shall be kept on file with the Secretary of the Corporation and with the Transfer Agent and shall be made available for inspection by and, upon written request shall be mailed to, holders of shares of Class B Common Stock.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00"/>
          </w:cols>
          <w:pgMar w:left="540" w:top="274" w:right="559" w:bottom="1440" w:gutter="0" w:footer="0" w:header="0"/>
        </w:sectPr>
      </w:pPr>
    </w:p>
    <w:bookmarkStart w:id="57" w:name="page58"/>
    <w:bookmarkEnd w:id="57"/>
    <w:p>
      <w:pPr>
        <w:ind w:right="4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4.6 </w:t>
      </w:r>
      <w:r>
        <w:rPr>
          <w:rFonts w:ascii="Arial" w:cs="Arial" w:eastAsia="Arial" w:hAnsi="Arial"/>
          <w:sz w:val="18"/>
          <w:szCs w:val="18"/>
          <w:u w:val="single" w:color="auto"/>
          <w:color w:val="auto"/>
        </w:rPr>
        <w:t>Certificates</w:t>
      </w:r>
      <w:r>
        <w:rPr>
          <w:rFonts w:ascii="Arial" w:cs="Arial" w:eastAsia="Arial" w:hAnsi="Arial"/>
          <w:sz w:val="18"/>
          <w:szCs w:val="18"/>
          <w:color w:val="auto"/>
        </w:rPr>
        <w:t>. All certificates or book entries representing shares of Class B Common Stock shall bear a legend substantially in the following form (or in such other form as the Board of Directors may determine):</w:t>
      </w:r>
    </w:p>
    <w:p>
      <w:pPr>
        <w:spacing w:after="0" w:line="62" w:lineRule="exact"/>
        <w:rPr>
          <w:sz w:val="20"/>
          <w:szCs w:val="20"/>
          <w:color w:val="auto"/>
        </w:rPr>
      </w:pPr>
    </w:p>
    <w:p>
      <w:pPr>
        <w:ind w:left="1420" w:right="140"/>
        <w:spacing w:after="0" w:line="257" w:lineRule="auto"/>
        <w:rPr>
          <w:sz w:val="20"/>
          <w:szCs w:val="20"/>
          <w:color w:val="auto"/>
        </w:rPr>
      </w:pPr>
      <w:r>
        <w:rPr>
          <w:rFonts w:ascii="Arial" w:cs="Arial" w:eastAsia="Arial" w:hAnsi="Arial"/>
          <w:sz w:val="18"/>
          <w:szCs w:val="18"/>
          <w:color w:val="auto"/>
        </w:rPr>
        <w:t>THE SECURITIES REPRESENTED BY THIS [CERTIFICATE][BOOK ENTRY] ARE SUBJECT TO THE RESTRICTIONS (INCLUDING RESTRICTIONS ON TRANSFER) SET FORTH IN THE AMENDED AND RESTATED CERTIFICATE OF INCORPORATION OF THE CORPORATION AS IT MAY BE AMENDED AND/OR RESTATED (A COPY OF WHICH IS ON FILE WITH THE SECRETARY OF THE CORPORATION AND SHALL BE PROVIDED FREE OF CHARGE TO ANY STOCKHOLDER MAKING A REQUEST THEREFOR).</w:t>
      </w:r>
    </w:p>
    <w:p>
      <w:pPr>
        <w:spacing w:after="0" w:line="18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Fractions</w:t>
      </w:r>
      <w:r>
        <w:rPr>
          <w:rFonts w:ascii="Arial" w:cs="Arial" w:eastAsia="Arial" w:hAnsi="Arial"/>
          <w:sz w:val="17"/>
          <w:szCs w:val="17"/>
          <w:color w:val="auto"/>
        </w:rPr>
        <w:t>. Class A Common Stock and Class B Common Stock may be issued and transferred in fractions of a share which shall entitle the holder to exercise fractional voting rights and to have the benefit of all other rights of holders of Class A Common Stock and Class B Common Stock, as applicable. Subject to the Restrictions, holders of shares of Class A Common Stock and Class B Common Stock shall be entitled to transfer fractions thereof and the Corporation shall, and shall cause the Transfer Agent to, facilitate any such transfers, including by issuing certificates or making book entries representing any such fractional shares. For all purposes of this Certificate of Incorporation, all references to Class A Common Stock and Class B Common Stock or any share thereof (whether in the singular or plural) shall be deemed to include references to any fraction of a share of such Class A Common Stock or Class B Common Stock.</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Except as otherwise required by law, holders of Class A Common Stock and Class B Common Stock shall not be entitled to vote on any amendment to this Certificate of Incorporation (including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Preferred Stock Designation).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Corporation shall at all times reserve and keep available out of its authorized but unissued shares or other securities at least as many shares or other securities equal to the number of Common Units held by the holders of Common Units (other than the Corporation and any direct or indirect majority-owned subsidiary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Subject to any limitations prescribed by the Stockholders Agreement, the Bylaws of the Corporation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may be altered, amended or repealed, and new bylaws made, by the affirmative vote of a majority of the Whole Board of Directors. Notwithstanding anything to the contrary contained in this Certificate of Incorporation or any provision of law which might otherwise permit a lesser vote of the stockholders, and subject to any limitations prescribed by the Stockholders Agreement, at any time when Centerbridge beneficially owns, in the aggregate, less than forty percent (40%) in voting power of the stock of the Corporation entitled to vote generally in the election of directors, in addition to any vote of the holders of any class or series of capital stock of the Corporation required by any provision of this Certificate of Incorporation (including any Preferred Stock Designation), the Bylaws or applicable law, the affirmative vote of at least sixty-six and two-thirds percent (66 2/3%) of the voting power of all of the outstanding voting stock of the Corporation entitled to vote, voting together as a single class, shall be required in order for the stockholders of the Corporation to alter, amend, repeal or rescind, in whole or in part, any provision of the Bylaws or to adopt any provision inconsistent therewith. For purposes of this Certificate of Incorporation, the term “</w:t>
      </w:r>
      <w:r>
        <w:rPr>
          <w:rFonts w:ascii="Arial" w:cs="Arial" w:eastAsia="Arial" w:hAnsi="Arial"/>
          <w:sz w:val="17"/>
          <w:szCs w:val="17"/>
          <w:b w:val="1"/>
          <w:bCs w:val="1"/>
          <w:i w:val="1"/>
          <w:iCs w:val="1"/>
          <w:color w:val="auto"/>
        </w:rPr>
        <w:t>Whole Board of Directors</w:t>
      </w:r>
      <w:r>
        <w:rPr>
          <w:rFonts w:ascii="Arial" w:cs="Arial" w:eastAsia="Arial" w:hAnsi="Arial"/>
          <w:sz w:val="17"/>
          <w:szCs w:val="17"/>
          <w:color w:val="auto"/>
        </w:rPr>
        <w:t>” shall mean the total number of authorized directors (from time to time) whether or not there exist any vacancies in previously authorized directorships.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Ballot</w:t>
      </w:r>
      <w:r>
        <w:rPr>
          <w:rFonts w:ascii="Arial" w:cs="Arial" w:eastAsia="Arial" w:hAnsi="Arial"/>
          <w:sz w:val="18"/>
          <w:szCs w:val="18"/>
          <w:color w:val="auto"/>
        </w:rPr>
        <w:t>. Elections of directors (each such director, in such capacity, a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need not be by written ballot unless the Bylaws shall so provide.</w:t>
      </w:r>
    </w:p>
    <w:p>
      <w:pPr>
        <w:spacing w:after="0" w:line="170"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Number and Terms of the Board of Directors</w:t>
      </w:r>
      <w:r>
        <w:rPr>
          <w:rFonts w:ascii="Arial" w:cs="Arial" w:eastAsia="Arial" w:hAnsi="Arial"/>
          <w:sz w:val="18"/>
          <w:szCs w:val="18"/>
          <w:color w:val="auto"/>
        </w:rPr>
        <w:t xml:space="preserve">. Subject to the rights of the holders of any series of Preferred Stock to elect directors under specified circumstances and the terms of the Stockholders Agreement, the number of Directors shall be fixed from time to time exclusively by a majority of the Whole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that for as long as the Stockholders Agreement is in effect, the number of Directors shall never be less than the aggregate number of Directors that the parties to the Stockholders Agreement are entitled to designate from time to time pursuant to Section 1 thereof.</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Newly Created Directorships and Vacancies</w:t>
      </w:r>
      <w:r>
        <w:rPr>
          <w:rFonts w:ascii="Arial" w:cs="Arial" w:eastAsia="Arial" w:hAnsi="Arial"/>
          <w:sz w:val="16"/>
          <w:szCs w:val="16"/>
          <w:color w:val="auto"/>
        </w:rPr>
        <w:t>. Except as otherwise required by law and the separate rights of the holders of any series of Preferred Stock then outstanding, unless the Board of Directors otherwise determines, newly created directorships resulting from any increase in the authorized number of directors or any vacancies on the Board of Directors resulting from the death, resignation, disqualification, removal from office or other cause shall be filled (x) for so long as the Stockholders Agreement remains in effect, only by a majority vote of the Directors then in office, though less than a quorum, or by a sole remaining Director entitled to vote thereon, or by the vote of the stockholders entitled to vote thereon and (y) at any time when the Stockholders Agreement is no longer in effect, only by a majority of the Directors then in office, though less than a quorum, or by a sole remaining Director entitled to vote thereon, and not by the stockholders. Subject to the Stockholders Agreement, any Director so chosen shall hold office until the next election of the class for which such Director shall have been chosen and until his successor shall be elected and qualified.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59" w:name="page60"/>
    <w:bookmarkEnd w:id="59"/>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7.4 </w:t>
      </w:r>
      <w:r>
        <w:rPr>
          <w:rFonts w:ascii="Arial" w:cs="Arial" w:eastAsia="Arial" w:hAnsi="Arial"/>
          <w:sz w:val="16"/>
          <w:szCs w:val="16"/>
          <w:u w:val="single" w:color="auto"/>
          <w:color w:val="auto"/>
        </w:rPr>
        <w:t>Removal for Cause</w:t>
      </w:r>
      <w:r>
        <w:rPr>
          <w:rFonts w:ascii="Arial" w:cs="Arial" w:eastAsia="Arial" w:hAnsi="Arial"/>
          <w:sz w:val="16"/>
          <w:szCs w:val="16"/>
          <w:color w:val="auto"/>
        </w:rPr>
        <w:t>. Subject to the rights of the holders of any series of Preferred Stock then outstanding, for as long as this Certificate of Incorporation provides for a classified Board of Directors, any Director, or the entire Board of Directors, may otherwise be removed only for cause by an affirmative vote of at least sixty-six and two-thirds percent (66 2/3%) of the voting power of all the outstanding shares of stock entitled to vote generally in the election of directors, at a meeting duly called for that purpose. Notwithstanding the foregoing, the directors appointed pursuant to the Stockholders Agreement may be removed with or without cause in accordance with the terms thereof and the requirements of the DGCL.</w:t>
      </w:r>
    </w:p>
    <w:p>
      <w:pPr>
        <w:spacing w:after="0" w:line="16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Classified Board</w:t>
      </w:r>
      <w:r>
        <w:rPr>
          <w:rFonts w:ascii="Arial" w:cs="Arial" w:eastAsia="Arial" w:hAnsi="Arial"/>
          <w:sz w:val="16"/>
          <w:szCs w:val="16"/>
          <w:color w:val="auto"/>
        </w:rPr>
        <w:t xml:space="preserve">. At the Effective Time, the Directors shall be classified, with respect to the time for which they shall hold their respective offices, by dividing them into three (3) classes, with each Director then in office to be designated as a Class I Director, a Class II Director or a Class III Director, with each class to be apportioned as nearly equal in number as possible. Directors shall be assigned to each class in accordance with a resolution or resolutions adopted by the Board of Directors. The initial Class I Directors shall serve for a term expiring at the first annual meeting of stockholders of the Corporation following the Effective Time; the initial Class II Directors shall serve for a term expiring at the second annual meeting of stockholders following the Effective Time; and the initial Class III Directors shall serve for a term expiring at the third annual meeting of stockholders following the Effective Time. At each annual meeting of stockholders beginning with the first annual meeting of stockholders following the Effective Time, the successors of the class of Directors whose term expires at that meeting shall be elected to hold office for a term expiring at the third annual meeting of stockholders to be held following their election, with each Director in each such class to hold office until his or her successor is duly elected and qualified, subject to such Director’s earlier death, resignation or removal in accordance with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of this Amended and Restated Certificate of Incorporation. Subject to the Stockholders Agreement, the Board of Directors is authorized to assign each Director already in office at the Effective Time, as well as each Director elected or appointed to a newly created directorship due to an increase in the size of the Board of Directors, to Class I, Class II or Class III;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class assignments for the initial directors designated for nomination and elected to the Board of Directors pursuant to the Stockholders Agreement shall be as set forth in Section 3 of the Stockholders Agreement. Without limitation to the rights of the stockholders party to the Stockholders Agreement, the provisions of 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are subject to the rights of the holders of any class or series of Preferred Stock to elect directors and such directors need not serve classified terms.</w:t>
      </w:r>
    </w:p>
    <w:p>
      <w:pPr>
        <w:spacing w:after="0" w:line="17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Notice</w:t>
      </w:r>
      <w:r>
        <w:rPr>
          <w:rFonts w:ascii="Arial" w:cs="Arial" w:eastAsia="Arial" w:hAnsi="Arial"/>
          <w:sz w:val="18"/>
          <w:szCs w:val="18"/>
          <w:color w:val="auto"/>
        </w:rPr>
        <w:t>. Advance notice of stockholder nominations for election of Directors and other business to be brought by stockholders before a meeting of stockholders shall be given in the manner provided by the Bylaws.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At any time when Centerbridge beneficially owns, in the aggregate, at least forty percent (40%) in voting power of the Corporation entitled to vote generally in the election of directors, any action required or permitted to be taken at any annual or special meeting of stockholders may be taken without a meeting, without prior notice and without a vote, if a consent or consents in writing, setting forth the action so taken, are (1) signed by the holders of outstanding shares of the relevant class(es) or series of stock of the Corporation representing not less than the minimum</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60" w:name="page61"/>
    <w:bookmarkEnd w:id="60"/>
    <w:p>
      <w:pPr>
        <w:ind w:left="4"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number of votes that would be necessary to authorize or take such action at a meeting at which all shares of stock of the Corporation then issued and outstanding (other than treasury stock) entitled to vote thereon were present and voted, and (2) delivered to the Corporation in accordance with applicable law. At any time when Centerbridge beneficially owns, in the aggregate, less than forty percent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4" w:right="100" w:firstLine="440"/>
        <w:spacing w:after="0" w:line="285" w:lineRule="auto"/>
        <w:rPr>
          <w:sz w:val="20"/>
          <w:szCs w:val="20"/>
          <w:color w:val="auto"/>
        </w:rPr>
      </w:pPr>
      <w:r>
        <w:rPr>
          <w:rFonts w:ascii="Arial" w:cs="Arial" w:eastAsia="Arial" w:hAnsi="Arial"/>
          <w:sz w:val="16"/>
          <w:szCs w:val="16"/>
          <w:color w:val="auto"/>
        </w:rPr>
        <w:t xml:space="preserve">Subject to any limitations prescribed by the Stockholders Agreement, the Corporation reserves the right to amend, alter, change or repeal any provision contained in this Certificate of Incorporation, in the manner now or hereafter prescribed by statute, and all rights conferred upon stockholders herein are granted subject to this reservation;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(x) that any amendment (including by merger, consolidation or otherwise) to this Certificate of Incorporation that gives holders of the Class B Common Stock (i) any rights to receive dividends or any other kind of distribution other than in connection with a dissolution or liquidation pursuant to </w:t>
      </w:r>
      <w:r>
        <w:rPr>
          <w:rFonts w:ascii="Arial" w:cs="Arial" w:eastAsia="Arial" w:hAnsi="Arial"/>
          <w:sz w:val="16"/>
          <w:szCs w:val="16"/>
          <w:u w:val="single" w:color="auto"/>
          <w:color w:val="auto"/>
        </w:rPr>
        <w:t>Section 4.4(c)</w:t>
      </w:r>
      <w:r>
        <w:rPr>
          <w:rFonts w:ascii="Arial" w:cs="Arial" w:eastAsia="Arial" w:hAnsi="Arial"/>
          <w:sz w:val="16"/>
          <w:szCs w:val="16"/>
          <w:color w:val="auto"/>
        </w:rPr>
        <w:t>, (ii) any right to convert into or be exchanged for Class A Common Stock or</w:t>
      </w:r>
    </w:p>
    <w:p>
      <w:pPr>
        <w:spacing w:after="0" w:line="2" w:lineRule="exact"/>
        <w:rPr>
          <w:sz w:val="20"/>
          <w:szCs w:val="20"/>
          <w:color w:val="auto"/>
        </w:rPr>
      </w:pPr>
    </w:p>
    <w:p>
      <w:pPr>
        <w:ind w:left="4" w:hanging="4"/>
        <w:spacing w:after="0" w:line="268" w:lineRule="auto"/>
        <w:tabs>
          <w:tab w:leader="none" w:pos="319"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any other economic rights shall, in addition to the affirmative vote of at least a majority of the voting power of all of the outstanding voting stock of the Corporation entitled to vote, also require the affirmative vote of a majority of shares of Class A Common Stock voting separately as a class and (y) at any time when Centerbridge beneficially owns, in the aggregate, less than forty percent (40%) in voting power of the stock of the Corporation entitled to vote generally in the election of directors, in addition to any vote of the holders of any class or series of capital stock of the Corporation required by any provision of this Certificate of Incorporation (including any Preferred Stock Designation) or applicable law, but subject to </w:t>
      </w:r>
      <w:r>
        <w:rPr>
          <w:rFonts w:ascii="Arial" w:cs="Arial" w:eastAsia="Arial" w:hAnsi="Arial"/>
          <w:sz w:val="17"/>
          <w:szCs w:val="17"/>
          <w:u w:val="single" w:color="auto"/>
          <w:color w:val="auto"/>
        </w:rPr>
        <w:t>Section 4.8</w:t>
      </w:r>
      <w:r>
        <w:rPr>
          <w:rFonts w:ascii="Arial" w:cs="Arial" w:eastAsia="Arial" w:hAnsi="Arial"/>
          <w:sz w:val="17"/>
          <w:szCs w:val="17"/>
          <w:color w:val="auto"/>
        </w:rPr>
        <w:t>, the affirmative vote of at least sixty-six and two-thirds percent (66 2/3%) of the voting power of all of the outstanding voting stock of the Corporation entitled to vote, voting together as a single class, shall be required in order for the stockholders of the Corporation to alter, amend, repeal or rescind, in whole or in part, any provision of this Certificate of Incorporation or to adopt any provision inconsistent therewith.</w:t>
      </w:r>
    </w:p>
    <w:p>
      <w:pPr>
        <w:spacing w:after="0" w:line="39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 xml:space="preserve">The Corporation is authorized to indemnify, and to advance expenses to, each current or former Director, officer, employee or agent of the Corporation to the fullest extent permitted by Section 145 of the DGCL as it presently exists or may hereafter be amended. To the fullest extent permitted by the laws of the State of Delaware as it exists on the date hereof or as it may hereafter be amended, no Director shall be personally liable to the Corporation or its stockholders for monetary damages for any breach of his or her fiduciary duties as a director. No amendment to, or modification or repeal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shall adversely affect any right or protection of a Director or of any officer, employee or agent of the Corporation existing hereunder with respect to any act or omission occurring prior to such amendment, modification or repeal.</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Corporate Opportunity</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68"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To the fullest extent permitted by the laws of the State of Delaware and in accordance with Section 122(17) of the DGCL, (i) the Corporation hereby renounces all interest and expectancy that it otherwise would be entitled to have in, and all rights to be offered an opportunity to participate in, any business opportunity that from time to time may be presented to Centerbridge or its Affiliates (other than the Corporation and its subsidiaries), and any of its or their respective principals, members, directors, partners, stockholders, officers, employees or other representatives (other than any such Person who is also an employee of the Corporation or its subsidiaries), or any Director or stockholder who is not employed by the Corporation or its subsidiaries (each such Person, an “</w:t>
      </w:r>
      <w:r>
        <w:rPr>
          <w:rFonts w:ascii="Arial" w:cs="Arial" w:eastAsia="Arial" w:hAnsi="Arial"/>
          <w:sz w:val="17"/>
          <w:szCs w:val="17"/>
          <w:b w:val="1"/>
          <w:bCs w:val="1"/>
          <w:i w:val="1"/>
          <w:iCs w:val="1"/>
          <w:color w:val="auto"/>
        </w:rPr>
        <w:t>Exempt Person</w:t>
      </w:r>
      <w:r>
        <w:rPr>
          <w:rFonts w:ascii="Arial" w:cs="Arial" w:eastAsia="Arial" w:hAnsi="Arial"/>
          <w:sz w:val="17"/>
          <w:szCs w:val="17"/>
          <w:color w:val="auto"/>
        </w:rPr>
        <w:t xml:space="preserve">”); (ii) no Exempt Person will have any duty to refrain from (1) engaging in a corporate opportunity in the same or similar lines of business in which the Corporation or its subsidiaries from time to time is engaged or proposes to engage or (2) otherwise competing, directly or indirectly, with the Corporation or any of its subsidiaries; and (iii) if any Exempt Person acquires knowledge of a potential transaction or other business opportunity which may be a corporate opportunity both for such Exempt Person or any of his or her respective Affiliates, on the one hand, and for the Corporation or its subsidiaries, on the other hand, such Exempt Person shall have no duty to communicate or offer such transaction or business opportunity to the Corporation or its subsidiaries and such Exempt Person may take any and all such transactions or opportunities for itself or offer such transactions or opportunities to any other Person. Notwithstanding the foregoing, the preceding sentence of this </w:t>
      </w:r>
      <w:r>
        <w:rPr>
          <w:rFonts w:ascii="Arial" w:cs="Arial" w:eastAsia="Arial" w:hAnsi="Arial"/>
          <w:sz w:val="17"/>
          <w:szCs w:val="17"/>
          <w:u w:val="single" w:color="auto"/>
          <w:color w:val="auto"/>
        </w:rPr>
        <w:t>Section 11.1(a)</w:t>
      </w:r>
      <w:r>
        <w:rPr>
          <w:rFonts w:ascii="Arial" w:cs="Arial" w:eastAsia="Arial" w:hAnsi="Arial"/>
          <w:sz w:val="17"/>
          <w:szCs w:val="17"/>
          <w:color w:val="auto"/>
        </w:rPr>
        <w:t xml:space="preserve"> shall not apply to any potential transaction or business opportunity that is expressly offered to a Director, executive officer or employee of the Corporation or its subsidiaries, solely in his or her capacity as a Director, executive officer or employee of the Corporation or its subsidiaries.</w:t>
      </w:r>
    </w:p>
    <w:p>
      <w:pPr>
        <w:spacing w:after="0" w:line="73" w:lineRule="exact"/>
        <w:rPr>
          <w:rFonts w:ascii="Arial" w:cs="Arial" w:eastAsia="Arial" w:hAnsi="Arial"/>
          <w:sz w:val="17"/>
          <w:szCs w:val="17"/>
          <w:color w:val="auto"/>
        </w:rPr>
      </w:pPr>
    </w:p>
    <w:p>
      <w:pPr>
        <w:ind w:firstLine="987"/>
        <w:spacing w:after="0" w:line="293" w:lineRule="auto"/>
        <w:tabs>
          <w:tab w:leader="none" w:pos="1246" w:val="left"/>
        </w:tabs>
        <w:numPr>
          <w:ilvl w:val="0"/>
          <w:numId w:val="73"/>
        </w:numPr>
        <w:rPr>
          <w:rFonts w:ascii="Arial" w:cs="Arial" w:eastAsia="Arial" w:hAnsi="Arial"/>
          <w:sz w:val="16"/>
          <w:szCs w:val="16"/>
          <w:color w:val="auto"/>
        </w:rPr>
      </w:pPr>
      <w:r>
        <w:rPr>
          <w:rFonts w:ascii="Arial" w:cs="Arial" w:eastAsia="Arial" w:hAnsi="Arial"/>
          <w:sz w:val="16"/>
          <w:szCs w:val="16"/>
          <w:color w:val="auto"/>
        </w:rPr>
        <w:t>To the fullest extent permitted by the laws of the State of Delaware, no potential transaction or business opportunity may be deemed to be a corporate opportunity of the Corporation or its subsidiaries unless (i) the Corporation or its subsidiaries would be permitted to undertake such transaction or opportunity in accordance with this Certificate of Incorporation, (ii) the Corporation or its subsidiaries at such time have sufficient financial resources to undertake such transaction or opportunity, (iii) the Corporation or its subsidiaries have an interest or expectancy in such transaction or opportunity and (iv) such transaction or opportunity would be in the same or similar line of business in which the Corporation or its subsidiaries are then engaged or a line of business that is reasonably related to, or a reasonable extension of, such line of business.</w:t>
      </w:r>
    </w:p>
    <w:p>
      <w:pPr>
        <w:spacing w:after="0" w:line="16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To the fullest extent permitted by law, no stockholder and no Director will be liable to the Corporation or its subsidiaries or stockholders for breach of any duty solely by reason of any activities or omissions of the types referred to in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except to the extent such actions or omissions are in breach of this </w:t>
      </w:r>
      <w:r>
        <w:rPr>
          <w:rFonts w:ascii="Arial" w:cs="Arial" w:eastAsia="Arial" w:hAnsi="Arial"/>
          <w:sz w:val="18"/>
          <w:szCs w:val="18"/>
          <w:u w:val="single" w:color="auto"/>
          <w:color w:val="auto"/>
        </w:rPr>
        <w:t>Article XI</w:t>
      </w:r>
      <w:r>
        <w:rPr>
          <w:rFonts w:ascii="Arial" w:cs="Arial" w:eastAsia="Arial" w:hAnsi="Arial"/>
          <w:sz w:val="18"/>
          <w:szCs w:val="18"/>
          <w:color w:val="auto"/>
        </w:rPr>
        <w: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0" w:right="51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XII.</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Unless the Corporation consents in writing to the selection of an alternative forum, (a) (i) any derivative action or proceeding brought on behalf of the Corporation, (ii) any action asserting a claim of breach of a fiduciary duty owed by any current or former director, officer, other employee or stockholder of the Company to the Company or the Company’s stockholders (iii) any action asserting a claim arising pursuant to any provision of the DGCL, this Certificate of Incorporation, the Bylaws or as to which the DGCL confers exclusive jurisdiction on the Court of Chancery of the State of Delaware (the “</w:t>
      </w:r>
      <w:r>
        <w:rPr>
          <w:rFonts w:ascii="Arial" w:cs="Arial" w:eastAsia="Arial" w:hAnsi="Arial"/>
          <w:sz w:val="16"/>
          <w:szCs w:val="16"/>
          <w:b w:val="1"/>
          <w:bCs w:val="1"/>
          <w:i w:val="1"/>
          <w:iCs w:val="1"/>
          <w:color w:val="auto"/>
        </w:rPr>
        <w:t>Court of Chancery</w:t>
      </w:r>
      <w:r>
        <w:rPr>
          <w:rFonts w:ascii="Arial" w:cs="Arial" w:eastAsia="Arial" w:hAnsi="Arial"/>
          <w:sz w:val="16"/>
          <w:szCs w:val="16"/>
          <w:color w:val="auto"/>
        </w:rPr>
        <w:t>”), or (iv) any action asserting a claim governed by the internal affairs doctrine, be exclusively brought in the Court of Chancery of the State of Delaware or, if such court does not have subject matter jurisdiction thereof, the federal district court of the State of Delaware; and (b) the federal district courts of the United States (the “</w:t>
      </w:r>
      <w:r>
        <w:rPr>
          <w:rFonts w:ascii="Arial" w:cs="Arial" w:eastAsia="Arial" w:hAnsi="Arial"/>
          <w:sz w:val="16"/>
          <w:szCs w:val="16"/>
          <w:b w:val="1"/>
          <w:bCs w:val="1"/>
          <w:i w:val="1"/>
          <w:iCs w:val="1"/>
          <w:color w:val="auto"/>
        </w:rPr>
        <w:t>Federal Courts</w:t>
      </w:r>
      <w:r>
        <w:rPr>
          <w:rFonts w:ascii="Arial" w:cs="Arial" w:eastAsia="Arial" w:hAnsi="Arial"/>
          <w:sz w:val="16"/>
          <w:szCs w:val="16"/>
          <w:color w:val="auto"/>
        </w:rPr>
        <w:t xml:space="preserve">”) shall be the exclusive forum for the resolution of any complaint asserting a cause of action arising under the Securities Act of 1933, as amended. If any action, the subject matter of which is within the scope of the first sentence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is filed in a court other than the Court of Chancery or the Federal Courts, as applicable,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xml:space="preserve">”) in the name of any stockholder, such stockholder shall be deemed to have consented to (i) the personal jurisdiction of the Court of Chancery or the Federal Courts, as applicable, in connection with any action brought in any such court to enforce the first sentence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(ii) having service of process made upon such stockholder in any such action by service upon such stockholder’s counsel in the Foreign Action as agent for such stockholder. To the fullest extent permitted by law, any Person purchasing or otherwise acquiring or holding any interest in shares of capital stock of the Corporation shall be deemed to have notice of and consented to the provisions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Notwithstanding the foregoing,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shall not apply to claims seeking to enforce any liability or duty created by the Securities Exchange Act of 1934, as amended.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Section 203 of the DGCL</w:t>
      </w:r>
      <w:r>
        <w:rPr>
          <w:rFonts w:ascii="Arial" w:cs="Arial" w:eastAsia="Arial" w:hAnsi="Arial"/>
          <w:sz w:val="18"/>
          <w:szCs w:val="18"/>
          <w:color w:val="auto"/>
        </w:rPr>
        <w:t>. The Corporation expressly elects not to be governed by Section 203 of the DGCL and the restrictions and limitations set forth therein.</w:t>
      </w:r>
    </w:p>
    <w:p>
      <w:pPr>
        <w:spacing w:after="0" w:line="170"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 xml:space="preserve">Section 13.2 </w:t>
      </w:r>
      <w:r>
        <w:rPr>
          <w:rFonts w:ascii="Arial" w:cs="Arial" w:eastAsia="Arial" w:hAnsi="Arial"/>
          <w:sz w:val="17"/>
          <w:szCs w:val="17"/>
          <w:u w:val="single" w:color="auto"/>
          <w:color w:val="auto"/>
        </w:rPr>
        <w:t>Interested Stockholder Transactions</w:t>
      </w:r>
      <w:r>
        <w:rPr>
          <w:rFonts w:ascii="Arial" w:cs="Arial" w:eastAsia="Arial" w:hAnsi="Arial"/>
          <w:sz w:val="17"/>
          <w:szCs w:val="17"/>
          <w:color w:val="auto"/>
        </w:rPr>
        <w:t>. Notwithstanding anything to the contrary set forth in this Certificate of Incorporation, the Corporation shall not engage in any Business Combination (as defined below) at any point in time at which the Corporation’s Class A Common Stock and Class B Common Stock is registered under Section 12(b) or 12(g) of the Exchange Act with any Interested Stockholder (as defined below) for a period of three (3) years following the time that such stockholder became an Interested Stockholder, unless:</w:t>
      </w:r>
    </w:p>
    <w:p>
      <w:pPr>
        <w:spacing w:after="0" w:line="63" w:lineRule="exact"/>
        <w:rPr>
          <w:sz w:val="20"/>
          <w:szCs w:val="20"/>
          <w:color w:val="auto"/>
        </w:rPr>
      </w:pPr>
    </w:p>
    <w:p>
      <w:pPr>
        <w:ind w:right="600" w:firstLine="987"/>
        <w:spacing w:after="0" w:line="277" w:lineRule="auto"/>
        <w:tabs>
          <w:tab w:leader="none" w:pos="12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such time that such stockholder became an Interested Stockholder, the Board of Directors approved either the Business Combination or the transaction which resulted in such stockholder becoming an Interested Stockholder; or</w:t>
      </w:r>
    </w:p>
    <w:p>
      <w:pPr>
        <w:spacing w:after="0" w:line="62" w:lineRule="exact"/>
        <w:rPr>
          <w:rFonts w:ascii="Arial" w:cs="Arial" w:eastAsia="Arial" w:hAnsi="Arial"/>
          <w:sz w:val="18"/>
          <w:szCs w:val="18"/>
          <w:color w:val="auto"/>
        </w:rPr>
      </w:pPr>
    </w:p>
    <w:p>
      <w:pPr>
        <w:ind w:right="20" w:firstLine="987"/>
        <w:spacing w:after="0" w:line="275" w:lineRule="auto"/>
        <w:tabs>
          <w:tab w:leader="none" w:pos="1246" w:val="left"/>
        </w:tabs>
        <w:numPr>
          <w:ilvl w:val="0"/>
          <w:numId w:val="7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0" w:right="479" w:bottom="1440" w:gutter="0" w:footer="0" w:header="0"/>
        </w:sectPr>
      </w:pPr>
    </w:p>
    <w:bookmarkStart w:id="63" w:name="page64"/>
    <w:bookmarkEnd w:id="63"/>
    <w:p>
      <w:pPr>
        <w:ind w:right="80" w:firstLine="987"/>
        <w:spacing w:after="0" w:line="311" w:lineRule="auto"/>
        <w:tabs>
          <w:tab w:leader="none" w:pos="1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or subsequent to such time that such stockholder became an Interested Stockholder, the Business Combination is approved by the Board of Directors and authorized at an annual or special meeting of stockholders by the affirmative vote of at least sixty-six and two-thirds percent (66 2/3%) of the voting power of the outstanding shares of capital stock of the Corporation which is not owned by such Interested Stockholder.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Certificate of Incorporation, the following terms shall have the following meaning:</w:t>
      </w:r>
    </w:p>
    <w:p>
      <w:pPr>
        <w:spacing w:after="0" w:line="117" w:lineRule="exact"/>
        <w:rPr>
          <w:sz w:val="20"/>
          <w:szCs w:val="20"/>
          <w:color w:val="auto"/>
        </w:rPr>
      </w:pPr>
    </w:p>
    <w:p>
      <w:pPr>
        <w:ind w:right="460" w:firstLine="987"/>
        <w:spacing w:after="0" w:line="277" w:lineRule="auto"/>
        <w:tabs>
          <w:tab w:leader="none" w:pos="12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62" w:lineRule="exact"/>
        <w:rPr>
          <w:rFonts w:ascii="Arial" w:cs="Arial" w:eastAsia="Arial" w:hAnsi="Arial"/>
          <w:sz w:val="18"/>
          <w:szCs w:val="18"/>
          <w:color w:val="auto"/>
        </w:rPr>
      </w:pPr>
    </w:p>
    <w:p>
      <w:pPr>
        <w:ind w:firstLine="987"/>
        <w:spacing w:after="0" w:line="257" w:lineRule="auto"/>
        <w:tabs>
          <w:tab w:leader="none" w:pos="124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twenty percent (20%) or more of any class of shares of voting stock of the Corporation; (ii) any trust or other estate in which such Person has at least a twenty percent (20%) beneficial interest or as to which such Person serves as trustee or in a similar fiduciary capacity; and (iii) any relative or spouse of such Person, or any relative of such spouse, who has the same residence as such Person.</w:t>
      </w:r>
    </w:p>
    <w:p>
      <w:pPr>
        <w:spacing w:after="0" w:line="79" w:lineRule="exact"/>
        <w:rPr>
          <w:rFonts w:ascii="Arial" w:cs="Arial" w:eastAsia="Arial" w:hAnsi="Arial"/>
          <w:sz w:val="18"/>
          <w:szCs w:val="18"/>
          <w:color w:val="auto"/>
        </w:rPr>
      </w:pPr>
    </w:p>
    <w:p>
      <w:pPr>
        <w:ind w:right="60" w:firstLine="987"/>
        <w:spacing w:after="0" w:line="273"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Combination</w:t>
      </w:r>
      <w:r>
        <w:rPr>
          <w:rFonts w:ascii="Arial" w:cs="Arial" w:eastAsia="Arial" w:hAnsi="Arial"/>
          <w:sz w:val="17"/>
          <w:szCs w:val="17"/>
          <w:color w:val="auto"/>
        </w:rPr>
        <w:t>” means (i) any merger or consolidation of the Corporation or any direct or indirect majority-owned subsidiary of the Corporation with the Interested Stockholder or (ii) 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shares of capital stock of the Corporation.</w:t>
      </w:r>
    </w:p>
    <w:p>
      <w:pPr>
        <w:spacing w:after="0" w:line="69" w:lineRule="exact"/>
        <w:rPr>
          <w:rFonts w:ascii="Arial" w:cs="Arial" w:eastAsia="Arial" w:hAnsi="Arial"/>
          <w:sz w:val="17"/>
          <w:szCs w:val="17"/>
          <w:color w:val="auto"/>
        </w:rPr>
      </w:pPr>
    </w:p>
    <w:p>
      <w:pPr>
        <w:ind w:right="60" w:firstLine="987"/>
        <w:spacing w:after="0" w:line="342" w:lineRule="auto"/>
        <w:tabs>
          <w:tab w:leader="none" w:pos="1246"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Centerbridge</w:t>
      </w:r>
      <w:r>
        <w:rPr>
          <w:rFonts w:ascii="Arial" w:cs="Arial" w:eastAsia="Arial" w:hAnsi="Arial"/>
          <w:sz w:val="16"/>
          <w:szCs w:val="16"/>
          <w:color w:val="auto"/>
        </w:rPr>
        <w:t>” means Centerbridge Capital Partners III, L.P., a Delaware limited partnership, certain of its Affiliates and any Centerbridge Party (as defined in the Stockholders Agreement) and its and their successors and assigns (other than the Corporation and its subsidiaries).</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Centerbridge Related Parties</w:t>
      </w:r>
      <w:r>
        <w:rPr>
          <w:rFonts w:ascii="Arial" w:cs="Arial" w:eastAsia="Arial" w:hAnsi="Arial"/>
          <w:sz w:val="18"/>
          <w:szCs w:val="18"/>
          <w:color w:val="auto"/>
        </w:rPr>
        <w:t>” means Centerbridge and its Permitted Transferees.</w:t>
      </w:r>
    </w:p>
    <w:p>
      <w:pPr>
        <w:spacing w:after="0" w:line="117" w:lineRule="exact"/>
        <w:rPr>
          <w:rFonts w:ascii="Arial" w:cs="Arial" w:eastAsia="Arial" w:hAnsi="Arial"/>
          <w:sz w:val="18"/>
          <w:szCs w:val="18"/>
          <w:color w:val="auto"/>
        </w:rPr>
      </w:pPr>
    </w:p>
    <w:p>
      <w:pPr>
        <w:ind w:right="40" w:firstLine="987"/>
        <w:spacing w:after="0" w:line="255" w:lineRule="auto"/>
        <w:tabs>
          <w:tab w:leader="none" w:pos="121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 (1) any “person” or “group” (within the meaning of Sections 13(d) and 14(d) of the Exchange Act, but excluding any employee benefit plan of such person and its subsidiaries, and any person or entity acting in its capacity as trustee, agent or other fiduciary or administrator of any such plan)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fifty percent (50%) of the voting power of all of the outstanding shares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64" w:name="page65"/>
    <w:bookmarkEnd w:id="64"/>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capital stock of the Corporation entitled to vote; (2) 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GoHealth LLC); (3) 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voting securities representing more than fifty percent (50%) of the combined voting power of the outstanding voting securities of the Person resulting from such merger or consolidation or, if the surviving company is a subsidiary, the ultimate parent thereof; or (4) the Corporation ceases to be the sole managing member of GoHealth LLC;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“Change of Control” shall not be deemed to have occurred by virtue of the consummation of any transaction or series of related transactions immediately following which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78" w:lineRule="exact"/>
        <w:rPr>
          <w:sz w:val="20"/>
          <w:szCs w:val="20"/>
          <w:color w:val="auto"/>
        </w:rPr>
      </w:pPr>
    </w:p>
    <w:p>
      <w:pPr>
        <w:ind w:right="80" w:firstLine="987"/>
        <w:spacing w:after="0" w:line="254" w:lineRule="auto"/>
        <w:tabs>
          <w:tab w:leader="none" w:pos="12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86"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any applicable rules and regulations promulgated thereunder, and any successor to such statute, rules or regulations.</w:t>
      </w:r>
    </w:p>
    <w:p>
      <w:pPr>
        <w:spacing w:after="0" w:line="62" w:lineRule="exact"/>
        <w:rPr>
          <w:rFonts w:ascii="Arial" w:cs="Arial" w:eastAsia="Arial" w:hAnsi="Arial"/>
          <w:sz w:val="18"/>
          <w:szCs w:val="18"/>
          <w:color w:val="auto"/>
        </w:rPr>
      </w:pPr>
    </w:p>
    <w:p>
      <w:pPr>
        <w:ind w:firstLine="987"/>
        <w:spacing w:after="0" w:line="254" w:lineRule="auto"/>
        <w:tabs>
          <w:tab w:leader="none" w:pos="12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Interested Stockholder</w:t>
      </w:r>
      <w:r>
        <w:rPr>
          <w:rFonts w:ascii="Arial" w:cs="Arial" w:eastAsia="Arial" w:hAnsi="Arial"/>
          <w:sz w:val="18"/>
          <w:szCs w:val="18"/>
          <w:color w:val="auto"/>
        </w:rPr>
        <w:t xml:space="preserve">” means any Person (other than the Corporation and any direct or indirect majority-owned subsidiary of the Corporation) that (i) is the beneficial owner of fifteen percent (15%) or more of the outstanding shares of capital stock of the Corporation that are entitled to vote, or (ii) is an Affiliate of the Corporation and was the beneficial owner of fifteen percent (15%) or more of the outstanding shares of capital stock of the Corporation that are entitled to vote at any time within the three-year period immediately prior to the date on which it is sought to be determined whether such Person is an Interested Stockholder, and the Affiliates and Associates of such Person. Notwithstanding anything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XIII</w:t>
      </w:r>
      <w:r>
        <w:rPr>
          <w:rFonts w:ascii="Arial" w:cs="Arial" w:eastAsia="Arial" w:hAnsi="Arial"/>
          <w:sz w:val="18"/>
          <w:szCs w:val="18"/>
          <w:color w:val="auto"/>
        </w:rPr>
        <w:t xml:space="preserve"> to the contrary, the term “Interested Stockholder” shall not include: (x) the Centerbridge Related Parties or any of their Affiliates or Associates, including any investment funds managed, directly or indirectly, by Centerbridge or any other Person with whom any of the foregoing are acting as a group or in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4" w:right="519" w:bottom="1440" w:gutter="0" w:footer="0" w:header="0"/>
        </w:sectPr>
      </w:pPr>
    </w:p>
    <w:bookmarkStart w:id="65" w:name="page66"/>
    <w:bookmarkEnd w:id="65"/>
    <w:p>
      <w:pPr>
        <w:ind w:left="4" w:right="1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concert for the purpose of acquiring, holding, voting or disposing of shares of capital stock of the Corporation (y) the NVX Related Parties or any of their Affiliates or Associates, including any investment funds managed, directly or indirectly, by NVX or any other Person with whom any of the foregoing are acting as a group or in concert for the purpose of acquiring, holding, voting or disposing of shares of capital stock of the Corporation, or</w:t>
      </w:r>
    </w:p>
    <w:p>
      <w:pPr>
        <w:spacing w:after="0" w:line="2" w:lineRule="exact"/>
        <w:rPr>
          <w:sz w:val="20"/>
          <w:szCs w:val="20"/>
          <w:color w:val="auto"/>
        </w:rPr>
      </w:pPr>
    </w:p>
    <w:p>
      <w:pPr>
        <w:jc w:val="both"/>
        <w:ind w:left="4" w:right="480" w:hanging="4"/>
        <w:spacing w:after="0" w:line="302" w:lineRule="auto"/>
        <w:tabs>
          <w:tab w:leader="none" w:pos="249"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other Person who acquires voting stock of the Corporation directly from a Centerbridge Related Party or an NVX Related Party with prior approval of the Board of Directors, and excluding, for the avoidance of doubt, any Person who acquires voting stock of the Corporation through a broker’s transaction executed on any securities exchange or other over-the-counter market or pursuant to an underwritten public offering.</w:t>
      </w:r>
    </w:p>
    <w:p>
      <w:pPr>
        <w:spacing w:after="0" w:line="47" w:lineRule="exact"/>
        <w:rPr>
          <w:rFonts w:ascii="Arial" w:cs="Arial" w:eastAsia="Arial" w:hAnsi="Arial"/>
          <w:sz w:val="16"/>
          <w:szCs w:val="16"/>
          <w:color w:val="auto"/>
        </w:rPr>
      </w:pPr>
    </w:p>
    <w:p>
      <w:pPr>
        <w:ind w:left="1204" w:hanging="213"/>
        <w:spacing w:after="0"/>
        <w:tabs>
          <w:tab w:leader="none" w:pos="120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w:t>
      </w:r>
      <w:r>
        <w:rPr>
          <w:rFonts w:ascii="Arial" w:cs="Arial" w:eastAsia="Arial" w:hAnsi="Arial"/>
          <w:sz w:val="18"/>
          <w:szCs w:val="18"/>
          <w:color w:val="auto"/>
        </w:rPr>
        <w:t>” means NVX Holdings, Inc., a Delaware corporation.</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Related Parties</w:t>
      </w:r>
      <w:r>
        <w:rPr>
          <w:rFonts w:ascii="Arial" w:cs="Arial" w:eastAsia="Arial" w:hAnsi="Arial"/>
          <w:sz w:val="18"/>
          <w:szCs w:val="18"/>
          <w:color w:val="auto"/>
        </w:rPr>
        <w:t>” means NVX and its Permitted Transferees.</w:t>
      </w:r>
    </w:p>
    <w:p>
      <w:pPr>
        <w:spacing w:after="0" w:line="117" w:lineRule="exact"/>
        <w:rPr>
          <w:rFonts w:ascii="Arial" w:cs="Arial" w:eastAsia="Arial" w:hAnsi="Arial"/>
          <w:sz w:val="18"/>
          <w:szCs w:val="18"/>
          <w:color w:val="auto"/>
        </w:rPr>
      </w:pPr>
    </w:p>
    <w:p>
      <w:pPr>
        <w:ind w:left="4" w:right="300" w:firstLine="987"/>
        <w:spacing w:after="0" w:line="277" w:lineRule="auto"/>
        <w:tabs>
          <w:tab w:leader="none" w:pos="121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62" w:lineRule="exact"/>
        <w:rPr>
          <w:rFonts w:ascii="Arial" w:cs="Arial" w:eastAsia="Arial" w:hAnsi="Arial"/>
          <w:sz w:val="18"/>
          <w:szCs w:val="18"/>
          <w:color w:val="auto"/>
        </w:rPr>
      </w:pPr>
    </w:p>
    <w:p>
      <w:pPr>
        <w:ind w:left="1644" w:hanging="212"/>
        <w:spacing w:after="0"/>
        <w:tabs>
          <w:tab w:leader="none" w:pos="1644" w:val="left"/>
        </w:tabs>
        <w:numPr>
          <w:ilvl w:val="2"/>
          <w:numId w:val="78"/>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17" w:lineRule="exact"/>
        <w:rPr>
          <w:rFonts w:ascii="Arial" w:cs="Arial" w:eastAsia="Arial" w:hAnsi="Arial"/>
          <w:sz w:val="18"/>
          <w:szCs w:val="18"/>
          <w:color w:val="auto"/>
        </w:rPr>
      </w:pPr>
    </w:p>
    <w:p>
      <w:pPr>
        <w:ind w:left="4" w:firstLine="1428"/>
        <w:spacing w:after="0" w:line="272" w:lineRule="auto"/>
        <w:tabs>
          <w:tab w:leader="none" w:pos="1701" w:val="left"/>
        </w:tabs>
        <w:numPr>
          <w:ilvl w:val="2"/>
          <w:numId w:val="78"/>
        </w:numPr>
        <w:rPr>
          <w:rFonts w:ascii="Arial" w:cs="Arial" w:eastAsia="Arial" w:hAnsi="Arial"/>
          <w:sz w:val="17"/>
          <w:szCs w:val="17"/>
          <w:color w:val="auto"/>
        </w:rPr>
      </w:pPr>
      <w:r>
        <w:rPr>
          <w:rFonts w:ascii="Arial" w:cs="Arial" w:eastAsia="Arial" w:hAnsi="Arial"/>
          <w:sz w:val="17"/>
          <w:szCs w:val="17"/>
          <w:color w:val="auto"/>
        </w:rPr>
        <w:t xml:space="preserve">has (a)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or more Persons; or</w:t>
      </w:r>
    </w:p>
    <w:p>
      <w:pPr>
        <w:spacing w:after="0" w:line="69" w:lineRule="exact"/>
        <w:rPr>
          <w:rFonts w:ascii="Arial" w:cs="Arial" w:eastAsia="Arial" w:hAnsi="Arial"/>
          <w:sz w:val="17"/>
          <w:szCs w:val="17"/>
          <w:color w:val="auto"/>
        </w:rPr>
      </w:pPr>
    </w:p>
    <w:p>
      <w:pPr>
        <w:ind w:left="4" w:right="40" w:firstLine="1428"/>
        <w:spacing w:after="0" w:line="263" w:lineRule="auto"/>
        <w:tabs>
          <w:tab w:leader="none" w:pos="1751" w:val="left"/>
        </w:tabs>
        <w:numPr>
          <w:ilvl w:val="2"/>
          <w:numId w:val="78"/>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75" w:lineRule="exact"/>
        <w:rPr>
          <w:rFonts w:ascii="Arial" w:cs="Arial" w:eastAsia="Arial" w:hAnsi="Arial"/>
          <w:sz w:val="18"/>
          <w:szCs w:val="18"/>
          <w:color w:val="auto"/>
        </w:rPr>
      </w:pPr>
    </w:p>
    <w:p>
      <w:pPr>
        <w:ind w:left="4" w:right="400" w:firstLine="987"/>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except as otherwise provided in the definition of “Change of Control”, any individual, corporation, partnership, limited liability company, unincorporated association or other entity.</w:t>
      </w:r>
    </w:p>
    <w:p>
      <w:pPr>
        <w:spacing w:after="0" w:line="62" w:lineRule="exact"/>
        <w:rPr>
          <w:rFonts w:ascii="Arial" w:cs="Arial" w:eastAsia="Arial" w:hAnsi="Arial"/>
          <w:sz w:val="18"/>
          <w:szCs w:val="18"/>
          <w:color w:val="auto"/>
        </w:rPr>
      </w:pPr>
    </w:p>
    <w:p>
      <w:pPr>
        <w:ind w:left="4" w:right="40" w:firstLine="987"/>
        <w:spacing w:after="0" w:line="277" w:lineRule="auto"/>
        <w:tabs>
          <w:tab w:leader="none" w:pos="1250"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applicable rules and regulations promulgated thereunder, and any successor to such statute, rules or regulations.</w:t>
      </w:r>
    </w:p>
    <w:p>
      <w:pPr>
        <w:spacing w:after="0" w:line="62" w:lineRule="exact"/>
        <w:rPr>
          <w:rFonts w:ascii="Arial" w:cs="Arial" w:eastAsia="Arial" w:hAnsi="Arial"/>
          <w:sz w:val="18"/>
          <w:szCs w:val="18"/>
          <w:color w:val="auto"/>
        </w:rPr>
      </w:pPr>
    </w:p>
    <w:p>
      <w:pPr>
        <w:ind w:left="1244" w:hanging="253"/>
        <w:spacing w:after="0"/>
        <w:tabs>
          <w:tab w:leader="none" w:pos="1244" w:val="left"/>
        </w:tabs>
        <w:numPr>
          <w:ilvl w:val="1"/>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66" w:name="page67"/>
    <w:bookmarkEnd w:id="66"/>
    <w:p>
      <w:pPr>
        <w:ind w:right="40" w:firstLine="987"/>
        <w:spacing w:after="0" w:line="263"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If any provision or provisions of this Certificate of Incorporation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sentence of this Certificate of Incorporation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780"/>
          </w:cols>
          <w:pgMar w:left="440" w:top="274" w:right="67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Corporation has caused this Certificate of Incorporation to be signed on this [ ● ], 2020.</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GOHEALTH, INC.</w:t>
      </w:r>
    </w:p>
    <w:p>
      <w:pPr>
        <w:spacing w:after="0" w:line="1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579"/>
          </w:cols>
          <w:pgMar w:left="880" w:top="274"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188595</wp:posOffset>
            </wp:positionV>
            <wp:extent cx="699516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AMENDED AND RESTATED BYLAWS</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Dated as of [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6940" w:type="dxa"/>
            <w:vAlign w:val="bottom"/>
          </w:tcPr>
          <w:p>
            <w:pPr>
              <w:ind w:left="3300"/>
              <w:spacing w:after="0"/>
              <w:rPr>
                <w:sz w:val="20"/>
                <w:szCs w:val="20"/>
                <w:color w:val="auto"/>
              </w:rPr>
            </w:pPr>
            <w:r>
              <w:rPr>
                <w:rFonts w:ascii="Arial" w:cs="Arial" w:eastAsia="Arial" w:hAnsi="Arial"/>
                <w:sz w:val="18"/>
                <w:szCs w:val="18"/>
                <w:b w:val="1"/>
                <w:bCs w:val="1"/>
                <w:color w:val="auto"/>
              </w:rPr>
              <w:t>CONTENTS</w:t>
            </w:r>
          </w:p>
        </w:tc>
        <w:tc>
          <w:tcPr>
            <w:tcW w:w="2320" w:type="dxa"/>
            <w:vAlign w:val="bottom"/>
          </w:tcPr>
          <w:p>
            <w:pPr>
              <w:spacing w:after="0"/>
              <w:rPr>
                <w:sz w:val="20"/>
                <w:szCs w:val="20"/>
                <w:color w:val="auto"/>
              </w:rPr>
            </w:pPr>
          </w:p>
        </w:tc>
      </w:tr>
      <w:tr>
        <w:trPr>
          <w:trHeight w:val="377"/>
        </w:trPr>
        <w:tc>
          <w:tcPr>
            <w:tcW w:w="17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Article I. Meetings of Stockholders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6940" w:type="dxa"/>
            <w:vAlign w:val="bottom"/>
          </w:tcPr>
          <w:p>
            <w:pPr>
              <w:ind w:left="40"/>
              <w:spacing w:after="0"/>
              <w:rPr>
                <w:sz w:val="20"/>
                <w:szCs w:val="20"/>
                <w:color w:val="auto"/>
              </w:rPr>
            </w:pPr>
            <w:r>
              <w:rPr>
                <w:rFonts w:ascii="Arial" w:cs="Arial" w:eastAsia="Arial" w:hAnsi="Arial"/>
                <w:sz w:val="18"/>
                <w:szCs w:val="18"/>
                <w:color w:val="auto"/>
              </w:rPr>
              <w:t>Place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6940" w:type="dxa"/>
            <w:vAlign w:val="bottom"/>
          </w:tcPr>
          <w:p>
            <w:pPr>
              <w:ind w:left="40"/>
              <w:spacing w:after="0"/>
              <w:rPr>
                <w:sz w:val="20"/>
                <w:szCs w:val="20"/>
                <w:color w:val="auto"/>
              </w:rPr>
            </w:pPr>
            <w:r>
              <w:rPr>
                <w:rFonts w:ascii="Arial" w:cs="Arial" w:eastAsia="Arial" w:hAnsi="Arial"/>
                <w:sz w:val="18"/>
                <w:szCs w:val="18"/>
                <w:color w:val="auto"/>
              </w:rPr>
              <w:t>Annual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69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6940" w:type="dxa"/>
            <w:vAlign w:val="bottom"/>
          </w:tcPr>
          <w:p>
            <w:pPr>
              <w:ind w:left="40"/>
              <w:spacing w:after="0"/>
              <w:rPr>
                <w:sz w:val="20"/>
                <w:szCs w:val="20"/>
                <w:color w:val="auto"/>
              </w:rPr>
            </w:pPr>
            <w:r>
              <w:rPr>
                <w:rFonts w:ascii="Arial" w:cs="Arial" w:eastAsia="Arial" w:hAnsi="Arial"/>
                <w:sz w:val="18"/>
                <w:szCs w:val="18"/>
                <w:color w:val="auto"/>
              </w:rPr>
              <w:t>Notice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6940" w:type="dxa"/>
            <w:vAlign w:val="bottom"/>
          </w:tcPr>
          <w:p>
            <w:pPr>
              <w:ind w:left="40"/>
              <w:spacing w:after="0"/>
              <w:rPr>
                <w:sz w:val="20"/>
                <w:szCs w:val="20"/>
                <w:color w:val="auto"/>
              </w:rPr>
            </w:pPr>
            <w:r>
              <w:rPr>
                <w:rFonts w:ascii="Arial" w:cs="Arial" w:eastAsia="Arial" w:hAnsi="Arial"/>
                <w:sz w:val="18"/>
                <w:szCs w:val="18"/>
                <w:color w:val="auto"/>
              </w:rPr>
              <w:t>Adjournments</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6940" w:type="dxa"/>
            <w:vAlign w:val="bottom"/>
          </w:tcPr>
          <w:p>
            <w:pPr>
              <w:ind w:left="40"/>
              <w:spacing w:after="0"/>
              <w:rPr>
                <w:sz w:val="20"/>
                <w:szCs w:val="20"/>
                <w:color w:val="auto"/>
              </w:rPr>
            </w:pPr>
            <w:r>
              <w:rPr>
                <w:rFonts w:ascii="Arial" w:cs="Arial" w:eastAsia="Arial" w:hAnsi="Arial"/>
                <w:sz w:val="18"/>
                <w:szCs w:val="18"/>
                <w:color w:val="auto"/>
              </w:rPr>
              <w:t>Quorum</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694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6940" w:type="dxa"/>
            <w:vAlign w:val="bottom"/>
          </w:tcPr>
          <w:p>
            <w:pPr>
              <w:ind w:left="40"/>
              <w:spacing w:after="0"/>
              <w:rPr>
                <w:sz w:val="20"/>
                <w:szCs w:val="20"/>
                <w:color w:val="auto"/>
              </w:rPr>
            </w:pPr>
            <w:r>
              <w:rPr>
                <w:rFonts w:ascii="Arial" w:cs="Arial" w:eastAsia="Arial" w:hAnsi="Arial"/>
                <w:sz w:val="18"/>
                <w:szCs w:val="18"/>
                <w:color w:val="auto"/>
              </w:rPr>
              <w:t>Voting; Proxies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6940" w:type="dxa"/>
            <w:vAlign w:val="bottom"/>
          </w:tcPr>
          <w:p>
            <w:pPr>
              <w:ind w:left="40"/>
              <w:spacing w:after="0"/>
              <w:rPr>
                <w:sz w:val="20"/>
                <w:szCs w:val="20"/>
                <w:color w:val="auto"/>
              </w:rPr>
            </w:pPr>
            <w:r>
              <w:rPr>
                <w:rFonts w:ascii="Arial" w:cs="Arial" w:eastAsia="Arial" w:hAnsi="Arial"/>
                <w:sz w:val="18"/>
                <w:szCs w:val="18"/>
                <w:color w:val="auto"/>
              </w:rPr>
              <w:t>Fixing Date for Determination of Stockholders of Record</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6940" w:type="dxa"/>
            <w:vAlign w:val="bottom"/>
          </w:tcPr>
          <w:p>
            <w:pPr>
              <w:ind w:left="40"/>
              <w:spacing w:after="0"/>
              <w:rPr>
                <w:sz w:val="20"/>
                <w:szCs w:val="20"/>
                <w:color w:val="auto"/>
              </w:rPr>
            </w:pPr>
            <w:r>
              <w:rPr>
                <w:rFonts w:ascii="Arial" w:cs="Arial" w:eastAsia="Arial" w:hAnsi="Arial"/>
                <w:sz w:val="18"/>
                <w:szCs w:val="18"/>
                <w:color w:val="auto"/>
              </w:rPr>
              <w:t>List of Stockholders Entitled to Vote</w:t>
            </w:r>
          </w:p>
        </w:tc>
        <w:tc>
          <w:tcPr>
            <w:tcW w:w="2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17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6940" w:type="dxa"/>
            <w:vAlign w:val="bottom"/>
          </w:tcPr>
          <w:p>
            <w:pPr>
              <w:ind w:left="40"/>
              <w:spacing w:after="0"/>
              <w:rPr>
                <w:sz w:val="20"/>
                <w:szCs w:val="20"/>
                <w:color w:val="auto"/>
              </w:rPr>
            </w:pPr>
            <w:r>
              <w:rPr>
                <w:rFonts w:ascii="Arial" w:cs="Arial" w:eastAsia="Arial" w:hAnsi="Arial"/>
                <w:sz w:val="18"/>
                <w:szCs w:val="18"/>
                <w:color w:val="auto"/>
              </w:rPr>
              <w:t>Inspectors of Election</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6940" w:type="dxa"/>
            <w:vAlign w:val="bottom"/>
          </w:tcPr>
          <w:p>
            <w:pPr>
              <w:ind w:left="40"/>
              <w:spacing w:after="0"/>
              <w:rPr>
                <w:sz w:val="20"/>
                <w:szCs w:val="20"/>
                <w:color w:val="auto"/>
              </w:rPr>
            </w:pPr>
            <w:r>
              <w:rPr>
                <w:rFonts w:ascii="Arial" w:cs="Arial" w:eastAsia="Arial" w:hAnsi="Arial"/>
                <w:sz w:val="18"/>
                <w:szCs w:val="18"/>
                <w:color w:val="auto"/>
              </w:rPr>
              <w:t>Conduct of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7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6940" w:type="dxa"/>
            <w:vAlign w:val="bottom"/>
          </w:tcPr>
          <w:p>
            <w:pPr>
              <w:ind w:left="40"/>
              <w:spacing w:after="0"/>
              <w:rPr>
                <w:sz w:val="20"/>
                <w:szCs w:val="20"/>
                <w:color w:val="auto"/>
              </w:rPr>
            </w:pPr>
            <w:r>
              <w:rPr>
                <w:rFonts w:ascii="Arial" w:cs="Arial" w:eastAsia="Arial" w:hAnsi="Arial"/>
                <w:sz w:val="18"/>
                <w:szCs w:val="18"/>
                <w:color w:val="auto"/>
              </w:rPr>
              <w:t>Advance Notice Procedures for Business Brought Before a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44"/>
        </w:trPr>
        <w:tc>
          <w:tcPr>
            <w:tcW w:w="17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6940" w:type="dxa"/>
            <w:vAlign w:val="bottom"/>
          </w:tcPr>
          <w:p>
            <w:pPr>
              <w:ind w:left="40"/>
              <w:spacing w:after="0"/>
              <w:rPr>
                <w:sz w:val="20"/>
                <w:szCs w:val="20"/>
                <w:color w:val="auto"/>
              </w:rPr>
            </w:pPr>
            <w:r>
              <w:rPr>
                <w:rFonts w:ascii="Arial" w:cs="Arial" w:eastAsia="Arial" w:hAnsi="Arial"/>
                <w:sz w:val="18"/>
                <w:szCs w:val="18"/>
                <w:color w:val="auto"/>
              </w:rPr>
              <w:t>Advance Notice Procedures for Nominations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II. Board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6940" w:type="dxa"/>
            <w:vAlign w:val="bottom"/>
          </w:tcPr>
          <w:p>
            <w:pPr>
              <w:ind w:left="40"/>
              <w:spacing w:after="0"/>
              <w:rPr>
                <w:sz w:val="20"/>
                <w:szCs w:val="20"/>
                <w:color w:val="auto"/>
              </w:rPr>
            </w:pPr>
            <w:r>
              <w:rPr>
                <w:rFonts w:ascii="Arial" w:cs="Arial" w:eastAsia="Arial" w:hAnsi="Arial"/>
                <w:sz w:val="18"/>
                <w:szCs w:val="18"/>
                <w:color w:val="auto"/>
              </w:rPr>
              <w:t>Number; Tenure; Qualifications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6940" w:type="dxa"/>
            <w:vAlign w:val="bottom"/>
          </w:tcPr>
          <w:p>
            <w:pPr>
              <w:ind w:left="40"/>
              <w:spacing w:after="0"/>
              <w:rPr>
                <w:sz w:val="20"/>
                <w:szCs w:val="20"/>
                <w:color w:val="auto"/>
              </w:rPr>
            </w:pPr>
            <w:r>
              <w:rPr>
                <w:rFonts w:ascii="Arial" w:cs="Arial" w:eastAsia="Arial" w:hAnsi="Arial"/>
                <w:sz w:val="18"/>
                <w:szCs w:val="18"/>
                <w:color w:val="auto"/>
              </w:rPr>
              <w:t>Election; Resignation; Removal; Vacancies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694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69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6940" w:type="dxa"/>
            <w:vAlign w:val="bottom"/>
          </w:tcPr>
          <w:p>
            <w:pPr>
              <w:ind w:left="40"/>
              <w:spacing w:after="0"/>
              <w:rPr>
                <w:sz w:val="20"/>
                <w:szCs w:val="20"/>
                <w:color w:val="auto"/>
              </w:rPr>
            </w:pPr>
            <w:r>
              <w:rPr>
                <w:rFonts w:ascii="Arial" w:cs="Arial" w:eastAsia="Arial" w:hAnsi="Arial"/>
                <w:sz w:val="18"/>
                <w:szCs w:val="18"/>
                <w:color w:val="auto"/>
              </w:rPr>
              <w:t>Telephonic Meetings Permitted</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6940" w:type="dxa"/>
            <w:vAlign w:val="bottom"/>
          </w:tcPr>
          <w:p>
            <w:pPr>
              <w:ind w:left="40"/>
              <w:spacing w:after="0"/>
              <w:rPr>
                <w:sz w:val="20"/>
                <w:szCs w:val="20"/>
                <w:color w:val="auto"/>
              </w:rPr>
            </w:pPr>
            <w:r>
              <w:rPr>
                <w:rFonts w:ascii="Arial" w:cs="Arial" w:eastAsia="Arial" w:hAnsi="Arial"/>
                <w:sz w:val="18"/>
                <w:szCs w:val="18"/>
                <w:color w:val="auto"/>
              </w:rPr>
              <w:t>Quorum; Vote Required for Action</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6940" w:type="dxa"/>
            <w:vAlign w:val="bottom"/>
          </w:tcPr>
          <w:p>
            <w:pPr>
              <w:ind w:left="40"/>
              <w:spacing w:after="0"/>
              <w:rPr>
                <w:sz w:val="20"/>
                <w:szCs w:val="20"/>
                <w:color w:val="auto"/>
              </w:rPr>
            </w:pPr>
            <w:r>
              <w:rPr>
                <w:rFonts w:ascii="Arial" w:cs="Arial" w:eastAsia="Arial" w:hAnsi="Arial"/>
                <w:sz w:val="18"/>
                <w:szCs w:val="18"/>
                <w:color w:val="auto"/>
              </w:rPr>
              <w:t>Organization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6940" w:type="dxa"/>
            <w:vAlign w:val="bottom"/>
          </w:tcPr>
          <w:p>
            <w:pPr>
              <w:ind w:left="40"/>
              <w:spacing w:after="0"/>
              <w:rPr>
                <w:sz w:val="20"/>
                <w:szCs w:val="20"/>
                <w:color w:val="auto"/>
              </w:rPr>
            </w:pPr>
            <w:r>
              <w:rPr>
                <w:rFonts w:ascii="Arial" w:cs="Arial" w:eastAsia="Arial" w:hAnsi="Arial"/>
                <w:sz w:val="18"/>
                <w:szCs w:val="18"/>
                <w:color w:val="auto"/>
              </w:rPr>
              <w:t>Action by Unanimous Consent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6940" w:type="dxa"/>
            <w:vAlign w:val="bottom"/>
          </w:tcPr>
          <w:p>
            <w:pPr>
              <w:ind w:left="40"/>
              <w:spacing w:after="0"/>
              <w:rPr>
                <w:sz w:val="20"/>
                <w:szCs w:val="20"/>
                <w:color w:val="auto"/>
              </w:rPr>
            </w:pPr>
            <w:r>
              <w:rPr>
                <w:rFonts w:ascii="Arial" w:cs="Arial" w:eastAsia="Arial" w:hAnsi="Arial"/>
                <w:sz w:val="18"/>
                <w:szCs w:val="18"/>
                <w:color w:val="auto"/>
              </w:rPr>
              <w:t>Compensation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6940" w:type="dxa"/>
            <w:vAlign w:val="bottom"/>
          </w:tcPr>
          <w:p>
            <w:pPr>
              <w:ind w:left="40"/>
              <w:spacing w:after="0"/>
              <w:rPr>
                <w:sz w:val="20"/>
                <w:szCs w:val="20"/>
                <w:color w:val="auto"/>
              </w:rPr>
            </w:pPr>
            <w:r>
              <w:rPr>
                <w:rFonts w:ascii="Arial" w:cs="Arial" w:eastAsia="Arial" w:hAnsi="Arial"/>
                <w:sz w:val="18"/>
                <w:szCs w:val="18"/>
                <w:color w:val="auto"/>
              </w:rPr>
              <w:t>Chairpersons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w w:val="95"/>
              </w:rPr>
              <w:t>Article III. Committees</w:t>
            </w:r>
          </w:p>
        </w:tc>
        <w:tc>
          <w:tcPr>
            <w:tcW w:w="69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694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6940" w:type="dxa"/>
            <w:vAlign w:val="bottom"/>
          </w:tcPr>
          <w:p>
            <w:pPr>
              <w:ind w:left="40"/>
              <w:spacing w:after="0"/>
              <w:rPr>
                <w:sz w:val="20"/>
                <w:szCs w:val="20"/>
                <w:color w:val="auto"/>
              </w:rPr>
            </w:pPr>
            <w:r>
              <w:rPr>
                <w:rFonts w:ascii="Arial" w:cs="Arial" w:eastAsia="Arial" w:hAnsi="Arial"/>
                <w:sz w:val="18"/>
                <w:szCs w:val="18"/>
                <w:color w:val="auto"/>
              </w:rPr>
              <w:t>Committee Minutes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6940" w:type="dxa"/>
            <w:vAlign w:val="bottom"/>
          </w:tcPr>
          <w:p>
            <w:pPr>
              <w:ind w:left="40"/>
              <w:spacing w:after="0"/>
              <w:rPr>
                <w:sz w:val="20"/>
                <w:szCs w:val="20"/>
                <w:color w:val="auto"/>
              </w:rPr>
            </w:pPr>
            <w:r>
              <w:rPr>
                <w:rFonts w:ascii="Arial" w:cs="Arial" w:eastAsia="Arial" w:hAnsi="Arial"/>
                <w:sz w:val="18"/>
                <w:szCs w:val="18"/>
                <w:color w:val="auto"/>
              </w:rPr>
              <w:t>Committee Rules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700" w:type="dxa"/>
            <w:vAlign w:val="bottom"/>
          </w:tcPr>
          <w:p>
            <w:pPr>
              <w:spacing w:after="0"/>
              <w:rPr>
                <w:sz w:val="20"/>
                <w:szCs w:val="20"/>
                <w:color w:val="auto"/>
              </w:rPr>
            </w:pPr>
            <w:r>
              <w:rPr>
                <w:rFonts w:ascii="Arial" w:cs="Arial" w:eastAsia="Arial" w:hAnsi="Arial"/>
                <w:sz w:val="18"/>
                <w:szCs w:val="18"/>
                <w:color w:val="auto"/>
              </w:rPr>
              <w:t>Article IV. Officers</w:t>
            </w:r>
          </w:p>
        </w:tc>
        <w:tc>
          <w:tcPr>
            <w:tcW w:w="694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7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6940" w:type="dxa"/>
            <w:vAlign w:val="bottom"/>
          </w:tcPr>
          <w:p>
            <w:pPr>
              <w:ind w:left="40"/>
              <w:spacing w:after="0"/>
              <w:rPr>
                <w:sz w:val="20"/>
                <w:szCs w:val="20"/>
                <w:color w:val="auto"/>
              </w:rPr>
            </w:pPr>
            <w:r>
              <w:rPr>
                <w:rFonts w:ascii="Arial" w:cs="Arial" w:eastAsia="Arial" w:hAnsi="Arial"/>
                <w:sz w:val="18"/>
                <w:szCs w:val="18"/>
                <w:color w:val="auto"/>
              </w:rPr>
              <w:t>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6940" w:type="dxa"/>
            <w:vAlign w:val="bottom"/>
          </w:tcPr>
          <w:p>
            <w:pPr>
              <w:ind w:left="40"/>
              <w:spacing w:after="0"/>
              <w:rPr>
                <w:sz w:val="20"/>
                <w:szCs w:val="20"/>
                <w:color w:val="auto"/>
              </w:rPr>
            </w:pPr>
            <w:r>
              <w:rPr>
                <w:rFonts w:ascii="Arial" w:cs="Arial" w:eastAsia="Arial" w:hAnsi="Arial"/>
                <w:sz w:val="18"/>
                <w:szCs w:val="18"/>
                <w:color w:val="auto"/>
              </w:rPr>
              <w:t>Appointment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6940" w:type="dxa"/>
            <w:vAlign w:val="bottom"/>
          </w:tcPr>
          <w:p>
            <w:pPr>
              <w:ind w:left="40"/>
              <w:spacing w:after="0"/>
              <w:rPr>
                <w:sz w:val="20"/>
                <w:szCs w:val="20"/>
                <w:color w:val="auto"/>
              </w:rPr>
            </w:pPr>
            <w:r>
              <w:rPr>
                <w:rFonts w:ascii="Arial" w:cs="Arial" w:eastAsia="Arial" w:hAnsi="Arial"/>
                <w:sz w:val="18"/>
                <w:szCs w:val="18"/>
                <w:color w:val="auto"/>
              </w:rPr>
              <w:t>Subordinate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6940" w:type="dxa"/>
            <w:vAlign w:val="bottom"/>
          </w:tcPr>
          <w:p>
            <w:pPr>
              <w:ind w:left="40"/>
              <w:spacing w:after="0"/>
              <w:rPr>
                <w:sz w:val="20"/>
                <w:szCs w:val="20"/>
                <w:color w:val="auto"/>
              </w:rPr>
            </w:pPr>
            <w:r>
              <w:rPr>
                <w:rFonts w:ascii="Arial" w:cs="Arial" w:eastAsia="Arial" w:hAnsi="Arial"/>
                <w:sz w:val="18"/>
                <w:szCs w:val="18"/>
                <w:color w:val="auto"/>
              </w:rPr>
              <w:t>Removal and Resignation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6940" w:type="dxa"/>
            <w:vAlign w:val="bottom"/>
          </w:tcPr>
          <w:p>
            <w:pPr>
              <w:ind w:left="40"/>
              <w:spacing w:after="0"/>
              <w:rPr>
                <w:sz w:val="20"/>
                <w:szCs w:val="20"/>
                <w:color w:val="auto"/>
              </w:rPr>
            </w:pPr>
            <w:r>
              <w:rPr>
                <w:rFonts w:ascii="Arial" w:cs="Arial" w:eastAsia="Arial" w:hAnsi="Arial"/>
                <w:sz w:val="18"/>
                <w:szCs w:val="18"/>
                <w:color w:val="auto"/>
              </w:rPr>
              <w:t>Vacancies in Offices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4.06</w:t>
            </w:r>
          </w:p>
        </w:tc>
        <w:tc>
          <w:tcPr>
            <w:tcW w:w="6940" w:type="dxa"/>
            <w:vAlign w:val="bottom"/>
          </w:tcPr>
          <w:p>
            <w:pPr>
              <w:ind w:left="40"/>
              <w:spacing w:after="0"/>
              <w:rPr>
                <w:sz w:val="20"/>
                <w:szCs w:val="20"/>
                <w:color w:val="auto"/>
              </w:rPr>
            </w:pPr>
            <w:r>
              <w:rPr>
                <w:rFonts w:ascii="Arial" w:cs="Arial" w:eastAsia="Arial" w:hAnsi="Arial"/>
                <w:sz w:val="18"/>
                <w:szCs w:val="18"/>
                <w:color w:val="auto"/>
              </w:rPr>
              <w:t>Chief Executive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4.07</w:t>
            </w:r>
          </w:p>
        </w:tc>
        <w:tc>
          <w:tcPr>
            <w:tcW w:w="6940" w:type="dxa"/>
            <w:vAlign w:val="bottom"/>
          </w:tcPr>
          <w:p>
            <w:pPr>
              <w:ind w:left="40"/>
              <w:spacing w:after="0"/>
              <w:rPr>
                <w:sz w:val="20"/>
                <w:szCs w:val="20"/>
                <w:color w:val="auto"/>
              </w:rPr>
            </w:pPr>
            <w:r>
              <w:rPr>
                <w:rFonts w:ascii="Arial" w:cs="Arial" w:eastAsia="Arial" w:hAnsi="Arial"/>
                <w:sz w:val="18"/>
                <w:szCs w:val="18"/>
                <w:color w:val="auto"/>
              </w:rPr>
              <w:t>President</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4.08</w:t>
            </w:r>
          </w:p>
        </w:tc>
        <w:tc>
          <w:tcPr>
            <w:tcW w:w="6940" w:type="dxa"/>
            <w:vAlign w:val="bottom"/>
          </w:tcPr>
          <w:p>
            <w:pPr>
              <w:ind w:left="40"/>
              <w:spacing w:after="0"/>
              <w:rPr>
                <w:sz w:val="20"/>
                <w:szCs w:val="20"/>
                <w:color w:val="auto"/>
              </w:rPr>
            </w:pPr>
            <w:r>
              <w:rPr>
                <w:rFonts w:ascii="Arial" w:cs="Arial" w:eastAsia="Arial" w:hAnsi="Arial"/>
                <w:sz w:val="18"/>
                <w:szCs w:val="18"/>
                <w:color w:val="auto"/>
              </w:rPr>
              <w:t>Secretary</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4.09</w:t>
            </w:r>
          </w:p>
        </w:tc>
        <w:tc>
          <w:tcPr>
            <w:tcW w:w="694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4.10</w:t>
            </w:r>
          </w:p>
        </w:tc>
        <w:tc>
          <w:tcPr>
            <w:tcW w:w="6940" w:type="dxa"/>
            <w:vAlign w:val="bottom"/>
          </w:tcPr>
          <w:p>
            <w:pPr>
              <w:ind w:left="40"/>
              <w:spacing w:after="0"/>
              <w:rPr>
                <w:sz w:val="20"/>
                <w:szCs w:val="20"/>
                <w:color w:val="auto"/>
              </w:rPr>
            </w:pPr>
            <w:r>
              <w:rPr>
                <w:rFonts w:ascii="Arial" w:cs="Arial" w:eastAsia="Arial" w:hAnsi="Arial"/>
                <w:sz w:val="18"/>
                <w:szCs w:val="18"/>
                <w:color w:val="auto"/>
              </w:rPr>
              <w:t>Representation of Shares of Other Entities</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700" w:type="dxa"/>
            <w:vAlign w:val="bottom"/>
          </w:tcPr>
          <w:p>
            <w:pPr>
              <w:ind w:left="360"/>
              <w:spacing w:after="0"/>
              <w:rPr>
                <w:sz w:val="20"/>
                <w:szCs w:val="20"/>
                <w:color w:val="auto"/>
              </w:rPr>
            </w:pPr>
            <w:r>
              <w:rPr>
                <w:rFonts w:ascii="Arial" w:cs="Arial" w:eastAsia="Arial" w:hAnsi="Arial"/>
                <w:sz w:val="18"/>
                <w:szCs w:val="18"/>
                <w:color w:val="auto"/>
              </w:rPr>
              <w:t>Section 4.11</w:t>
            </w:r>
          </w:p>
        </w:tc>
        <w:tc>
          <w:tcPr>
            <w:tcW w:w="6940" w:type="dxa"/>
            <w:vAlign w:val="bottom"/>
          </w:tcPr>
          <w:p>
            <w:pPr>
              <w:ind w:left="40"/>
              <w:spacing w:after="0"/>
              <w:rPr>
                <w:sz w:val="20"/>
                <w:szCs w:val="20"/>
                <w:color w:val="auto"/>
              </w:rPr>
            </w:pPr>
            <w:r>
              <w:rPr>
                <w:rFonts w:ascii="Arial" w:cs="Arial" w:eastAsia="Arial" w:hAnsi="Arial"/>
                <w:sz w:val="18"/>
                <w:szCs w:val="18"/>
                <w:color w:val="auto"/>
              </w:rPr>
              <w:t>Authority and Duties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700" w:type="dxa"/>
            <w:vAlign w:val="bottom"/>
          </w:tcPr>
          <w:p>
            <w:pPr>
              <w:ind w:left="360"/>
              <w:spacing w:after="0"/>
              <w:rPr>
                <w:sz w:val="20"/>
                <w:szCs w:val="20"/>
                <w:color w:val="auto"/>
              </w:rPr>
            </w:pPr>
            <w:r>
              <w:rPr>
                <w:rFonts w:ascii="Arial" w:cs="Arial" w:eastAsia="Arial" w:hAnsi="Arial"/>
                <w:sz w:val="18"/>
                <w:szCs w:val="18"/>
                <w:color w:val="auto"/>
              </w:rPr>
              <w:t>Section 4.12</w:t>
            </w:r>
          </w:p>
        </w:tc>
        <w:tc>
          <w:tcPr>
            <w:tcW w:w="694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2320" w:type="dxa"/>
            <w:vAlign w:val="bottom"/>
          </w:tcPr>
          <w:p>
            <w:pPr>
              <w:jc w:val="right"/>
              <w:spacing w:after="0"/>
              <w:rPr>
                <w:sz w:val="20"/>
                <w:szCs w:val="20"/>
                <w:color w:val="auto"/>
              </w:rPr>
            </w:pPr>
            <w:r>
              <w:rPr>
                <w:rFonts w:ascii="Arial" w:cs="Arial" w:eastAsia="Arial" w:hAnsi="Arial"/>
                <w:sz w:val="18"/>
                <w:szCs w:val="18"/>
                <w:color w:val="auto"/>
              </w:rPr>
              <w:t>18</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70" w:name="page71"/>
    <w:bookmarkEnd w:id="70"/>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Article V. Stock</w:t>
            </w:r>
          </w:p>
        </w:tc>
        <w:tc>
          <w:tcPr>
            <w:tcW w:w="74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7440" w:type="dxa"/>
            <w:vAlign w:val="bottom"/>
          </w:tcPr>
          <w:p>
            <w:pPr>
              <w:ind w:left="240"/>
              <w:spacing w:after="0"/>
              <w:rPr>
                <w:sz w:val="20"/>
                <w:szCs w:val="20"/>
                <w:color w:val="auto"/>
              </w:rPr>
            </w:pPr>
            <w:r>
              <w:rPr>
                <w:rFonts w:ascii="Arial" w:cs="Arial" w:eastAsia="Arial" w:hAnsi="Arial"/>
                <w:sz w:val="18"/>
                <w:szCs w:val="18"/>
                <w:color w:val="auto"/>
              </w:rPr>
              <w:t>Certificates</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7440" w:type="dxa"/>
            <w:vAlign w:val="bottom"/>
          </w:tcPr>
          <w:p>
            <w:pPr>
              <w:ind w:left="240"/>
              <w:spacing w:after="0"/>
              <w:rPr>
                <w:sz w:val="20"/>
                <w:szCs w:val="20"/>
                <w:color w:val="auto"/>
              </w:rPr>
            </w:pPr>
            <w:r>
              <w:rPr>
                <w:rFonts w:ascii="Arial" w:cs="Arial" w:eastAsia="Arial" w:hAnsi="Arial"/>
                <w:sz w:val="18"/>
                <w:szCs w:val="18"/>
                <w:color w:val="auto"/>
              </w:rPr>
              <w:t>Lost, Stolen or Destroyed Stock Certificates; Issuance of New Certificates</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 Indemnification and Advancement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440" w:type="dxa"/>
            <w:vAlign w:val="bottom"/>
          </w:tcPr>
          <w:p>
            <w:pPr>
              <w:ind w:left="240"/>
              <w:spacing w:after="0"/>
              <w:rPr>
                <w:sz w:val="20"/>
                <w:szCs w:val="20"/>
                <w:color w:val="auto"/>
              </w:rPr>
            </w:pPr>
            <w:r>
              <w:rPr>
                <w:rFonts w:ascii="Arial" w:cs="Arial" w:eastAsia="Arial" w:hAnsi="Arial"/>
                <w:sz w:val="18"/>
                <w:szCs w:val="18"/>
                <w:color w:val="auto"/>
              </w:rPr>
              <w:t>Right to Indemnification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440" w:type="dxa"/>
            <w:vAlign w:val="bottom"/>
          </w:tcPr>
          <w:p>
            <w:pPr>
              <w:ind w:left="240"/>
              <w:spacing w:after="0"/>
              <w:rPr>
                <w:sz w:val="20"/>
                <w:szCs w:val="20"/>
                <w:color w:val="auto"/>
              </w:rPr>
            </w:pPr>
            <w:r>
              <w:rPr>
                <w:rFonts w:ascii="Arial" w:cs="Arial" w:eastAsia="Arial" w:hAnsi="Arial"/>
                <w:sz w:val="18"/>
                <w:szCs w:val="18"/>
                <w:color w:val="auto"/>
              </w:rPr>
              <w:t>Indemnification of Others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440" w:type="dxa"/>
            <w:vAlign w:val="bottom"/>
          </w:tcPr>
          <w:p>
            <w:pPr>
              <w:ind w:left="240"/>
              <w:spacing w:after="0"/>
              <w:rPr>
                <w:sz w:val="20"/>
                <w:szCs w:val="20"/>
                <w:color w:val="auto"/>
              </w:rPr>
            </w:pPr>
            <w:r>
              <w:rPr>
                <w:rFonts w:ascii="Arial" w:cs="Arial" w:eastAsia="Arial" w:hAnsi="Arial"/>
                <w:sz w:val="18"/>
                <w:szCs w:val="18"/>
                <w:color w:val="auto"/>
              </w:rPr>
              <w:t>Advancement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440" w:type="dxa"/>
            <w:vAlign w:val="bottom"/>
          </w:tcPr>
          <w:p>
            <w:pPr>
              <w:ind w:left="240"/>
              <w:spacing w:after="0"/>
              <w:rPr>
                <w:sz w:val="20"/>
                <w:szCs w:val="20"/>
                <w:color w:val="auto"/>
              </w:rPr>
            </w:pPr>
            <w:r>
              <w:rPr>
                <w:rFonts w:ascii="Arial" w:cs="Arial" w:eastAsia="Arial" w:hAnsi="Arial"/>
                <w:sz w:val="18"/>
                <w:szCs w:val="18"/>
                <w:color w:val="auto"/>
              </w:rPr>
              <w:t>Claims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440" w:type="dxa"/>
            <w:vAlign w:val="bottom"/>
          </w:tcPr>
          <w:p>
            <w:pPr>
              <w:ind w:left="240"/>
              <w:spacing w:after="0"/>
              <w:rPr>
                <w:sz w:val="20"/>
                <w:szCs w:val="20"/>
                <w:color w:val="auto"/>
              </w:rPr>
            </w:pPr>
            <w:r>
              <w:rPr>
                <w:rFonts w:ascii="Arial" w:cs="Arial" w:eastAsia="Arial" w:hAnsi="Arial"/>
                <w:sz w:val="18"/>
                <w:szCs w:val="18"/>
                <w:color w:val="auto"/>
              </w:rPr>
              <w:t>Non-exclusivity of Rights</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440" w:type="dxa"/>
            <w:vAlign w:val="bottom"/>
          </w:tcPr>
          <w:p>
            <w:pPr>
              <w:ind w:left="240"/>
              <w:spacing w:after="0"/>
              <w:rPr>
                <w:sz w:val="20"/>
                <w:szCs w:val="20"/>
                <w:color w:val="auto"/>
              </w:rPr>
            </w:pPr>
            <w:r>
              <w:rPr>
                <w:rFonts w:ascii="Arial" w:cs="Arial" w:eastAsia="Arial" w:hAnsi="Arial"/>
                <w:sz w:val="18"/>
                <w:szCs w:val="18"/>
                <w:color w:val="auto"/>
              </w:rPr>
              <w:t>Insurance</w:t>
            </w: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440" w:type="dxa"/>
            <w:vAlign w:val="bottom"/>
          </w:tcPr>
          <w:p>
            <w:pPr>
              <w:ind w:left="240"/>
              <w:spacing w:after="0"/>
              <w:rPr>
                <w:sz w:val="20"/>
                <w:szCs w:val="20"/>
                <w:color w:val="auto"/>
              </w:rPr>
            </w:pPr>
            <w:r>
              <w:rPr>
                <w:rFonts w:ascii="Arial" w:cs="Arial" w:eastAsia="Arial" w:hAnsi="Arial"/>
                <w:sz w:val="18"/>
                <w:szCs w:val="18"/>
                <w:color w:val="auto"/>
              </w:rPr>
              <w:t>Other Sources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440" w:type="dxa"/>
            <w:vAlign w:val="bottom"/>
          </w:tcPr>
          <w:p>
            <w:pPr>
              <w:ind w:left="240"/>
              <w:spacing w:after="0"/>
              <w:rPr>
                <w:sz w:val="20"/>
                <w:szCs w:val="20"/>
                <w:color w:val="auto"/>
              </w:rPr>
            </w:pPr>
            <w:r>
              <w:rPr>
                <w:rFonts w:ascii="Arial" w:cs="Arial" w:eastAsia="Arial" w:hAnsi="Arial"/>
                <w:sz w:val="18"/>
                <w:szCs w:val="18"/>
                <w:color w:val="auto"/>
              </w:rPr>
              <w:t>Continuation of Indemnification</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440" w:type="dxa"/>
            <w:vAlign w:val="bottom"/>
          </w:tcPr>
          <w:p>
            <w:pPr>
              <w:ind w:left="240"/>
              <w:spacing w:after="0"/>
              <w:rPr>
                <w:sz w:val="20"/>
                <w:szCs w:val="20"/>
                <w:color w:val="auto"/>
              </w:rPr>
            </w:pPr>
            <w:r>
              <w:rPr>
                <w:rFonts w:ascii="Arial" w:cs="Arial" w:eastAsia="Arial" w:hAnsi="Arial"/>
                <w:sz w:val="18"/>
                <w:szCs w:val="18"/>
                <w:color w:val="auto"/>
              </w:rPr>
              <w:t>Amendment or Repeal</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440" w:type="dxa"/>
            <w:vAlign w:val="bottom"/>
          </w:tcPr>
          <w:p>
            <w:pPr>
              <w:ind w:left="240"/>
              <w:spacing w:after="0"/>
              <w:rPr>
                <w:sz w:val="20"/>
                <w:szCs w:val="20"/>
                <w:color w:val="auto"/>
              </w:rPr>
            </w:pPr>
            <w:r>
              <w:rPr>
                <w:rFonts w:ascii="Arial" w:cs="Arial" w:eastAsia="Arial" w:hAnsi="Arial"/>
                <w:sz w:val="18"/>
                <w:szCs w:val="18"/>
                <w:color w:val="auto"/>
              </w:rPr>
              <w:t>Other Indemnification and Advancement of Expenses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440" w:type="dxa"/>
            <w:vAlign w:val="bottom"/>
          </w:tcPr>
          <w:p>
            <w:pPr>
              <w:ind w:left="240"/>
              <w:spacing w:after="0"/>
              <w:rPr>
                <w:sz w:val="20"/>
                <w:szCs w:val="20"/>
                <w:color w:val="auto"/>
              </w:rPr>
            </w:pPr>
            <w:r>
              <w:rPr>
                <w:rFonts w:ascii="Arial" w:cs="Arial" w:eastAsia="Arial" w:hAnsi="Arial"/>
                <w:sz w:val="18"/>
                <w:szCs w:val="18"/>
                <w:color w:val="auto"/>
              </w:rPr>
              <w:t>Fiscal Year</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440" w:type="dxa"/>
            <w:vAlign w:val="bottom"/>
          </w:tcPr>
          <w:p>
            <w:pPr>
              <w:ind w:left="240"/>
              <w:spacing w:after="0"/>
              <w:rPr>
                <w:sz w:val="20"/>
                <w:szCs w:val="20"/>
                <w:color w:val="auto"/>
              </w:rPr>
            </w:pPr>
            <w:r>
              <w:rPr>
                <w:rFonts w:ascii="Arial" w:cs="Arial" w:eastAsia="Arial" w:hAnsi="Arial"/>
                <w:sz w:val="18"/>
                <w:szCs w:val="18"/>
                <w:color w:val="auto"/>
              </w:rPr>
              <w:t>Seal</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440" w:type="dxa"/>
            <w:vAlign w:val="bottom"/>
          </w:tcPr>
          <w:p>
            <w:pPr>
              <w:ind w:left="240"/>
              <w:spacing w:after="0"/>
              <w:rPr>
                <w:sz w:val="20"/>
                <w:szCs w:val="20"/>
                <w:color w:val="auto"/>
              </w:rPr>
            </w:pPr>
            <w:r>
              <w:rPr>
                <w:rFonts w:ascii="Arial" w:cs="Arial" w:eastAsia="Arial" w:hAnsi="Arial"/>
                <w:sz w:val="18"/>
                <w:szCs w:val="18"/>
                <w:color w:val="auto"/>
              </w:rPr>
              <w:t>Dividends</w:t>
            </w: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440" w:type="dxa"/>
            <w:vAlign w:val="bottom"/>
          </w:tcPr>
          <w:p>
            <w:pPr>
              <w:ind w:left="240"/>
              <w:spacing w:after="0"/>
              <w:rPr>
                <w:sz w:val="20"/>
                <w:szCs w:val="20"/>
                <w:color w:val="auto"/>
              </w:rPr>
            </w:pPr>
            <w:r>
              <w:rPr>
                <w:rFonts w:ascii="Arial" w:cs="Arial" w:eastAsia="Arial" w:hAnsi="Arial"/>
                <w:sz w:val="18"/>
                <w:szCs w:val="18"/>
                <w:color w:val="auto"/>
              </w:rPr>
              <w:t>Registered Stockholders</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440" w:type="dxa"/>
            <w:vAlign w:val="bottom"/>
          </w:tcPr>
          <w:p>
            <w:pPr>
              <w:ind w:left="240"/>
              <w:spacing w:after="0"/>
              <w:rPr>
                <w:sz w:val="20"/>
                <w:szCs w:val="20"/>
                <w:color w:val="auto"/>
              </w:rPr>
            </w:pPr>
            <w:r>
              <w:rPr>
                <w:rFonts w:ascii="Arial" w:cs="Arial" w:eastAsia="Arial" w:hAnsi="Arial"/>
                <w:sz w:val="18"/>
                <w:szCs w:val="18"/>
                <w:color w:val="auto"/>
              </w:rPr>
              <w:t>Corporate Seal</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440" w:type="dxa"/>
            <w:vAlign w:val="bottom"/>
          </w:tcPr>
          <w:p>
            <w:pPr>
              <w:ind w:left="240"/>
              <w:spacing w:after="0"/>
              <w:rPr>
                <w:sz w:val="20"/>
                <w:szCs w:val="20"/>
                <w:color w:val="auto"/>
              </w:rPr>
            </w:pPr>
            <w:r>
              <w:rPr>
                <w:rFonts w:ascii="Arial" w:cs="Arial" w:eastAsia="Arial" w:hAnsi="Arial"/>
                <w:sz w:val="18"/>
                <w:szCs w:val="18"/>
                <w:color w:val="auto"/>
              </w:rPr>
              <w:t>Construction; Definitions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440" w:type="dxa"/>
            <w:vAlign w:val="bottom"/>
          </w:tcPr>
          <w:p>
            <w:pPr>
              <w:ind w:left="240"/>
              <w:spacing w:after="0"/>
              <w:rPr>
                <w:sz w:val="20"/>
                <w:szCs w:val="20"/>
                <w:color w:val="auto"/>
              </w:rPr>
            </w:pPr>
            <w:r>
              <w:rPr>
                <w:rFonts w:ascii="Arial" w:cs="Arial" w:eastAsia="Arial" w:hAnsi="Arial"/>
                <w:sz w:val="18"/>
                <w:szCs w:val="18"/>
                <w:color w:val="auto"/>
              </w:rPr>
              <w:t>Manner of Notice</w:t>
            </w: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440" w:type="dxa"/>
            <w:vAlign w:val="bottom"/>
          </w:tcPr>
          <w:p>
            <w:pPr>
              <w:ind w:left="240"/>
              <w:spacing w:after="0"/>
              <w:rPr>
                <w:sz w:val="20"/>
                <w:szCs w:val="20"/>
                <w:color w:val="auto"/>
              </w:rPr>
            </w:pPr>
            <w:r>
              <w:rPr>
                <w:rFonts w:ascii="Arial" w:cs="Arial" w:eastAsia="Arial" w:hAnsi="Arial"/>
                <w:sz w:val="18"/>
                <w:szCs w:val="18"/>
                <w:color w:val="auto"/>
              </w:rPr>
              <w:t>Waiver of Notice of Meetings of Stockholders, Directors and Committees</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440" w:type="dxa"/>
            <w:vAlign w:val="bottom"/>
          </w:tcPr>
          <w:p>
            <w:pPr>
              <w:ind w:left="240"/>
              <w:spacing w:after="0"/>
              <w:rPr>
                <w:sz w:val="20"/>
                <w:szCs w:val="20"/>
                <w:color w:val="auto"/>
              </w:rPr>
            </w:pPr>
            <w:r>
              <w:rPr>
                <w:rFonts w:ascii="Arial" w:cs="Arial" w:eastAsia="Arial" w:hAnsi="Arial"/>
                <w:sz w:val="18"/>
                <w:szCs w:val="18"/>
                <w:color w:val="auto"/>
              </w:rPr>
              <w:t>Form of Records</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440" w:type="dxa"/>
            <w:vAlign w:val="bottom"/>
          </w:tcPr>
          <w:p>
            <w:pPr>
              <w:ind w:left="240"/>
              <w:spacing w:after="0"/>
              <w:rPr>
                <w:sz w:val="20"/>
                <w:szCs w:val="20"/>
                <w:color w:val="auto"/>
              </w:rPr>
            </w:pPr>
            <w:r>
              <w:rPr>
                <w:rFonts w:ascii="Arial" w:cs="Arial" w:eastAsia="Arial" w:hAnsi="Arial"/>
                <w:sz w:val="18"/>
                <w:szCs w:val="18"/>
                <w:color w:val="auto"/>
              </w:rPr>
              <w:t>Amendment of Bylaws</w:t>
            </w:r>
          </w:p>
        </w:tc>
        <w:tc>
          <w:tcPr>
            <w:tcW w:w="20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1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stockholders of GoHealth,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and such stockholders, the “</w:t>
      </w:r>
      <w:r>
        <w:rPr>
          <w:rFonts w:ascii="Arial" w:cs="Arial" w:eastAsia="Arial" w:hAnsi="Arial"/>
          <w:sz w:val="17"/>
          <w:szCs w:val="17"/>
          <w:b w:val="1"/>
          <w:bCs w:val="1"/>
          <w:i w:val="1"/>
          <w:iCs w:val="1"/>
          <w:color w:val="auto"/>
        </w:rPr>
        <w:t>Stockholders</w:t>
      </w:r>
      <w:r>
        <w:rPr>
          <w:rFonts w:ascii="Arial" w:cs="Arial" w:eastAsia="Arial" w:hAnsi="Arial"/>
          <w:sz w:val="17"/>
          <w:szCs w:val="17"/>
          <w:color w:val="auto"/>
        </w:rPr>
        <w:t>”), may be held at any place, within or without the State of Delaware, as may be designated by or in the manner determined by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In the absence of such designation, meetings of Stockholders shall be held at the principal executive office of the Corporation. The Board of Directors may, in its sole discretion, determine that a meeting of Stockholders shall not be held at any place, but may instead be held solely by means of remote communication authorized by and in accordance with Section 211(a)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p>
    <w:p>
      <w:pPr>
        <w:spacing w:after="0" w:line="178"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Annual Meetings</w:t>
      </w:r>
      <w:r>
        <w:rPr>
          <w:rFonts w:ascii="Arial" w:cs="Arial" w:eastAsia="Arial" w:hAnsi="Arial"/>
          <w:sz w:val="18"/>
          <w:szCs w:val="18"/>
          <w:color w:val="auto"/>
        </w:rPr>
        <w:t>. The annual meeting of Stockholders shall be held for the election of directors at such date and time as may be designated by or in the manner determined by resolution of the Board of Directors from time to time. Any other business as may be properly brought before the annual meeting may be transacted at the annual meeting. The Board of Directors may postpone, reschedule or cancel any annual meeting of Stockholders previously scheduled by the Board of Directors.</w:t>
      </w:r>
    </w:p>
    <w:p>
      <w:pPr>
        <w:spacing w:after="0" w:line="187"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Stockholders for any purpose or purposes may be called only by a chairperson or co-chairperson of the Board of Directors (a “</w:t>
      </w:r>
      <w:r>
        <w:rPr>
          <w:rFonts w:ascii="Arial" w:cs="Arial" w:eastAsia="Arial" w:hAnsi="Arial"/>
          <w:sz w:val="17"/>
          <w:szCs w:val="17"/>
          <w:b w:val="1"/>
          <w:bCs w:val="1"/>
          <w:i w:val="1"/>
          <w:iCs w:val="1"/>
          <w:color w:val="auto"/>
        </w:rPr>
        <w:t>Chairperson</w:t>
      </w:r>
      <w:r>
        <w:rPr>
          <w:rFonts w:ascii="Arial" w:cs="Arial" w:eastAsia="Arial" w:hAnsi="Arial"/>
          <w:sz w:val="17"/>
          <w:szCs w:val="17"/>
          <w:color w:val="auto"/>
        </w:rPr>
        <w:t>”) or pursuant to a resolution adopted by a majority of the Whole Board of Directors then in office. For purposes of these Bylaws, the term “</w:t>
      </w:r>
      <w:r>
        <w:rPr>
          <w:rFonts w:ascii="Arial" w:cs="Arial" w:eastAsia="Arial" w:hAnsi="Arial"/>
          <w:sz w:val="17"/>
          <w:szCs w:val="17"/>
          <w:b w:val="1"/>
          <w:bCs w:val="1"/>
          <w:i w:val="1"/>
          <w:iCs w:val="1"/>
          <w:color w:val="auto"/>
        </w:rPr>
        <w:t>Whole Board of Directors</w:t>
      </w:r>
      <w:r>
        <w:rPr>
          <w:rFonts w:ascii="Arial" w:cs="Arial" w:eastAsia="Arial" w:hAnsi="Arial"/>
          <w:sz w:val="17"/>
          <w:szCs w:val="17"/>
          <w:color w:val="auto"/>
        </w:rPr>
        <w:t xml:space="preserve">” shall mean the total number of authorized directors whether or not there exist any vacancies in previously authorized directorships. Special meetings validly called in accordance with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these amended and restated bylaws (as the same may be further amended, restated, amended and restated or otherwise modified from time to time, these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xml:space="preserve">”) may be held at such date and time as specified in the applicable notice. Notice of every special meeting shall state the purpose or purposes of the meeting, and the business transacted at any special meeting of Stockholders shall be limited to the purpose or purposes stated in the notice. The Board of Directors may postpone, reschedule or cancel any special meeting of Stockholders previously scheduled by a Chairperson or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any special meeting of stockholders previously scheduled by the Board of Directors at the request of Centerbridge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the Certificate of Incorporation), the Board of Directors shall not postpone, reschedule or cancel such special meeting without the prior written consent of Centerbridge.</w:t>
      </w:r>
    </w:p>
    <w:p>
      <w:pPr>
        <w:spacing w:after="0" w:line="18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Notice of Meetings</w:t>
      </w:r>
      <w:r>
        <w:rPr>
          <w:rFonts w:ascii="Arial" w:cs="Arial" w:eastAsia="Arial" w:hAnsi="Arial"/>
          <w:sz w:val="17"/>
          <w:szCs w:val="17"/>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required by law, the Amended and Restated Certificate of Incorporation of the Corporation (as the same may be further amended, restated, amended and restated or otherwise modified from time to time, the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or these Bylaws, the notice of any meeting shall be given not less</w:t>
      </w:r>
    </w:p>
    <w:p>
      <w:pPr>
        <w:sectPr>
          <w:pgSz w:w="11900" w:h="16838" w:orient="portrait"/>
          <w:cols w:equalWidth="0" w:num="1">
            <w:col w:w="11000"/>
          </w:cols>
          <w:pgMar w:left="440" w:top="274" w:right="459" w:bottom="1440" w:gutter="0" w:footer="0" w:header="0"/>
        </w:sectPr>
      </w:pPr>
    </w:p>
    <w:bookmarkStart w:id="72" w:name="page73"/>
    <w:bookmarkEnd w:id="72"/>
    <w:p>
      <w:pPr>
        <w:jc w:val="both"/>
        <w:ind w:right="2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49"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Adjournments</w:t>
      </w:r>
      <w:r>
        <w:rPr>
          <w:rFonts w:ascii="Arial" w:cs="Arial" w:eastAsia="Arial" w:hAnsi="Arial"/>
          <w:sz w:val="16"/>
          <w:szCs w:val="16"/>
          <w:color w:val="auto"/>
        </w:rPr>
        <w:t xml:space="preserve">. Any meeting of Stockholders, annual or special, may be adjourned from time to time by the chairperson of the meeting (or by the Stockholders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to reconvene at the same or some other place, if any, and the same or some other time, and notice need not be given of any such adjourned meeting if the time and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 new record date for determining Stockholders entitled to notice of such adjourned meeting in accordance with</w:t>
      </w:r>
    </w:p>
    <w:p>
      <w:pPr>
        <w:spacing w:after="0" w:line="1"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u w:val="single" w:color="auto"/>
          <w:color w:val="auto"/>
        </w:rPr>
        <w:t>Section 1.09(a)</w:t>
      </w:r>
      <w:r>
        <w:rPr>
          <w:rFonts w:ascii="Arial" w:cs="Arial" w:eastAsia="Arial" w:hAnsi="Arial"/>
          <w:sz w:val="16"/>
          <w:szCs w:val="16"/>
          <w:color w:val="auto"/>
        </w:rPr>
        <w:t xml:space="preserve"> of these Bylaws, and shall give notice of the adjourned meeting to each Stockholder of record entitled to vote at such adjourned meeting as of the record date fixed for notice of such adjourned meeting. If mailed, such notice shall be deemed to be given when deposited in the United States mail, postage prepaid, directed to the Stockholder at such Stockholder’s address as it appears on the records of the Corporation.</w:t>
      </w:r>
    </w:p>
    <w:p>
      <w:pPr>
        <w:spacing w:after="0" w:line="15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Quorum</w:t>
      </w:r>
      <w:r>
        <w:rPr>
          <w:rFonts w:ascii="Arial" w:cs="Arial" w:eastAsia="Arial" w:hAnsi="Arial"/>
          <w:sz w:val="16"/>
          <w:szCs w:val="16"/>
          <w:color w:val="auto"/>
        </w:rPr>
        <w:t>. At any meeting of the Stockholders, the holders of a majority of the voting power of the outstanding shares of capital stock of the Corporation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xml:space="preserve">”) entitled to vote at the meeting, present in person or by proxy, shall constitute a quorum for all purposes, unless or except to the extent that the presence of a larger number may be required by law, the rules of any stock exchange upon which the Corporation’s securities are listed, the Certificate of Incorporation or these Bylaws. In the absence of a quorum, then either (i) the chairperson of the meeting or (ii) if the Board of Directors so determines, the Stockholders by the affirmative vote of a majority of the voting power of the outstanding shares of capital Stock entitled to vote thereon, present in person or represented by proxy, shall have the power to adjourn the meeting from time to time in the manner provided in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of these Bylaws until a quorum is present or represented. Where a separate vote by a class or classes or series of Stock is required by law or the Certificate of Incorporation, the holders of a majority of voting power of the shares of such class or classes or series of Stock issued and outstanding and entitled to vote on such matter, present in person or represented by proxy, shall constitute a quorum entitled to take action with respect to the vote on such matter. A quorum, once established at a meeting, shall not be broken by the withdrawal of enough votes to leave less than a quorum.</w:t>
      </w:r>
    </w:p>
    <w:p>
      <w:pPr>
        <w:spacing w:after="0" w:line="168"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Stockholders shall be presided over by a Chairperson or by such other officer or director of the Corporation as designated by the Board of Directors or a Chairperson, or in the absence of such person or designation, by a chairperson chosen at the meeting by the affirmative vote of a majority of the voting power of Stock present or represented at the meeting and entitled to vote at the meeting (provided there is a quorum). The Secretary shall act as secretary of the meeting, but in his or her absence the chairperson of the meeting may appoint any person to act as secretary of the meeting.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3" w:name="page74"/>
    <w:bookmarkEnd w:id="73"/>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1.08 </w:t>
      </w:r>
      <w:r>
        <w:rPr>
          <w:rFonts w:ascii="Arial" w:cs="Arial" w:eastAsia="Arial" w:hAnsi="Arial"/>
          <w:sz w:val="16"/>
          <w:szCs w:val="16"/>
          <w:u w:val="single" w:color="auto"/>
          <w:color w:val="auto"/>
        </w:rPr>
        <w:t>Voting; Proxies</w:t>
      </w:r>
      <w:r>
        <w:rPr>
          <w:rFonts w:ascii="Arial" w:cs="Arial" w:eastAsia="Arial" w:hAnsi="Arial"/>
          <w:sz w:val="16"/>
          <w:szCs w:val="16"/>
          <w:color w:val="auto"/>
        </w:rPr>
        <w:t>. Each Stockholder entitled to vote at any meeting of Stockholders shall be entitled to the number of votes, if any, for each share of Stock held of record by such Stockholder which has voting power upon the matter in question that is set forth in the Certificate of Incorporation or, if such voting power is not set forth in the Certificate of Incorporation, one vote per share. Each Stockholder entitled to vote at a meeting of Stockholders or express consent to corporate action without a meeting (if permitted by the Certificate of Incorporation) may authorize another person or persons to act for such Stockholder by proxy, but no such proxy shall be voted or acted upon after three years from its date, unless the proxy provides for a longer period. A proxy may be authorized by an instrument in writing or by a transmission permitted by law and shall be filed in accordance with the procedure established for the meeting.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(including by means of remote communication, if applicable) or by delivering to the Secretary a revocation of the proxy or a new proxy bearing a later date. Voting at meetings of Stockholders need not be by written ballot. Unless otherwise provided in the Certificate of Incorporation, at all meetings of Stockholders for the election of directors at which a quorum is present a plurality of the votes cast shall be sufficient to elect directors. No holder of shares of Stock shall have the right to cumulate votes. All other elections and questions presented to the Stockholders at a meeting at which a quorum is present shall be decided by the affirmative vote of the holders of a majority of votes cast (excluding abstentions and broker non-votes) on such matter, unless a different or minimum vote is required by the Certificate of Incorporation, these Bylaws, the rules or regulations of any stock exchange applicable to the Corporation, or applicable law or pursuant to any regulation applicable to the Corporation or its securities in which case such different or minimum vote shall be the applicable vote on the matter.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Fixing Date for Determination of Stockholders of Record</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7" w:lineRule="auto"/>
        <w:tabs>
          <w:tab w:leader="none" w:pos="685"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w:t>
      </w:r>
      <w:r>
        <w:rPr>
          <w:rFonts w:ascii="Arial" w:cs="Arial" w:eastAsia="Arial" w:hAnsi="Arial"/>
          <w:sz w:val="16"/>
          <w:szCs w:val="16"/>
          <w:u w:val="single" w:color="auto"/>
          <w:color w:val="auto"/>
        </w:rPr>
        <w:t>Section 1.09(a)</w:t>
      </w:r>
      <w:r>
        <w:rPr>
          <w:rFonts w:ascii="Arial" w:cs="Arial" w:eastAsia="Arial" w:hAnsi="Arial"/>
          <w:sz w:val="16"/>
          <w:szCs w:val="16"/>
          <w:color w:val="auto"/>
        </w:rPr>
        <w:t xml:space="preserve"> at the adjourned meeting.</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4" w:name="page75"/>
    <w:bookmarkEnd w:id="74"/>
    <w:p>
      <w:pPr>
        <w:ind w:right="120" w:firstLine="436"/>
        <w:spacing w:after="0" w:line="296" w:lineRule="auto"/>
        <w:tabs>
          <w:tab w:leader="none" w:pos="695"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53" w:lineRule="exact"/>
        <w:rPr>
          <w:rFonts w:ascii="Arial" w:cs="Arial" w:eastAsia="Arial" w:hAnsi="Arial"/>
          <w:sz w:val="16"/>
          <w:szCs w:val="16"/>
          <w:color w:val="auto"/>
        </w:rPr>
      </w:pPr>
    </w:p>
    <w:p>
      <w:pPr>
        <w:ind w:right="40" w:firstLine="436"/>
        <w:spacing w:after="0" w:line="270" w:lineRule="auto"/>
        <w:tabs>
          <w:tab w:leader="none" w:pos="685" w:val="left"/>
        </w:tabs>
        <w:numPr>
          <w:ilvl w:val="0"/>
          <w:numId w:val="81"/>
        </w:numPr>
        <w:rPr>
          <w:rFonts w:ascii="Arial" w:cs="Arial" w:eastAsia="Arial" w:hAnsi="Arial"/>
          <w:sz w:val="17"/>
          <w:szCs w:val="17"/>
          <w:color w:val="auto"/>
        </w:rPr>
      </w:pPr>
      <w:r>
        <w:rPr>
          <w:rFonts w:ascii="Arial" w:cs="Arial" w:eastAsia="Arial" w:hAnsi="Arial"/>
          <w:sz w:val="17"/>
          <w:szCs w:val="17"/>
          <w:color w:val="auto"/>
        </w:rPr>
        <w:t>Unless otherwise restricted by the Certificate of Incorporation, in order that the Corporation may determine the Stockholders entitled to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consent to corporate action in writing without a meeting is fixed by the Board of Directors, (i) when no prior action of the Board of Directors is required by law or the Certificate of Incorporation,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or the Certificate of Incorporation, the record date for such purpose shall be at the close of business on the day on which the Board of Directors adopts the resolution taking such prior action.</w:t>
      </w:r>
    </w:p>
    <w:p>
      <w:pPr>
        <w:spacing w:after="0" w:line="18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1.10 </w:t>
      </w:r>
      <w:r>
        <w:rPr>
          <w:rFonts w:ascii="Arial" w:cs="Arial" w:eastAsia="Arial" w:hAnsi="Arial"/>
          <w:sz w:val="16"/>
          <w:szCs w:val="16"/>
          <w:u w:val="single" w:color="auto"/>
          <w:color w:val="auto"/>
        </w:rPr>
        <w:t>List of Stockholders Entitled to Vote</w:t>
      </w:r>
      <w:r>
        <w:rPr>
          <w:rFonts w:ascii="Arial" w:cs="Arial" w:eastAsia="Arial" w:hAnsi="Arial"/>
          <w:sz w:val="16"/>
          <w:szCs w:val="16"/>
          <w:color w:val="auto"/>
        </w:rPr>
        <w:t>. The Corporation shall prepare, at least ten (10)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ten (10) days before the date of the meeting, the list shall reflect the Stockholders entitled to vote as of the tenth (10th) day before the meeting date), arranged in alphabetical order, and showing the address of each Stockholder and the number of shares registered in the name of each Stockholder as of the record date (or such other date). Such list shall be open to the examination of any Stockholder, for any purpose germane to the meeting at least ten (10)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or to vote in person or by proxy at any meeting of Stockholders. For purposes of these Bylaws, the term “stock ledger” means one or more records administered by or on behalf of the Corporation in which the names of all of the Corporation’s Stockholders of record, the address and number of shares registered in the name of each such Stockholder, and all issuances and transfers of stock of the Corporation are recorded.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5" w:name="page76"/>
    <w:bookmarkEnd w:id="75"/>
    <w:p>
      <w:pPr>
        <w:ind w:left="4"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1.11 </w:t>
      </w:r>
      <w:r>
        <w:rPr>
          <w:rFonts w:ascii="Arial" w:cs="Arial" w:eastAsia="Arial" w:hAnsi="Arial"/>
          <w:sz w:val="16"/>
          <w:szCs w:val="16"/>
          <w:u w:val="single" w:color="auto"/>
          <w:color w:val="auto"/>
        </w:rPr>
        <w:t>Inspectors of Election</w:t>
      </w:r>
      <w:r>
        <w:rPr>
          <w:rFonts w:ascii="Arial" w:cs="Arial" w:eastAsia="Arial" w:hAnsi="Arial"/>
          <w:sz w:val="16"/>
          <w:szCs w:val="16"/>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may, and to the extent required by law, shall appoint one or more inspectors to act at the meeting. Each inspector, before entering upon the discharge of his or her duties, shall take and sign an oath to execute faithfully the duties of inspector with strict impartiality and according to the best of his or her ability. Any report or certificate made by the inspectors of election is prima facie evidence of the facts stated therein. The inspector or inspectors so appointed or designated shall (i) ascertain the number of shares of Stock outstanding and the voting power of each such share, (ii) determine the shares of Stock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Stock represented at the meeting and such inspectors’ count of all votes and ballots. Such certification and report shall specify such other information as may be required by law. In determining the validity and counting of proxies and ballots cast at any meeting of Stockholders, the inspectors may consider such information as is permitted by applicable law. No person who is a candidate for an office at an election may serve as an inspector at such election.</w:t>
      </w:r>
    </w:p>
    <w:p>
      <w:pPr>
        <w:spacing w:after="0" w:line="174"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xml:space="preserve">. The date and time of the opening and the closing of the polls for each matter upon which the Stockholders will vote at a meeting shall be announced at the meeting by the person presiding over the meeting designated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of these Bylaws. After the polls close, no ballots, proxies or votes or any revocations or changes thereto may be accepted.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w:t>
      </w:r>
    </w:p>
    <w:p>
      <w:pPr>
        <w:spacing w:after="0" w:line="6" w:lineRule="exact"/>
        <w:rPr>
          <w:sz w:val="20"/>
          <w:szCs w:val="20"/>
          <w:color w:val="auto"/>
        </w:rPr>
      </w:pPr>
    </w:p>
    <w:p>
      <w:pPr>
        <w:ind w:left="4" w:right="20" w:hanging="4"/>
        <w:spacing w:after="0" w:line="271" w:lineRule="auto"/>
        <w:tabs>
          <w:tab w:leader="none" w:pos="319" w:val="left"/>
        </w:tabs>
        <w:numPr>
          <w:ilvl w:val="0"/>
          <w:numId w:val="82"/>
        </w:numPr>
        <w:rPr>
          <w:rFonts w:ascii="Arial" w:cs="Arial" w:eastAsia="Arial" w:hAnsi="Arial"/>
          <w:sz w:val="17"/>
          <w:szCs w:val="17"/>
          <w:color w:val="auto"/>
        </w:rPr>
      </w:pPr>
      <w:r>
        <w:rPr>
          <w:rFonts w:ascii="Arial" w:cs="Arial" w:eastAsia="Arial" w:hAnsi="Arial"/>
          <w:sz w:val="17"/>
          <w:szCs w:val="17"/>
          <w:color w:val="auto"/>
        </w:rPr>
        <w:t>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76" w:name="page77"/>
    <w:bookmarkEnd w:id="76"/>
    <w:p>
      <w:pPr>
        <w:ind w:right="1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49" w:lineRule="exact"/>
        <w:rPr>
          <w:sz w:val="20"/>
          <w:szCs w:val="20"/>
          <w:color w:val="auto"/>
        </w:rPr>
      </w:pPr>
    </w:p>
    <w:p>
      <w:pPr>
        <w:ind w:right="360" w:firstLine="440"/>
        <w:spacing w:after="0" w:line="257" w:lineRule="auto"/>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Advance Notice Procedures for Business Brought before a Meeting</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apply to any business that may be brought before an annual meeting of Stockholders other than nominations for election to the Board of Directors at such a meeting, which shall be governed by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these Bylaws. Stockholders seeking to nominate Persons for election to the Board of Directors must comply with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these Bylaws, and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not be applicable to nominations for election to the Board of Directors except as expressly provided in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of these Bylaws.</w:t>
      </w:r>
    </w:p>
    <w:p>
      <w:pPr>
        <w:spacing w:after="0" w:line="80" w:lineRule="exact"/>
        <w:rPr>
          <w:sz w:val="20"/>
          <w:szCs w:val="20"/>
          <w:color w:val="auto"/>
        </w:rPr>
      </w:pPr>
    </w:p>
    <w:p>
      <w:pPr>
        <w:ind w:firstLine="436"/>
        <w:spacing w:after="0" w:line="267" w:lineRule="auto"/>
        <w:tabs>
          <w:tab w:leader="none" w:pos="68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At an annual meeting of the Stockholders, only such business shall be conducted as shall have been properly brought before the meeting. To be properly brought before an annual meeting, business must be (a) specified in a notice of meeting given by or at the direction of the Board of Directors or a duly authorized committee thereof, (b) if not specified in a notice of meeting, otherwise brought before the meeting by the Board of Directors or the chairperson of the meeting, or (c) otherwise properly brought before the meeting by a Stockholder present in person who (A)(1) was a Stockholder of record of the Corporation both at the time of giving the notice provided for in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and at the time of the meeting, (2) is entitled to vote at the meeting and (3) has complied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or (B) properly made such proposal in accordance with Rule 14a-8 under the Securities Exchange Act of 1934, as amended, and the rules and regulations thereunder (as so amended and inclusive of such rules and regulations,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which proposal has been included in the proxy statement for the annual meeting. The foregoing clause (c) shall be the exclusive means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Stockholder to propose business to be brought before an annual meeting of the Stockholders. The only matters that may be brought before a special meeting are the matters specified in the Corporation’s notice of meeting given by or at the direction of the Person calling the meeting pursuant to the Certificate of Incorporation and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of these Bylaws. For purposes of these Bylaws, “</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xml:space="preserve">” shall mean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 For purposes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of these Bylaws, “</w:t>
      </w:r>
      <w:r>
        <w:rPr>
          <w:rFonts w:ascii="Arial" w:cs="Arial" w:eastAsia="Arial" w:hAnsi="Arial"/>
          <w:sz w:val="17"/>
          <w:szCs w:val="17"/>
          <w:b w:val="1"/>
          <w:bCs w:val="1"/>
          <w:i w:val="1"/>
          <w:iCs w:val="1"/>
          <w:color w:val="auto"/>
        </w:rPr>
        <w:t>present in person</w:t>
      </w:r>
      <w:r>
        <w:rPr>
          <w:rFonts w:ascii="Arial" w:cs="Arial" w:eastAsia="Arial" w:hAnsi="Arial"/>
          <w:sz w:val="17"/>
          <w:szCs w:val="17"/>
          <w:color w:val="auto"/>
        </w:rPr>
        <w:t>” shall mean that the Stockholder proposing that the business be brought before the annual meeting or special meeting of the Corporation, as applicable, or, if the proposing Stockholder is not an individual, a qualified representative of such proposing Stockholder, appear in person at such annual meeting, and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77" w:name="page78"/>
    <w:bookmarkEnd w:id="77"/>
    <w:p>
      <w:pPr>
        <w:ind w:firstLine="436"/>
        <w:spacing w:after="0" w:line="289"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more than thirty (30) days before or more than sixty (60) days after such anniversary date, notice by the Stockholder to be timely must be so delivered, or mailed and received, not later than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if later,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disclosure of the date of such annual meeting was first made (such notice within such time periods, “</w:t>
      </w:r>
      <w:r>
        <w:rPr>
          <w:rFonts w:ascii="Arial" w:cs="Arial" w:eastAsia="Arial" w:hAnsi="Arial"/>
          <w:sz w:val="16"/>
          <w:szCs w:val="16"/>
          <w:b w:val="1"/>
          <w:bCs w:val="1"/>
          <w:i w:val="1"/>
          <w:iCs w:val="1"/>
          <w:color w:val="auto"/>
        </w:rPr>
        <w:t>Timely Notice</w:t>
      </w:r>
      <w:r>
        <w:rPr>
          <w:rFonts w:ascii="Arial" w:cs="Arial" w:eastAsia="Arial" w:hAnsi="Arial"/>
          <w:sz w:val="16"/>
          <w:szCs w:val="16"/>
          <w:color w:val="auto"/>
        </w:rPr>
        <w:t>”). In no event shall any adjournment or postponement of an annual meeting or the announcement thereof commence a new time period for the giving of Timely Notice as described above.</w:t>
      </w:r>
    </w:p>
    <w:p>
      <w:pPr>
        <w:spacing w:after="0" w:line="58" w:lineRule="exact"/>
        <w:rPr>
          <w:rFonts w:ascii="Arial" w:cs="Arial" w:eastAsia="Arial" w:hAnsi="Arial"/>
          <w:sz w:val="16"/>
          <w:szCs w:val="16"/>
          <w:color w:val="auto"/>
        </w:rPr>
      </w:pPr>
    </w:p>
    <w:p>
      <w:pPr>
        <w:ind w:left="680" w:hanging="244"/>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a Stockholder’s notice to the Secretary shall set forth:</w:t>
      </w:r>
    </w:p>
    <w:p>
      <w:pPr>
        <w:spacing w:after="0" w:line="117" w:lineRule="exact"/>
        <w:rPr>
          <w:rFonts w:ascii="Arial" w:cs="Arial" w:eastAsia="Arial" w:hAnsi="Arial"/>
          <w:sz w:val="18"/>
          <w:szCs w:val="18"/>
          <w:color w:val="auto"/>
        </w:rPr>
      </w:pPr>
    </w:p>
    <w:p>
      <w:pPr>
        <w:ind w:left="440" w:firstLine="419"/>
        <w:spacing w:after="0" w:line="273" w:lineRule="auto"/>
        <w:tabs>
          <w:tab w:leader="none" w:pos="1078" w:val="left"/>
        </w:tabs>
        <w:numPr>
          <w:ilvl w:val="1"/>
          <w:numId w:val="84"/>
        </w:numPr>
        <w:rPr>
          <w:rFonts w:ascii="Arial" w:cs="Arial" w:eastAsia="Arial" w:hAnsi="Arial"/>
          <w:sz w:val="17"/>
          <w:szCs w:val="17"/>
          <w:color w:val="auto"/>
        </w:rPr>
      </w:pPr>
      <w:r>
        <w:rPr>
          <w:rFonts w:ascii="Arial" w:cs="Arial" w:eastAsia="Arial" w:hAnsi="Arial"/>
          <w:sz w:val="17"/>
          <w:szCs w:val="17"/>
          <w:color w:val="auto"/>
        </w:rPr>
        <w:t>As to each Proposing Person (as defined below), (A) the name and address of such Proposing Person (including, if applicable, the name and address that appear on the Corporation’s books and records); and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7"/>
          <w:szCs w:val="17"/>
          <w:b w:val="1"/>
          <w:bCs w:val="1"/>
          <w:i w:val="1"/>
          <w:iCs w:val="1"/>
          <w:color w:val="auto"/>
        </w:rPr>
        <w:t>Stockholder Information</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60" w:firstLine="419"/>
        <w:spacing w:after="0" w:line="291" w:lineRule="auto"/>
        <w:tabs>
          <w:tab w:leader="none" w:pos="1128" w:val="left"/>
        </w:tabs>
        <w:numPr>
          <w:ilvl w:val="1"/>
          <w:numId w:val="84"/>
        </w:numPr>
        <w:rPr>
          <w:rFonts w:ascii="Arial" w:cs="Arial" w:eastAsia="Arial" w:hAnsi="Arial"/>
          <w:sz w:val="16"/>
          <w:szCs w:val="16"/>
          <w:color w:val="auto"/>
        </w:rPr>
      </w:pPr>
      <w:r>
        <w:rPr>
          <w:rFonts w:ascii="Arial" w:cs="Arial" w:eastAsia="Arial" w:hAnsi="Arial"/>
          <w:sz w:val="16"/>
          <w:szCs w:val="16"/>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w:t>
      </w:r>
    </w:p>
    <w:p>
      <w:pPr>
        <w:ind w:left="440"/>
        <w:spacing w:after="0" w:line="251" w:lineRule="auto"/>
        <w:rPr>
          <w:rFonts w:ascii="Arial" w:cs="Arial" w:eastAsia="Arial" w:hAnsi="Arial"/>
          <w:sz w:val="16"/>
          <w:szCs w:val="16"/>
          <w:color w:val="auto"/>
        </w:rPr>
      </w:pPr>
      <w:r>
        <w:rPr>
          <w:rFonts w:ascii="Arial" w:cs="Arial" w:eastAsia="Arial" w:hAnsi="Arial"/>
          <w:sz w:val="18"/>
          <w:szCs w:val="18"/>
          <w:color w:val="auto"/>
        </w:rPr>
        <w:t>16a-1(b) under the Exchange Act) (“</w:t>
      </w:r>
      <w:r>
        <w:rPr>
          <w:rFonts w:ascii="Arial" w:cs="Arial" w:eastAsia="Arial" w:hAnsi="Arial"/>
          <w:sz w:val="18"/>
          <w:szCs w:val="18"/>
          <w:b w:val="1"/>
          <w:bCs w:val="1"/>
          <w:i w:val="1"/>
          <w:iCs w:val="1"/>
          <w:color w:val="auto"/>
        </w:rPr>
        <w:t>Synthetic Equity Position</w:t>
      </w:r>
      <w:r>
        <w:rPr>
          <w:rFonts w:ascii="Arial" w:cs="Arial" w:eastAsia="Arial" w:hAnsi="Arial"/>
          <w:sz w:val="18"/>
          <w:szCs w:val="18"/>
          <w:color w:val="auto"/>
        </w:rPr>
        <w:t xml:space="preserve">”) and that is, directly or indirectly, held or maintained by such Proposing Person with respect to any shares of any class or series of Stock of the Corporation;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any Proposing Person satisfying the requirements of Rule 13d-1(b)(1)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78" w:name="page79"/>
    <w:bookmarkEnd w:id="78"/>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or any affiliate of the Corporation, on the other hand, (E) any direct or indirect material interest in any material contract or agreement of such Proposing Person with the Corporation or any affiliate of the Corporation (including, in any such case, any employment agreement, collective bargaining agreement or consulting agreement) and (F)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(F) are referred to as “</w:t>
      </w:r>
      <w:r>
        <w:rPr>
          <w:rFonts w:ascii="Arial" w:cs="Arial" w:eastAsia="Arial" w:hAnsi="Arial"/>
          <w:sz w:val="16"/>
          <w:szCs w:val="16"/>
          <w:b w:val="1"/>
          <w:bCs w:val="1"/>
          <w:i w:val="1"/>
          <w:iCs w:val="1"/>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68" w:lineRule="exact"/>
        <w:rPr>
          <w:sz w:val="20"/>
          <w:szCs w:val="20"/>
          <w:color w:val="auto"/>
        </w:rPr>
      </w:pPr>
    </w:p>
    <w:p>
      <w:pPr>
        <w:ind w:left="4" w:right="140" w:firstLine="419"/>
        <w:spacing w:after="0" w:line="286" w:lineRule="auto"/>
        <w:tabs>
          <w:tab w:leader="none" w:pos="741" w:val="left"/>
        </w:tabs>
        <w:numPr>
          <w:ilvl w:val="1"/>
          <w:numId w:val="85"/>
        </w:numPr>
        <w:rPr>
          <w:rFonts w:ascii="Arial" w:cs="Arial" w:eastAsia="Arial" w:hAnsi="Arial"/>
          <w:sz w:val="16"/>
          <w:szCs w:val="16"/>
          <w:color w:val="auto"/>
        </w:rPr>
      </w:pPr>
      <w:r>
        <w:rPr>
          <w:rFonts w:ascii="Arial" w:cs="Arial" w:eastAsia="Arial" w:hAnsi="Arial"/>
          <w:sz w:val="16"/>
          <w:szCs w:val="16"/>
          <w:color w:val="auto"/>
        </w:rPr>
        <w:t>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the text of any proposed amendment to these Bylaws), (C) a reasonably detailed description of all agreements, arrangements and understandings</w:t>
      </w:r>
    </w:p>
    <w:p>
      <w:pPr>
        <w:spacing w:after="0" w:line="1" w:lineRule="exact"/>
        <w:rPr>
          <w:rFonts w:ascii="Arial" w:cs="Arial" w:eastAsia="Arial" w:hAnsi="Arial"/>
          <w:sz w:val="16"/>
          <w:szCs w:val="16"/>
          <w:color w:val="auto"/>
        </w:rPr>
      </w:pPr>
    </w:p>
    <w:p>
      <w:pPr>
        <w:ind w:left="4" w:right="20" w:hanging="4"/>
        <w:spacing w:after="0" w:line="252" w:lineRule="auto"/>
        <w:tabs>
          <w:tab w:leader="none" w:pos="2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 xml:space="preserve">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disclosures required by this </w:t>
      </w:r>
      <w:r>
        <w:rPr>
          <w:rFonts w:ascii="Arial" w:cs="Arial" w:eastAsia="Arial" w:hAnsi="Arial"/>
          <w:sz w:val="18"/>
          <w:szCs w:val="18"/>
          <w:u w:val="single" w:color="auto"/>
          <w:color w:val="auto"/>
        </w:rPr>
        <w:t>Section 1.13(c)</w:t>
      </w:r>
      <w:r>
        <w:rPr>
          <w:rFonts w:ascii="Arial" w:cs="Arial" w:eastAsia="Arial" w:hAnsi="Arial"/>
          <w:sz w:val="18"/>
          <w:szCs w:val="18"/>
          <w:color w:val="auto"/>
        </w:rPr>
        <w:t xml:space="preserve">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4"/>
          </w:cols>
          <w:pgMar w:left="876" w:top="274" w:right="459" w:bottom="1440" w:gutter="0" w:footer="0" w:header="0"/>
        </w:sectPr>
      </w:pPr>
    </w:p>
    <w:bookmarkStart w:id="79" w:name="page80"/>
    <w:bookmarkEnd w:id="79"/>
    <w:p>
      <w:pPr>
        <w:ind w:right="20" w:firstLine="436"/>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Proposing Person</w:t>
      </w:r>
      <w:r>
        <w:rPr>
          <w:rFonts w:ascii="Arial" w:cs="Arial" w:eastAsia="Arial" w:hAnsi="Arial"/>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(c) any participant (as defined in paragraphs (a)(ii)-(vi) of Instruction 3 to Item 4 of Schedule 14A) with such Stockholder in such solicitation.</w:t>
      </w:r>
    </w:p>
    <w:p>
      <w:pPr>
        <w:spacing w:after="0" w:line="78" w:lineRule="exact"/>
        <w:rPr>
          <w:rFonts w:ascii="Arial" w:cs="Arial" w:eastAsia="Arial" w:hAnsi="Arial"/>
          <w:sz w:val="18"/>
          <w:szCs w:val="18"/>
          <w:color w:val="auto"/>
        </w:rPr>
      </w:pPr>
    </w:p>
    <w:p>
      <w:pPr>
        <w:ind w:right="40" w:firstLine="436"/>
        <w:spacing w:after="0" w:line="290" w:lineRule="auto"/>
        <w:tabs>
          <w:tab w:leader="none" w:pos="685"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A Proposing Person shall update and supplement its notice to the Corporation of its intent to propose business at an annual meeting, if necessary, so that the information provided or required to be provided in such notice pursuant to this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57" w:lineRule="exact"/>
        <w:rPr>
          <w:rFonts w:ascii="Arial" w:cs="Arial" w:eastAsia="Arial" w:hAnsi="Arial"/>
          <w:sz w:val="16"/>
          <w:szCs w:val="16"/>
          <w:color w:val="auto"/>
        </w:rPr>
      </w:pPr>
    </w:p>
    <w:p>
      <w:pPr>
        <w:ind w:right="120" w:firstLine="436"/>
        <w:spacing w:after="0" w:line="279" w:lineRule="auto"/>
        <w:tabs>
          <w:tab w:leader="none" w:pos="665"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Notwithstanding anything in these Bylaws to the contrary, no business shall be conducted at an annual meeting that is not properly brought before the meeting in accordance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The presiding officer of the meeting shall, if the facts warrant, determine that the business was not properly brought before the meeting in accordance with this </w:t>
      </w:r>
      <w:r>
        <w:rPr>
          <w:rFonts w:ascii="Arial" w:cs="Arial" w:eastAsia="Arial" w:hAnsi="Arial"/>
          <w:sz w:val="17"/>
          <w:szCs w:val="17"/>
          <w:u w:val="single" w:color="auto"/>
          <w:color w:val="auto"/>
        </w:rPr>
        <w:t>Section 1.13</w:t>
      </w:r>
      <w:r>
        <w:rPr>
          <w:rFonts w:ascii="Arial" w:cs="Arial" w:eastAsia="Arial" w:hAnsi="Arial"/>
          <w:sz w:val="17"/>
          <w:szCs w:val="17"/>
          <w:color w:val="auto"/>
        </w:rPr>
        <w:t>, and if he or she should so determine, he or she shall so declare to the meeting and any such business not properly brought before the meeting shall not be transacted.</w:t>
      </w:r>
    </w:p>
    <w:p>
      <w:pPr>
        <w:spacing w:after="0" w:line="63" w:lineRule="exact"/>
        <w:rPr>
          <w:rFonts w:ascii="Arial" w:cs="Arial" w:eastAsia="Arial" w:hAnsi="Arial"/>
          <w:sz w:val="17"/>
          <w:szCs w:val="17"/>
          <w:color w:val="auto"/>
        </w:rPr>
      </w:pPr>
    </w:p>
    <w:p>
      <w:pPr>
        <w:ind w:right="120" w:firstLine="436"/>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In addition to the requirements of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with respect to any business proposed to be brought before an annual meeting, each Proposing Person shall comply with all applicable requirements of the Exchange Act with respect to any such business. Nothing in this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shall be deemed to affect the rights of stockholders to request inclusion of proposals in the Corporation’s proxy statement pursuant to Rule 14a-8 under the Exchange Act.</w:t>
      </w:r>
    </w:p>
    <w:p>
      <w:pPr>
        <w:spacing w:after="0" w:line="78" w:lineRule="exact"/>
        <w:rPr>
          <w:rFonts w:ascii="Arial" w:cs="Arial" w:eastAsia="Arial" w:hAnsi="Arial"/>
          <w:sz w:val="18"/>
          <w:szCs w:val="18"/>
          <w:color w:val="auto"/>
        </w:rPr>
      </w:pPr>
    </w:p>
    <w:p>
      <w:pPr>
        <w:ind w:firstLine="436"/>
        <w:spacing w:after="0" w:line="342"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Advance Notice Procedures for Nominations of Directors.</w:t>
      </w:r>
    </w:p>
    <w:p>
      <w:pPr>
        <w:spacing w:after="0" w:line="117" w:lineRule="exact"/>
        <w:rPr>
          <w:sz w:val="20"/>
          <w:szCs w:val="20"/>
          <w:color w:val="auto"/>
        </w:rPr>
      </w:pPr>
    </w:p>
    <w:p>
      <w:pPr>
        <w:ind w:right="60" w:firstLine="436"/>
        <w:spacing w:after="0" w:line="271" w:lineRule="auto"/>
        <w:tabs>
          <w:tab w:leader="none" w:pos="685"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Nominations of any Person for election to the Board of Directors at an annual meeting or at a special meeting (but only if the election of directors is a matter specified in the notice of meeting given by or at the direction of the person calling such special meeting) may be made at such meeting only (a) as provided in the Stockholders Agreement (as defined below), (b) by or at the direction of the Board of Directors, including by any committee or Persons authorized to do so by the Board of Directors or these Bylaws, or (c) by a Stockholder present in person (as defined in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(1) who was a Stockholder of record of the Corporation both at the time of giving the notice provided for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and at the time of the meeting, (2) is entitled to vote at the meeting and (3) has complied with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as to such notice and nomination. Other than as provided in the Stockholders Agreement, the foregoing clause (c) shall be the exclusive means for a Stockholder to make any nomination of a Person or Persons for election to the Board of Directors at any annual meeting or special meeting of Stockholders.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80" w:name="page81"/>
    <w:bookmarkEnd w:id="80"/>
    <w:p>
      <w:pPr>
        <w:ind w:left="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w:t>
      </w:r>
    </w:p>
    <w:p>
      <w:pPr>
        <w:spacing w:after="0" w:line="117" w:lineRule="exact"/>
        <w:rPr>
          <w:sz w:val="20"/>
          <w:szCs w:val="20"/>
          <w:color w:val="auto"/>
        </w:rPr>
      </w:pPr>
    </w:p>
    <w:p>
      <w:pPr>
        <w:ind w:left="4" w:firstLine="419"/>
        <w:spacing w:after="0" w:line="257" w:lineRule="auto"/>
        <w:tabs>
          <w:tab w:leader="none" w:pos="641"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Without qualification, for a Stockholder to make any nomination of a Person or Persons for election to the Board of Directors at an annual meeting, the Stockholder must (a) provide Timely Notice (as defined in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of these Bylaws) thereof in writing and in proper form to the Secretary at the principal executive offices of the Corporation, (b) provide the information, agreements and questionnaires with respect to such Stockholder and its candidate for nomination as required by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(c) provide any updates or supplements to such notice at the times and in the forms required by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right="80" w:firstLine="419"/>
        <w:spacing w:after="0" w:line="285" w:lineRule="auto"/>
        <w:tabs>
          <w:tab w:leader="none" w:pos="688"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Without qualification, if the election of directors is a matter specified in the notice of meeting given by or at the direction of the person calling a special meeting, then for a Stockholder to make any nomination of a person or persons for election to the Board of Directors at a special meeting, the Stockholder must (a) provide timely notice thereof in writing and in proper form to the Secretary at the principal executive offices of the Corporation, (b) provide the information, agreements and questionnaires with respect to such Stockholder and its candidate for nomination required by this </w:t>
      </w:r>
      <w:r>
        <w:rPr>
          <w:rFonts w:ascii="Arial" w:cs="Arial" w:eastAsia="Arial" w:hAnsi="Arial"/>
          <w:sz w:val="16"/>
          <w:szCs w:val="16"/>
          <w:u w:val="single" w:color="auto"/>
          <w:color w:val="auto"/>
        </w:rPr>
        <w:t>Section 1.14</w:t>
      </w:r>
      <w:r>
        <w:rPr>
          <w:rFonts w:ascii="Arial" w:cs="Arial" w:eastAsia="Arial" w:hAnsi="Arial"/>
          <w:sz w:val="16"/>
          <w:szCs w:val="16"/>
          <w:color w:val="auto"/>
        </w:rPr>
        <w:t>, and (c) provide any updates or supplements to such notice at the times and in the forms required by this</w:t>
      </w:r>
    </w:p>
    <w:p>
      <w:pPr>
        <w:spacing w:after="0" w:line="1" w:lineRule="exact"/>
        <w:rPr>
          <w:rFonts w:ascii="Arial" w:cs="Arial" w:eastAsia="Arial" w:hAnsi="Arial"/>
          <w:sz w:val="16"/>
          <w:szCs w:val="16"/>
          <w:color w:val="auto"/>
        </w:rPr>
      </w:pPr>
    </w:p>
    <w:p>
      <w:pPr>
        <w:ind w:left="4" w:right="60"/>
        <w:spacing w:after="0" w:line="273" w:lineRule="auto"/>
        <w:rPr>
          <w:rFonts w:ascii="Arial" w:cs="Arial" w:eastAsia="Arial" w:hAnsi="Arial"/>
          <w:sz w:val="16"/>
          <w:szCs w:val="16"/>
          <w:color w:val="auto"/>
        </w:rPr>
      </w:pP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To be timely for purposes of this </w:t>
      </w:r>
      <w:r>
        <w:rPr>
          <w:rFonts w:ascii="Arial" w:cs="Arial" w:eastAsia="Arial" w:hAnsi="Arial"/>
          <w:sz w:val="17"/>
          <w:szCs w:val="17"/>
          <w:u w:val="single" w:color="auto"/>
          <w:color w:val="auto"/>
        </w:rPr>
        <w:t>Section 1.14(b)(ii)</w:t>
      </w:r>
      <w:r>
        <w:rPr>
          <w:rFonts w:ascii="Arial" w:cs="Arial" w:eastAsia="Arial" w:hAnsi="Arial"/>
          <w:sz w:val="17"/>
          <w:szCs w:val="17"/>
          <w:color w:val="auto"/>
        </w:rPr>
        <w:t>, a Stockholder’s notice for nominations to be made at a special meeting must be delivered to, or mailed to and received by the Secretary of the Corporation not earlier than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special meeting and not later than the ninetieth (90</w:t>
      </w:r>
      <w:r>
        <w:rPr>
          <w:rFonts w:ascii="Arial" w:cs="Arial" w:eastAsia="Arial" w:hAnsi="Arial"/>
          <w:sz w:val="14"/>
          <w:szCs w:val="14"/>
          <w:color w:val="auto"/>
        </w:rPr>
        <w:t>th</w:t>
      </w:r>
      <w:r>
        <w:rPr>
          <w:rFonts w:ascii="Arial" w:cs="Arial" w:eastAsia="Arial" w:hAnsi="Arial"/>
          <w:sz w:val="17"/>
          <w:szCs w:val="17"/>
          <w:color w:val="auto"/>
        </w:rPr>
        <w:t>) day prior to such special meeting or, if later, the tenth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disclosure (as defined in </w:t>
      </w:r>
      <w:r>
        <w:rPr>
          <w:rFonts w:ascii="Arial" w:cs="Arial" w:eastAsia="Arial" w:hAnsi="Arial"/>
          <w:sz w:val="17"/>
          <w:szCs w:val="17"/>
          <w:u w:val="single" w:color="auto"/>
          <w:color w:val="auto"/>
        </w:rPr>
        <w:t>Section 1.13(h)</w:t>
      </w:r>
      <w:r>
        <w:rPr>
          <w:rFonts w:ascii="Arial" w:cs="Arial" w:eastAsia="Arial" w:hAnsi="Arial"/>
          <w:sz w:val="17"/>
          <w:szCs w:val="17"/>
          <w:color w:val="auto"/>
        </w:rPr>
        <w:t>) of the date of such special meeting was first made.</w:t>
      </w:r>
    </w:p>
    <w:p>
      <w:pPr>
        <w:spacing w:after="0" w:line="68" w:lineRule="exact"/>
        <w:rPr>
          <w:rFonts w:ascii="Arial" w:cs="Arial" w:eastAsia="Arial" w:hAnsi="Arial"/>
          <w:sz w:val="16"/>
          <w:szCs w:val="16"/>
          <w:color w:val="auto"/>
        </w:rPr>
      </w:pPr>
    </w:p>
    <w:p>
      <w:pPr>
        <w:ind w:left="4" w:right="140" w:firstLine="419"/>
        <w:spacing w:after="0" w:line="277" w:lineRule="auto"/>
        <w:tabs>
          <w:tab w:leader="none" w:pos="741"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no event shall any adjournment or postponement of an annual meeting or special meeting or the announcement thereof commence a new time period for the giving of a Stockholder’s notice as described above.</w:t>
      </w:r>
    </w:p>
    <w:p>
      <w:pPr>
        <w:spacing w:after="0" w:line="62" w:lineRule="exact"/>
        <w:rPr>
          <w:rFonts w:ascii="Arial" w:cs="Arial" w:eastAsia="Arial" w:hAnsi="Arial"/>
          <w:sz w:val="18"/>
          <w:szCs w:val="18"/>
          <w:color w:val="auto"/>
        </w:rPr>
      </w:pPr>
    </w:p>
    <w:p>
      <w:pPr>
        <w:ind w:left="4" w:right="160" w:firstLine="419"/>
        <w:spacing w:after="0" w:line="287" w:lineRule="auto"/>
        <w:tabs>
          <w:tab w:leader="none" w:pos="731"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In no event may a Nominating Person (as defined below) provide notice under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or otherwise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w:t>
      </w:r>
    </w:p>
    <w:p>
      <w:pPr>
        <w:spacing w:after="0" w:line="2" w:lineRule="exact"/>
        <w:rPr>
          <w:rFonts w:ascii="Arial" w:cs="Arial" w:eastAsia="Arial" w:hAnsi="Arial"/>
          <w:sz w:val="16"/>
          <w:szCs w:val="16"/>
          <w:color w:val="auto"/>
        </w:rPr>
      </w:pPr>
    </w:p>
    <w:p>
      <w:pPr>
        <w:ind w:left="4" w:right="260" w:hanging="4"/>
        <w:spacing w:after="0" w:line="323" w:lineRule="auto"/>
        <w:tabs>
          <w:tab w:leader="none" w:pos="218"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the conclusion of the time period for Timely Notice (with respect to an annual meeting), (ii) the date set forth in </w:t>
      </w:r>
      <w:r>
        <w:rPr>
          <w:rFonts w:ascii="Arial" w:cs="Arial" w:eastAsia="Arial" w:hAnsi="Arial"/>
          <w:sz w:val="16"/>
          <w:szCs w:val="16"/>
          <w:u w:val="single" w:color="auto"/>
          <w:color w:val="auto"/>
        </w:rPr>
        <w:t>Section 1.14(b)(ii)</w:t>
      </w:r>
      <w:r>
        <w:rPr>
          <w:rFonts w:ascii="Arial" w:cs="Arial" w:eastAsia="Arial" w:hAnsi="Arial"/>
          <w:sz w:val="16"/>
          <w:szCs w:val="16"/>
          <w:color w:val="auto"/>
        </w:rPr>
        <w:t xml:space="preserve"> (with respect to a special meeting) or (iii) the tenth (10</w:t>
      </w:r>
      <w:r>
        <w:rPr>
          <w:rFonts w:ascii="Arial" w:cs="Arial" w:eastAsia="Arial" w:hAnsi="Arial"/>
          <w:sz w:val="13"/>
          <w:szCs w:val="13"/>
          <w:color w:val="auto"/>
        </w:rPr>
        <w:t>th</w:t>
      </w:r>
      <w:r>
        <w:rPr>
          <w:rFonts w:ascii="Arial" w:cs="Arial" w:eastAsia="Arial" w:hAnsi="Arial"/>
          <w:sz w:val="16"/>
          <w:szCs w:val="16"/>
          <w:color w:val="auto"/>
        </w:rPr>
        <w:t xml:space="preserve">) day following the date of public disclosure (as defined in </w:t>
      </w:r>
      <w:r>
        <w:rPr>
          <w:rFonts w:ascii="Arial" w:cs="Arial" w:eastAsia="Arial" w:hAnsi="Arial"/>
          <w:sz w:val="16"/>
          <w:szCs w:val="16"/>
          <w:u w:val="single" w:color="auto"/>
          <w:color w:val="auto"/>
        </w:rPr>
        <w:t>Section 1.13(h)</w:t>
      </w:r>
      <w:r>
        <w:rPr>
          <w:rFonts w:ascii="Arial" w:cs="Arial" w:eastAsia="Arial" w:hAnsi="Arial"/>
          <w:sz w:val="16"/>
          <w:szCs w:val="16"/>
          <w:color w:val="auto"/>
        </w:rPr>
        <w:t>) of such increase.</w:t>
      </w:r>
    </w:p>
    <w:p>
      <w:pPr>
        <w:spacing w:after="0" w:line="30" w:lineRule="exact"/>
        <w:rPr>
          <w:rFonts w:ascii="Arial" w:cs="Arial" w:eastAsia="Arial" w:hAnsi="Arial"/>
          <w:sz w:val="16"/>
          <w:szCs w:val="16"/>
          <w:color w:val="auto"/>
        </w:rPr>
      </w:pPr>
    </w:p>
    <w:p>
      <w:pPr>
        <w:ind w:left="804" w:hanging="253"/>
        <w:spacing w:after="0"/>
        <w:tabs>
          <w:tab w:leader="none" w:pos="804" w:val="left"/>
        </w:tabs>
        <w:numPr>
          <w:ilvl w:val="2"/>
          <w:numId w:val="90"/>
        </w:numPr>
        <w:rPr>
          <w:rFonts w:ascii="Arial" w:cs="Arial" w:eastAsia="Arial" w:hAnsi="Arial"/>
          <w:sz w:val="18"/>
          <w:szCs w:val="18"/>
          <w:color w:val="auto"/>
        </w:rPr>
      </w:pPr>
      <w:r>
        <w:rPr>
          <w:rFonts w:ascii="Arial" w:cs="Arial" w:eastAsia="Arial" w:hAnsi="Arial"/>
          <w:sz w:val="18"/>
          <w:szCs w:val="18"/>
          <w:color w:val="auto"/>
        </w:rPr>
        <w:t xml:space="preserve">To be in proper form for purposes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a Stockholder’s notice to the Secretary shall set forth:</w:t>
      </w:r>
    </w:p>
    <w:p>
      <w:pPr>
        <w:spacing w:after="0" w:line="15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81" w:name="page82"/>
    <w:bookmarkEnd w:id="81"/>
    <w:p>
      <w:pPr>
        <w:ind w:left="980" w:right="20" w:firstLine="408"/>
        <w:spacing w:after="0" w:line="263" w:lineRule="auto"/>
        <w:tabs>
          <w:tab w:leader="none" w:pos="1596" w:val="left"/>
        </w:tabs>
        <w:numPr>
          <w:ilvl w:val="1"/>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As to each Nominating Person, the Stockholder Information (as defined in </w:t>
      </w:r>
      <w:r>
        <w:rPr>
          <w:rFonts w:ascii="Arial" w:cs="Arial" w:eastAsia="Arial" w:hAnsi="Arial"/>
          <w:sz w:val="18"/>
          <w:szCs w:val="18"/>
          <w:u w:val="single" w:color="auto"/>
          <w:color w:val="auto"/>
        </w:rPr>
        <w:t>Section 1.13(c)(i)</w:t>
      </w:r>
      <w:r>
        <w:rPr>
          <w:rFonts w:ascii="Arial" w:cs="Arial" w:eastAsia="Arial" w:hAnsi="Arial"/>
          <w:sz w:val="18"/>
          <w:szCs w:val="18"/>
          <w:color w:val="auto"/>
        </w:rPr>
        <w:t xml:space="preserve"> of these Bylaws) except that for purposes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the term “Nominating Person” shall be substituted for the term “Proposing Person” in all places it appears in </w:t>
      </w:r>
      <w:r>
        <w:rPr>
          <w:rFonts w:ascii="Arial" w:cs="Arial" w:eastAsia="Arial" w:hAnsi="Arial"/>
          <w:sz w:val="18"/>
          <w:szCs w:val="18"/>
          <w:u w:val="single" w:color="auto"/>
          <w:color w:val="auto"/>
        </w:rPr>
        <w:t>Section 1.13(c)(i)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80" w:right="120" w:firstLine="408"/>
        <w:spacing w:after="0" w:line="291" w:lineRule="auto"/>
        <w:tabs>
          <w:tab w:leader="none" w:pos="1646" w:val="left"/>
        </w:tabs>
        <w:numPr>
          <w:ilvl w:val="1"/>
          <w:numId w:val="91"/>
        </w:numPr>
        <w:rPr>
          <w:rFonts w:ascii="Arial" w:cs="Arial" w:eastAsia="Arial" w:hAnsi="Arial"/>
          <w:sz w:val="16"/>
          <w:szCs w:val="16"/>
          <w:color w:val="auto"/>
        </w:rPr>
      </w:pPr>
      <w:r>
        <w:rPr>
          <w:rFonts w:ascii="Arial" w:cs="Arial" w:eastAsia="Arial" w:hAnsi="Arial"/>
          <w:sz w:val="16"/>
          <w:szCs w:val="16"/>
          <w:color w:val="auto"/>
        </w:rPr>
        <w:t xml:space="preserve">As to each Nominating Person, any Disclosable Interests (as defined in </w:t>
      </w:r>
      <w:r>
        <w:rPr>
          <w:rFonts w:ascii="Arial" w:cs="Arial" w:eastAsia="Arial" w:hAnsi="Arial"/>
          <w:sz w:val="16"/>
          <w:szCs w:val="16"/>
          <w:u w:val="single" w:color="auto"/>
          <w:color w:val="auto"/>
        </w:rPr>
        <w:t>Section 1.13(c)(ii)</w:t>
      </w:r>
      <w:r>
        <w:rPr>
          <w:rFonts w:ascii="Arial" w:cs="Arial" w:eastAsia="Arial" w:hAnsi="Arial"/>
          <w:sz w:val="16"/>
          <w:szCs w:val="16"/>
          <w:color w:val="auto"/>
        </w:rPr>
        <w:t xml:space="preserve">, except that for purposes of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the term “Nominating Person” shall be substituted for the term “Proposing Person” in all places it appears in </w:t>
      </w:r>
      <w:r>
        <w:rPr>
          <w:rFonts w:ascii="Arial" w:cs="Arial" w:eastAsia="Arial" w:hAnsi="Arial"/>
          <w:sz w:val="16"/>
          <w:szCs w:val="16"/>
          <w:u w:val="single" w:color="auto"/>
          <w:color w:val="auto"/>
        </w:rPr>
        <w:t>Section 1.13(c)</w:t>
      </w:r>
    </w:p>
    <w:p>
      <w:pPr>
        <w:ind w:left="980" w:right="280" w:firstLine="7"/>
        <w:spacing w:after="0" w:line="260" w:lineRule="auto"/>
        <w:tabs>
          <w:tab w:leader="none" w:pos="1245" w:val="left"/>
        </w:tabs>
        <w:numPr>
          <w:ilvl w:val="0"/>
          <w:numId w:val="92"/>
        </w:numPr>
        <w:rPr>
          <w:rFonts w:ascii="Arial" w:cs="Arial" w:eastAsia="Arial" w:hAnsi="Arial"/>
          <w:sz w:val="18"/>
          <w:szCs w:val="18"/>
          <w:u w:val="single" w:color="auto"/>
          <w:color w:val="auto"/>
        </w:rPr>
      </w:pPr>
      <w:r>
        <w:rPr>
          <w:rFonts w:ascii="Arial" w:cs="Arial" w:eastAsia="Arial" w:hAnsi="Arial"/>
          <w:sz w:val="18"/>
          <w:szCs w:val="18"/>
          <w:color w:val="auto"/>
        </w:rPr>
        <w:t xml:space="preserve">and the disclosure with respect to the business to be brought before the meeting in </w:t>
      </w:r>
      <w:r>
        <w:rPr>
          <w:rFonts w:ascii="Arial" w:cs="Arial" w:eastAsia="Arial" w:hAnsi="Arial"/>
          <w:sz w:val="18"/>
          <w:szCs w:val="18"/>
          <w:u w:val="single" w:color="auto"/>
          <w:color w:val="auto"/>
        </w:rPr>
        <w:t>Section 1.13(c)(iii)</w:t>
      </w:r>
      <w:r>
        <w:rPr>
          <w:rFonts w:ascii="Arial" w:cs="Arial" w:eastAsia="Arial" w:hAnsi="Arial"/>
          <w:sz w:val="18"/>
          <w:szCs w:val="18"/>
          <w:color w:val="auto"/>
        </w:rPr>
        <w:t xml:space="preserve"> shall be made with respect to nomination of each Person for election as a director at the meeting); and</w:t>
      </w:r>
    </w:p>
    <w:p>
      <w:pPr>
        <w:spacing w:after="0" w:line="77" w:lineRule="exact"/>
        <w:rPr>
          <w:rFonts w:ascii="Arial" w:cs="Arial" w:eastAsia="Arial" w:hAnsi="Arial"/>
          <w:sz w:val="18"/>
          <w:szCs w:val="18"/>
          <w:u w:val="single" w:color="auto"/>
          <w:color w:val="auto"/>
        </w:rPr>
      </w:pPr>
    </w:p>
    <w:p>
      <w:pPr>
        <w:ind w:left="980" w:firstLine="408"/>
        <w:spacing w:after="0" w:line="269" w:lineRule="auto"/>
        <w:tabs>
          <w:tab w:leader="none" w:pos="1696"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As to each candidate whom a Nominating Person proposes to nominate for election as a director, (A) all information with respect to such candidate for nomination that would be required to be set forth in a Stockholder’s notice pursuant to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if such candidate for nomination were a Nominating Person, (B) all information relating to such candidate for nomination that is required to be disclosed in a proxy statement or other filings required to be made in connection with solicitations of proxies for election of directors in a contested election pursuant to Section 14(a) under the Exchange Act (including such candidate’s written consent to being named in the Corporation’s proxy statement as a nominee and to serving as a director if elected), (C) a description of any direct or indirect material interest in any material contract or agreement between or among any Nominating Person, on the one hand, and each candidate for nomination or any other participants in such solicitation, on the other hand, including, without limitation, all information that would be required to be disclosed pursuant to Item 404 under Regulation S-K if such Nominating Person were the “registrant” for purposes of such rule and the candidate for nomination were a director or executive officer of such registrant (the disclosures to be made pursuant to the foregoing clauses (A) through (C) are referred to as “</w:t>
      </w:r>
      <w:r>
        <w:rPr>
          <w:rFonts w:ascii="Arial" w:cs="Arial" w:eastAsia="Arial" w:hAnsi="Arial"/>
          <w:sz w:val="17"/>
          <w:szCs w:val="17"/>
          <w:b w:val="1"/>
          <w:bCs w:val="1"/>
          <w:i w:val="1"/>
          <w:iCs w:val="1"/>
          <w:color w:val="auto"/>
        </w:rPr>
        <w:t>Nominee Information</w:t>
      </w:r>
      <w:r>
        <w:rPr>
          <w:rFonts w:ascii="Arial" w:cs="Arial" w:eastAsia="Arial" w:hAnsi="Arial"/>
          <w:sz w:val="17"/>
          <w:szCs w:val="17"/>
          <w:color w:val="auto"/>
        </w:rPr>
        <w:t xml:space="preserve">”), and (D) a completed and signed questionnaire, representation and agreement as provided in </w:t>
      </w:r>
      <w:r>
        <w:rPr>
          <w:rFonts w:ascii="Arial" w:cs="Arial" w:eastAsia="Arial" w:hAnsi="Arial"/>
          <w:sz w:val="17"/>
          <w:szCs w:val="17"/>
          <w:u w:val="single" w:color="auto"/>
          <w:color w:val="auto"/>
        </w:rPr>
        <w:t>Section 1.14(f)</w:t>
      </w:r>
      <w:r>
        <w:rPr>
          <w:rFonts w:ascii="Arial" w:cs="Arial" w:eastAsia="Arial" w:hAnsi="Arial"/>
          <w:sz w:val="17"/>
          <w:szCs w:val="17"/>
          <w:color w:val="auto"/>
        </w:rPr>
        <w:t>.</w:t>
      </w:r>
    </w:p>
    <w:p>
      <w:pPr>
        <w:spacing w:after="0" w:line="71" w:lineRule="exact"/>
        <w:rPr>
          <w:sz w:val="20"/>
          <w:szCs w:val="20"/>
          <w:color w:val="auto"/>
        </w:rPr>
      </w:pPr>
    </w:p>
    <w:p>
      <w:pPr>
        <w:ind w:right="60" w:firstLine="987"/>
        <w:spacing w:after="0" w:line="263" w:lineRule="auto"/>
        <w:tabs>
          <w:tab w:leader="none" w:pos="12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Nominating Person</w:t>
      </w:r>
      <w:r>
        <w:rPr>
          <w:rFonts w:ascii="Arial" w:cs="Arial" w:eastAsia="Arial" w:hAnsi="Arial"/>
          <w:sz w:val="18"/>
          <w:szCs w:val="18"/>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other participant in such solicitation.</w:t>
      </w:r>
    </w:p>
    <w:p>
      <w:pPr>
        <w:spacing w:after="0" w:line="75" w:lineRule="exact"/>
        <w:rPr>
          <w:rFonts w:ascii="Arial" w:cs="Arial" w:eastAsia="Arial" w:hAnsi="Arial"/>
          <w:sz w:val="18"/>
          <w:szCs w:val="18"/>
          <w:color w:val="auto"/>
        </w:rPr>
      </w:pPr>
    </w:p>
    <w:p>
      <w:pPr>
        <w:ind w:right="140" w:firstLine="987"/>
        <w:spacing w:after="0" w:line="255"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 Stockholder providing notice of any nomination proposed to be made at a meeting shall further update and supplement such notice, if necessary, so that the information provided or required to be provided in such notice pursuant to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82" w:name="page83"/>
    <w:bookmarkEnd w:id="82"/>
    <w:p>
      <w:pPr>
        <w:ind w:left="4" w:right="5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41" w:lineRule="exact"/>
        <w:rPr>
          <w:sz w:val="20"/>
          <w:szCs w:val="20"/>
          <w:color w:val="auto"/>
        </w:rPr>
      </w:pPr>
    </w:p>
    <w:p>
      <w:pPr>
        <w:ind w:left="4" w:right="40" w:firstLine="987"/>
        <w:spacing w:after="0" w:line="284" w:lineRule="auto"/>
        <w:tabs>
          <w:tab w:leader="none" w:pos="12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 xml:space="preserve">To be eligible to be a candidate for election as a director of the Corporation at an annual or special meeting, a candidate must be nominated in the manner prescribed in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and the candidate for nomination, whether nominated by the Board of Directors or by a Stockholder of record, must have previously delivered (in accordance with the time period prescribed for delivery in a notice to such candidate given by or on behalf of the Board of Directors), to the Secretary at the principal executive offices of the Corporation, (a) a completed written questionnaire (in the form provided by the Corporation) with respect to the background, qualifications, stock ownership and independence of such candidate for nomination and (b) a written representation and agreement (in the form provided by the Corporation) that such candidate for nomination (A) is not, and will not become a party to, any agreement, arrangement or understanding with any Person or entity other than the Corporation with respect to any direct or indirect compensation or reimbursement for service as a director of the Corporation that has not been disclosed in such written questionnaire and</w:t>
      </w:r>
    </w:p>
    <w:p>
      <w:pPr>
        <w:ind w:left="4" w:hanging="4"/>
        <w:spacing w:after="0" w:line="253" w:lineRule="auto"/>
        <w:tabs>
          <w:tab w:leader="none" w:pos="2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elected as a director of the Corporation, will comply with all applicable corporate governance, conflict of interest, confidentiality, stock ownership and trading and other policies and guidelines of the Corporation applicable to all directors and in effect during such Person’s term in office as a director (and, if requested by any candidate for nomination, the Secretary of the Corporation shall provide to such candidate for nomination all such policies and guidelines then in effect).</w:t>
      </w:r>
    </w:p>
    <w:p>
      <w:pPr>
        <w:spacing w:after="0" w:line="84" w:lineRule="exact"/>
        <w:rPr>
          <w:rFonts w:ascii="Arial" w:cs="Arial" w:eastAsia="Arial" w:hAnsi="Arial"/>
          <w:sz w:val="18"/>
          <w:szCs w:val="18"/>
          <w:color w:val="auto"/>
        </w:rPr>
      </w:pPr>
    </w:p>
    <w:p>
      <w:pPr>
        <w:ind w:left="4" w:right="20" w:firstLine="987"/>
        <w:spacing w:after="0" w:line="259" w:lineRule="auto"/>
        <w:tabs>
          <w:tab w:leader="none" w:pos="125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Board of Directors may also require any proposed candidate for nomination as a Director to furnish such other information as may reasonably be requested by the Board of Directors in writing prior to the meeting of stockholders at which such candidate’s nomination is to be acted upon in order for the Board of Directors to determine the eligibility of such candidate for nomination to be an independent director of the Corporation in accordance with the Corporation’s Corporate Governance Guidelines.</w:t>
      </w:r>
    </w:p>
    <w:p>
      <w:pPr>
        <w:spacing w:after="0" w:line="78" w:lineRule="exact"/>
        <w:rPr>
          <w:rFonts w:ascii="Arial" w:cs="Arial" w:eastAsia="Arial" w:hAnsi="Arial"/>
          <w:sz w:val="18"/>
          <w:szCs w:val="18"/>
          <w:color w:val="auto"/>
        </w:rPr>
      </w:pPr>
    </w:p>
    <w:p>
      <w:pPr>
        <w:ind w:left="4" w:right="140" w:firstLine="987"/>
        <w:spacing w:after="0" w:line="277" w:lineRule="auto"/>
        <w:tabs>
          <w:tab w:leader="none" w:pos="125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In addition to the requirements of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with respect to any nomination proposed to be made at a meeting, each Proposing Person shall comply with all applicable requirements of the Exchange Act with respect to any such nominations.</w:t>
      </w:r>
    </w:p>
    <w:p>
      <w:pPr>
        <w:spacing w:after="0" w:line="62" w:lineRule="exact"/>
        <w:rPr>
          <w:rFonts w:ascii="Arial" w:cs="Arial" w:eastAsia="Arial" w:hAnsi="Arial"/>
          <w:sz w:val="18"/>
          <w:szCs w:val="18"/>
          <w:color w:val="auto"/>
        </w:rPr>
      </w:pPr>
    </w:p>
    <w:p>
      <w:pPr>
        <w:ind w:left="4" w:firstLine="987"/>
        <w:spacing w:after="0" w:line="255" w:lineRule="auto"/>
        <w:tabs>
          <w:tab w:leader="none" w:pos="121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No candidate shall be eligible for nomination as a director of the Corporation unless such candidate for nomination and the Nominating Person seeking to place such candidate’s name in nomination has complied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as applicable. The presiding officer at the meeting shall, if the facts warrant, determine that a nomination was not properly made in accordance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 and if he or she should so determine, he or she shall so declare such determination to the meeting, the defective nomination shall be disregarded and any ballots cast for the candidate in question (but in the case of any form of ballot listing other qualified nominees, only the ballots case for the nominee in question) shall be void and of no force or effect.</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83" w:name="page84"/>
    <w:bookmarkEnd w:id="83"/>
    <w:p>
      <w:pPr>
        <w:ind w:right="60" w:firstLine="987"/>
        <w:spacing w:after="0" w:line="277" w:lineRule="auto"/>
        <w:tabs>
          <w:tab w:leader="none" w:pos="1206"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in these Bylaws to the contrary, no candidate for nomination shall be eligible to be seated as a director of the Corporation unless nominated and elected in accordance with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Notwithstanding anything in these Bylaws to the contrary, for so long as Centerbridge is entitled to nominate a Director pursuant to the Stockholders Agreement, Centerbridge shall not be subject to the notice procedures set forth in this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21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Section 2.01 </w:t>
      </w:r>
      <w:r>
        <w:rPr>
          <w:rFonts w:ascii="Arial" w:cs="Arial" w:eastAsia="Arial" w:hAnsi="Arial"/>
          <w:sz w:val="17"/>
          <w:szCs w:val="17"/>
          <w:u w:val="single" w:color="auto"/>
          <w:color w:val="auto"/>
        </w:rPr>
        <w:t>Number; Tenure; Qualifications</w:t>
      </w:r>
      <w:r>
        <w:rPr>
          <w:rFonts w:ascii="Arial" w:cs="Arial" w:eastAsia="Arial" w:hAnsi="Arial"/>
          <w:sz w:val="17"/>
          <w:szCs w:val="17"/>
          <w:color w:val="auto"/>
        </w:rPr>
        <w:t>. Subject to the Certificate of Incorporation, the rights of holders of any series of Preferred Stock to elect directors and that certain stockholders agreement, dated as of the date hereof, by and among the Corporation and the other persons party thereto (as may be amended from time to time, the “</w:t>
      </w:r>
      <w:r>
        <w:rPr>
          <w:rFonts w:ascii="Arial" w:cs="Arial" w:eastAsia="Arial" w:hAnsi="Arial"/>
          <w:sz w:val="17"/>
          <w:szCs w:val="17"/>
          <w:b w:val="1"/>
          <w:bCs w:val="1"/>
          <w:i w:val="1"/>
          <w:iCs w:val="1"/>
          <w:color w:val="auto"/>
        </w:rPr>
        <w:t>Stockholders Agreement</w:t>
      </w:r>
      <w:r>
        <w:rPr>
          <w:rFonts w:ascii="Arial" w:cs="Arial" w:eastAsia="Arial" w:hAnsi="Arial"/>
          <w:sz w:val="17"/>
          <w:szCs w:val="17"/>
          <w:color w:val="auto"/>
        </w:rPr>
        <w:t>”), the total number of directors constituting the entire Board of Directors shall be fixed from time to time exclusively by resolution adopted by a majority of the Whole Board of Directors. The directors shall be classified in the manner provided in the Certificate of Incorporation. Each director shall hold office until such time as provided in the Certificate of Incorporation. Directors need not be Stockholders to be qualified for election or service as a director of the Corporation.</w:t>
      </w:r>
    </w:p>
    <w:p>
      <w:pPr>
        <w:spacing w:after="0" w:line="178"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Election; Resignation; Removal; Vacancies</w:t>
      </w:r>
      <w:r>
        <w:rPr>
          <w:rFonts w:ascii="Arial" w:cs="Arial" w:eastAsia="Arial" w:hAnsi="Arial"/>
          <w:sz w:val="16"/>
          <w:szCs w:val="16"/>
          <w:color w:val="auto"/>
        </w:rPr>
        <w:t>. Except as otherwise provided in the Certificate of Incorporation or these Bylaws, directors shall be elected at the annual meeting of Stockholders by such Stockholders that have the right to vote on such election. Any director may resign at any time upon written or electronic notice to the Corporation. Such resignation shall be effective upon delivery unless otherwise specified. Directors of the Corporation may be removed only as expressly provided in the Certificate of Incorporation. Newly created directorships resulting from any increase in the authorized number of directors or any vacancies on the Board of Directors resulting from the death, resignation, disqualification, removal from office or other cause shall be filled as set forth in the Certificate of Incorporation. Any director so chosen shall hold office until the next election of the class for which such director shall have been chosen and until his successor shall be elected and qualified.</w:t>
      </w:r>
    </w:p>
    <w:p>
      <w:pPr>
        <w:spacing w:after="0" w:line="166" w:lineRule="exact"/>
        <w:rPr>
          <w:sz w:val="20"/>
          <w:szCs w:val="20"/>
          <w:color w:val="auto"/>
        </w:rPr>
      </w:pPr>
    </w:p>
    <w:p>
      <w:pPr>
        <w:ind w:right="440" w:firstLine="440"/>
        <w:spacing w:after="0" w:line="342"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of the Board of Directors may be held at such places, if any, within or without the State of Delaware, and at such times as the Board of Directors may from time to time determine. A notice of regular meetings shall not be required.</w:t>
      </w:r>
    </w:p>
    <w:p>
      <w:pPr>
        <w:spacing w:after="0" w:line="124" w:lineRule="exact"/>
        <w:rPr>
          <w:sz w:val="20"/>
          <w:szCs w:val="20"/>
          <w:color w:val="auto"/>
        </w:rPr>
      </w:pPr>
    </w:p>
    <w:p>
      <w:pPr>
        <w:ind w:right="160" w:firstLine="440"/>
        <w:spacing w:after="0" w:line="272"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a Chairperson or a majority of the directors then in office and shall be held at such time, date and place, if any, within or without the State of Delaware as he or she or they shall fix. Notice to directors of the date, place and time of any special meeting of the Board of Directors shall be given to each director by the Secretary or by the officer or one of the directors calling the meeting. Notice may be given in person, by United States first-class mail, or by e-mail, telephone, telecopier, facsimile or other means of electronic transmission. If the notice is delivered in person, by e-mail, telephone, telecopier, facsimile or other means of electronic transmission, it shall be delivered or sent at least twenty-four (24) hours before the time of holding of the meeting. If the notice is sent by mail, it shall be deposited in the United States mail at least four (4) days before the time of the holding of the meeting.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84" w:name="page85"/>
    <w:bookmarkEnd w:id="84"/>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2.05 </w:t>
      </w:r>
      <w:r>
        <w:rPr>
          <w:rFonts w:ascii="Arial" w:cs="Arial" w:eastAsia="Arial" w:hAnsi="Arial"/>
          <w:sz w:val="17"/>
          <w:szCs w:val="17"/>
          <w:u w:val="single" w:color="auto"/>
          <w:color w:val="auto"/>
        </w:rPr>
        <w:t>Telephonic Meetings Permitted</w:t>
      </w:r>
      <w:r>
        <w:rPr>
          <w:rFonts w:ascii="Arial" w:cs="Arial" w:eastAsia="Arial" w:hAnsi="Arial"/>
          <w:sz w:val="17"/>
          <w:szCs w:val="17"/>
          <w:color w:val="auto"/>
        </w:rPr>
        <w:t xml:space="preserve">. Members of the Board of Directors may participate in any meetings of the Board of Directors thereof by means of conference telephone or other communications equipment by means of which all persons participating in the meeting can hear each other, and participation in a meeting pursuant to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shall constitute presence in person at such meeting.</w:t>
      </w:r>
    </w:p>
    <w:p>
      <w:pPr>
        <w:spacing w:after="0" w:line="165"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Quorum; Vote Required for Action</w:t>
      </w:r>
      <w:r>
        <w:rPr>
          <w:rFonts w:ascii="Arial" w:cs="Arial" w:eastAsia="Arial" w:hAnsi="Arial"/>
          <w:sz w:val="17"/>
          <w:szCs w:val="17"/>
          <w:color w:val="auto"/>
        </w:rPr>
        <w:t xml:space="preserve">. At all meetings of the Board of Directors a majority of the Whole Board of Directors shall constitute a quorum for the transaction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the purposes of filling vacancies pursuant to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of these Bylaws, a meeting of the Board of Directors may be held if a majority of the directors then in office participate in such meeting. The affirmative vote of a majority of the directors present at any meeting of the Board of Directors at which a quorum is present shall be the act of the Board of Directors, except as may be otherwise specifically required by applicable law, the Certificate of Incorporation or these Bylaws.</w:t>
      </w:r>
    </w:p>
    <w:p>
      <w:pPr>
        <w:spacing w:after="0" w:line="176"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Organization</w:t>
      </w:r>
      <w:r>
        <w:rPr>
          <w:rFonts w:ascii="Arial" w:cs="Arial" w:eastAsia="Arial" w:hAnsi="Arial"/>
          <w:sz w:val="18"/>
          <w:szCs w:val="18"/>
          <w:color w:val="auto"/>
        </w:rPr>
        <w:t>. Meetings of the Board of Directors shall be presided over by at least one Chairperson, or in his, her or their absence by the person whom a Chairperson shall designate, or in the absence of the foregoing persons by a chairperson chosen at the meeting by the affirmative vote of a majority of the directors present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Action by Unanimous Consent of Directors</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Thereafter, the writing or writings or electronic transmissions shall be filed with the minutes of proceedings of the Board of Directors or such committee in accordance with applicable law.</w:t>
      </w:r>
    </w:p>
    <w:p>
      <w:pPr>
        <w:spacing w:after="0" w:line="188"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or other compensation as a director. No such payment shall preclude any director from serving the Corporation in any other capacity and receiving compensation therefor. Members of special or standing committees may be allowed compensation for attending committee meetings. Any director of the Corporation may decline any or all such compensation payable to such director in his or her discretion.</w:t>
      </w:r>
    </w:p>
    <w:p>
      <w:pPr>
        <w:spacing w:after="0" w:line="178" w:lineRule="exact"/>
        <w:rPr>
          <w:sz w:val="20"/>
          <w:szCs w:val="20"/>
          <w:color w:val="auto"/>
        </w:rPr>
      </w:pPr>
    </w:p>
    <w:p>
      <w:pPr>
        <w:ind w:right="420" w:firstLine="440"/>
        <w:spacing w:after="0" w:line="31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Chairpersons</w:t>
      </w:r>
      <w:r>
        <w:rPr>
          <w:rFonts w:ascii="Arial" w:cs="Arial" w:eastAsia="Arial" w:hAnsi="Arial"/>
          <w:sz w:val="16"/>
          <w:szCs w:val="16"/>
          <w:color w:val="auto"/>
        </w:rPr>
        <w:t>. Subject to the Stockholders Agreement, the Board of Directors may appoint from its members a Chairperson or Chairpersons of the Board of Directors. The Board of Directors may, in its sole discretion, from time to time appoint one or more vice chairpersons (each, a “</w:t>
      </w:r>
      <w:r>
        <w:rPr>
          <w:rFonts w:ascii="Arial" w:cs="Arial" w:eastAsia="Arial" w:hAnsi="Arial"/>
          <w:sz w:val="16"/>
          <w:szCs w:val="16"/>
          <w:b w:val="1"/>
          <w:bCs w:val="1"/>
          <w:i w:val="1"/>
          <w:iCs w:val="1"/>
          <w:color w:val="auto"/>
        </w:rPr>
        <w:t>Vice Chairperson</w:t>
      </w:r>
      <w:r>
        <w:rPr>
          <w:rFonts w:ascii="Arial" w:cs="Arial" w:eastAsia="Arial" w:hAnsi="Arial"/>
          <w:sz w:val="16"/>
          <w:szCs w:val="16"/>
          <w:color w:val="auto"/>
        </w:rPr>
        <w:t>”) each of whom as such shall report directly to the Chairperson or Chairpersons, as applicable.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COMMITTEES</w:t>
      </w:r>
    </w:p>
    <w:p>
      <w:pPr>
        <w:spacing w:after="0" w:line="211"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Committees</w:t>
      </w:r>
      <w:r>
        <w:rPr>
          <w:rFonts w:ascii="Arial" w:cs="Arial" w:eastAsia="Arial" w:hAnsi="Arial"/>
          <w:sz w:val="17"/>
          <w:szCs w:val="17"/>
          <w:color w:val="auto"/>
        </w:rPr>
        <w:t>. With the affirmative vote of a majority of the Whole Board of Directors,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such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 Except as otherwise provided in the Certificate of Incorporation, these Bylaws, or the resolution of the Board of Directors designating the committee (or resolution of the committee designating the subcommittee, if applicable), a majority of the directors then serving on a committee or subcommittee shall constitute a quorum for the transaction of business, and the vote of a majority of the members of the committee or subcommittee present at a meeting at which a quorum is present shall be the act of the committee or subcommittee. Special meetings of any committee of the Board of Directors may be held at any time or place, if any, within or without the State of Delaware whenever called by the Chairperson of such committee or a majority of the members of such committee.</w:t>
      </w:r>
    </w:p>
    <w:p>
      <w:pPr>
        <w:spacing w:after="0" w:line="18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Committee Minutes</w:t>
      </w:r>
      <w:r>
        <w:rPr>
          <w:rFonts w:ascii="Arial" w:cs="Arial" w:eastAsia="Arial" w:hAnsi="Arial"/>
          <w:sz w:val="18"/>
          <w:szCs w:val="18"/>
          <w:color w:val="auto"/>
        </w:rPr>
        <w:t>. Each committee shall keep regular minutes of its meetings and report the same to the Board of Directors when required.</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Committee Rules</w:t>
      </w:r>
      <w:r>
        <w:rPr>
          <w:rFonts w:ascii="Arial" w:cs="Arial" w:eastAsia="Arial" w:hAnsi="Arial"/>
          <w:sz w:val="18"/>
          <w:szCs w:val="18"/>
          <w:color w:val="auto"/>
        </w:rPr>
        <w:t xml:space="preserve">.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of these Bylaws.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OFFICERS</w:t>
      </w:r>
    </w:p>
    <w:p>
      <w:pPr>
        <w:spacing w:after="0" w:line="21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the Corporation shall be a Chief Executive Officer, a President and a Secretary. The Corporation may also have, at the discretion of the Board of Directors, a Chairperson or Chairpersons of the Board of Directors, a Vice Chairperson of the Board of Directors, a Chief Financial Officer, a Treasurer, one (1) or more Assistant Secretaries, and any such other officers as may be appointed in accordance with the provisions of these Bylaws. Each officer of the Corporation shall hold office for such term as may be prescribed by the Board of Directors and until his or her successor is duly elected and qualified or until his or her earlier death, resignation or removal. No officer need be a stockholder or director of the Corporation.</w:t>
      </w:r>
    </w:p>
    <w:p>
      <w:pPr>
        <w:spacing w:after="0" w:line="192"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Appointment of Officers</w:t>
      </w:r>
      <w:r>
        <w:rPr>
          <w:rFonts w:ascii="Arial" w:cs="Arial" w:eastAsia="Arial" w:hAnsi="Arial"/>
          <w:sz w:val="18"/>
          <w:szCs w:val="18"/>
          <w:color w:val="auto"/>
        </w:rPr>
        <w:t xml:space="preserve">. The Board of Directors shall appoint the officers of the Corporation, except such officers as may be appointed in accordance with the provisions of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of these Bylaws.</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Subordinate Officer</w:t>
      </w:r>
      <w:r>
        <w:rPr>
          <w:rFonts w:ascii="Arial" w:cs="Arial" w:eastAsia="Arial" w:hAnsi="Arial"/>
          <w:sz w:val="18"/>
          <w:szCs w:val="18"/>
          <w:color w:val="auto"/>
        </w:rPr>
        <w:t>. The Board of Directors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of Directors may from time to time determine.</w:t>
      </w:r>
    </w:p>
    <w:p>
      <w:pPr>
        <w:spacing w:after="0" w:line="18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 xml:space="preserve">Section 4.04 </w:t>
      </w:r>
      <w:r>
        <w:rPr>
          <w:rFonts w:ascii="Arial" w:cs="Arial" w:eastAsia="Arial" w:hAnsi="Arial"/>
          <w:sz w:val="17"/>
          <w:szCs w:val="17"/>
          <w:u w:val="single" w:color="auto"/>
          <w:color w:val="auto"/>
        </w:rPr>
        <w:t>Removal and Resignation of Officers</w:t>
      </w:r>
      <w:r>
        <w:rPr>
          <w:rFonts w:ascii="Arial" w:cs="Arial" w:eastAsia="Arial" w:hAnsi="Arial"/>
          <w:sz w:val="17"/>
          <w:szCs w:val="17"/>
          <w:color w:val="auto"/>
        </w:rPr>
        <w:t>. Any officer may be removed, either with or without cause, by an affirmative vote of the Board of Directors at any regular or special meeting of the Board of Directors or, except in the case of an officer chosen by the Board of Directors, by any officer upon whom such power of removal may be conferred by the Board of Directors. 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If a resignation is made effective at a later date and the Corporation accepts the future effective date, the Board of Directors may fill the pending vacancy before the effective date if the Board of Directors provides that the successor shall not take office until the effective date. Any resignation is without prejudice to the rights, if any, of the Corporation under any contract to which the officer is a party.</w:t>
      </w:r>
    </w:p>
    <w:p>
      <w:pPr>
        <w:spacing w:after="0" w:line="178"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Vacancies in Offices</w:t>
      </w:r>
      <w:r>
        <w:rPr>
          <w:rFonts w:ascii="Arial" w:cs="Arial" w:eastAsia="Arial" w:hAnsi="Arial"/>
          <w:sz w:val="18"/>
          <w:szCs w:val="18"/>
          <w:color w:val="auto"/>
        </w:rPr>
        <w:t xml:space="preserve">. Any vacancy occurring in any office of the Corporation shall be filled by the Board of Directors or as provided in </w:t>
      </w:r>
      <w:r>
        <w:rPr>
          <w:rFonts w:ascii="Arial" w:cs="Arial" w:eastAsia="Arial" w:hAnsi="Arial"/>
          <w:sz w:val="18"/>
          <w:szCs w:val="18"/>
          <w:u w:val="single" w:color="auto"/>
          <w:color w:val="auto"/>
        </w:rPr>
        <w:t>Section 4.03</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Subject to such supervisory powers, if any, as may be given by the Board of Directors to a Chairperson, if any,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(if such an officer is appointed) shall, subject to the control of the Board of Directors, have general supervision, direction, and control of the business and the officers of the Corporation. He or she shall preside at all meetings of the stockholders and, in the absence or nonexistence of a Chairperson, at all meetings of the Board of Directors at which he or she is present and shall have the general powers and duties of management usually vested in the office of chief executive officer of a corporation and shall have such other powers and duties as may be prescribed by the Board of Directors or these Bylaw.</w:t>
      </w:r>
    </w:p>
    <w:p>
      <w:pPr>
        <w:spacing w:after="0" w:line="192"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4.07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but is not obligated to, appoint a President. Subject to such supervisory powers, if any, as may be given by the Board of Directors to a Chairperson (if any) or the CEO, the President, if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87" w:name="page88"/>
    <w:bookmarkEnd w:id="87"/>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4.08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 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 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85"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(the “</w:t>
      </w:r>
      <w:r>
        <w:rPr>
          <w:rFonts w:ascii="Arial" w:cs="Arial" w:eastAsia="Arial" w:hAnsi="Arial"/>
          <w:sz w:val="18"/>
          <w:szCs w:val="18"/>
          <w:b w:val="1"/>
          <w:bCs w:val="1"/>
          <w:i w:val="1"/>
          <w:iCs w:val="1"/>
          <w:color w:val="auto"/>
        </w:rPr>
        <w:t>CFO</w:t>
      </w:r>
      <w:r>
        <w:rPr>
          <w:rFonts w:ascii="Arial" w:cs="Arial" w:eastAsia="Arial" w:hAnsi="Arial"/>
          <w:sz w:val="18"/>
          <w:szCs w:val="18"/>
          <w:color w:val="auto"/>
        </w:rPr>
        <w:t>”) shall be the treasurer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 The CFO shall deposit all moneys and other valuables in the name and to the credit of the Corporation with such depositories as may be designated by the Board of Directors. He or she shall disburse the funds of the Corporation as may be ordered by the Board of Directors, shall render to the President, if any is appointed, the CEO, or the directors, upon request, an account of all his or her transactions as CFO and of the financial condition of the Corporation, and shall have other powers and perform such other duties as may be prescribed by the Board of Directors or these Bylaws.</w:t>
      </w:r>
    </w:p>
    <w:p>
      <w:pPr>
        <w:spacing w:after="0" w:line="19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Representation of Shares of Other Entities</w:t>
      </w:r>
      <w:r>
        <w:rPr>
          <w:rFonts w:ascii="Arial" w:cs="Arial" w:eastAsia="Arial" w:hAnsi="Arial"/>
          <w:sz w:val="18"/>
          <w:szCs w:val="18"/>
          <w:color w:val="auto"/>
        </w:rPr>
        <w:t>. Unless otherwise directed by the Board of Directors, the President or any other person authorized by the Board of Directors or the President is authorized to vote, represent and exercise on behalf of the Corporation all rights incident to any and all shares, securities or interests of any other corporation or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 All officers of the Corporation shall respectively have such powers and authority and shall perform such duties in the management of the business of the Corporation as may be provided herein or designated from time to time by the Board of Directors and, to the extent not so provided, as generally pertain to their respective offices, subject to the control of the Board of Directors.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88" w:name="page89"/>
    <w:bookmarkEnd w:id="88"/>
    <w:p>
      <w:pPr>
        <w:jc w:val="both"/>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4.12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officers of the Corporation for their services as such shall be fixed from time to time by or at the direction of the Board of Directors. An officer of the Corporation shall not be prevented from receiving compensation by reason of the fact that he or she is also a director of the Corporation.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Certificates</w:t>
      </w:r>
      <w:r>
        <w:rPr>
          <w:rFonts w:ascii="Arial" w:cs="Arial" w:eastAsia="Arial" w:hAnsi="Arial"/>
          <w:sz w:val="17"/>
          <w:szCs w:val="17"/>
          <w:color w:val="auto"/>
        </w:rPr>
        <w:t xml:space="preserve">. The shares of Stock shall be represented by certificates,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representing the number of shares held by such holder registered in certificate form. Each such certificate shall be signed in a manner that complies with Section 158 of the DGCL.</w:t>
      </w:r>
    </w:p>
    <w:p>
      <w:pPr>
        <w:spacing w:after="0" w:line="17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Lost, Stolen or Destroyed Stock Certificates; Issuance of New Certificates</w:t>
      </w:r>
      <w:r>
        <w:rPr>
          <w:rFonts w:ascii="Arial" w:cs="Arial" w:eastAsia="Arial" w:hAnsi="Arial"/>
          <w:sz w:val="17"/>
          <w:szCs w:val="17"/>
          <w:color w:val="auto"/>
        </w:rPr>
        <w:t>. The Corporation may issue a new certificate for shares of Stock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The Board of Directors may establish regulations, rules or procedures concerning the proof required for adequately alleging the loss, theft or destruction of any Stock certificate and concerning the giving of a satisfactory bond or bonds of indemnity.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ADVANCEMENT OF EXPENSES</w:t>
      </w:r>
    </w:p>
    <w:p>
      <w:pPr>
        <w:spacing w:after="0" w:line="211"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Right to Indemnification</w:t>
      </w:r>
      <w:r>
        <w:rPr>
          <w:rFonts w:ascii="Arial" w:cs="Arial" w:eastAsia="Arial" w:hAnsi="Arial"/>
          <w:sz w:val="16"/>
          <w:szCs w:val="16"/>
          <w:color w:val="auto"/>
        </w:rPr>
        <w:t>. The Corporation shall indemnify and hold harmless, to the fullest extent permitted by applicable law (including as it presently exists or may hereafter be amended, but, in the case of any such amendment, only to the extent that such amendment permits the Corporation to provide broader indemnification rights than such law permitted the Corporation to provide prior to such amendment), any person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(any such action, suit or proceeding,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limited liability company,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Covered Person. Notwithstanding the preceding sentence, except as otherwise provided in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of these Bylaws,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89" w:name="page90"/>
    <w:bookmarkEnd w:id="89"/>
    <w:p>
      <w:pPr>
        <w:ind w:right="6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6.02 </w:t>
      </w:r>
      <w:r>
        <w:rPr>
          <w:rFonts w:ascii="Arial" w:cs="Arial" w:eastAsia="Arial" w:hAnsi="Arial"/>
          <w:sz w:val="16"/>
          <w:szCs w:val="16"/>
          <w:u w:val="single" w:color="auto"/>
          <w:color w:val="auto"/>
        </w:rPr>
        <w:t>Indemnification of Others</w:t>
      </w:r>
      <w:r>
        <w:rPr>
          <w:rFonts w:ascii="Arial" w:cs="Arial" w:eastAsia="Arial" w:hAnsi="Arial"/>
          <w:sz w:val="16"/>
          <w:szCs w:val="16"/>
          <w:color w:val="auto"/>
        </w:rPr>
        <w:t>. The Corporation shall have the power (but not the obligation)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64"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Advancement of Expenses</w:t>
      </w:r>
      <w:r>
        <w:rPr>
          <w:rFonts w:ascii="Arial" w:cs="Arial" w:eastAsia="Arial" w:hAnsi="Arial"/>
          <w:sz w:val="18"/>
          <w:szCs w:val="18"/>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otherwise.</w:t>
      </w:r>
    </w:p>
    <w:p>
      <w:pPr>
        <w:spacing w:after="0" w:line="18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Claims</w:t>
      </w:r>
      <w:r>
        <w:rPr>
          <w:rFonts w:ascii="Arial" w:cs="Arial" w:eastAsia="Arial" w:hAnsi="Arial"/>
          <w:sz w:val="18"/>
          <w:szCs w:val="18"/>
          <w:color w:val="auto"/>
        </w:rPr>
        <w:t xml:space="preserve">. If a claim for indemnification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(following the final disposition of such proceeding) is not paid in full within sixty (60) days after the Corporation has received a written claim therefor by the Covered Person, or if a claim for any advancement of expenses under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is not paid in full within thirty (30) days after the Corporation has received a written statement or statements requesting such amounts to be advanced, the Covered Person shall thereupon (but not before) be entitled to file suit to recover the unpaid amount of such claim.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9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rights conferred on any Covered Person by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not be exclusive of any other rights which such Covered Person may have or hereafter acquires under any statute, provision of the Certificate of Incorporation, these Bylaws, agreement, vote of Stockholders or disinterested directors or otherwise.</w:t>
      </w:r>
    </w:p>
    <w:p>
      <w:pPr>
        <w:spacing w:after="0" w:line="184"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90" w:name="page91"/>
    <w:bookmarkEnd w:id="90"/>
    <w:p>
      <w:pPr>
        <w:ind w:right="3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6.07 </w:t>
      </w:r>
      <w:r>
        <w:rPr>
          <w:rFonts w:ascii="Arial" w:cs="Arial" w:eastAsia="Arial" w:hAnsi="Arial"/>
          <w:sz w:val="17"/>
          <w:szCs w:val="17"/>
          <w:u w:val="single" w:color="auto"/>
          <w:color w:val="auto"/>
        </w:rPr>
        <w:t>Other Sources</w:t>
      </w:r>
      <w:r>
        <w:rPr>
          <w:rFonts w:ascii="Arial" w:cs="Arial" w:eastAsia="Arial" w:hAnsi="Arial"/>
          <w:sz w:val="17"/>
          <w:szCs w:val="17"/>
          <w:color w:val="auto"/>
        </w:rPr>
        <w:t>. The Corporation’s obligation, if any, to indemnify or to advance expenses to any Covered Person who was or is serving at its request as a director, officer, employee or agent of another corporation, partnership, limited liability company, joint venture, trust, enterprise or nonprofit entity shall be reduced by any amount such Covered Person may collect as indemnification or advancement of expenses from such other corporation, partnership, limited liability company, joint venture, trust, enterprise or non-profit enterprise.</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Continuation of Indemnification</w:t>
      </w:r>
      <w:r>
        <w:rPr>
          <w:rFonts w:ascii="Arial" w:cs="Arial" w:eastAsia="Arial" w:hAnsi="Arial"/>
          <w:sz w:val="18"/>
          <w:szCs w:val="18"/>
          <w:color w:val="auto"/>
        </w:rPr>
        <w:t xml:space="preserve">. The rights to indemnification and to advancement of expenses provided by, or granted pursuant to,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continue as to a Person who has ceased to be a director or officer of the Corporation and shall inure to the benefit of the estate, heirs, executors, administrators, legatees and distributees of such Person.</w:t>
      </w:r>
    </w:p>
    <w:p>
      <w:pPr>
        <w:spacing w:after="0" w:line="184"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right to indemnification or to advancement of expenses of any Covered Person arising hereunder shall not be eliminated or impaired by an amendment to or repeal of these Bylaws or an amendment to the Certificate of Incorporation after the occurrence of the act or omission that is the subject of the proceeding for which indemnification or advancement of expenses is sought.</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not limit the right of the Corporation, to the extent and in the manner permitted by law, to indemnify and to advance expenses to persons other than Covered Persons when and as authorized by appropriate corporate action.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resolution of the Board of Directors.</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Execution of Corporate Contracts and Instruments</w:t>
      </w:r>
      <w:r>
        <w:rPr>
          <w:rFonts w:ascii="Arial" w:cs="Arial" w:eastAsia="Arial" w:hAnsi="Arial"/>
          <w:sz w:val="17"/>
          <w:szCs w:val="17"/>
          <w:color w:val="auto"/>
        </w:rPr>
        <w:t>. 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 Any document, including without limitation, any consent, agreement, certificate or instrument, required by the DGCL, the Certificate of Incorporation or these Bylaws to be executed by any officer, director, stockholder, employee or agent of the Corporation may be executed using a facsimile or other form of electronic signature to the fullest extent permitted by applicable law. All other contracts, agreements, certificates or instruments to be executed on behalf of the Corporation may be executed using a facsimile or other form of electronic signature to the fullest extent permitted by applicable law.</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91" w:name="page92"/>
    <w:bookmarkEnd w:id="91"/>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7.03 </w:t>
      </w:r>
      <w:r>
        <w:rPr>
          <w:rFonts w:ascii="Arial" w:cs="Arial" w:eastAsia="Arial" w:hAnsi="Arial"/>
          <w:sz w:val="18"/>
          <w:szCs w:val="18"/>
          <w:u w:val="single" w:color="auto"/>
          <w:color w:val="auto"/>
        </w:rPr>
        <w:t>Dividends</w:t>
      </w:r>
      <w:r>
        <w:rPr>
          <w:rFonts w:ascii="Arial" w:cs="Arial" w:eastAsia="Arial" w:hAnsi="Arial"/>
          <w:sz w:val="18"/>
          <w:szCs w:val="18"/>
          <w:color w:val="auto"/>
        </w:rPr>
        <w:t>. The Board of Directors, subject to any restrictions contained in either (i) the DGCL or (ii) the Certificate of Incorporation, may declare and pay dividends upon the shares of its capital Stock. Dividends may be paid in cash, in property or in shares of the Corporation’s capital Stock. 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8" w:lineRule="exact"/>
        <w:rPr>
          <w:sz w:val="20"/>
          <w:szCs w:val="20"/>
          <w:color w:val="auto"/>
        </w:rPr>
      </w:pPr>
    </w:p>
    <w:p>
      <w:pPr>
        <w:jc w:val="both"/>
        <w:ind w:right="80" w:firstLine="440"/>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Registered Stockholders</w:t>
      </w:r>
      <w:r>
        <w:rPr>
          <w:rFonts w:ascii="Arial" w:cs="Arial" w:eastAsia="Arial" w:hAnsi="Arial"/>
          <w:sz w:val="18"/>
          <w:szCs w:val="18"/>
          <w:color w:val="auto"/>
        </w:rPr>
        <w:t>. The Corporation: (i) shall be entitled to recognize the exclusive right of a Person registered on its books as the owner of shares to receive dividends and to vote as such owner; and (ii) shall not be bound to recognize any equitable or other claim to or interest in such share or shares on the part of another Person, whether or not it shall have express or other notice thereof, except as otherwise provided by the laws of the State of Delaware.</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Corporate Seal</w:t>
      </w:r>
      <w:r>
        <w:rPr>
          <w:rFonts w:ascii="Arial" w:cs="Arial" w:eastAsia="Arial" w:hAnsi="Arial"/>
          <w:sz w:val="17"/>
          <w:szCs w:val="17"/>
          <w:color w:val="auto"/>
        </w:rPr>
        <w:t>. The Corporation may adopt a corporate seal, which shall be adopted and which may be altered by the Board of</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Directors. The Corporation may use the corporate seal by causing it or a facsimile thereof to be impressed or affixed or in any other manner reproduced.</w:t>
      </w:r>
    </w:p>
    <w:p>
      <w:pPr>
        <w:spacing w:after="0" w:line="23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Construction; Definitions</w:t>
      </w:r>
      <w:r>
        <w:rPr>
          <w:rFonts w:ascii="Arial" w:cs="Arial" w:eastAsia="Arial" w:hAnsi="Arial"/>
          <w:sz w:val="18"/>
          <w:szCs w:val="18"/>
          <w:color w:val="auto"/>
        </w:rPr>
        <w:t>. Unless the context requires otherwise, the general provisions, rules of construction and definitions in the DGCL shall govern the construction of these Bylaws. Without limiting the generality of this provision, the singular number includes the plural and the plural number includes the singular.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Manner of Notice</w:t>
      </w:r>
      <w:r>
        <w:rPr>
          <w:rFonts w:ascii="Arial" w:cs="Arial" w:eastAsia="Arial" w:hAnsi="Arial"/>
          <w:sz w:val="18"/>
          <w:szCs w:val="18"/>
          <w:color w:val="auto"/>
        </w:rPr>
        <w:t>.</w:t>
      </w:r>
    </w:p>
    <w:p>
      <w:pPr>
        <w:spacing w:after="0" w:line="117" w:lineRule="exact"/>
        <w:rPr>
          <w:sz w:val="20"/>
          <w:szCs w:val="20"/>
          <w:color w:val="auto"/>
        </w:rPr>
      </w:pPr>
    </w:p>
    <w:p>
      <w:pPr>
        <w:jc w:val="both"/>
        <w:ind w:right="100" w:firstLine="436"/>
        <w:spacing w:after="0" w:line="311" w:lineRule="auto"/>
        <w:tabs>
          <w:tab w:leader="none" w:pos="685"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Notice by Electronic Transmission</w:t>
      </w:r>
      <w:r>
        <w:rPr>
          <w:rFonts w:ascii="Arial" w:cs="Arial" w:eastAsia="Arial" w:hAnsi="Arial"/>
          <w:sz w:val="16"/>
          <w:szCs w:val="16"/>
          <w:color w:val="auto"/>
        </w:rPr>
        <w:t>. Without limiting the manner by which notice otherwise may be given effectively to Stockholders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DGCL, the Certificate of Incorporation or these Bylaws, any notice to Stockholders given by the Corporation under any provision of the DGCL, the Certificate of Incorporation or these Bylaws shall be effective if given by a form of electronic transmission to the extent permitted by law.</w:t>
      </w:r>
    </w:p>
    <w:p>
      <w:pPr>
        <w:spacing w:after="0" w:line="149" w:lineRule="exact"/>
        <w:rPr>
          <w:sz w:val="20"/>
          <w:szCs w:val="20"/>
          <w:color w:val="auto"/>
        </w:rPr>
      </w:pPr>
    </w:p>
    <w:p>
      <w:pPr>
        <w:ind w:right="40" w:firstLine="440"/>
        <w:spacing w:after="0" w:line="293" w:lineRule="auto"/>
        <w:rPr>
          <w:sz w:val="20"/>
          <w:szCs w:val="20"/>
          <w:color w:val="auto"/>
        </w:rPr>
      </w:pPr>
      <w:r>
        <w:rPr>
          <w:rFonts w:ascii="Arial" w:cs="Arial" w:eastAsia="Arial" w:hAnsi="Arial"/>
          <w:sz w:val="16"/>
          <w:szCs w:val="16"/>
          <w:color w:val="auto"/>
        </w:rPr>
        <w:t>Any notice given pursuant to the preceding paragraph shall be deemed given (i) if by facsimile telecommunication, when directed to a number at which the Stockholder has consented to receive notice; (ii) if by electronic mail, when directed to such Stockholder’s electronic mail address unless the Stockholder has notified the Corporation in writing or by electronic transmission of an objection to receiving notice by electronic mail;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 A notice by electronic mail must include a prominent legend that the communication is an important notice regarding the Corporation.</w:t>
      </w:r>
    </w:p>
    <w:p>
      <w:pPr>
        <w:spacing w:after="0" w:line="164"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other agent of the Corporation that the notice has been given shall, in the absence of fraud, be prima facie evidence of the facts stated therein. For the purposes of these Bylaws,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92" w:name="page93"/>
    <w:bookmarkEnd w:id="92"/>
    <w:p>
      <w:pPr>
        <w:ind w:firstLine="436"/>
        <w:spacing w:after="0" w:line="293"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 to Stockholders Sharing an Address</w:t>
      </w:r>
      <w:r>
        <w:rPr>
          <w:rFonts w:ascii="Arial" w:cs="Arial" w:eastAsia="Arial" w:hAnsi="Arial"/>
          <w:sz w:val="16"/>
          <w:szCs w:val="16"/>
          <w:color w:val="auto"/>
        </w:rPr>
        <w:t>. Without limiting the manner by which notice otherwise may be given effectively to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except as prohibited by applicable law, any notice to Stockholders given by the Corporation under any provision of applicable law,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w:t>
      </w:r>
      <w:r>
        <w:rPr>
          <w:rFonts w:ascii="Arial" w:cs="Arial" w:eastAsia="Arial" w:hAnsi="Arial"/>
          <w:sz w:val="16"/>
          <w:szCs w:val="16"/>
          <w:u w:val="single" w:color="auto"/>
          <w:color w:val="auto"/>
        </w:rPr>
        <w:t>Section 7.07</w:t>
      </w:r>
      <w:r>
        <w:rPr>
          <w:rFonts w:ascii="Arial" w:cs="Arial" w:eastAsia="Arial" w:hAnsi="Arial"/>
          <w:sz w:val="16"/>
          <w:szCs w:val="16"/>
          <w:color w:val="auto"/>
        </w:rPr>
        <w:t>, shall be deemed to have consented to receiving such single written notice.</w:t>
      </w:r>
    </w:p>
    <w:p>
      <w:pPr>
        <w:spacing w:after="0" w:line="56" w:lineRule="exact"/>
        <w:rPr>
          <w:rFonts w:ascii="Arial" w:cs="Arial" w:eastAsia="Arial" w:hAnsi="Arial"/>
          <w:sz w:val="16"/>
          <w:szCs w:val="16"/>
          <w:color w:val="auto"/>
        </w:rPr>
      </w:pPr>
    </w:p>
    <w:p>
      <w:pPr>
        <w:ind w:right="20" w:firstLine="436"/>
        <w:spacing w:after="0" w:line="259" w:lineRule="auto"/>
        <w:tabs>
          <w:tab w:leader="none" w:pos="685"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Notice to Directors. </w:t>
      </w:r>
      <w:r>
        <w:rPr>
          <w:rFonts w:ascii="Arial" w:cs="Arial" w:eastAsia="Arial" w:hAnsi="Arial"/>
          <w:sz w:val="18"/>
          <w:szCs w:val="18"/>
          <w:color w:val="auto"/>
        </w:rPr>
        <w:t>Except as otherwise provided herein or permitted by applicable law, notices to any director may be in writing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personally or mailed to such director at such director’s address appearing on the books of the Corporation, or may be given by telephone or by any means of electronic transmission (including, without limitation, electronic mail) directed to an address for receipt by such director of electronic transmissions appearing on the books of the Corporation.</w:t>
      </w:r>
    </w:p>
    <w:p>
      <w:pPr>
        <w:spacing w:after="0" w:line="18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7.08 </w:t>
      </w:r>
      <w:r>
        <w:rPr>
          <w:rFonts w:ascii="Arial" w:cs="Arial" w:eastAsia="Arial" w:hAnsi="Arial"/>
          <w:sz w:val="17"/>
          <w:szCs w:val="17"/>
          <w:u w:val="single" w:color="auto"/>
          <w:color w:val="auto"/>
        </w:rPr>
        <w:t>Waiver of Notice of Meetings of Stockholders, Directors and Committees</w:t>
      </w:r>
      <w:r>
        <w:rPr>
          <w:rFonts w:ascii="Arial" w:cs="Arial" w:eastAsia="Arial" w:hAnsi="Arial"/>
          <w:sz w:val="17"/>
          <w:szCs w:val="17"/>
          <w:color w:val="auto"/>
        </w:rPr>
        <w:t>. A written waiver of any notice, signed by the person entitled to notice, or waiver by electronic transmission by such person, whether given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Board of Directors, or committee or subcommittee of the Board of Directors need be specified in a waiver of notice.</w:t>
      </w:r>
    </w:p>
    <w:p>
      <w:pPr>
        <w:spacing w:after="0" w:line="17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Form of Records</w:t>
      </w:r>
      <w:r>
        <w:rPr>
          <w:rFonts w:ascii="Arial" w:cs="Arial" w:eastAsia="Arial" w:hAnsi="Arial"/>
          <w:sz w:val="18"/>
          <w:szCs w:val="18"/>
          <w:color w:val="auto"/>
        </w:rPr>
        <w:t>. Any records maintained by or on behalf of the Corporation in the regular course of its business, including its stock ledger, books of account, and minute books, may be kept on, or by means of, or be in the form of, any information storage device, method or one or more electronic networks or databases, provided that the records so kept can be converted into clearly legible paper form within a reasonable time, and the stock ledger is maintained in accordance with applicable law.</w:t>
      </w:r>
    </w:p>
    <w:p>
      <w:pPr>
        <w:spacing w:after="0" w:line="187"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Amendment of Bylaws</w:t>
      </w:r>
      <w:r>
        <w:rPr>
          <w:rFonts w:ascii="Arial" w:cs="Arial" w:eastAsia="Arial" w:hAnsi="Arial"/>
          <w:sz w:val="16"/>
          <w:szCs w:val="16"/>
          <w:color w:val="auto"/>
        </w:rPr>
        <w:t>. Subject to the Stockholders Agreement, these Bylaws may be altered, amended or repealed, and new bylaws made, only by the affirmative vote of (a) a majority of the Whole Board of Directors or (b) at any time when Centerbridge beneficially owns, in the aggregate, less than 40% in voting power of the stock of the Corporation entitled to vote generally in the election of directors, in addition to any vote of the holders of any class or series of Stock required by any provision of this Certificate of Incorporation (including any certificate of designation with respect to Preferred Stock), these Bylaws or applicable law, the affirmative vote of at least sixty-six and two-thirds percent (66 2/3%) of the voting power of all of the outstanding Stock entitled to vote, voting together as a single class, shall be required in order for the Stockholders to alter, amend, repeal or rescind, in whole or in part, any provision of these Bylaws or to adopt any provision inconsistent herewith.</w:t>
      </w:r>
    </w:p>
    <w:p>
      <w:pPr>
        <w:spacing w:after="0" w:line="378" w:lineRule="exact"/>
        <w:rPr>
          <w:sz w:val="20"/>
          <w:szCs w:val="20"/>
          <w:color w:val="auto"/>
        </w:rPr>
      </w:pPr>
    </w:p>
    <w:p>
      <w:pPr>
        <w:ind w:left="4960"/>
        <w:spacing w:after="0"/>
        <w:tabs>
          <w:tab w:leader="none" w:pos="5440" w:val="left"/>
          <w:tab w:leader="none" w:pos="59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TAX RECEIVABLE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GOHEALTH, INC.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GOHEALTH HOLDINGS, LLC</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SEVERAL TRA HOLDERS (AS DEFINED HEREIN)</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FROM TIME TO TIME PARTY HERETO</w:t>
      </w:r>
    </w:p>
    <w:p>
      <w:pPr>
        <w:spacing w:after="0" w:line="21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Dated as of July [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930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r>
      <w:tr>
        <w:trPr>
          <w:trHeight w:val="391"/>
        </w:trPr>
        <w:tc>
          <w:tcPr>
            <w:tcW w:w="136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36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b w:val="1"/>
                <w:bCs w:val="1"/>
                <w:color w:val="auto"/>
              </w:rPr>
              <w:t>ARTICLE I</w:t>
            </w:r>
          </w:p>
        </w:tc>
        <w:tc>
          <w:tcPr>
            <w:tcW w:w="30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0"/>
              </w:rPr>
              <w:t>Definitions</w:t>
            </w:r>
          </w:p>
        </w:tc>
        <w:tc>
          <w:tcPr>
            <w:tcW w:w="300" w:type="dxa"/>
            <w:vAlign w:val="bottom"/>
          </w:tcPr>
          <w:p>
            <w:pPr>
              <w:spacing w:after="0"/>
              <w:rPr>
                <w:sz w:val="24"/>
                <w:szCs w:val="24"/>
                <w:color w:val="auto"/>
              </w:rPr>
            </w:pPr>
          </w:p>
        </w:tc>
      </w:tr>
      <w:tr>
        <w:trPr>
          <w:trHeight w:val="323"/>
        </w:trPr>
        <w:tc>
          <w:tcPr>
            <w:tcW w:w="1360" w:type="dxa"/>
            <w:vAlign w:val="bottom"/>
          </w:tcPr>
          <w:p>
            <w:pPr>
              <w:spacing w:after="0"/>
              <w:rPr>
                <w:sz w:val="20"/>
                <w:szCs w:val="20"/>
                <w:color w:val="auto"/>
              </w:rPr>
            </w:pPr>
            <w:r>
              <w:rPr>
                <w:rFonts w:ascii="Arial" w:cs="Arial" w:eastAsia="Arial" w:hAnsi="Arial"/>
                <w:sz w:val="18"/>
                <w:szCs w:val="18"/>
                <w:color w:val="auto"/>
              </w:rPr>
              <w:t>SECTION 1.1.</w:t>
            </w:r>
          </w:p>
        </w:tc>
        <w:tc>
          <w:tcPr>
            <w:tcW w:w="93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1.2.</w:t>
            </w:r>
          </w:p>
        </w:tc>
        <w:tc>
          <w:tcPr>
            <w:tcW w:w="9300" w:type="dxa"/>
            <w:vAlign w:val="bottom"/>
          </w:tcPr>
          <w:p>
            <w:pPr>
              <w:ind w:left="260"/>
              <w:spacing w:after="0"/>
              <w:rPr>
                <w:sz w:val="20"/>
                <w:szCs w:val="20"/>
                <w:color w:val="auto"/>
              </w:rPr>
            </w:pPr>
            <w:r>
              <w:rPr>
                <w:rFonts w:ascii="Arial" w:cs="Arial" w:eastAsia="Arial" w:hAnsi="Arial"/>
                <w:sz w:val="18"/>
                <w:szCs w:val="18"/>
                <w:color w:val="auto"/>
              </w:rPr>
              <w:t>Rules of Construction</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36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b w:val="1"/>
                <w:bCs w:val="1"/>
                <w:color w:val="auto"/>
              </w:rPr>
              <w:t>ARTICLE II</w:t>
            </w:r>
          </w:p>
        </w:tc>
        <w:tc>
          <w:tcPr>
            <w:tcW w:w="30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Determination of Realized Tax Benefit</w:t>
            </w:r>
          </w:p>
        </w:tc>
        <w:tc>
          <w:tcPr>
            <w:tcW w:w="300" w:type="dxa"/>
            <w:vAlign w:val="bottom"/>
          </w:tcPr>
          <w:p>
            <w:pPr>
              <w:spacing w:after="0"/>
              <w:rPr>
                <w:sz w:val="24"/>
                <w:szCs w:val="24"/>
                <w:color w:val="auto"/>
              </w:rPr>
            </w:pPr>
          </w:p>
        </w:tc>
      </w:tr>
      <w:tr>
        <w:trPr>
          <w:trHeight w:val="323"/>
        </w:trPr>
        <w:tc>
          <w:tcPr>
            <w:tcW w:w="1360" w:type="dxa"/>
            <w:vAlign w:val="bottom"/>
          </w:tcPr>
          <w:p>
            <w:pPr>
              <w:spacing w:after="0"/>
              <w:rPr>
                <w:sz w:val="20"/>
                <w:szCs w:val="20"/>
                <w:color w:val="auto"/>
              </w:rPr>
            </w:pPr>
            <w:r>
              <w:rPr>
                <w:rFonts w:ascii="Arial" w:cs="Arial" w:eastAsia="Arial" w:hAnsi="Arial"/>
                <w:sz w:val="18"/>
                <w:szCs w:val="18"/>
                <w:color w:val="auto"/>
              </w:rPr>
              <w:t>SECTION 2.1.</w:t>
            </w:r>
          </w:p>
        </w:tc>
        <w:tc>
          <w:tcPr>
            <w:tcW w:w="9300" w:type="dxa"/>
            <w:vAlign w:val="bottom"/>
          </w:tcPr>
          <w:p>
            <w:pPr>
              <w:ind w:left="260"/>
              <w:spacing w:after="0"/>
              <w:rPr>
                <w:sz w:val="20"/>
                <w:szCs w:val="20"/>
                <w:color w:val="auto"/>
              </w:rPr>
            </w:pPr>
            <w:r>
              <w:rPr>
                <w:rFonts w:ascii="Arial" w:cs="Arial" w:eastAsia="Arial" w:hAnsi="Arial"/>
                <w:sz w:val="18"/>
                <w:szCs w:val="18"/>
                <w:color w:val="auto"/>
              </w:rPr>
              <w:t>Basis Adjustments; GoHealth Holdings 754 Election</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2.2.</w:t>
            </w:r>
          </w:p>
        </w:tc>
        <w:tc>
          <w:tcPr>
            <w:tcW w:w="9300" w:type="dxa"/>
            <w:vAlign w:val="bottom"/>
          </w:tcPr>
          <w:p>
            <w:pPr>
              <w:ind w:left="260"/>
              <w:spacing w:after="0"/>
              <w:rPr>
                <w:sz w:val="20"/>
                <w:szCs w:val="20"/>
                <w:color w:val="auto"/>
              </w:rPr>
            </w:pPr>
            <w:r>
              <w:rPr>
                <w:rFonts w:ascii="Arial" w:cs="Arial" w:eastAsia="Arial" w:hAnsi="Arial"/>
                <w:sz w:val="18"/>
                <w:szCs w:val="18"/>
                <w:color w:val="auto"/>
              </w:rPr>
              <w:t>Basis Schedules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2.3.</w:t>
            </w:r>
          </w:p>
        </w:tc>
        <w:tc>
          <w:tcPr>
            <w:tcW w:w="9300" w:type="dxa"/>
            <w:vAlign w:val="bottom"/>
          </w:tcPr>
          <w:p>
            <w:pPr>
              <w:ind w:left="260"/>
              <w:spacing w:after="0"/>
              <w:rPr>
                <w:sz w:val="20"/>
                <w:szCs w:val="20"/>
                <w:color w:val="auto"/>
              </w:rPr>
            </w:pPr>
            <w:r>
              <w:rPr>
                <w:rFonts w:ascii="Arial" w:cs="Arial" w:eastAsia="Arial" w:hAnsi="Arial"/>
                <w:sz w:val="18"/>
                <w:szCs w:val="18"/>
                <w:color w:val="auto"/>
              </w:rPr>
              <w:t>Tax Benefit Schedules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2"/>
        </w:trPr>
        <w:tc>
          <w:tcPr>
            <w:tcW w:w="1360" w:type="dxa"/>
            <w:vAlign w:val="bottom"/>
          </w:tcPr>
          <w:p>
            <w:pPr>
              <w:spacing w:after="0"/>
              <w:rPr>
                <w:sz w:val="20"/>
                <w:szCs w:val="20"/>
                <w:color w:val="auto"/>
              </w:rPr>
            </w:pPr>
            <w:r>
              <w:rPr>
                <w:rFonts w:ascii="Arial" w:cs="Arial" w:eastAsia="Arial" w:hAnsi="Arial"/>
                <w:sz w:val="18"/>
                <w:szCs w:val="18"/>
                <w:color w:val="auto"/>
              </w:rPr>
              <w:t>SECTION 2.4.</w:t>
            </w:r>
          </w:p>
        </w:tc>
        <w:tc>
          <w:tcPr>
            <w:tcW w:w="9300" w:type="dxa"/>
            <w:vAlign w:val="bottom"/>
          </w:tcPr>
          <w:p>
            <w:pPr>
              <w:ind w:left="260"/>
              <w:spacing w:after="0"/>
              <w:rPr>
                <w:sz w:val="20"/>
                <w:szCs w:val="20"/>
                <w:color w:val="auto"/>
              </w:rPr>
            </w:pPr>
            <w:r>
              <w:rPr>
                <w:rFonts w:ascii="Arial" w:cs="Arial" w:eastAsia="Arial" w:hAnsi="Arial"/>
                <w:sz w:val="18"/>
                <w:szCs w:val="18"/>
                <w:color w:val="auto"/>
              </w:rPr>
              <w:t>Procedures; 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4"/>
        </w:trPr>
        <w:tc>
          <w:tcPr>
            <w:tcW w:w="1360" w:type="dxa"/>
            <w:vAlign w:val="bottom"/>
          </w:tcPr>
          <w:p>
            <w:pPr>
              <w:spacing w:after="0"/>
              <w:rPr>
                <w:sz w:val="20"/>
                <w:szCs w:val="20"/>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b w:val="1"/>
                <w:bCs w:val="1"/>
                <w:color w:val="auto"/>
              </w:rPr>
              <w:t>ARTICLE III</w:t>
            </w:r>
          </w:p>
        </w:tc>
        <w:tc>
          <w:tcPr>
            <w:tcW w:w="300" w:type="dxa"/>
            <w:vAlign w:val="bottom"/>
          </w:tcPr>
          <w:p>
            <w:pPr>
              <w:spacing w:after="0"/>
              <w:rPr>
                <w:sz w:val="20"/>
                <w:szCs w:val="20"/>
                <w:color w:val="auto"/>
              </w:rPr>
            </w:pPr>
          </w:p>
        </w:tc>
      </w:tr>
      <w:tr>
        <w:trPr>
          <w:trHeight w:val="338"/>
        </w:trPr>
        <w:tc>
          <w:tcPr>
            <w:tcW w:w="136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b w:val="1"/>
                <w:bCs w:val="1"/>
                <w:color w:val="auto"/>
                <w:w w:val="89"/>
              </w:rPr>
              <w:t>Tax Benefit Payments</w:t>
            </w:r>
          </w:p>
        </w:tc>
        <w:tc>
          <w:tcPr>
            <w:tcW w:w="300" w:type="dxa"/>
            <w:vAlign w:val="bottom"/>
          </w:tcPr>
          <w:p>
            <w:pPr>
              <w:spacing w:after="0"/>
              <w:rPr>
                <w:sz w:val="24"/>
                <w:szCs w:val="24"/>
                <w:color w:val="auto"/>
              </w:rPr>
            </w:pPr>
          </w:p>
        </w:tc>
      </w:tr>
      <w:tr>
        <w:trPr>
          <w:trHeight w:val="323"/>
        </w:trPr>
        <w:tc>
          <w:tcPr>
            <w:tcW w:w="1360" w:type="dxa"/>
            <w:vAlign w:val="bottom"/>
          </w:tcPr>
          <w:p>
            <w:pPr>
              <w:spacing w:after="0"/>
              <w:rPr>
                <w:sz w:val="20"/>
                <w:szCs w:val="20"/>
                <w:color w:val="auto"/>
              </w:rPr>
            </w:pPr>
            <w:r>
              <w:rPr>
                <w:rFonts w:ascii="Arial" w:cs="Arial" w:eastAsia="Arial" w:hAnsi="Arial"/>
                <w:sz w:val="18"/>
                <w:szCs w:val="18"/>
                <w:color w:val="auto"/>
              </w:rPr>
              <w:t>SECTION 3.1.</w:t>
            </w:r>
          </w:p>
        </w:tc>
        <w:tc>
          <w:tcPr>
            <w:tcW w:w="9300" w:type="dxa"/>
            <w:vAlign w:val="bottom"/>
          </w:tcPr>
          <w:p>
            <w:pPr>
              <w:ind w:left="260"/>
              <w:spacing w:after="0"/>
              <w:rPr>
                <w:sz w:val="20"/>
                <w:szCs w:val="20"/>
                <w:color w:val="auto"/>
              </w:rPr>
            </w:pPr>
            <w:r>
              <w:rPr>
                <w:rFonts w:ascii="Arial" w:cs="Arial" w:eastAsia="Arial" w:hAnsi="Arial"/>
                <w:sz w:val="18"/>
                <w:szCs w:val="18"/>
                <w:color w:val="auto"/>
              </w:rPr>
              <w:t>Timing and Amount of Tax Benefit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3.2.</w:t>
            </w:r>
          </w:p>
        </w:tc>
        <w:tc>
          <w:tcPr>
            <w:tcW w:w="9300" w:type="dxa"/>
            <w:vAlign w:val="bottom"/>
          </w:tcPr>
          <w:p>
            <w:pPr>
              <w:ind w:left="260"/>
              <w:spacing w:after="0"/>
              <w:rPr>
                <w:sz w:val="20"/>
                <w:szCs w:val="20"/>
                <w:color w:val="auto"/>
              </w:rPr>
            </w:pPr>
            <w:r>
              <w:rPr>
                <w:rFonts w:ascii="Arial" w:cs="Arial" w:eastAsia="Arial" w:hAnsi="Arial"/>
                <w:sz w:val="18"/>
                <w:szCs w:val="18"/>
                <w:color w:val="auto"/>
              </w:rPr>
              <w:t>No Duplicative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3.3.</w:t>
            </w:r>
          </w:p>
        </w:tc>
        <w:tc>
          <w:tcPr>
            <w:tcW w:w="9300" w:type="dxa"/>
            <w:vAlign w:val="bottom"/>
          </w:tcPr>
          <w:p>
            <w:pPr>
              <w:ind w:left="260"/>
              <w:spacing w:after="0"/>
              <w:rPr>
                <w:sz w:val="20"/>
                <w:szCs w:val="20"/>
                <w:color w:val="auto"/>
              </w:rPr>
            </w:pPr>
            <w:r>
              <w:rPr>
                <w:rFonts w:ascii="Arial" w:cs="Arial" w:eastAsia="Arial" w:hAnsi="Arial"/>
                <w:sz w:val="18"/>
                <w:szCs w:val="18"/>
                <w:color w:val="auto"/>
              </w:rPr>
              <w:t>Pro-Ration of Payments as Between the TRA 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36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b w:val="1"/>
                <w:bCs w:val="1"/>
                <w:color w:val="auto"/>
              </w:rPr>
              <w:t>ARTICLE IV</w:t>
            </w:r>
          </w:p>
        </w:tc>
        <w:tc>
          <w:tcPr>
            <w:tcW w:w="30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3"/>
              </w:rPr>
              <w:t>Termination</w:t>
            </w:r>
          </w:p>
        </w:tc>
        <w:tc>
          <w:tcPr>
            <w:tcW w:w="300" w:type="dxa"/>
            <w:vAlign w:val="bottom"/>
          </w:tcPr>
          <w:p>
            <w:pPr>
              <w:spacing w:after="0"/>
              <w:rPr>
                <w:sz w:val="24"/>
                <w:szCs w:val="24"/>
                <w:color w:val="auto"/>
              </w:rPr>
            </w:pPr>
          </w:p>
        </w:tc>
      </w:tr>
      <w:tr>
        <w:trPr>
          <w:trHeight w:val="323"/>
        </w:trPr>
        <w:tc>
          <w:tcPr>
            <w:tcW w:w="1360" w:type="dxa"/>
            <w:vAlign w:val="bottom"/>
          </w:tcPr>
          <w:p>
            <w:pPr>
              <w:spacing w:after="0"/>
              <w:rPr>
                <w:sz w:val="20"/>
                <w:szCs w:val="20"/>
                <w:color w:val="auto"/>
              </w:rPr>
            </w:pPr>
            <w:r>
              <w:rPr>
                <w:rFonts w:ascii="Arial" w:cs="Arial" w:eastAsia="Arial" w:hAnsi="Arial"/>
                <w:sz w:val="18"/>
                <w:szCs w:val="18"/>
                <w:color w:val="auto"/>
              </w:rPr>
              <w:t>SECTION 4.1.</w:t>
            </w:r>
          </w:p>
        </w:tc>
        <w:tc>
          <w:tcPr>
            <w:tcW w:w="9300" w:type="dxa"/>
            <w:vAlign w:val="bottom"/>
          </w:tcPr>
          <w:p>
            <w:pPr>
              <w:ind w:left="260"/>
              <w:spacing w:after="0"/>
              <w:rPr>
                <w:sz w:val="20"/>
                <w:szCs w:val="20"/>
                <w:color w:val="auto"/>
              </w:rPr>
            </w:pPr>
            <w:r>
              <w:rPr>
                <w:rFonts w:ascii="Arial" w:cs="Arial" w:eastAsia="Arial" w:hAnsi="Arial"/>
                <w:sz w:val="18"/>
                <w:szCs w:val="18"/>
                <w:color w:val="auto"/>
              </w:rPr>
              <w:t>Early Termination of Agreement; Acceleration Events</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4.2.</w:t>
            </w:r>
          </w:p>
        </w:tc>
        <w:tc>
          <w:tcPr>
            <w:tcW w:w="9300" w:type="dxa"/>
            <w:vAlign w:val="bottom"/>
          </w:tcPr>
          <w:p>
            <w:pPr>
              <w:ind w:left="260"/>
              <w:spacing w:after="0"/>
              <w:rPr>
                <w:sz w:val="20"/>
                <w:szCs w:val="20"/>
                <w:color w:val="auto"/>
              </w:rPr>
            </w:pPr>
            <w:r>
              <w:rPr>
                <w:rFonts w:ascii="Arial" w:cs="Arial" w:eastAsia="Arial" w:hAnsi="Arial"/>
                <w:sz w:val="18"/>
                <w:szCs w:val="18"/>
                <w:color w:val="auto"/>
              </w:rPr>
              <w:t>Early Termination Notice.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4.3.</w:t>
            </w:r>
          </w:p>
        </w:tc>
        <w:tc>
          <w:tcPr>
            <w:tcW w:w="9300" w:type="dxa"/>
            <w:vAlign w:val="bottom"/>
          </w:tcPr>
          <w:p>
            <w:pPr>
              <w:ind w:left="260"/>
              <w:spacing w:after="0"/>
              <w:rPr>
                <w:sz w:val="20"/>
                <w:szCs w:val="20"/>
                <w:color w:val="auto"/>
              </w:rPr>
            </w:pPr>
            <w:r>
              <w:rPr>
                <w:rFonts w:ascii="Arial" w:cs="Arial" w:eastAsia="Arial" w:hAnsi="Arial"/>
                <w:sz w:val="18"/>
                <w:szCs w:val="18"/>
                <w:color w:val="auto"/>
              </w:rPr>
              <w:t>Payment upon Early Termination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6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b w:val="1"/>
                <w:bCs w:val="1"/>
                <w:color w:val="auto"/>
              </w:rPr>
              <w:t>ARTICLE V</w:t>
            </w:r>
          </w:p>
        </w:tc>
        <w:tc>
          <w:tcPr>
            <w:tcW w:w="30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93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0"/>
              </w:rPr>
              <w:t>Subordination and Late Payments</w:t>
            </w:r>
          </w:p>
        </w:tc>
        <w:tc>
          <w:tcPr>
            <w:tcW w:w="300" w:type="dxa"/>
            <w:vAlign w:val="bottom"/>
          </w:tcPr>
          <w:p>
            <w:pPr>
              <w:spacing w:after="0"/>
              <w:rPr>
                <w:sz w:val="24"/>
                <w:szCs w:val="24"/>
                <w:color w:val="auto"/>
              </w:rPr>
            </w:pPr>
          </w:p>
        </w:tc>
      </w:tr>
      <w:tr>
        <w:trPr>
          <w:trHeight w:val="323"/>
        </w:trPr>
        <w:tc>
          <w:tcPr>
            <w:tcW w:w="1360" w:type="dxa"/>
            <w:vAlign w:val="bottom"/>
          </w:tcPr>
          <w:p>
            <w:pPr>
              <w:spacing w:after="0"/>
              <w:rPr>
                <w:sz w:val="20"/>
                <w:szCs w:val="20"/>
                <w:color w:val="auto"/>
              </w:rPr>
            </w:pPr>
            <w:r>
              <w:rPr>
                <w:rFonts w:ascii="Arial" w:cs="Arial" w:eastAsia="Arial" w:hAnsi="Arial"/>
                <w:sz w:val="18"/>
                <w:szCs w:val="18"/>
                <w:color w:val="auto"/>
              </w:rPr>
              <w:t>SECTION 5.1.</w:t>
            </w:r>
          </w:p>
        </w:tc>
        <w:tc>
          <w:tcPr>
            <w:tcW w:w="9300" w:type="dxa"/>
            <w:vAlign w:val="bottom"/>
          </w:tcPr>
          <w:p>
            <w:pPr>
              <w:ind w:left="260"/>
              <w:spacing w:after="0"/>
              <w:rPr>
                <w:sz w:val="20"/>
                <w:szCs w:val="20"/>
                <w:color w:val="auto"/>
              </w:rPr>
            </w:pPr>
            <w:r>
              <w:rPr>
                <w:rFonts w:ascii="Arial" w:cs="Arial" w:eastAsia="Arial" w:hAnsi="Arial"/>
                <w:sz w:val="18"/>
                <w:szCs w:val="18"/>
                <w:color w:val="auto"/>
              </w:rPr>
              <w:t>Subordination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5.2.</w:t>
            </w:r>
          </w:p>
        </w:tc>
        <w:tc>
          <w:tcPr>
            <w:tcW w:w="9300" w:type="dxa"/>
            <w:vAlign w:val="bottom"/>
          </w:tcPr>
          <w:p>
            <w:pPr>
              <w:ind w:left="260"/>
              <w:spacing w:after="0"/>
              <w:rPr>
                <w:sz w:val="20"/>
                <w:szCs w:val="20"/>
                <w:color w:val="auto"/>
              </w:rPr>
            </w:pPr>
            <w:r>
              <w:rPr>
                <w:rFonts w:ascii="Arial" w:cs="Arial" w:eastAsia="Arial" w:hAnsi="Arial"/>
                <w:sz w:val="18"/>
                <w:szCs w:val="18"/>
                <w:color w:val="auto"/>
              </w:rPr>
              <w:t>Late Payments by the Corporation</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36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b w:val="1"/>
                <w:bCs w:val="1"/>
                <w:color w:val="auto"/>
              </w:rPr>
              <w:t>ARTICLE VI</w:t>
            </w:r>
          </w:p>
        </w:tc>
        <w:tc>
          <w:tcPr>
            <w:tcW w:w="300" w:type="dxa"/>
            <w:vAlign w:val="bottom"/>
          </w:tcPr>
          <w:p>
            <w:pPr>
              <w:spacing w:after="0"/>
              <w:rPr>
                <w:sz w:val="24"/>
                <w:szCs w:val="24"/>
                <w:color w:val="auto"/>
              </w:rPr>
            </w:pPr>
          </w:p>
        </w:tc>
      </w:tr>
      <w:tr>
        <w:trPr>
          <w:trHeight w:val="338"/>
        </w:trPr>
        <w:tc>
          <w:tcPr>
            <w:tcW w:w="1360" w:type="dxa"/>
            <w:vAlign w:val="bottom"/>
          </w:tcPr>
          <w:p>
            <w:pPr>
              <w:spacing w:after="0"/>
              <w:rPr>
                <w:sz w:val="24"/>
                <w:szCs w:val="24"/>
                <w:color w:val="auto"/>
              </w:rPr>
            </w:pPr>
          </w:p>
        </w:tc>
        <w:tc>
          <w:tcPr>
            <w:tcW w:w="930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Tax Matters; Consistency; Cooperation</w:t>
            </w:r>
          </w:p>
        </w:tc>
        <w:tc>
          <w:tcPr>
            <w:tcW w:w="300" w:type="dxa"/>
            <w:vAlign w:val="bottom"/>
          </w:tcPr>
          <w:p>
            <w:pPr>
              <w:spacing w:after="0"/>
              <w:rPr>
                <w:sz w:val="24"/>
                <w:szCs w:val="24"/>
                <w:color w:val="auto"/>
              </w:rPr>
            </w:pPr>
          </w:p>
        </w:tc>
      </w:tr>
      <w:tr>
        <w:trPr>
          <w:trHeight w:val="323"/>
        </w:trPr>
        <w:tc>
          <w:tcPr>
            <w:tcW w:w="1360" w:type="dxa"/>
            <w:vAlign w:val="bottom"/>
          </w:tcPr>
          <w:p>
            <w:pPr>
              <w:spacing w:after="0"/>
              <w:rPr>
                <w:sz w:val="20"/>
                <w:szCs w:val="20"/>
                <w:color w:val="auto"/>
              </w:rPr>
            </w:pPr>
            <w:r>
              <w:rPr>
                <w:rFonts w:ascii="Arial" w:cs="Arial" w:eastAsia="Arial" w:hAnsi="Arial"/>
                <w:sz w:val="18"/>
                <w:szCs w:val="18"/>
                <w:color w:val="auto"/>
              </w:rPr>
              <w:t>SECTION 6.1.</w:t>
            </w:r>
          </w:p>
        </w:tc>
        <w:tc>
          <w:tcPr>
            <w:tcW w:w="9300" w:type="dxa"/>
            <w:vAlign w:val="bottom"/>
          </w:tcPr>
          <w:p>
            <w:pPr>
              <w:ind w:left="260"/>
              <w:spacing w:after="0"/>
              <w:rPr>
                <w:sz w:val="20"/>
                <w:szCs w:val="20"/>
                <w:color w:val="auto"/>
              </w:rPr>
            </w:pPr>
            <w:r>
              <w:rPr>
                <w:rFonts w:ascii="Arial" w:cs="Arial" w:eastAsia="Arial" w:hAnsi="Arial"/>
                <w:sz w:val="18"/>
                <w:szCs w:val="18"/>
                <w:color w:val="auto"/>
              </w:rPr>
              <w:t>Participation in the Corporation’s and GoHealth Holdings’ Tax Matters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6.2.</w:t>
            </w:r>
          </w:p>
        </w:tc>
        <w:tc>
          <w:tcPr>
            <w:tcW w:w="9300" w:type="dxa"/>
            <w:vAlign w:val="bottom"/>
          </w:tcPr>
          <w:p>
            <w:pPr>
              <w:ind w:left="260"/>
              <w:spacing w:after="0"/>
              <w:rPr>
                <w:sz w:val="20"/>
                <w:szCs w:val="20"/>
                <w:color w:val="auto"/>
              </w:rPr>
            </w:pPr>
            <w:r>
              <w:rPr>
                <w:rFonts w:ascii="Arial" w:cs="Arial" w:eastAsia="Arial" w:hAnsi="Arial"/>
                <w:sz w:val="18"/>
                <w:szCs w:val="18"/>
                <w:color w:val="auto"/>
              </w:rPr>
              <w:t>Consistency</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6.3.</w:t>
            </w:r>
          </w:p>
        </w:tc>
        <w:tc>
          <w:tcPr>
            <w:tcW w:w="9300" w:type="dxa"/>
            <w:vAlign w:val="bottom"/>
          </w:tcPr>
          <w:p>
            <w:pPr>
              <w:ind w:left="260"/>
              <w:spacing w:after="0"/>
              <w:rPr>
                <w:sz w:val="20"/>
                <w:szCs w:val="20"/>
                <w:color w:val="auto"/>
              </w:rPr>
            </w:pPr>
            <w:r>
              <w:rPr>
                <w:rFonts w:ascii="Arial" w:cs="Arial" w:eastAsia="Arial" w:hAnsi="Arial"/>
                <w:sz w:val="18"/>
                <w:szCs w:val="18"/>
                <w:color w:val="auto"/>
              </w:rPr>
              <w:t>Cooperation</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000" w:type="dxa"/>
            <w:vAlign w:val="bottom"/>
          </w:tcPr>
          <w:p>
            <w:pPr>
              <w:ind w:left="3340"/>
              <w:spacing w:after="0"/>
              <w:rPr>
                <w:sz w:val="20"/>
                <w:szCs w:val="20"/>
                <w:color w:val="auto"/>
              </w:rPr>
            </w:pPr>
            <w:r>
              <w:rPr>
                <w:rFonts w:ascii="Arial" w:cs="Arial" w:eastAsia="Arial" w:hAnsi="Arial"/>
                <w:sz w:val="18"/>
                <w:szCs w:val="18"/>
                <w:b w:val="1"/>
                <w:bCs w:val="1"/>
                <w:color w:val="auto"/>
              </w:rPr>
              <w:t>ARTICLE VII</w:t>
            </w:r>
          </w:p>
        </w:tc>
        <w:tc>
          <w:tcPr>
            <w:tcW w:w="1560" w:type="dxa"/>
            <w:vAlign w:val="bottom"/>
          </w:tcPr>
          <w:p>
            <w:pPr>
              <w:spacing w:after="0"/>
              <w:rPr>
                <w:sz w:val="20"/>
                <w:szCs w:val="20"/>
                <w:color w:val="auto"/>
              </w:rPr>
            </w:pPr>
          </w:p>
        </w:tc>
      </w:tr>
      <w:tr>
        <w:trPr>
          <w:trHeight w:val="338"/>
        </w:trPr>
        <w:tc>
          <w:tcPr>
            <w:tcW w:w="1400" w:type="dxa"/>
            <w:vAlign w:val="bottom"/>
          </w:tcPr>
          <w:p>
            <w:pPr>
              <w:spacing w:after="0"/>
              <w:rPr>
                <w:sz w:val="24"/>
                <w:szCs w:val="24"/>
                <w:color w:val="auto"/>
              </w:rPr>
            </w:pPr>
          </w:p>
        </w:tc>
        <w:tc>
          <w:tcPr>
            <w:tcW w:w="8000" w:type="dxa"/>
            <w:vAlign w:val="bottom"/>
          </w:tcPr>
          <w:p>
            <w:pPr>
              <w:ind w:left="3360"/>
              <w:spacing w:after="0"/>
              <w:rPr>
                <w:sz w:val="20"/>
                <w:szCs w:val="20"/>
                <w:color w:val="auto"/>
              </w:rPr>
            </w:pPr>
            <w:r>
              <w:rPr>
                <w:rFonts w:ascii="Arial" w:cs="Arial" w:eastAsia="Arial" w:hAnsi="Arial"/>
                <w:sz w:val="18"/>
                <w:szCs w:val="18"/>
                <w:b w:val="1"/>
                <w:bCs w:val="1"/>
                <w:color w:val="auto"/>
              </w:rPr>
              <w:t>Miscellaneous</w:t>
            </w:r>
          </w:p>
        </w:tc>
        <w:tc>
          <w:tcPr>
            <w:tcW w:w="1560" w:type="dxa"/>
            <w:vAlign w:val="bottom"/>
          </w:tcPr>
          <w:p>
            <w:pPr>
              <w:spacing w:after="0"/>
              <w:rPr>
                <w:sz w:val="24"/>
                <w:szCs w:val="24"/>
                <w:color w:val="auto"/>
              </w:rPr>
            </w:pPr>
          </w:p>
        </w:tc>
      </w:tr>
      <w:tr>
        <w:trPr>
          <w:trHeight w:val="323"/>
        </w:trPr>
        <w:tc>
          <w:tcPr>
            <w:tcW w:w="1400" w:type="dxa"/>
            <w:vAlign w:val="bottom"/>
          </w:tcPr>
          <w:p>
            <w:pPr>
              <w:spacing w:after="0"/>
              <w:rPr>
                <w:sz w:val="20"/>
                <w:szCs w:val="20"/>
                <w:color w:val="auto"/>
              </w:rPr>
            </w:pPr>
            <w:r>
              <w:rPr>
                <w:rFonts w:ascii="Arial" w:cs="Arial" w:eastAsia="Arial" w:hAnsi="Arial"/>
                <w:sz w:val="18"/>
                <w:szCs w:val="18"/>
                <w:color w:val="auto"/>
              </w:rPr>
              <w:t>SECTION 7.1.</w:t>
            </w:r>
          </w:p>
        </w:tc>
        <w:tc>
          <w:tcPr>
            <w:tcW w:w="8000" w:type="dxa"/>
            <w:vAlign w:val="bottom"/>
          </w:tcPr>
          <w:p>
            <w:pPr>
              <w:ind w:left="220"/>
              <w:spacing w:after="0"/>
              <w:rPr>
                <w:sz w:val="20"/>
                <w:szCs w:val="20"/>
                <w:color w:val="auto"/>
              </w:rPr>
            </w:pPr>
            <w:r>
              <w:rPr>
                <w:rFonts w:ascii="Arial" w:cs="Arial" w:eastAsia="Arial" w:hAnsi="Arial"/>
                <w:sz w:val="18"/>
                <w:szCs w:val="18"/>
                <w:color w:val="auto"/>
              </w:rPr>
              <w:t>Notices</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7.2.</w:t>
            </w:r>
          </w:p>
        </w:tc>
        <w:tc>
          <w:tcPr>
            <w:tcW w:w="800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7.3.</w:t>
            </w:r>
          </w:p>
        </w:tc>
        <w:tc>
          <w:tcPr>
            <w:tcW w:w="8000" w:type="dxa"/>
            <w:vAlign w:val="bottom"/>
          </w:tcPr>
          <w:p>
            <w:pPr>
              <w:ind w:left="220"/>
              <w:spacing w:after="0"/>
              <w:rPr>
                <w:sz w:val="20"/>
                <w:szCs w:val="20"/>
                <w:color w:val="auto"/>
              </w:rPr>
            </w:pPr>
            <w:r>
              <w:rPr>
                <w:rFonts w:ascii="Arial" w:cs="Arial" w:eastAsia="Arial" w:hAnsi="Arial"/>
                <w:sz w:val="18"/>
                <w:szCs w:val="18"/>
                <w:color w:val="auto"/>
              </w:rPr>
              <w:t>Entire Agreement; No Third-Party Beneficiaries</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7.4.</w:t>
            </w:r>
          </w:p>
        </w:tc>
        <w:tc>
          <w:tcPr>
            <w:tcW w:w="800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7.5.</w:t>
            </w:r>
          </w:p>
        </w:tc>
        <w:tc>
          <w:tcPr>
            <w:tcW w:w="8000" w:type="dxa"/>
            <w:vAlign w:val="bottom"/>
          </w:tcPr>
          <w:p>
            <w:pPr>
              <w:ind w:left="220"/>
              <w:spacing w:after="0"/>
              <w:rPr>
                <w:sz w:val="20"/>
                <w:szCs w:val="20"/>
                <w:color w:val="auto"/>
              </w:rPr>
            </w:pPr>
            <w:r>
              <w:rPr>
                <w:rFonts w:ascii="Arial" w:cs="Arial" w:eastAsia="Arial" w:hAnsi="Arial"/>
                <w:sz w:val="18"/>
                <w:szCs w:val="18"/>
                <w:color w:val="auto"/>
              </w:rPr>
              <w:t>Assignments; Amendments; Successors; No Waiver</w:t>
            </w:r>
          </w:p>
        </w:tc>
        <w:tc>
          <w:tcPr>
            <w:tcW w:w="15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7.6.</w:t>
            </w:r>
          </w:p>
        </w:tc>
        <w:tc>
          <w:tcPr>
            <w:tcW w:w="8000" w:type="dxa"/>
            <w:vAlign w:val="bottom"/>
          </w:tcPr>
          <w:p>
            <w:pPr>
              <w:ind w:left="220"/>
              <w:spacing w:after="0"/>
              <w:rPr>
                <w:sz w:val="20"/>
                <w:szCs w:val="20"/>
                <w:color w:val="auto"/>
              </w:rPr>
            </w:pPr>
            <w:r>
              <w:rPr>
                <w:rFonts w:ascii="Arial" w:cs="Arial" w:eastAsia="Arial" w:hAnsi="Arial"/>
                <w:sz w:val="18"/>
                <w:szCs w:val="18"/>
                <w:color w:val="auto"/>
              </w:rPr>
              <w:t>Titles and Subtitles</w:t>
            </w: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7.7.</w:t>
            </w:r>
          </w:p>
        </w:tc>
        <w:tc>
          <w:tcPr>
            <w:tcW w:w="8000" w:type="dxa"/>
            <w:vAlign w:val="bottom"/>
          </w:tcPr>
          <w:p>
            <w:pPr>
              <w:ind w:left="220"/>
              <w:spacing w:after="0"/>
              <w:rPr>
                <w:sz w:val="20"/>
                <w:szCs w:val="20"/>
                <w:color w:val="auto"/>
              </w:rPr>
            </w:pPr>
            <w:r>
              <w:rPr>
                <w:rFonts w:ascii="Arial" w:cs="Arial" w:eastAsia="Arial" w:hAnsi="Arial"/>
                <w:sz w:val="18"/>
                <w:szCs w:val="18"/>
                <w:color w:val="auto"/>
              </w:rPr>
              <w:t>Resolution of Disputes; Governing Law</w:t>
            </w:r>
          </w:p>
        </w:tc>
        <w:tc>
          <w:tcPr>
            <w:tcW w:w="15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7.8.</w:t>
            </w:r>
          </w:p>
        </w:tc>
        <w:tc>
          <w:tcPr>
            <w:tcW w:w="8000" w:type="dxa"/>
            <w:vAlign w:val="bottom"/>
          </w:tcPr>
          <w:p>
            <w:pPr>
              <w:ind w:left="220"/>
              <w:spacing w:after="0"/>
              <w:rPr>
                <w:sz w:val="20"/>
                <w:szCs w:val="20"/>
                <w:color w:val="auto"/>
              </w:rPr>
            </w:pPr>
            <w:r>
              <w:rPr>
                <w:rFonts w:ascii="Arial" w:cs="Arial" w:eastAsia="Arial" w:hAnsi="Arial"/>
                <w:sz w:val="18"/>
                <w:szCs w:val="18"/>
                <w:color w:val="auto"/>
              </w:rPr>
              <w:t>Reconciliation Procedures.</w:t>
            </w:r>
          </w:p>
        </w:tc>
        <w:tc>
          <w:tcPr>
            <w:tcW w:w="15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7.9.</w:t>
            </w:r>
          </w:p>
        </w:tc>
        <w:tc>
          <w:tcPr>
            <w:tcW w:w="8000" w:type="dxa"/>
            <w:vAlign w:val="bottom"/>
          </w:tcPr>
          <w:p>
            <w:pPr>
              <w:ind w:left="220"/>
              <w:spacing w:after="0"/>
              <w:rPr>
                <w:sz w:val="20"/>
                <w:szCs w:val="20"/>
                <w:color w:val="auto"/>
              </w:rPr>
            </w:pPr>
            <w:r>
              <w:rPr>
                <w:rFonts w:ascii="Arial" w:cs="Arial" w:eastAsia="Arial" w:hAnsi="Arial"/>
                <w:sz w:val="18"/>
                <w:szCs w:val="18"/>
                <w:color w:val="auto"/>
              </w:rPr>
              <w:t>Withholding</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7.10.</w:t>
            </w:r>
          </w:p>
        </w:tc>
        <w:tc>
          <w:tcPr>
            <w:tcW w:w="8000" w:type="dxa"/>
            <w:vAlign w:val="bottom"/>
          </w:tcPr>
          <w:p>
            <w:pPr>
              <w:ind w:left="220"/>
              <w:spacing w:after="0"/>
              <w:rPr>
                <w:sz w:val="20"/>
                <w:szCs w:val="20"/>
                <w:color w:val="auto"/>
              </w:rPr>
            </w:pPr>
            <w:r>
              <w:rPr>
                <w:rFonts w:ascii="Arial" w:cs="Arial" w:eastAsia="Arial" w:hAnsi="Arial"/>
                <w:sz w:val="18"/>
                <w:szCs w:val="18"/>
                <w:color w:val="auto"/>
              </w:rPr>
              <w:t>Admission of the Corporation into a Consolidated Group; Transfers of Corporate Assets.</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7.11.</w:t>
            </w:r>
          </w:p>
        </w:tc>
        <w:tc>
          <w:tcPr>
            <w:tcW w:w="8000" w:type="dxa"/>
            <w:vAlign w:val="bottom"/>
          </w:tcPr>
          <w:p>
            <w:pPr>
              <w:ind w:left="220"/>
              <w:spacing w:after="0"/>
              <w:rPr>
                <w:sz w:val="20"/>
                <w:szCs w:val="20"/>
                <w:color w:val="auto"/>
              </w:rPr>
            </w:pPr>
            <w:r>
              <w:rPr>
                <w:rFonts w:ascii="Arial" w:cs="Arial" w:eastAsia="Arial" w:hAnsi="Arial"/>
                <w:sz w:val="18"/>
                <w:szCs w:val="18"/>
                <w:color w:val="auto"/>
              </w:rPr>
              <w:t>Confidentiality</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7.12.</w:t>
            </w:r>
          </w:p>
        </w:tc>
        <w:tc>
          <w:tcPr>
            <w:tcW w:w="8000" w:type="dxa"/>
            <w:vAlign w:val="bottom"/>
          </w:tcPr>
          <w:p>
            <w:pPr>
              <w:ind w:left="220"/>
              <w:spacing w:after="0"/>
              <w:rPr>
                <w:sz w:val="20"/>
                <w:szCs w:val="20"/>
                <w:color w:val="auto"/>
              </w:rPr>
            </w:pPr>
            <w:r>
              <w:rPr>
                <w:rFonts w:ascii="Arial" w:cs="Arial" w:eastAsia="Arial" w:hAnsi="Arial"/>
                <w:sz w:val="18"/>
                <w:szCs w:val="18"/>
                <w:color w:val="auto"/>
              </w:rPr>
              <w:t>Change in Law</w:t>
            </w:r>
          </w:p>
        </w:tc>
        <w:tc>
          <w:tcPr>
            <w:tcW w:w="15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SECTION 7.13.</w:t>
            </w:r>
          </w:p>
        </w:tc>
        <w:tc>
          <w:tcPr>
            <w:tcW w:w="8000" w:type="dxa"/>
            <w:vAlign w:val="bottom"/>
          </w:tcPr>
          <w:p>
            <w:pPr>
              <w:ind w:left="220"/>
              <w:spacing w:after="0"/>
              <w:rPr>
                <w:sz w:val="20"/>
                <w:szCs w:val="20"/>
                <w:color w:val="auto"/>
              </w:rPr>
            </w:pPr>
            <w:r>
              <w:rPr>
                <w:rFonts w:ascii="Arial" w:cs="Arial" w:eastAsia="Arial" w:hAnsi="Arial"/>
                <w:sz w:val="18"/>
                <w:szCs w:val="18"/>
                <w:color w:val="auto"/>
              </w:rPr>
              <w:t>Interest Rate Limitation</w:t>
            </w: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SECTION 7.14.</w:t>
            </w:r>
          </w:p>
        </w:tc>
        <w:tc>
          <w:tcPr>
            <w:tcW w:w="8000" w:type="dxa"/>
            <w:vAlign w:val="bottom"/>
          </w:tcPr>
          <w:p>
            <w:pPr>
              <w:ind w:left="220"/>
              <w:spacing w:after="0"/>
              <w:rPr>
                <w:sz w:val="20"/>
                <w:szCs w:val="20"/>
                <w:color w:val="auto"/>
              </w:rPr>
            </w:pPr>
            <w:r>
              <w:rPr>
                <w:rFonts w:ascii="Arial" w:cs="Arial" w:eastAsia="Arial" w:hAnsi="Arial"/>
                <w:sz w:val="18"/>
                <w:szCs w:val="18"/>
                <w:color w:val="auto"/>
              </w:rPr>
              <w:t>Independent Nature of Rights and Obligations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1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auto"/>
        </w:rPr>
        <w:t>Exhibit A</w:t>
      </w:r>
      <w:r>
        <w:rPr>
          <w:sz w:val="20"/>
          <w:szCs w:val="20"/>
          <w:color w:val="auto"/>
        </w:rPr>
        <w:tab/>
      </w:r>
      <w:r>
        <w:rPr>
          <w:rFonts w:ascii="Arial" w:cs="Arial" w:eastAsia="Arial" w:hAnsi="Arial"/>
          <w:sz w:val="16"/>
          <w:szCs w:val="16"/>
          <w:color w:val="auto"/>
        </w:rPr>
        <w:t>- Form of Joinder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378" w:right="49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RECEIVABLE AGREEMENT</w:t>
      </w:r>
    </w:p>
    <w:p>
      <w:pPr>
        <w:spacing w:after="0" w:line="229"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This TAX RECEIVABLE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 ], 2020, is hereby entered into by and among GoHealth,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GoHealth Holdings, LLC, a Delaware limited liability company (“</w:t>
      </w:r>
      <w:r>
        <w:rPr>
          <w:rFonts w:ascii="Arial" w:cs="Arial" w:eastAsia="Arial" w:hAnsi="Arial"/>
          <w:sz w:val="18"/>
          <w:szCs w:val="18"/>
          <w:u w:val="single" w:color="auto"/>
          <w:color w:val="auto"/>
        </w:rPr>
        <w:t>GoHealth Holdings</w:t>
      </w:r>
      <w:r>
        <w:rPr>
          <w:rFonts w:ascii="Arial" w:cs="Arial" w:eastAsia="Arial" w:hAnsi="Arial"/>
          <w:sz w:val="18"/>
          <w:szCs w:val="18"/>
          <w:color w:val="auto"/>
        </w:rPr>
        <w:t>”), CB Blizzard Co-Invest Holdings, L.P., a Delaware limited partnership (“</w:t>
      </w:r>
      <w:r>
        <w:rPr>
          <w:rFonts w:ascii="Arial" w:cs="Arial" w:eastAsia="Arial" w:hAnsi="Arial"/>
          <w:sz w:val="18"/>
          <w:szCs w:val="18"/>
          <w:u w:val="single" w:color="auto"/>
          <w:color w:val="auto"/>
        </w:rPr>
        <w:t>CB Blizzard</w:t>
      </w:r>
      <w:r>
        <w:rPr>
          <w:rFonts w:ascii="Arial" w:cs="Arial" w:eastAsia="Arial" w:hAnsi="Arial"/>
          <w:sz w:val="18"/>
          <w:szCs w:val="18"/>
          <w:color w:val="auto"/>
        </w:rPr>
        <w:t>”), CCP III AIV VII Holdings L.P., a Delaware limited partnership (“</w:t>
      </w:r>
      <w:r>
        <w:rPr>
          <w:rFonts w:ascii="Arial" w:cs="Arial" w:eastAsia="Arial" w:hAnsi="Arial"/>
          <w:sz w:val="18"/>
          <w:szCs w:val="18"/>
          <w:u w:val="single" w:color="auto"/>
          <w:color w:val="auto"/>
        </w:rPr>
        <w:t>CCP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AIV</w:t>
      </w:r>
      <w:r>
        <w:rPr>
          <w:rFonts w:ascii="Arial" w:cs="Arial" w:eastAsia="Arial" w:hAnsi="Arial"/>
          <w:sz w:val="18"/>
          <w:szCs w:val="18"/>
          <w:color w:val="auto"/>
        </w:rPr>
        <w:t>”, and together with CB Blizzard, the “</w:t>
      </w:r>
      <w:r>
        <w:rPr>
          <w:rFonts w:ascii="Arial" w:cs="Arial" w:eastAsia="Arial" w:hAnsi="Arial"/>
          <w:sz w:val="18"/>
          <w:szCs w:val="18"/>
          <w:u w:val="single" w:color="auto"/>
          <w:color w:val="auto"/>
        </w:rPr>
        <w:t>Blocker Shareholders</w:t>
      </w:r>
      <w:r>
        <w:rPr>
          <w:rFonts w:ascii="Arial" w:cs="Arial" w:eastAsia="Arial" w:hAnsi="Arial"/>
          <w:sz w:val="18"/>
          <w:szCs w:val="18"/>
          <w:color w:val="auto"/>
        </w:rPr>
        <w:t>”) and each of the Members (as defined herein) from time to time party hereto (collectively with the Blocker Shareholders, the “</w:t>
      </w:r>
      <w:r>
        <w:rPr>
          <w:rFonts w:ascii="Arial" w:cs="Arial" w:eastAsia="Arial" w:hAnsi="Arial"/>
          <w:sz w:val="18"/>
          <w:szCs w:val="18"/>
          <w:u w:val="single" w:color="auto"/>
          <w:color w:val="auto"/>
        </w:rPr>
        <w:t>TRA Holders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GoHealth Holdings is treated as a partnership for U.S. Federal income tax purposes;</w:t>
      </w:r>
    </w:p>
    <w:p>
      <w:pPr>
        <w:spacing w:after="0" w:line="225"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WHEREAS, immediately prior to the consummation of the IPO and the Blocker Mergers (as defined herein), GoHealth Holdings entered into the Operating Agreement (as defined herein) wherein GoHealth Holdings recapitalized all existing ownership interests in GoHealth Holdings into membership interests in the form of Units (as defined herein) (the “</w:t>
      </w:r>
      <w:r>
        <w:rPr>
          <w:rFonts w:ascii="Arial" w:cs="Arial" w:eastAsia="Arial" w:hAnsi="Arial"/>
          <w:sz w:val="18"/>
          <w:szCs w:val="18"/>
          <w:u w:val="single" w:color="auto"/>
          <w:color w:val="auto"/>
        </w:rPr>
        <w:t>Recapitalization</w:t>
      </w:r>
      <w:r>
        <w:rPr>
          <w:rFonts w:ascii="Arial" w:cs="Arial" w:eastAsia="Arial" w:hAnsi="Arial"/>
          <w:sz w:val="18"/>
          <w:szCs w:val="18"/>
          <w:color w:val="auto"/>
        </w:rPr>
        <w:t>”);</w:t>
      </w:r>
    </w:p>
    <w:p>
      <w:pPr>
        <w:spacing w:after="0" w:line="18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each of the members of GoHealth Holdings as of the date hereof (such members (other than the Corporation), together with each other Person who becomes party hereto by satisfying the Joinder Requirement, the “</w:t>
      </w:r>
      <w:r>
        <w:rPr>
          <w:rFonts w:ascii="Arial" w:cs="Arial" w:eastAsia="Arial" w:hAnsi="Arial"/>
          <w:sz w:val="18"/>
          <w:szCs w:val="18"/>
          <w:u w:val="single" w:color="auto"/>
          <w:color w:val="auto"/>
        </w:rPr>
        <w:t>Members</w:t>
      </w:r>
      <w:r>
        <w:rPr>
          <w:rFonts w:ascii="Arial" w:cs="Arial" w:eastAsia="Arial" w:hAnsi="Arial"/>
          <w:sz w:val="18"/>
          <w:szCs w:val="18"/>
          <w:color w:val="auto"/>
        </w:rPr>
        <w:t>”) own Units;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the Corporation is the managing member of GoHealth Holdings;</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WHEREAS, CCP III Blizzard Feeder, LLC, a Delaware limited liability company (the “</w:t>
      </w:r>
      <w:r>
        <w:rPr>
          <w:rFonts w:ascii="Arial" w:cs="Arial" w:eastAsia="Arial" w:hAnsi="Arial"/>
          <w:sz w:val="18"/>
          <w:szCs w:val="18"/>
          <w:u w:val="single" w:color="auto"/>
          <w:color w:val="auto"/>
        </w:rPr>
        <w:t>Blocker Corporation</w:t>
      </w:r>
      <w:r>
        <w:rPr>
          <w:rFonts w:ascii="Arial" w:cs="Arial" w:eastAsia="Arial" w:hAnsi="Arial"/>
          <w:sz w:val="18"/>
          <w:szCs w:val="18"/>
          <w:color w:val="auto"/>
        </w:rPr>
        <w:t>”), is treated as an association taxable as a corporation for U.S. Federal income tax purposes and immediately prior to the consummation of the IPO (as defined herein) all of the equity interests of Blocker Corporation were owned by the Blocker Shareholders;</w:t>
      </w:r>
    </w:p>
    <w:p>
      <w:pPr>
        <w:spacing w:after="0" w:line="184"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WHEREAS, immediately prior to the consummation of the IPO and following the Recapitalization, the Blocker Corporation purchased, pursuant to certain Purchase and Sale Agreements dated on or about the date hereof, by and among the Blocker Corporation, Blizzard Aggregator, LLC and the Sellers (as such term is defined in such Purchase and Sale Agreements) party thereto, certain rights to payments and distributions in respect of GoHealth Holdings from the Sellers in exchange for certain contingent promissory notes (the “</w:t>
      </w:r>
      <w:r>
        <w:rPr>
          <w:rFonts w:ascii="Arial" w:cs="Arial" w:eastAsia="Arial" w:hAnsi="Arial"/>
          <w:sz w:val="16"/>
          <w:szCs w:val="16"/>
          <w:u w:val="single" w:color="auto"/>
          <w:color w:val="auto"/>
        </w:rPr>
        <w:t>Contingent Notes</w:t>
      </w:r>
      <w:r>
        <w:rPr>
          <w:rFonts w:ascii="Arial" w:cs="Arial" w:eastAsia="Arial" w:hAnsi="Arial"/>
          <w:sz w:val="16"/>
          <w:szCs w:val="16"/>
          <w:color w:val="auto"/>
        </w:rPr>
        <w:t>”) in favor of each such Seller;</w:t>
      </w:r>
    </w:p>
    <w:p>
      <w:pPr>
        <w:spacing w:after="0" w:line="157"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WHEREAS, pursuant to the Agreement and Plan of Merger dated on or about the date hereof, by and among the Corporation, the Blocker Corporation, GoHealth Merger Sub, Inc., a Delaware corporation and a wholly-owned subsidiary of the Corporation, (“</w:t>
      </w:r>
      <w:r>
        <w:rPr>
          <w:rFonts w:ascii="Arial" w:cs="Arial" w:eastAsia="Arial" w:hAnsi="Arial"/>
          <w:sz w:val="17"/>
          <w:szCs w:val="17"/>
          <w:u w:val="single" w:color="auto"/>
          <w:color w:val="auto"/>
        </w:rPr>
        <w:t>Merger Sub</w:t>
      </w:r>
      <w:r>
        <w:rPr>
          <w:rFonts w:ascii="Arial" w:cs="Arial" w:eastAsia="Arial" w:hAnsi="Arial"/>
          <w:sz w:val="17"/>
          <w:szCs w:val="17"/>
          <w:color w:val="auto"/>
        </w:rPr>
        <w:t>”) and the Blocker Shareholders, (i) Merger Sub merged with and into the Blocker Corporation with the Blocker Corporation as the surviving entity (the “</w:t>
      </w:r>
      <w:r>
        <w:rPr>
          <w:rFonts w:ascii="Arial" w:cs="Arial" w:eastAsia="Arial" w:hAnsi="Arial"/>
          <w:sz w:val="17"/>
          <w:szCs w:val="17"/>
          <w:u w:val="single" w:color="auto"/>
          <w:color w:val="auto"/>
        </w:rPr>
        <w:t>First Merger</w:t>
      </w:r>
      <w:r>
        <w:rPr>
          <w:rFonts w:ascii="Arial" w:cs="Arial" w:eastAsia="Arial" w:hAnsi="Arial"/>
          <w:sz w:val="17"/>
          <w:szCs w:val="17"/>
          <w:color w:val="auto"/>
        </w:rPr>
        <w:t>”), (ii) in connection with the First Merger, the Blocker Shareholders’ interests in the Blocker</w:t>
      </w:r>
    </w:p>
    <w:p>
      <w:pPr>
        <w:sectPr>
          <w:pgSz w:w="11900" w:h="16838" w:orient="portrait"/>
          <w:cols w:equalWidth="0" w:num="1">
            <w:col w:w="11000"/>
          </w:cols>
          <w:pgMar w:left="440" w:top="270" w:right="45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were automatically converted into a right to receive shares of the Corporation’s Class A common stock, par value $0.001 per share (the</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and cash to be paid immediately after the consummation of the IPO and (iii) immediately after the First Merger, the Blocker Corporation merged with and into the Corporation with the Corporation as the surviving entity (the “</w:t>
      </w:r>
      <w:r>
        <w:rPr>
          <w:rFonts w:ascii="Arial" w:cs="Arial" w:eastAsia="Arial" w:hAnsi="Arial"/>
          <w:sz w:val="18"/>
          <w:szCs w:val="18"/>
          <w:u w:val="single" w:color="auto"/>
          <w:color w:val="auto"/>
        </w:rPr>
        <w:t>Second Merger</w:t>
      </w:r>
      <w:r>
        <w:rPr>
          <w:rFonts w:ascii="Arial" w:cs="Arial" w:eastAsia="Arial" w:hAnsi="Arial"/>
          <w:sz w:val="18"/>
          <w:szCs w:val="18"/>
          <w:color w:val="auto"/>
        </w:rPr>
        <w:t>”, and together with the First Merger, the “</w:t>
      </w:r>
      <w:r>
        <w:rPr>
          <w:rFonts w:ascii="Arial" w:cs="Arial" w:eastAsia="Arial" w:hAnsi="Arial"/>
          <w:sz w:val="18"/>
          <w:szCs w:val="18"/>
          <w:u w:val="single" w:color="auto"/>
          <w:color w:val="auto"/>
        </w:rPr>
        <w:t>Blocker Mergers</w:t>
      </w:r>
      <w:r>
        <w:rPr>
          <w:rFonts w:ascii="Arial" w:cs="Arial" w:eastAsia="Arial" w:hAnsi="Arial"/>
          <w:sz w:val="18"/>
          <w:szCs w:val="18"/>
          <w:color w:val="auto"/>
        </w:rPr>
        <w:t>”);</w:t>
      </w:r>
    </w:p>
    <w:p>
      <w:pPr>
        <w:spacing w:after="0" w:line="19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WHEREAS, on the date hereof, the Corporation issued shares of its Class A Common Stock in an initial public offering of its Class A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WHEREAS, immediately following the consummation of the IPO, the Corporation acquired newly issued Units from GoHealth Holdings using the net proceeds from the IPO (the “</w:t>
      </w:r>
      <w:r>
        <w:rPr>
          <w:rFonts w:ascii="Arial" w:cs="Arial" w:eastAsia="Arial" w:hAnsi="Arial"/>
          <w:sz w:val="18"/>
          <w:szCs w:val="18"/>
          <w:u w:val="single" w:color="auto"/>
          <w:color w:val="auto"/>
        </w:rPr>
        <w:t>Unit Purchase</w:t>
      </w:r>
      <w:r>
        <w:rPr>
          <w:rFonts w:ascii="Arial" w:cs="Arial" w:eastAsia="Arial" w:hAnsi="Arial"/>
          <w:sz w:val="18"/>
          <w:szCs w:val="18"/>
          <w:color w:val="auto"/>
        </w:rPr>
        <w:t>”);</w:t>
      </w:r>
    </w:p>
    <w:p>
      <w:pPr>
        <w:spacing w:after="0" w:line="170"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WHEREAS, immediately following the consummation of the Unit Purchase, GoHealth Holdings used a portion of the net proceeds from the IPO received in connection with the Unit Purchase to redeem certain of the Units held by the Members (the “</w:t>
      </w:r>
      <w:r>
        <w:rPr>
          <w:rFonts w:ascii="Arial" w:cs="Arial" w:eastAsia="Arial" w:hAnsi="Arial"/>
          <w:sz w:val="17"/>
          <w:szCs w:val="17"/>
          <w:u w:val="single" w:color="auto"/>
          <w:color w:val="auto"/>
        </w:rPr>
        <w:t>IPO Unit Redemption</w:t>
      </w:r>
      <w:r>
        <w:rPr>
          <w:rFonts w:ascii="Arial" w:cs="Arial" w:eastAsia="Arial" w:hAnsi="Arial"/>
          <w:sz w:val="17"/>
          <w:szCs w:val="17"/>
          <w:color w:val="auto"/>
        </w:rPr>
        <w:t>”);</w:t>
      </w:r>
    </w:p>
    <w:p>
      <w:pPr>
        <w:spacing w:after="0" w:line="146"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WHEREAS, as a result of the Blocker Mergers, the Corporation will obtain the benefit of the Blocker Transferred Basis (as defined herein) with respect to its share of the Reference Assets (as defined herein) relating to the Units acquired by the Corporation in connection with the Blocker Mergers (the “</w:t>
      </w:r>
      <w:r>
        <w:rPr>
          <w:rFonts w:ascii="Arial" w:cs="Arial" w:eastAsia="Arial" w:hAnsi="Arial"/>
          <w:sz w:val="18"/>
          <w:szCs w:val="18"/>
          <w:u w:val="single" w:color="auto"/>
          <w:color w:val="auto"/>
        </w:rPr>
        <w:t>Blocker Acquired Units</w:t>
      </w:r>
      <w:r>
        <w:rPr>
          <w:rFonts w:ascii="Arial" w:cs="Arial" w:eastAsia="Arial" w:hAnsi="Arial"/>
          <w:sz w:val="18"/>
          <w:szCs w:val="18"/>
          <w:color w:val="auto"/>
        </w:rPr>
        <w:t>”);</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WHEREAS, as a result of the IPO, the Corporation will obtain the benefit of the Existing Basis (as defined herein) with respect to its share of the Reference Assets relating to the Units acquired in the Unit Purchase;</w:t>
      </w:r>
    </w:p>
    <w:p>
      <w:pPr>
        <w:spacing w:after="0" w:line="170" w:lineRule="exact"/>
        <w:rPr>
          <w:sz w:val="20"/>
          <w:szCs w:val="20"/>
          <w:color w:val="auto"/>
        </w:rPr>
      </w:pPr>
    </w:p>
    <w:p>
      <w:pPr>
        <w:ind w:right="40" w:firstLine="991"/>
        <w:spacing w:after="0" w:line="301" w:lineRule="auto"/>
        <w:rPr>
          <w:sz w:val="20"/>
          <w:szCs w:val="20"/>
          <w:color w:val="auto"/>
        </w:rPr>
      </w:pPr>
      <w:r>
        <w:rPr>
          <w:rFonts w:ascii="Arial" w:cs="Arial" w:eastAsia="Arial" w:hAnsi="Arial"/>
          <w:sz w:val="16"/>
          <w:szCs w:val="16"/>
          <w:color w:val="auto"/>
        </w:rPr>
        <w:t>WHEREAS, the Operating Agreement (as defined herein) provides each Member a redemption right pursuant to which each Member may cause GoHealth Holdings to redeem all or a portion of its Units from time to time for shares of Class A Common Stock or, at the Corporation’s option, cash (a “</w:t>
      </w:r>
      <w:r>
        <w:rPr>
          <w:rFonts w:ascii="Arial" w:cs="Arial" w:eastAsia="Arial" w:hAnsi="Arial"/>
          <w:sz w:val="16"/>
          <w:szCs w:val="16"/>
          <w:u w:val="single" w:color="auto"/>
          <w:color w:val="auto"/>
        </w:rPr>
        <w:t>Redemption</w:t>
      </w:r>
      <w:r>
        <w:rPr>
          <w:rFonts w:ascii="Arial" w:cs="Arial" w:eastAsia="Arial" w:hAnsi="Arial"/>
          <w:sz w:val="16"/>
          <w:szCs w:val="16"/>
          <w:color w:val="auto"/>
        </w:rPr>
        <w:t>”), subject to the Corporation’s right, in its sole discretion, to elect to effect a direct exchange of cash or shares of Class A Common Stock for such Units between the Corporation and the applicable Member in lieu of such a Redemption (a “</w:t>
      </w:r>
      <w:r>
        <w:rPr>
          <w:rFonts w:ascii="Arial" w:cs="Arial" w:eastAsia="Arial" w:hAnsi="Arial"/>
          <w:sz w:val="16"/>
          <w:szCs w:val="16"/>
          <w:u w:val="single" w:color="auto"/>
          <w:color w:val="auto"/>
        </w:rPr>
        <w:t>Direct Exchange</w:t>
      </w:r>
      <w:r>
        <w:rPr>
          <w:rFonts w:ascii="Arial" w:cs="Arial" w:eastAsia="Arial" w:hAnsi="Arial"/>
          <w:sz w:val="16"/>
          <w:szCs w:val="16"/>
          <w:color w:val="auto"/>
        </w:rPr>
        <w:t>”);</w:t>
      </w:r>
    </w:p>
    <w:p>
      <w:pPr>
        <w:spacing w:after="0" w:line="15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GoHealth Holdings and each of its Subsidiaries (as defined herein) that is treated as a partnership for U.S. Federal income tax purposes will have in effect an election under Section 754 of the Code (as defined herein) for the Taxable Year (as defined herein) in which any Exchange (as defined herein) occurs, which election will cause any such Exchange to result in an adjustment to the Corporation’s proportionate share of the tax basis of the assets owned by GoHealth Holdings and such Subsidiaries; and</w:t>
      </w:r>
    </w:p>
    <w:p>
      <w:pPr>
        <w:spacing w:after="0" w:line="187" w:lineRule="exact"/>
        <w:rPr>
          <w:sz w:val="20"/>
          <w:szCs w:val="20"/>
          <w:color w:val="auto"/>
        </w:rPr>
      </w:pPr>
    </w:p>
    <w:p>
      <w:pPr>
        <w:ind w:right="240" w:firstLine="991"/>
        <w:spacing w:after="0" w:line="342" w:lineRule="auto"/>
        <w:rPr>
          <w:sz w:val="20"/>
          <w:szCs w:val="20"/>
          <w:color w:val="auto"/>
        </w:rPr>
      </w:pPr>
      <w:r>
        <w:rPr>
          <w:rFonts w:ascii="Arial" w:cs="Arial" w:eastAsia="Arial" w:hAnsi="Arial"/>
          <w:sz w:val="16"/>
          <w:szCs w:val="16"/>
          <w:color w:val="auto"/>
        </w:rPr>
        <w:t>WHEREAS, the parties to this Agreement desire to provide for certain payments and make certain arrangements with respect to any tax benefits to be derived by the Corporation as the result of Tax Attributes (as defined herein) and the making of payments under this Agreement.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98" w:name="page99"/>
    <w:bookmarkEnd w:id="98"/>
    <w:p>
      <w:pPr>
        <w:ind w:right="2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 in consideration of the foregoing and the respective covenants and agreements set forth herein, the parties hereto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terms set forth in this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shall have the following meanings (such meanings to be equally applicable to (i) the singular and plural, (ii) the active and passive and (iii) for defined terms that are nouns, the verbified forms of the terms defined).</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Tax Liability</w:t>
      </w:r>
      <w:r>
        <w:rPr>
          <w:rFonts w:ascii="Arial" w:cs="Arial" w:eastAsia="Arial" w:hAnsi="Arial"/>
          <w:sz w:val="18"/>
          <w:szCs w:val="18"/>
          <w:color w:val="auto"/>
        </w:rPr>
        <w:t xml:space="preserve">” means, with respect to any Taxable Year, the liability for Covered Taxes of the Corporation (a) appearing on Tax Returns of the Corporation for such Taxable Year or (b) if applicable, determined in accordance with a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that for purposes of determining Actual Tax Liability, the Corporation shall use the Assumed State and Local Tax Rate for purposes of determining liabilities for all state and local Covered Taxes.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Advisory Firm</w:t>
      </w:r>
      <w:r>
        <w:rPr>
          <w:rFonts w:ascii="Arial" w:cs="Arial" w:eastAsia="Arial" w:hAnsi="Arial"/>
          <w:sz w:val="17"/>
          <w:szCs w:val="17"/>
          <w:color w:val="auto"/>
        </w:rPr>
        <w:t>” means an accounting firm that is nationally recognized as being expert in Covered Tax matters, selected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is defined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Amount Realized</w:t>
      </w:r>
      <w:r>
        <w:rPr>
          <w:rFonts w:ascii="Arial" w:cs="Arial" w:eastAsia="Arial" w:hAnsi="Arial"/>
          <w:sz w:val="18"/>
          <w:szCs w:val="18"/>
          <w:color w:val="auto"/>
        </w:rPr>
        <w:t>” means, with respect to any Exchange at any time, the sum of (i) the Market Value of the shares of Class A Common Stock or the amount of cash (as applicable) transferred to a Member pursuant to such Exchange, (ii) the amount of payments made pursuant to this Agreement with respect to such Exchange (but excluding any portions thereof attributable to Imputed Interest) and (iii) the amount of liabilities allocated to the Units acquired pursuant to the Exchange under Section 752 of the Code.</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Assumed State and Local Tax Rate</w:t>
      </w:r>
      <w:r>
        <w:rPr>
          <w:rFonts w:ascii="Arial" w:cs="Arial" w:eastAsia="Arial" w:hAnsi="Arial"/>
          <w:sz w:val="16"/>
          <w:szCs w:val="16"/>
          <w:color w:val="auto"/>
        </w:rPr>
        <w:t xml:space="preserve">” means the tax rate equal to the product of (i) the Corporation’s income tax apportionment factor for each state and local jurisdiction in which the Corporation files income or franchise tax returns for the relevant Taxable Year and (ii) the highest corporate income and franchise tax rate(s) for each such state and local jurisdiction in which the Corporation files income tax returns for each relevant Taxable Year; </w:t>
      </w:r>
      <w:r>
        <w:rPr>
          <w:rFonts w:ascii="Arial" w:cs="Arial" w:eastAsia="Arial" w:hAnsi="Arial"/>
          <w:sz w:val="16"/>
          <w:szCs w:val="16"/>
          <w:u w:val="single" w:color="auto"/>
          <w:color w:val="auto"/>
        </w:rPr>
        <w:t>provided</w:t>
      </w:r>
      <w:r>
        <w:rPr>
          <w:rFonts w:ascii="Arial" w:cs="Arial" w:eastAsia="Arial" w:hAnsi="Arial"/>
          <w:sz w:val="16"/>
          <w:szCs w:val="16"/>
          <w:color w:val="auto"/>
        </w:rPr>
        <w:t>, that the Assumed State and Local Tax Rate calculated pursuant to the foregoing shall be reduced by the assumed federal benefit received by the Corporation with respect to state and local jurisdiction income taxes (with such benefit calculated as the product of (A) the Corporation’s marginal U.S. Federal income tax rate for the relevant Taxable Year and (B) the Assumed State and Local Tax Rate (without regard to this proviso)).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99" w:name="page100"/>
    <w:bookmarkEnd w:id="9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Attributable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 Committee</w:t>
      </w:r>
      <w:r>
        <w:rPr>
          <w:rFonts w:ascii="Arial" w:cs="Arial" w:eastAsia="Arial" w:hAnsi="Arial"/>
          <w:sz w:val="18"/>
          <w:szCs w:val="18"/>
          <w:color w:val="auto"/>
        </w:rPr>
        <w:t>” means the audit committee of the Board.</w:t>
      </w:r>
    </w:p>
    <w:p>
      <w:pPr>
        <w:spacing w:after="0" w:line="225"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Adjustment</w:t>
      </w:r>
      <w:r>
        <w:rPr>
          <w:rFonts w:ascii="Arial" w:cs="Arial" w:eastAsia="Arial" w:hAnsi="Arial"/>
          <w:sz w:val="18"/>
          <w:szCs w:val="18"/>
          <w:color w:val="auto"/>
        </w:rPr>
        <w:t>” means the increase or decrease to, or the Corporation’s proportionate share of, the tax basis of the Reference Assets under Section 732, 734(b), 743(b) or 1012 of the Code (or any similar provisions of state, local or foreign tax Law) as a result of any Exchange or any payment made under this Agreement. For purposes of determining the Corporation’s proportionate share of the tax basis of the Reference Assets with respect to the Units transferred in an Exchange under Treasury Regulations Section 1.743-1(b) (or any similar provisions of state, local or foreign tax Law), the consideration paid by the Corporation for such Units shall be the Amount Realized. Notwithstanding any other provision of this Agreement, the amount of any Basis Adjustment resulting from an Exchange of one or more Units is to be determined as if any Pre-Exchange Transfer of such Units had not occurred.</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means, with respect to any security, a Person who directly or indirectly, through any contract, arrangement, understanding, relationship or otherwise, has or shares (i) voting power, which includes the power to vote, or to direct the voting of, with respect to such security or (ii) investment power, which includes the power to dispose of, or to direct the disposition of, such security.</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Acquired Units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Corporation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Shareholders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Blocker Transferred Basis</w:t>
      </w:r>
      <w:r>
        <w:rPr>
          <w:rFonts w:ascii="Arial" w:cs="Arial" w:eastAsia="Arial" w:hAnsi="Arial"/>
          <w:sz w:val="16"/>
          <w:szCs w:val="16"/>
          <w:color w:val="auto"/>
        </w:rPr>
        <w:t xml:space="preserve">” means (i) the Corporation’s proportionate share (determined by reference to the Blocker Corporation’s pro rata share in accordance with percentage interest of Units held immediately after the Recapitalization and prior to the Blocker Mergers and the IPO) of the GoHealth Holdings Group’s tax basis in the Reference Assets that are amortizable under Section 197 of the Code and reported as amortizable on IRS Form 4562 for U.S. Federal income tax purposes (without taking into account Section 704(c) of the Code) corresponding to the Blocker Acquired Units acquired by the Corporation in the Blocker Mergers and (ii) any increase or decrease to such tax basis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under Section 743(b) of the Code (or any similar provision of state, local or foreign tax Law) as a result of (A) the Blocker Mergers, calculated, for the avoidance doubt, without regard to any increase or decrease to such tax basis under Section 743(b) of the Code as a result of any transaction in respect of the Blocker Acquired Units occurring prior the Blocker Mergers pursuant to Treasury Regulations Section 1.743-1(f) and (B) any payment under the Contingent Notes.</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0" w:name="page101"/>
    <w:bookmarkEnd w:id="100"/>
    <w:p>
      <w:pPr>
        <w:ind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or a Sunday or a day on which banks located in New York City, New York generally are authorized or required by Law to close.</w:t>
      </w:r>
    </w:p>
    <w:p>
      <w:pPr>
        <w:spacing w:after="0" w:line="170" w:lineRule="exact"/>
        <w:rPr>
          <w:sz w:val="20"/>
          <w:szCs w:val="20"/>
          <w:color w:val="auto"/>
        </w:rPr>
      </w:pPr>
    </w:p>
    <w:p>
      <w:pPr>
        <w:ind w:right="4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Centerbridge</w:t>
      </w:r>
      <w:r>
        <w:rPr>
          <w:rFonts w:ascii="Arial" w:cs="Arial" w:eastAsia="Arial" w:hAnsi="Arial"/>
          <w:sz w:val="18"/>
          <w:szCs w:val="18"/>
          <w:color w:val="auto"/>
        </w:rPr>
        <w:t>” means Blizzard Aggregator, LLC, a Delaware limited liability company, CB Blizzard, CCP III AIV and each of their respective Permitted Transferees.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40" w:right="100" w:firstLine="948"/>
        <w:spacing w:after="0" w:line="291" w:lineRule="auto"/>
        <w:tabs>
          <w:tab w:leader="none" w:pos="1607"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“person” or “group” (within the meaning of Sections 13(d) and 14(d) of the Exchange Act but excluding any (A) employee benefit plan of such person and its subsidiaries, and any person or entity acting in its capacity as trustee, agent or other fiduciary or administrator of any such plan) or (B) “person” or “group” who, on the date of the consummation of the IPO, is the Beneficial Owner of securities of the Corporation representing more than 50% of the combined voting power of the Corporation’s then outstanding voting securities)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50% of the voting power of all of the outstanding shares of capital stock of the Corporation entitled to vote;</w:t>
      </w:r>
    </w:p>
    <w:p>
      <w:pPr>
        <w:spacing w:after="0" w:line="58" w:lineRule="exact"/>
        <w:rPr>
          <w:rFonts w:ascii="Arial" w:cs="Arial" w:eastAsia="Arial" w:hAnsi="Arial"/>
          <w:sz w:val="16"/>
          <w:szCs w:val="16"/>
          <w:color w:val="auto"/>
        </w:rPr>
      </w:pPr>
    </w:p>
    <w:p>
      <w:pPr>
        <w:ind w:left="440" w:firstLine="948"/>
        <w:spacing w:after="0" w:line="311" w:lineRule="auto"/>
        <w:tabs>
          <w:tab w:leader="none" w:pos="1657"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stockholders of the Corporation approve a plan of complete liquidation or dissolution of the Corporation or there is consummated a transaction or series of related transactions for the sale, lease, exchange or other disposition, directly or indirectly, by the Corporation of all or substantially all of the Corporation’s assets (including a sale of all or substantially all of the assets of GoHealth Holdings); or</w:t>
      </w:r>
    </w:p>
    <w:p>
      <w:pPr>
        <w:spacing w:after="0" w:line="40" w:lineRule="exact"/>
        <w:rPr>
          <w:rFonts w:ascii="Arial" w:cs="Arial" w:eastAsia="Arial" w:hAnsi="Arial"/>
          <w:sz w:val="16"/>
          <w:szCs w:val="16"/>
          <w:color w:val="auto"/>
        </w:rPr>
      </w:pPr>
    </w:p>
    <w:p>
      <w:pPr>
        <w:ind w:left="1700" w:hanging="312"/>
        <w:spacing w:after="0"/>
        <w:tabs>
          <w:tab w:leader="none" w:pos="17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Corporation ceases to be the sole managing member of GoHealth Holdings.</w:t>
      </w:r>
    </w:p>
    <w:p>
      <w:pPr>
        <w:spacing w:after="0" w:line="22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Notwithstanding the foregoing, a “Change of Control” shall not be deemed to have occurred by virtue of the consummation of any transaction or series of related transactions immediately following which the beneficial owners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Common Stock</w:t>
      </w:r>
      <w:r>
        <w:rPr>
          <w:rFonts w:ascii="Arial" w:cs="Arial" w:eastAsia="Arial" w:hAnsi="Arial"/>
          <w:sz w:val="18"/>
          <w:szCs w:val="18"/>
          <w:color w:val="auto"/>
        </w:rPr>
        <w:t>” means the Class B common stock, par value $0.001 per share, of the Corporation.</w:t>
      </w:r>
    </w:p>
    <w:p>
      <w:pPr>
        <w:spacing w:after="0" w:line="225" w:lineRule="exact"/>
        <w:rPr>
          <w:sz w:val="20"/>
          <w:szCs w:val="20"/>
          <w:color w:val="auto"/>
        </w:rPr>
      </w:pPr>
    </w:p>
    <w:p>
      <w:pPr>
        <w:ind w:right="4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U.S. Internal Revenue Code of 1986, as amended. Unless the context requires otherwise, any reference herein to a specific section of the Code shall be deemed to include any corresponding provisions of future Law as in effect for the relevant taxable period.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01" w:name="page102"/>
    <w:bookmarkEnd w:id="10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Contingent Notes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direct or indirect possession of the power to direct or cause the direction of the management or policies of a Person, whether through ownership of voting securities, by contract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Taxes</w:t>
      </w:r>
      <w:r>
        <w:rPr>
          <w:rFonts w:ascii="Arial" w:cs="Arial" w:eastAsia="Arial" w:hAnsi="Arial"/>
          <w:sz w:val="18"/>
          <w:szCs w:val="18"/>
          <w:color w:val="auto"/>
        </w:rPr>
        <w:t>” means any U.S. Federal, state and local and foreign taxes, assessments or similar charges that are based on or measured with respect to net income or profits and any interest imposed in respect thereof under applicable Law.</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 Interest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any similar provisions of state, local or foreign tax Law, as applicable, or any other event (including the execution of IRS Form 870-AD) that finally and conclusively establishes the amount of any liability for tax.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 Exchange</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Effective Date</w:t>
      </w:r>
      <w:r>
        <w:rPr>
          <w:rFonts w:ascii="Arial" w:cs="Arial" w:eastAsia="Arial" w:hAnsi="Arial"/>
          <w:sz w:val="18"/>
          <w:szCs w:val="18"/>
          <w:color w:val="auto"/>
        </w:rPr>
        <w:t xml:space="preserve">” means (i) with respect to an early termination pursuant to </w:t>
      </w:r>
      <w:r>
        <w:rPr>
          <w:rFonts w:ascii="Arial" w:cs="Arial" w:eastAsia="Arial" w:hAnsi="Arial"/>
          <w:sz w:val="18"/>
          <w:szCs w:val="18"/>
          <w:u w:val="single" w:color="auto"/>
          <w:color w:val="auto"/>
        </w:rPr>
        <w:t>Section 4.1(a)</w:t>
      </w:r>
      <w:r>
        <w:rPr>
          <w:rFonts w:ascii="Arial" w:cs="Arial" w:eastAsia="Arial" w:hAnsi="Arial"/>
          <w:sz w:val="18"/>
          <w:szCs w:val="18"/>
          <w:color w:val="auto"/>
        </w:rPr>
        <w:t xml:space="preserve">, the date an Early Termination Notice is delivered, (ii) with respect to an early termination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the date of the applicable Change of Control and (iii) with respect to an early termination pursuant to </w:t>
      </w:r>
      <w:r>
        <w:rPr>
          <w:rFonts w:ascii="Arial" w:cs="Arial" w:eastAsia="Arial" w:hAnsi="Arial"/>
          <w:sz w:val="18"/>
          <w:szCs w:val="18"/>
          <w:u w:val="single" w:color="auto"/>
          <w:color w:val="auto"/>
        </w:rPr>
        <w:t>Section 4.1(c)</w:t>
      </w:r>
      <w:r>
        <w:rPr>
          <w:rFonts w:ascii="Arial" w:cs="Arial" w:eastAsia="Arial" w:hAnsi="Arial"/>
          <w:sz w:val="18"/>
          <w:szCs w:val="18"/>
          <w:color w:val="auto"/>
        </w:rPr>
        <w:t>, the date of the applicable Material Breach.</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Reference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4.2(b)</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means (i) any Direct Exchange, (ii) any Redemption, (iii) any transaction using proceeds from the IPO or the Over-Allotment Option (as defined in the Operating Agreement), including the IPO Unit Redemption, that results in a Basis Adjustment or (iv) any distribution (including a deemed distribution) by GoHealth Holdings to a Member that results in a Basis Adjustment.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2" w:name="page103"/>
    <w:bookmarkEnd w:id="102"/>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and Exchange Act of 1934, as amended, and applicable rules and regulations thereunder, and any successor to such statute, rules or regulations.</w:t>
      </w:r>
    </w:p>
    <w:p>
      <w:pPr>
        <w:spacing w:after="0" w:line="170"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Basis</w:t>
      </w:r>
      <w:r>
        <w:rPr>
          <w:rFonts w:ascii="Arial" w:cs="Arial" w:eastAsia="Arial" w:hAnsi="Arial"/>
          <w:sz w:val="18"/>
          <w:szCs w:val="18"/>
          <w:color w:val="auto"/>
        </w:rPr>
        <w:t>” means the Corporation’s proportionate share of the GoHealth Holding Group’s tax basis in the Reference Assets that are amortizable under Section 197 of the Code and reported as amortizable on IRS Form 4562 for U.S. Federal income tax purposes (without taking into account Section 704(c) of the Code) arising from an Exchange.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Basis</w:t>
      </w:r>
      <w:r>
        <w:rPr>
          <w:rFonts w:ascii="Arial" w:cs="Arial" w:eastAsia="Arial" w:hAnsi="Arial"/>
          <w:sz w:val="18"/>
          <w:szCs w:val="18"/>
          <w:color w:val="auto"/>
        </w:rPr>
        <w:t>” means (i) the Corporation’s proportionate share of the GoHealth Holdings Group’s tax basis in the Reference Assets (other than the Blocker Transferred Basis) held by the GoHealth Holdings Group at the time of the IPO that are amortizable under Section 197 of the Code and reported as amortizable on IRS Form 4562 for U.S. Federal income tax purposes (without taking into account Section 704(c) of the Code) corresponding to (A) the Units acquired by the Corporation in the Unit Purchase at the time of the IPO or (B) any Units acquired by the Corporation after the IPO (other than any Units acquired (or deemed acquired) by the Corporation in connection with a Redemption, Direct Exchange or other transaction treated as a direct purchase of Units by the Corporation from a Member pursuant to Section 707(a)(2)(B) of the Code) (such acquisition of Units, a “</w:t>
      </w:r>
      <w:r>
        <w:rPr>
          <w:rFonts w:ascii="Arial" w:cs="Arial" w:eastAsia="Arial" w:hAnsi="Arial"/>
          <w:sz w:val="18"/>
          <w:szCs w:val="18"/>
          <w:u w:val="single" w:color="auto"/>
          <w:color w:val="auto"/>
        </w:rPr>
        <w:t>Subsequent Capital Contribution</w:t>
      </w:r>
      <w:r>
        <w:rPr>
          <w:rFonts w:ascii="Arial" w:cs="Arial" w:eastAsia="Arial" w:hAnsi="Arial"/>
          <w:sz w:val="18"/>
          <w:szCs w:val="18"/>
          <w:color w:val="auto"/>
        </w:rPr>
        <w:t xml:space="preserve">”) and (ii) any increase or decrease (if any) to such tax basis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under Section 732, 734(b), 743(b) or 1012 of the Code (or any similar provisions of state, local or foreign tax Law) as a result of the entry into this Agreement and any such Unit acquisition.</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Payment Date</w:t>
      </w:r>
      <w:r>
        <w:rPr>
          <w:rFonts w:ascii="Arial" w:cs="Arial" w:eastAsia="Arial" w:hAnsi="Arial"/>
          <w:sz w:val="18"/>
          <w:szCs w:val="18"/>
          <w:color w:val="auto"/>
        </w:rPr>
        <w:t xml:space="preserve">” means any date on which a Payment is required to be made pursuant to this Agreement. The Final Payment Date in respect of (i) a Tax Benefit Payment is determined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(ii) an Early Termination Payment is determined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GoHealth Holdings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GoHealth Holdings Group</w:t>
      </w:r>
      <w:r>
        <w:rPr>
          <w:rFonts w:ascii="Arial" w:cs="Arial" w:eastAsia="Arial" w:hAnsi="Arial"/>
          <w:sz w:val="18"/>
          <w:szCs w:val="18"/>
          <w:color w:val="auto"/>
        </w:rPr>
        <w:t>” means GoHealth Holdings and each of its direct or indirect Subsidiaries that is treated as a partnership or disregarded entity for applicable tax purposes (but excluding any such Subsidiary that is directly or indirectly held by any entity treated as a corporation for applicable tax purposes (other than the Corporation)).</w:t>
      </w:r>
    </w:p>
    <w:p>
      <w:pPr>
        <w:spacing w:after="0" w:line="184"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Hypothetical Tax Liability</w:t>
      </w:r>
      <w:r>
        <w:rPr>
          <w:rFonts w:ascii="Arial" w:cs="Arial" w:eastAsia="Arial" w:hAnsi="Arial"/>
          <w:sz w:val="16"/>
          <w:szCs w:val="16"/>
          <w:color w:val="auto"/>
        </w:rPr>
        <w:t>” means, with respect to any Taxable Year, the hypothetical liability of the Corporation that would arise in respect of Covered Taxes, using the same methods, elections, conventions and similar practices used on the actual relevant Tax Returns of the Corporation but (i) calculating depreciation, amortization or other similar deductions, or otherwise calculating any items of income, gain or loss, using the Corporation’s proportionate share of (A) the Non-Blocker Transferred Basis as reflected on the Basis Schedule, including amendments thereto, for such Taxable Year, (B) the Non-Existing Basis as reflected on the Basis Schedule, including amendments thereto, for such Taxable Year, (C) the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103" w:name="page104"/>
    <w:bookmarkEnd w:id="103"/>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Non-Exchange Basis as reflected on the Basis Schedule, including amendments thereto, for such Taxable Year and (D) the Non-Adjusted Tax Basis as reflected on the Basis Schedule, including amendments thereto, for such Taxable Year and (ii) excluding any deduction attributable to Imputed Interest for such Taxable Year;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determining the Hypothetical Tax Liability, the combined tax rate for U.S. state and local Covered Taxes (but not, for the avoidance of doubt, federal Covered Taxes) shall be the Assumed State and Local Tax Rate. For the avoidance of doubt, the Hypothetical Tax Liability shall be determined without taking into account the carryover or carryback of any tax item (or portions thereof) that is attributable to any of the items described in </w:t>
      </w:r>
      <w:r>
        <w:rPr>
          <w:rFonts w:ascii="Arial" w:cs="Arial" w:eastAsia="Arial" w:hAnsi="Arial"/>
          <w:sz w:val="17"/>
          <w:szCs w:val="17"/>
          <w:u w:val="single" w:color="auto"/>
          <w:color w:val="auto"/>
        </w:rPr>
        <w:t>clauses (i) or (ii)</w:t>
      </w:r>
      <w:r>
        <w:rPr>
          <w:rFonts w:ascii="Arial" w:cs="Arial" w:eastAsia="Arial" w:hAnsi="Arial"/>
          <w:sz w:val="17"/>
          <w:szCs w:val="17"/>
          <w:color w:val="auto"/>
        </w:rPr>
        <w:t xml:space="preserve"> of the previous sentence.</w:t>
      </w:r>
    </w:p>
    <w:p>
      <w:pPr>
        <w:spacing w:after="0" w:line="178" w:lineRule="exact"/>
        <w:rPr>
          <w:sz w:val="20"/>
          <w:szCs w:val="20"/>
          <w:color w:val="auto"/>
        </w:rPr>
      </w:pPr>
    </w:p>
    <w:p>
      <w:pPr>
        <w:ind w:right="6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Imputed Interest</w:t>
      </w:r>
      <w:r>
        <w:rPr>
          <w:rFonts w:ascii="Arial" w:cs="Arial" w:eastAsia="Arial" w:hAnsi="Arial"/>
          <w:sz w:val="17"/>
          <w:szCs w:val="17"/>
          <w:color w:val="auto"/>
        </w:rPr>
        <w:t>” means any interest imputed under Section 483, 1272 or 1274 or any other provision of the Code or any similar provisions of state, local or foreign tax Law with respect to the Corporation’s payment obligations under this Agreement.</w:t>
      </w:r>
    </w:p>
    <w:p>
      <w:pPr>
        <w:spacing w:after="0" w:line="146"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of the principal U.S. securities exchange on which the Class A Common Stock is traded or quoted.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Amount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Unit Redemption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Requirement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7.5(a)</w:t>
      </w:r>
      <w:r>
        <w:rPr>
          <w:rFonts w:ascii="Arial" w:cs="Arial" w:eastAsia="Arial" w:hAnsi="Arial"/>
          <w:sz w:val="18"/>
          <w:szCs w:val="18"/>
          <w:color w:val="auto"/>
        </w:rPr>
        <w:t>.</w:t>
      </w:r>
    </w:p>
    <w:p>
      <w:pPr>
        <w:spacing w:after="0" w:line="225"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all laws, statutes, ordinances, rules and regulations of the U.S., any foreign country and each state, commonwealth, city, county, municipality, regulatory or self-regulatory body, agency or other political subdivision thereof.</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means, during any period, a rate per annum equal to the London interbank offered rate as administered by the ICE Benchmark Administration (or any other Person that takes over the administration of such rate) for deposits in dollars for a period of one month (for delivery on the first day of such period), as published on the applicable Reuters screen page (or such other commercially available source providing quotations of such rate as may be designated by the Corporation from time to time in its reasonable discretion) at approximately 11:00 a.m., London time, 2 Business Days prior to the commencement of such period.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Value</w:t>
      </w:r>
      <w:r>
        <w:rPr>
          <w:rFonts w:ascii="Arial" w:cs="Arial" w:eastAsia="Arial" w:hAnsi="Arial"/>
          <w:sz w:val="18"/>
          <w:szCs w:val="18"/>
          <w:color w:val="auto"/>
        </w:rPr>
        <w:t>” means the Common Unit Redemption Price, as defined in the Operating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104" w:name="page105"/>
    <w:bookmarkEnd w:id="104"/>
    <w:p>
      <w:pPr>
        <w:ind w:right="2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Material Breach</w:t>
      </w:r>
      <w:r>
        <w:rPr>
          <w:rFonts w:ascii="Arial" w:cs="Arial" w:eastAsia="Arial" w:hAnsi="Arial"/>
          <w:sz w:val="18"/>
          <w:szCs w:val="18"/>
          <w:color w:val="auto"/>
        </w:rPr>
        <w:t>” means the (i) material breach by the Corporation of a material obligation under this Agreement or (ii) the rejection of this Agreement by operation of law in a case commenced in bankruptcy or otherwise.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3.1(b)(ii)</w:t>
      </w:r>
      <w:r>
        <w:rPr>
          <w:rFonts w:ascii="Arial" w:cs="Arial" w:eastAsia="Arial" w:hAnsi="Arial"/>
          <w:sz w:val="18"/>
          <w:szCs w:val="18"/>
          <w:color w:val="auto"/>
        </w:rPr>
        <w:t>.</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Non-Adjusted Tax Basis</w:t>
      </w:r>
      <w:r>
        <w:rPr>
          <w:rFonts w:ascii="Arial" w:cs="Arial" w:eastAsia="Arial" w:hAnsi="Arial"/>
          <w:sz w:val="18"/>
          <w:szCs w:val="18"/>
          <w:color w:val="auto"/>
        </w:rPr>
        <w:t>” means, with respect to any Reference Asset of the GoHealth Holdings Group at any time, the tax basis that such asset would have had at such time if no Basis Adjustments had been made.</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Non-Blocker Transferred Basis</w:t>
      </w:r>
      <w:r>
        <w:rPr>
          <w:rFonts w:ascii="Arial" w:cs="Arial" w:eastAsia="Arial" w:hAnsi="Arial"/>
          <w:sz w:val="18"/>
          <w:szCs w:val="18"/>
          <w:color w:val="auto"/>
        </w:rPr>
        <w:t>” means, with respect to any Reference Asset at the time of the Blocker Mergers that is amortizable under Section 197 of the Code and reported as amortizable on IRS Form 4562 for U.S. Federal income tax purposes, the tax basis that such Reference Asset would have had if the Blocker Transferred Basis at the time of the Blocker Mergers was equal to zero.</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Non-Exchange Basis</w:t>
      </w:r>
      <w:r>
        <w:rPr>
          <w:rFonts w:ascii="Arial" w:cs="Arial" w:eastAsia="Arial" w:hAnsi="Arial"/>
          <w:sz w:val="18"/>
          <w:szCs w:val="18"/>
          <w:color w:val="auto"/>
        </w:rPr>
        <w:t>” means, with respect to any Reference Asset at the time of an Exchange that is amortizable under Section 197 of the Code and reported as amortizable on IRS Form 4562 for U.S. Federal income tax purposes, the tax basis that such Reference Asset would have had if the Exchange Basis at the time of such Exchange was equal to zero.</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Non-Existing Basis</w:t>
      </w:r>
      <w:r>
        <w:rPr>
          <w:rFonts w:ascii="Arial" w:cs="Arial" w:eastAsia="Arial" w:hAnsi="Arial"/>
          <w:sz w:val="18"/>
          <w:szCs w:val="18"/>
          <w:color w:val="auto"/>
        </w:rPr>
        <w:t>” means, with respect to any Reference Asset at the time of the IPO that is amortizable under Section 197 of the Code and reported as amortizable on IRS Form 4562 for U.S. Federal income tax purposes, the tax basis that such Reference Asset would have had if the Existing Basis at the time of the IPO (or, in the case of any adjustments as a result of the Unit Purchase and the entry into this Agreement, at the time of the Unit Purchase) or a Subsequent Capital Contribution, as applicable was equal to zero.</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NVX Holdings</w:t>
      </w:r>
      <w:r>
        <w:rPr>
          <w:rFonts w:ascii="Arial" w:cs="Arial" w:eastAsia="Arial" w:hAnsi="Arial"/>
          <w:sz w:val="18"/>
          <w:szCs w:val="18"/>
          <w:color w:val="auto"/>
        </w:rPr>
        <w:t>” means NVX Holdings, Inc., a Delaware corporation, and its Permitted Transferees.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Objection Notice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2.4(a)(ii)</w:t>
      </w:r>
      <w:r>
        <w:rPr>
          <w:rFonts w:ascii="Arial" w:cs="Arial" w:eastAsia="Arial" w:hAnsi="Arial"/>
          <w:sz w:val="18"/>
          <w:szCs w:val="18"/>
          <w:color w:val="auto"/>
        </w:rPr>
        <w:t>.</w:t>
      </w:r>
    </w:p>
    <w:p>
      <w:pPr>
        <w:spacing w:after="0" w:line="225"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Agreement</w:t>
      </w:r>
      <w:r>
        <w:rPr>
          <w:rFonts w:ascii="Arial" w:cs="Arial" w:eastAsia="Arial" w:hAnsi="Arial"/>
          <w:sz w:val="16"/>
          <w:szCs w:val="16"/>
          <w:color w:val="auto"/>
        </w:rPr>
        <w:t>” means that certain Second Amended and Restated Limited Liability Company Agreement of GoHealth Holdings, dated as of the date hereof, as such agreement may be further amended, restated, supplemented or otherwise modified from time to time.</w:t>
      </w:r>
    </w:p>
    <w:p>
      <w:pPr>
        <w:spacing w:after="0" w:line="124" w:lineRule="exact"/>
        <w:rPr>
          <w:sz w:val="20"/>
          <w:szCs w:val="20"/>
          <w:color w:val="auto"/>
        </w:rPr>
      </w:pPr>
    </w:p>
    <w:p>
      <w:pPr>
        <w:ind w:right="9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means the parties named on the signature pages to this agreement and each additional party that satisfies the Joinder Requirement, in each case with their respective successors and assigns.</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means any Tax Benefit Payment or Early Termination Payment and in each case, unless otherwise specified, refers to the entire amount of such Payment or any portion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05" w:name="page106"/>
    <w:bookmarkEnd w:id="10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 holder of Units pursuant to any transfer of such Units permitted by the Operating Agreement.</w:t>
      </w:r>
    </w:p>
    <w:p>
      <w:pPr>
        <w:spacing w:after="0" w:line="225"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right="1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Pre-Exchange Transfer</w:t>
      </w:r>
      <w:r>
        <w:rPr>
          <w:rFonts w:ascii="Arial" w:cs="Arial" w:eastAsia="Arial" w:hAnsi="Arial"/>
          <w:sz w:val="17"/>
          <w:szCs w:val="17"/>
          <w:color w:val="auto"/>
        </w:rPr>
        <w:t>” means any transfer (or deemed transfer) of one or more Units (i) that occurs after the consummation of the IPO but prior to an Exchange of such Units and (ii) to which Section 743(b) of the Code applies, excluding the IPO Unit Redemption.</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3.1(b)(iv)</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3.1(b)(v)</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Recapitalization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7.8(a)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Asset</w:t>
      </w:r>
      <w:r>
        <w:rPr>
          <w:rFonts w:ascii="Arial" w:cs="Arial" w:eastAsia="Arial" w:hAnsi="Arial"/>
          <w:sz w:val="18"/>
          <w:szCs w:val="18"/>
          <w:color w:val="auto"/>
        </w:rPr>
        <w:t>” means any asset of any member of the GoHealth Holdings Group on the relevant date of determination under this Agreement (including at the time of an Exchange, the Blocker Mergers and the IPO, as applicable). A Reference Asset also includes any asset the tax basis of which is determined, in whole or in part, by reference to the tax basis of an asset that is described in the preceding sentence, including “substituted basis property” within the meaning of Section 7701(a)(42) of the Code.</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w:t>
      </w:r>
      <w:r>
        <w:rPr>
          <w:rFonts w:ascii="Arial" w:cs="Arial" w:eastAsia="Arial" w:hAnsi="Arial"/>
          <w:sz w:val="18"/>
          <w:szCs w:val="18"/>
          <w:color w:val="auto"/>
        </w:rPr>
        <w:t>” means any of the following: (i) a Basis Schedule, (ii) a Tax Benefit Schedule, (iii) an Early Termination Schedule and (iv) any Amended Schedule.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Obligations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Capital Contribution</w:t>
      </w:r>
      <w:r>
        <w:rPr>
          <w:rFonts w:ascii="Arial" w:cs="Arial" w:eastAsia="Arial" w:hAnsi="Arial"/>
          <w:sz w:val="18"/>
          <w:szCs w:val="18"/>
          <w:color w:val="auto"/>
        </w:rPr>
        <w:t>” is defined in the definition of Existing Basis.</w:t>
      </w:r>
    </w:p>
    <w:p>
      <w:pPr>
        <w:spacing w:after="0" w:line="225"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and as of any determination date, any other Person as to which such first Person (i) owns, directly or indirectly, or otherwise controls, more than 50% of the voting power or other similar interests of such other Person or (ii) is the sole general partner interest, or managing member or similar interest, of such other Person.</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Attributes</w:t>
      </w:r>
      <w:r>
        <w:rPr>
          <w:rFonts w:ascii="Arial" w:cs="Arial" w:eastAsia="Arial" w:hAnsi="Arial"/>
          <w:sz w:val="18"/>
          <w:szCs w:val="18"/>
          <w:color w:val="auto"/>
        </w:rPr>
        <w:t xml:space="preserve">” means the (i) Blocker Transferred Basis, (ii) Existing Basis, (iii) Exchange Basis, (iv) Basis Adjustments and (v) Imputed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it is intended that the provisions of this Agreement will not result in duplication among the respective Tax Attributes, and the definitions of each such Tax Attribute shall be consistently interpreted and applied in accordance with that intent.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106" w:name="page107"/>
    <w:bookmarkEnd w:id="1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Tax Benefit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return, declaration, report or similar statement filed or required to be filed with respect to taxes (including any attached schedules), including any information return, claim for refund, amended return and declaration of estimated tax.</w:t>
      </w:r>
    </w:p>
    <w:p>
      <w:pPr>
        <w:spacing w:after="0" w:line="14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Corporation as defined in Section 441(b) of the Code or any similar provisions of U.S. state or local tax Law, as applicable (and, therefore, for the avoidance of doubt, may include a period of less than 12 months for which a Tax Return is filed), ending on or after the closing date of the IPO.</w:t>
      </w:r>
    </w:p>
    <w:p>
      <w:pPr>
        <w:spacing w:after="0" w:line="184" w:lineRule="exact"/>
        <w:rPr>
          <w:sz w:val="20"/>
          <w:szCs w:val="20"/>
          <w:color w:val="auto"/>
        </w:rPr>
      </w:pPr>
    </w:p>
    <w:p>
      <w:pPr>
        <w:jc w:val="both"/>
        <w:ind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means any national, federal, state, county, municipal or local government, or any subdivision, agency, commission or authority thereof, or any quasi-governmental body, or any other authority of any kind, exercising regulatory or other authority in relation to tax matters.</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 Holder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 Holder Approval</w:t>
      </w:r>
      <w:r>
        <w:rPr>
          <w:rFonts w:ascii="Arial" w:cs="Arial" w:eastAsia="Arial" w:hAnsi="Arial"/>
          <w:sz w:val="17"/>
          <w:szCs w:val="17"/>
          <w:color w:val="auto"/>
        </w:rPr>
        <w:t>” means written approval by TRA Holders whose rights under this Agreement are attributable to at least 50% of the Units outstanding (excluding any Units held by the Corporation) immediately after the Unit Purchase (as appropriately adjusted for any subsequent changes to the number of outstanding Units). For purposes of this definition, a TRA Holder’s rights under this Agreement shall be attributed to Units as of the time of a determination of TRA Holder Approval. For the avoidance of doubt, (i) an Exchanged Unit shall be attributed only to the TRA Holder entitled to receive Tax Benefit Payments with respect to such Exchanged Unit (</w:t>
      </w:r>
      <w:r>
        <w:rPr>
          <w:rFonts w:ascii="Arial" w:cs="Arial" w:eastAsia="Arial" w:hAnsi="Arial"/>
          <w:sz w:val="17"/>
          <w:szCs w:val="17"/>
          <w:i w:val="1"/>
          <w:iCs w:val="1"/>
          <w:color w:val="auto"/>
        </w:rPr>
        <w:t>i.e.</w:t>
      </w:r>
      <w:r>
        <w:rPr>
          <w:rFonts w:ascii="Arial" w:cs="Arial" w:eastAsia="Arial" w:hAnsi="Arial"/>
          <w:sz w:val="17"/>
          <w:szCs w:val="17"/>
          <w:color w:val="auto"/>
        </w:rPr>
        <w:t>, the TRA Holder who Exchanged the Unit or the assignee of such TRA Holder’s rights hereunder) and (ii) an outstanding Unit that has not been Exchanged shall be attributed only to the TRA Holder (or, if applicable, the assignee of its rights hereunder) entitled to receive Tax Benefit Payments upon the Exchange of such Unit.</w:t>
      </w:r>
    </w:p>
    <w:p>
      <w:pPr>
        <w:spacing w:after="0" w:line="177" w:lineRule="exact"/>
        <w:rPr>
          <w:sz w:val="20"/>
          <w:szCs w:val="20"/>
          <w:color w:val="auto"/>
        </w:rPr>
      </w:pPr>
    </w:p>
    <w:p>
      <w:pPr>
        <w:ind w:right="2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Treasury Regulations</w:t>
      </w:r>
      <w:r>
        <w:rPr>
          <w:rFonts w:ascii="Arial" w:cs="Arial" w:eastAsia="Arial" w:hAnsi="Arial"/>
          <w:sz w:val="16"/>
          <w:szCs w:val="16"/>
          <w:color w:val="auto"/>
        </w:rPr>
        <w:t>” means the final, temporary and (to the extent they can be relied upon) proposed regulations under the Code, as promulgated from time to time (including corresponding provisions and succeeding provisions) and as in effect for the relevant taxable period.</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 Purchase</w:t>
      </w:r>
      <w:r>
        <w:rPr>
          <w:rFonts w:ascii="Arial" w:cs="Arial" w:eastAsia="Arial" w:hAnsi="Arial"/>
          <w:sz w:val="18"/>
          <w:szCs w:val="18"/>
          <w:color w:val="auto"/>
        </w:rPr>
        <w:t>” is defined in the recitals to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Common Units, as defined in the Operating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107" w:name="page108"/>
    <w:bookmarkEnd w:id="107"/>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Valuation Assumptions</w:t>
      </w:r>
      <w:r>
        <w:rPr>
          <w:rFonts w:ascii="Arial" w:cs="Arial" w:eastAsia="Arial" w:hAnsi="Arial"/>
          <w:sz w:val="18"/>
          <w:szCs w:val="18"/>
          <w:color w:val="auto"/>
        </w:rPr>
        <w:t>” means, as of an Early Termination Effective Date, the assumptions that:</w:t>
      </w:r>
    </w:p>
    <w:p>
      <w:pPr>
        <w:spacing w:after="0" w:line="117" w:lineRule="exact"/>
        <w:rPr>
          <w:sz w:val="20"/>
          <w:szCs w:val="20"/>
          <w:color w:val="auto"/>
        </w:rPr>
      </w:pPr>
    </w:p>
    <w:p>
      <w:pPr>
        <w:jc w:val="both"/>
        <w:ind w:right="20" w:firstLine="948"/>
        <w:spacing w:after="0" w:line="259" w:lineRule="auto"/>
        <w:tabs>
          <w:tab w:leader="none" w:pos="116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each Taxable Year ending on or after such Early Termination Effective Date, the Corporation will have taxable income sufficient to fully use the deductions arising from the Tax Attributes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w:t>
      </w:r>
    </w:p>
    <w:p>
      <w:pPr>
        <w:spacing w:after="0" w:line="78" w:lineRule="exact"/>
        <w:rPr>
          <w:rFonts w:ascii="Arial" w:cs="Arial" w:eastAsia="Arial" w:hAnsi="Arial"/>
          <w:sz w:val="18"/>
          <w:szCs w:val="18"/>
          <w:color w:val="auto"/>
        </w:rPr>
      </w:pPr>
    </w:p>
    <w:p>
      <w:pPr>
        <w:ind w:right="60" w:firstLine="948"/>
        <w:spacing w:after="0" w:line="259" w:lineRule="auto"/>
        <w:tabs>
          <w:tab w:leader="none" w:pos="121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U.S. Federal income tax rates that will be in effect for each such Taxable Year will be those specified for each such Taxable Year by the Code and other applicable Law as in effect on the Early Termination Effective Date, except to the extent any change to such tax rates for such Taxable Year have already been enacted into Law and the combined U.S. state and local income tax rates shall be the Assumed State and Local Tax Rate;</w:t>
      </w:r>
    </w:p>
    <w:p>
      <w:pPr>
        <w:spacing w:after="0" w:line="78" w:lineRule="exact"/>
        <w:rPr>
          <w:rFonts w:ascii="Arial" w:cs="Arial" w:eastAsia="Arial" w:hAnsi="Arial"/>
          <w:sz w:val="18"/>
          <w:szCs w:val="18"/>
          <w:color w:val="auto"/>
        </w:rPr>
      </w:pPr>
    </w:p>
    <w:p>
      <w:pPr>
        <w:ind w:right="140" w:firstLine="948"/>
        <w:spacing w:after="0" w:line="342" w:lineRule="auto"/>
        <w:tabs>
          <w:tab w:leader="none" w:pos="126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all taxable income of the Corporation will be subject to the maximum applicable tax rates for each Covered Tax throughout the relevant period;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combined tax rate for U.S. state and local income taxes shall be the Assumed State and Local Tax Rate;</w:t>
      </w:r>
    </w:p>
    <w:p>
      <w:pPr>
        <w:spacing w:after="0" w:line="15" w:lineRule="exact"/>
        <w:rPr>
          <w:rFonts w:ascii="Arial" w:cs="Arial" w:eastAsia="Arial" w:hAnsi="Arial"/>
          <w:sz w:val="16"/>
          <w:szCs w:val="16"/>
          <w:color w:val="auto"/>
        </w:rPr>
      </w:pPr>
    </w:p>
    <w:p>
      <w:pPr>
        <w:ind w:firstLine="948"/>
        <w:spacing w:after="0" w:line="291" w:lineRule="auto"/>
        <w:tabs>
          <w:tab w:leader="none" w:pos="125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loss carryovers or carrybacks generated by any Tax Attributes (including any Basis Adjustments or Imputed Interest generated as a result of payments made or deemed to be made under this Agreement) and available (taking into account any known and applicable limitations) as of the date of the Early Termination Schedule will be used by the Corporation ratably in each of the 5 consecutive Taxable Years beginning with the Taxable Year that includes the date of the Early Termination Schedule (but, in the case of any such carryover or carryback that has less than 5 remaining Taxable Years, ratably through the scheduled expiration date of such carryover or carryback) (by way of example, if on the date of the Early Termination Schedule the Corporation had $100 of net operating losses, $20 of such net operating losses would be used in each of the 5 consecutive Taxable Years beginning in the Taxable Year of such Early Termination Schedule);</w:t>
      </w:r>
    </w:p>
    <w:p>
      <w:pPr>
        <w:spacing w:after="0" w:line="58" w:lineRule="exact"/>
        <w:rPr>
          <w:rFonts w:ascii="Arial" w:cs="Arial" w:eastAsia="Arial" w:hAnsi="Arial"/>
          <w:sz w:val="16"/>
          <w:szCs w:val="16"/>
          <w:color w:val="auto"/>
        </w:rPr>
      </w:pPr>
    </w:p>
    <w:p>
      <w:pPr>
        <w:ind w:right="180" w:firstLine="948"/>
        <w:spacing w:after="0" w:line="263" w:lineRule="auto"/>
        <w:tabs>
          <w:tab w:leader="none" w:pos="120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non-amortizable assets will be disposed of on the fifteenth anniversary of the earlier of (A) the applicable Exchange (in the case of Basis Adjustments or Exchange Basis) or the date of the IPO (in the case of Blocker Transferred Basis and Existing Basis) and (B) the Early Termination Effective Date;</w:t>
      </w:r>
    </w:p>
    <w:p>
      <w:pPr>
        <w:spacing w:after="0" w:line="75" w:lineRule="exact"/>
        <w:rPr>
          <w:rFonts w:ascii="Arial" w:cs="Arial" w:eastAsia="Arial" w:hAnsi="Arial"/>
          <w:sz w:val="18"/>
          <w:szCs w:val="18"/>
          <w:color w:val="auto"/>
        </w:rPr>
      </w:pPr>
    </w:p>
    <w:p>
      <w:pPr>
        <w:ind w:right="400" w:firstLine="948"/>
        <w:spacing w:after="0" w:line="263" w:lineRule="auto"/>
        <w:tabs>
          <w:tab w:leader="none" w:pos="125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on the Early Termination Effective Date, any Member has Units that have not been Exchanged, then such Units shall be deemed to be Exchanged for the Market Value of the shares of Class A Common Stock or the amount of cash that would be received by such Member had such Units actually been Exchanged on the Early Termination Effective Date;</w:t>
      </w:r>
    </w:p>
    <w:p>
      <w:pPr>
        <w:spacing w:after="0" w:line="75" w:lineRule="exact"/>
        <w:rPr>
          <w:rFonts w:ascii="Arial" w:cs="Arial" w:eastAsia="Arial" w:hAnsi="Arial"/>
          <w:sz w:val="18"/>
          <w:szCs w:val="18"/>
          <w:color w:val="auto"/>
        </w:rPr>
      </w:pPr>
    </w:p>
    <w:p>
      <w:pPr>
        <w:ind w:right="340" w:firstLine="948"/>
        <w:spacing w:after="0" w:line="342" w:lineRule="auto"/>
        <w:tabs>
          <w:tab w:leader="none" w:pos="1307"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future payment obligations pursuant to this Agreement that are used to calculate the Early Termination Payment will be satisfied on the date that any Tax Return to which any such payment obligation relates is required to be filed excluding any extensions; and</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40"/>
          </w:cols>
          <w:pgMar w:left="880" w:top="274" w:right="479" w:bottom="1440" w:gutter="0" w:footer="0" w:header="0"/>
        </w:sectPr>
      </w:pPr>
    </w:p>
    <w:bookmarkStart w:id="108" w:name="page109"/>
    <w:bookmarkEnd w:id="108"/>
    <w:p>
      <w:pPr>
        <w:ind w:left="440" w:right="140" w:firstLine="948"/>
        <w:spacing w:after="0" w:line="277" w:lineRule="auto"/>
        <w:tabs>
          <w:tab w:leader="none" w:pos="17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respect to Taxable Years ending prior to the Early Termination Effective Date, any unpaid Tax Benefit Payments and any applicable Default Rate Interest will be paid.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Voluntary Early Termination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4.2(a)(i)</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 xml:space="preserve"> Unless otherwise specified herein:</w:t>
      </w:r>
    </w:p>
    <w:p>
      <w:pPr>
        <w:spacing w:after="0" w:line="117" w:lineRule="exact"/>
        <w:rPr>
          <w:sz w:val="20"/>
          <w:szCs w:val="20"/>
          <w:color w:val="auto"/>
        </w:rPr>
      </w:pPr>
    </w:p>
    <w:p>
      <w:pPr>
        <w:ind w:left="1240" w:hanging="253"/>
        <w:spacing w:after="0"/>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interpretation of this Agreement:</w:t>
      </w:r>
    </w:p>
    <w:p>
      <w:pPr>
        <w:spacing w:after="0" w:line="117" w:lineRule="exact"/>
        <w:rPr>
          <w:rFonts w:ascii="Arial" w:cs="Arial" w:eastAsia="Arial" w:hAnsi="Arial"/>
          <w:sz w:val="18"/>
          <w:szCs w:val="18"/>
          <w:color w:val="auto"/>
        </w:rPr>
      </w:pPr>
    </w:p>
    <w:p>
      <w:pPr>
        <w:ind w:left="440" w:right="180" w:firstLine="948"/>
        <w:spacing w:after="0" w:line="277" w:lineRule="auto"/>
        <w:tabs>
          <w:tab w:leader="none" w:pos="160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this Agreement shall refer to this Agreement as a whole and not to any particular provision thereof.</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Unless specified otherwise, references to an Article, Section or clause refer to the appropriate Article, Section or clause in this</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102" w:lineRule="exact"/>
        <w:rPr>
          <w:rFonts w:ascii="Arial" w:cs="Arial" w:eastAsia="Arial" w:hAnsi="Arial"/>
          <w:sz w:val="16"/>
          <w:szCs w:val="16"/>
          <w:color w:val="auto"/>
        </w:rPr>
      </w:pPr>
    </w:p>
    <w:p>
      <w:pPr>
        <w:ind w:left="1700" w:hanging="312"/>
        <w:spacing w:after="0"/>
        <w:tabs>
          <w:tab w:leader="none" w:pos="17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References to dollars or “$” refer to the lawful currency of the U.S.</w:t>
      </w:r>
    </w:p>
    <w:p>
      <w:pPr>
        <w:spacing w:after="0" w:line="117" w:lineRule="exact"/>
        <w:rPr>
          <w:rFonts w:ascii="Arial" w:cs="Arial" w:eastAsia="Arial" w:hAnsi="Arial"/>
          <w:sz w:val="18"/>
          <w:szCs w:val="18"/>
          <w:color w:val="auto"/>
        </w:rPr>
      </w:pPr>
    </w:p>
    <w:p>
      <w:pPr>
        <w:ind w:left="440" w:right="600" w:firstLine="948"/>
        <w:spacing w:after="0" w:line="277" w:lineRule="auto"/>
        <w:tabs>
          <w:tab w:leader="none" w:pos="169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terms “include” or “including” are by way of example and not limitation and shall be deemed followed by the words “without limitation”.</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The term “or”, when used in a list of two or more items, means “and/or” and may indicate any combination of the items.</w:t>
      </w:r>
    </w:p>
    <w:p>
      <w:pPr>
        <w:spacing w:after="0" w:line="128" w:lineRule="exact"/>
        <w:rPr>
          <w:rFonts w:ascii="Arial" w:cs="Arial" w:eastAsia="Arial" w:hAnsi="Arial"/>
          <w:sz w:val="17"/>
          <w:szCs w:val="17"/>
          <w:color w:val="auto"/>
        </w:rPr>
      </w:pPr>
    </w:p>
    <w:p>
      <w:pPr>
        <w:ind w:left="440" w:right="740" w:firstLine="948"/>
        <w:spacing w:after="0" w:line="277" w:lineRule="auto"/>
        <w:tabs>
          <w:tab w:leader="none" w:pos="1697"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62" w:lineRule="exact"/>
        <w:rPr>
          <w:rFonts w:ascii="Arial" w:cs="Arial" w:eastAsia="Arial" w:hAnsi="Arial"/>
          <w:sz w:val="18"/>
          <w:szCs w:val="18"/>
          <w:color w:val="auto"/>
        </w:rPr>
      </w:pPr>
    </w:p>
    <w:p>
      <w:pPr>
        <w:ind w:right="120" w:firstLine="987"/>
        <w:spacing w:after="0" w:line="277" w:lineRule="auto"/>
        <w:tabs>
          <w:tab w:leader="none" w:pos="124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Section headings herein are included for convenience of reference only and shall not affect the interpretation of this Agreement.</w:t>
      </w:r>
    </w:p>
    <w:p>
      <w:pPr>
        <w:spacing w:after="0" w:line="128" w:lineRule="exact"/>
        <w:rPr>
          <w:rFonts w:ascii="Arial" w:cs="Arial" w:eastAsia="Arial" w:hAnsi="Arial"/>
          <w:sz w:val="17"/>
          <w:szCs w:val="17"/>
          <w:color w:val="auto"/>
        </w:rPr>
      </w:pPr>
    </w:p>
    <w:p>
      <w:pPr>
        <w:ind w:firstLine="987"/>
        <w:spacing w:after="0" w:line="275" w:lineRule="auto"/>
        <w:tabs>
          <w:tab w:leader="none" w:pos="124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Unless otherwise expressly provided herein, (i) references to organizational documents (including the Operating Agreement), agreements (including this Agreement) and other contractual instruments shall be deemed to include all subsequent amendments, restatements, extensions, supplements and other modifications thereto, but only to the extent that such amendments, restatements, extensions, supplements and other modifications are permitted hereby, and (ii) references to any Law (including the Code and the Treasury Regulations) include all statutory and regulatory provisions consolidating, amending, replacing, supplementing or interpreting such Law.</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Determination of Realized Tax Benefit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Basis Adjustments; GoHealth Holdings 754 Election.</w:t>
      </w:r>
    </w:p>
    <w:p>
      <w:pPr>
        <w:spacing w:after="0" w:line="117" w:lineRule="exact"/>
        <w:rPr>
          <w:sz w:val="20"/>
          <w:szCs w:val="20"/>
          <w:color w:val="auto"/>
        </w:rPr>
      </w:pPr>
    </w:p>
    <w:p>
      <w:pPr>
        <w:ind w:right="300" w:firstLine="987"/>
        <w:spacing w:after="0" w:line="311" w:lineRule="auto"/>
        <w:tabs>
          <w:tab w:leader="none" w:pos="123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Basis Adjustments.</w:t>
      </w:r>
      <w:r>
        <w:rPr>
          <w:rFonts w:ascii="Arial" w:cs="Arial" w:eastAsia="Arial" w:hAnsi="Arial"/>
          <w:sz w:val="16"/>
          <w:szCs w:val="16"/>
          <w:color w:val="auto"/>
        </w:rPr>
        <w:t xml:space="preserve"> The Parties acknowledge and agree that (i) each Redemption and the IPO Unit Redemption shall be treated as a direct purchase of Units by the Corporation from the applicable Member pursuant to Section 707(a)(2)(B) of the Code (or any similar provisions of applicable state, local or foreign tax Law) (</w:t>
      </w:r>
      <w:r>
        <w:rPr>
          <w:rFonts w:ascii="Arial" w:cs="Arial" w:eastAsia="Arial" w:hAnsi="Arial"/>
          <w:sz w:val="16"/>
          <w:szCs w:val="16"/>
          <w:i w:val="1"/>
          <w:iCs w:val="1"/>
          <w:color w:val="auto"/>
        </w:rPr>
        <w:t>i.e.</w:t>
      </w:r>
      <w:r>
        <w:rPr>
          <w:rFonts w:ascii="Arial" w:cs="Arial" w:eastAsia="Arial" w:hAnsi="Arial"/>
          <w:sz w:val="16"/>
          <w:szCs w:val="16"/>
          <w:color w:val="auto"/>
        </w:rPr>
        <w:t>, equivalent to a Direct Exchange) and (ii) each Exchange will give rise to Basis Adjustments.</w:t>
      </w:r>
    </w:p>
    <w:p>
      <w:pPr>
        <w:spacing w:after="0" w:line="148" w:lineRule="exact"/>
        <w:rPr>
          <w:rFonts w:ascii="Arial" w:cs="Arial" w:eastAsia="Arial" w:hAnsi="Arial"/>
          <w:sz w:val="16"/>
          <w:szCs w:val="16"/>
          <w:color w:val="auto"/>
        </w:rPr>
      </w:pPr>
    </w:p>
    <w:p>
      <w:pPr>
        <w:ind w:right="20" w:firstLine="987"/>
        <w:spacing w:after="0" w:line="257" w:lineRule="auto"/>
        <w:tabs>
          <w:tab w:leader="none" w:pos="124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GoHealth Holdings Section 754 Election.</w:t>
      </w:r>
      <w:r>
        <w:rPr>
          <w:rFonts w:ascii="Arial" w:cs="Arial" w:eastAsia="Arial" w:hAnsi="Arial"/>
          <w:sz w:val="18"/>
          <w:szCs w:val="18"/>
          <w:color w:val="auto"/>
        </w:rPr>
        <w:t xml:space="preserve"> The Corporation shall cause GoHealth Holdings and each of its Subsidiaries that is treated as a partnership for U.S. Federal income tax purposes to have in effect an election under Section 754 of the Code (or any similar provisions of applicable state, local or foreign tax Law) for each Taxable Year. The Corporation shall take commercially reasonable efforts to cause each Person in which GoHealth Holdings owns a direct or indirect equity interest (other than a Subsidiary) that is so treated as a partnership to have in effect any such election for each Taxable Year.</w:t>
      </w:r>
    </w:p>
    <w:p>
      <w:pPr>
        <w:spacing w:after="0" w:line="18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Basis Schedules.</w:t>
      </w:r>
      <w:r>
        <w:rPr>
          <w:rFonts w:ascii="Arial" w:cs="Arial" w:eastAsia="Arial" w:hAnsi="Arial"/>
          <w:sz w:val="16"/>
          <w:szCs w:val="16"/>
          <w:color w:val="auto"/>
        </w:rPr>
        <w:t xml:space="preserve"> Within 150 calendar days after the filing of the U.S. Federal income Tax Return of the Corporation for each relevant Taxable Year, the Corporation shall deliver to the TRA Holders a schedule showing, in reasonable detail, (a) the Blocker Transferred Basis of the Reference Assets in respect of such TRA Holder, (b) the Existing Basis of the Reference Assets in respect of such TRA Holder, (c) the Non-Exchange Basis of the Reference Assets in respect of such TRA Holder as of each applicable Exchange Date, (d) Non-Adjusted Tax Basis of the Reference Assets as of each applicable Exchange Date, (e) the Exchange Basis and the Basis Adjustments to the Reference Assets for such Taxable Year, calculated (i) in the aggregate and (ii) solely with respect to each applicable TRA Holder, (f) the periods over which the Reference Assets are amortizable or depreciable and (g) the period over which the Blocker Transferred Basis, the Existing Basis, the Exchange Basis and the Basis Adjustments are amortizable or depreciable (such schedule, a “</w:t>
      </w:r>
      <w:r>
        <w:rPr>
          <w:rFonts w:ascii="Arial" w:cs="Arial" w:eastAsia="Arial" w:hAnsi="Arial"/>
          <w:sz w:val="16"/>
          <w:szCs w:val="16"/>
          <w:u w:val="single" w:color="auto"/>
          <w:color w:val="auto"/>
        </w:rPr>
        <w:t>Basis Schedule</w:t>
      </w:r>
      <w:r>
        <w:rPr>
          <w:rFonts w:ascii="Arial" w:cs="Arial" w:eastAsia="Arial" w:hAnsi="Arial"/>
          <w:sz w:val="16"/>
          <w:szCs w:val="16"/>
          <w:color w:val="auto"/>
        </w:rPr>
        <w:t xml:space="preserve">”). A Basis Schedule will become final and binding on the Parties pursuant to the procedures set forth in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and may be amended by the Parties pursuant to the procedures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Tax Benefit Schedules.</w:t>
      </w:r>
    </w:p>
    <w:p>
      <w:pPr>
        <w:spacing w:after="0" w:line="117" w:lineRule="exact"/>
        <w:rPr>
          <w:sz w:val="20"/>
          <w:szCs w:val="20"/>
          <w:color w:val="auto"/>
        </w:rPr>
      </w:pPr>
    </w:p>
    <w:p>
      <w:pPr>
        <w:ind w:firstLine="987"/>
        <w:spacing w:after="0" w:line="257" w:lineRule="auto"/>
        <w:tabs>
          <w:tab w:leader="none" w:pos="1236"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Within 150 calendar days after the filing of the U.S. Federal income Tax Return of the Corporation for any Taxable Year in which there is a Realized Tax Benefit or Realized Tax Detriment, the Corporation shall provide to the TRA Holders a schedule showing, in reasonable detail, the calculation of the Realized Tax Benefit or Realized Tax Detriment for such Taxable Year (a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 xml:space="preserve">”). A Tax Benefit Schedule will become final and binding on the Parties pursuant to the procedures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and may be amended by the Parties pursuant to the procedures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110" w:name="page111"/>
    <w:bookmarkEnd w:id="110"/>
    <w:p>
      <w:pPr>
        <w:ind w:firstLine="987"/>
        <w:spacing w:after="0" w:line="268" w:lineRule="auto"/>
        <w:tabs>
          <w:tab w:leader="none" w:pos="1246"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Principles.</w:t>
      </w:r>
      <w:r>
        <w:rPr>
          <w:rFonts w:ascii="Arial" w:cs="Arial" w:eastAsia="Arial" w:hAnsi="Arial"/>
          <w:sz w:val="17"/>
          <w:szCs w:val="17"/>
          <w:color w:val="auto"/>
        </w:rPr>
        <w:t xml:space="preserve"> Subject to the provisions hereunder, the Realized Tax Benefit or Realized Tax Detriment for each Taxable Year is intended to measure the decrease or increase in the Actual Tax Liability of the Corporation for such Taxable Year attributable to the Tax Attributes, as determined using a “with and without” methodology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 Carryovers or carrybacks of any tax item attributable to any of the Tax Attributes shall be considered to be subject to the rules of the Code and the Treasury Regulations, and the appropriate provisions of state, local and foreign tax Law, governing the use, limitation or expiration of carryovers or carrybacks of the relevant type. If a carryover or carryback of any tax item includes a portion that is attributable to any Tax Attribute (a “</w:t>
      </w:r>
      <w:r>
        <w:rPr>
          <w:rFonts w:ascii="Arial" w:cs="Arial" w:eastAsia="Arial" w:hAnsi="Arial"/>
          <w:sz w:val="17"/>
          <w:szCs w:val="17"/>
          <w:u w:val="single" w:color="auto"/>
          <w:color w:val="auto"/>
        </w:rPr>
        <w:t>TRA Portion</w:t>
      </w:r>
      <w:r>
        <w:rPr>
          <w:rFonts w:ascii="Arial" w:cs="Arial" w:eastAsia="Arial" w:hAnsi="Arial"/>
          <w:sz w:val="17"/>
          <w:szCs w:val="17"/>
          <w:color w:val="auto"/>
        </w:rPr>
        <w:t>”) and another portion that is not attributable to any Tax Attribute (a “</w:t>
      </w:r>
      <w:r>
        <w:rPr>
          <w:rFonts w:ascii="Arial" w:cs="Arial" w:eastAsia="Arial" w:hAnsi="Arial"/>
          <w:sz w:val="17"/>
          <w:szCs w:val="17"/>
          <w:u w:val="single" w:color="auto"/>
          <w:color w:val="auto"/>
        </w:rPr>
        <w:t>Non-TRA Portion</w:t>
      </w:r>
      <w:r>
        <w:rPr>
          <w:rFonts w:ascii="Arial" w:cs="Arial" w:eastAsia="Arial" w:hAnsi="Arial"/>
          <w:sz w:val="17"/>
          <w:szCs w:val="17"/>
          <w:color w:val="auto"/>
        </w:rPr>
        <w:t xml:space="preserve">”), such portions shall be considered to be used in accordance with the “with and without” methodology so that (i) the amount of any Non-TRA Portion is deemed utilized first, followed by the amount of any TRA Portion (with the TRA Portion being applied on a proportionate basis consistent with the provisions of </w:t>
      </w:r>
      <w:r>
        <w:rPr>
          <w:rFonts w:ascii="Arial" w:cs="Arial" w:eastAsia="Arial" w:hAnsi="Arial"/>
          <w:sz w:val="17"/>
          <w:szCs w:val="17"/>
          <w:u w:val="single" w:color="auto"/>
          <w:color w:val="auto"/>
        </w:rPr>
        <w:t>Section 3.3(a)</w:t>
      </w:r>
      <w:r>
        <w:rPr>
          <w:rFonts w:ascii="Arial" w:cs="Arial" w:eastAsia="Arial" w:hAnsi="Arial"/>
          <w:sz w:val="17"/>
          <w:szCs w:val="17"/>
          <w:color w:val="auto"/>
        </w:rPr>
        <w:t>) and (ii) in the case of a carryback of a Non-TRA Portion, such carryback shall not affect the original “with and without” calculation made in the prior Taxable Year. Except with respect to the portion of any Payment attributable to Imputed Interest and the portion of any Payment attributable to Existing Basis, all Tax Benefit Payments and payments of Default Rate Interest attributable to the Exchange Basis or Basis Adjustments will be treated as subsequent upward purchase price adjustments that give rise to further Basis Adjustments for the Corporation beginning in the Taxable Year of payment, and as a result, such additional Basis Adjustments will be incorporated into such Taxable Year and into future Taxable Years, as appropriate. The Parties agree that, except with respect to the portion attributable to Imputed Interest, all Tax Benefit Payments attributable to Blocker Transferred Basis will be treated as non-qualifying property or money received in connection with the Blocker Mergers for purposes of Section 356 of the Code.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Procedures; Amendments.</w:t>
      </w:r>
    </w:p>
    <w:p>
      <w:pPr>
        <w:spacing w:after="0" w:line="117" w:lineRule="exact"/>
        <w:rPr>
          <w:sz w:val="20"/>
          <w:szCs w:val="20"/>
          <w:color w:val="auto"/>
        </w:rPr>
      </w:pPr>
    </w:p>
    <w:p>
      <w:pPr>
        <w:ind w:right="40" w:firstLine="987"/>
        <w:spacing w:after="0" w:line="269" w:lineRule="auto"/>
        <w:tabs>
          <w:tab w:leader="none" w:pos="1236"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xml:space="preserve"> At any time at least 90 calendar days before a Schedule is due, the TRA Holders may, by written notice, require the Corporation to retain and cause the Advisory Firm to prepare all subsequently due Schedules necessitated by this Agreement. Each time the Corporation delivers a Schedule to the TRA Holders under this Agreement, the Corporation shall, with respect to such Schedule, also (i) deliver to the TRA Holders supporting schedules and work papers, as determined by the Corporation or as reasonably requested by any TRA Holder, that provide a reasonable level of detail regarding relevant data and calculations and (ii) allow the TRA Holders and their advisors to have reasonable access to the appropriate representatives, as determined by the Corporation or as reasonably requested by the TRA Holders, at the Corporation or the Advisory Firm in connection with a review of relevant information. Without limiting the generality of the preceding sentence, the Corporation shall ensure that any Tax Benefit Schedule that is delivered to the TRA Holders, along with any supporting schedules and work papers, provides a reasonably detailed presentation of the calculations of the Actual Tax Liability for the relevant Taxable Year and the Hypothetical Tax Liability for such Taxable Year, and identifies any material assumptions or operating procedures or principles that were used for purposes of such calculations. A Schedule will become final and binding on the TRA Holders 30 calendar days from the date on which the TRA Holders first received the applicable Schedule unless a TRA Holder, within such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111" w:name="page112"/>
    <w:bookmarkEnd w:id="111"/>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provides the Corporation with written notice of a material objection (made in good faith) to such Schedule and sets forth in reasonable detail such TRA Holder’s material objection (an “</w:t>
      </w:r>
      <w:r>
        <w:rPr>
          <w:rFonts w:ascii="Arial" w:cs="Arial" w:eastAsia="Arial" w:hAnsi="Arial"/>
          <w:sz w:val="16"/>
          <w:szCs w:val="16"/>
          <w:u w:val="single" w:color="auto"/>
          <w:color w:val="auto"/>
        </w:rPr>
        <w:t>Objection Notice</w:t>
      </w:r>
      <w:r>
        <w:rPr>
          <w:rFonts w:ascii="Arial" w:cs="Arial" w:eastAsia="Arial" w:hAnsi="Arial"/>
          <w:sz w:val="16"/>
          <w:szCs w:val="16"/>
          <w:color w:val="auto"/>
        </w:rPr>
        <w:t xml:space="preserve">”). If the Parties, for any reason, are unable to resolve the issues raised in such Objection Notice within 30 calendar days after receipt by the Corporation of the Objection Notice, the Corporation and the applicable TRA Holder shall employ the Reconciliation Procedures described in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and the finalization of the Schedule will be conducted in accordance therewith.</w:t>
      </w:r>
    </w:p>
    <w:p>
      <w:pPr>
        <w:spacing w:after="0" w:line="49" w:lineRule="exact"/>
        <w:rPr>
          <w:sz w:val="20"/>
          <w:szCs w:val="20"/>
          <w:color w:val="auto"/>
        </w:rPr>
      </w:pPr>
    </w:p>
    <w:p>
      <w:pPr>
        <w:ind w:firstLine="987"/>
        <w:spacing w:after="0" w:line="289" w:lineRule="auto"/>
        <w:tabs>
          <w:tab w:leader="none" w:pos="1246"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A Schedule (other than an Early Termination Schedule) for any Taxable Year may only and shall be amended from time to time by the Corporation (i) in connection with a Determination affecting such Schedule, (ii) to correct inaccuracies in such Schedule identified as a result of the receipt of additional factual information relating to a Taxable Year after the date such Schedule was originally provided to the TRA Holders, (iii) to comply with an Expert’s determination under the Reconciliation Procedures, (iv) to reflect a change in the Realized Tax Benefit or Realized Tax Detriment for such Taxable Year attributable to a carryover or carryback of a loss or other tax item to such Taxable Year or (v) to reflect a change in the Realized Tax Benefit or Realized Tax Detriment for such Taxable Year attributable to an amended Tax Return filed for such Taxable Year (any such Schedule in its amended form, an “</w:t>
      </w:r>
      <w:r>
        <w:rPr>
          <w:rFonts w:ascii="Arial" w:cs="Arial" w:eastAsia="Arial" w:hAnsi="Arial"/>
          <w:sz w:val="16"/>
          <w:szCs w:val="16"/>
          <w:u w:val="single" w:color="auto"/>
          <w:color w:val="auto"/>
        </w:rPr>
        <w:t>Amended Schedule</w:t>
      </w:r>
      <w:r>
        <w:rPr>
          <w:rFonts w:ascii="Arial" w:cs="Arial" w:eastAsia="Arial" w:hAnsi="Arial"/>
          <w:sz w:val="16"/>
          <w:szCs w:val="16"/>
          <w:color w:val="auto"/>
        </w:rPr>
        <w:t xml:space="preserve">”). The Corporation shall provide any Amended Schedule to the applicable TRA Holders within 30 calendar days of the occurrence of an event referred to in any of </w:t>
      </w:r>
      <w:r>
        <w:rPr>
          <w:rFonts w:ascii="Arial" w:cs="Arial" w:eastAsia="Arial" w:hAnsi="Arial"/>
          <w:sz w:val="16"/>
          <w:szCs w:val="16"/>
          <w:u w:val="single" w:color="auto"/>
          <w:color w:val="auto"/>
        </w:rPr>
        <w:t>clauses (i) through (v)</w:t>
      </w:r>
      <w:r>
        <w:rPr>
          <w:rFonts w:ascii="Arial" w:cs="Arial" w:eastAsia="Arial" w:hAnsi="Arial"/>
          <w:sz w:val="16"/>
          <w:szCs w:val="16"/>
          <w:color w:val="auto"/>
        </w:rPr>
        <w:t xml:space="preserve"> of the preceding sentence, and the delivery and finalization of any such Amended Schedule shall, for the avoidance of doubt, be subject to the procedures described in </w:t>
      </w:r>
      <w:r>
        <w:rPr>
          <w:rFonts w:ascii="Arial" w:cs="Arial" w:eastAsia="Arial" w:hAnsi="Arial"/>
          <w:sz w:val="16"/>
          <w:szCs w:val="16"/>
          <w:u w:val="single" w:color="auto"/>
          <w:color w:val="auto"/>
        </w:rPr>
        <w:t>Section 2.4(a)</w:t>
      </w:r>
      <w:r>
        <w:rPr>
          <w:rFonts w:ascii="Arial" w:cs="Arial" w:eastAsia="Arial" w:hAnsi="Arial"/>
          <w:sz w:val="16"/>
          <w:szCs w:val="16"/>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Tax Benefit Payments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Timing and Amount of Tax Benefit Payments.</w:t>
      </w:r>
    </w:p>
    <w:p>
      <w:pPr>
        <w:spacing w:after="0" w:line="117" w:lineRule="exact"/>
        <w:rPr>
          <w:sz w:val="20"/>
          <w:szCs w:val="20"/>
          <w:color w:val="auto"/>
        </w:rPr>
      </w:pPr>
    </w:p>
    <w:p>
      <w:pPr>
        <w:ind w:right="20" w:firstLine="987"/>
        <w:spacing w:after="0" w:line="296" w:lineRule="auto"/>
        <w:tabs>
          <w:tab w:leader="none" w:pos="1236"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Sections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3.3</w:t>
      </w:r>
      <w:r>
        <w:rPr>
          <w:rFonts w:ascii="Arial" w:cs="Arial" w:eastAsia="Arial" w:hAnsi="Arial"/>
          <w:sz w:val="16"/>
          <w:szCs w:val="16"/>
          <w:color w:val="auto"/>
        </w:rPr>
        <w:t xml:space="preserve">, by the date that is 3 Business Days following the date on which each Tax Benefit Schedule becomes final in accordance with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(such date, the “</w:t>
      </w:r>
      <w:r>
        <w:rPr>
          <w:rFonts w:ascii="Arial" w:cs="Arial" w:eastAsia="Arial" w:hAnsi="Arial"/>
          <w:sz w:val="16"/>
          <w:szCs w:val="16"/>
          <w:u w:val="single" w:color="auto"/>
          <w:color w:val="auto"/>
        </w:rPr>
        <w:t>Final Payment Date</w:t>
      </w:r>
      <w:r>
        <w:rPr>
          <w:rFonts w:ascii="Arial" w:cs="Arial" w:eastAsia="Arial" w:hAnsi="Arial"/>
          <w:sz w:val="16"/>
          <w:szCs w:val="16"/>
          <w:color w:val="auto"/>
        </w:rPr>
        <w:t xml:space="preserve">” in respect of any Tax Benefit Payment), the Corporation shall pay in full to each relevant TRA Holder the Tax Benefit Payment as determined pursuant to </w:t>
      </w:r>
      <w:r>
        <w:rPr>
          <w:rFonts w:ascii="Arial" w:cs="Arial" w:eastAsia="Arial" w:hAnsi="Arial"/>
          <w:sz w:val="16"/>
          <w:szCs w:val="16"/>
          <w:u w:val="single" w:color="auto"/>
          <w:color w:val="auto"/>
        </w:rPr>
        <w:t>Section 3.1(b)</w:t>
      </w:r>
      <w:r>
        <w:rPr>
          <w:rFonts w:ascii="Arial" w:cs="Arial" w:eastAsia="Arial" w:hAnsi="Arial"/>
          <w:sz w:val="16"/>
          <w:szCs w:val="16"/>
          <w:color w:val="auto"/>
        </w:rPr>
        <w:t>. Each such Tax Benefit Payment shall be made by wire transfer of immediately available funds to a bank account or accounts designated by such TRA Holder. For the avoidance of doubt, no TRA Holder shall be required under any circumstances to return any Payment or any Default Rate Interest paid by the Corporation to such TRA Holder.</w:t>
      </w:r>
    </w:p>
    <w:p>
      <w:pPr>
        <w:spacing w:after="0" w:line="53" w:lineRule="exact"/>
        <w:rPr>
          <w:rFonts w:ascii="Arial" w:cs="Arial" w:eastAsia="Arial" w:hAnsi="Arial"/>
          <w:sz w:val="16"/>
          <w:szCs w:val="16"/>
          <w:color w:val="auto"/>
        </w:rPr>
      </w:pPr>
    </w:p>
    <w:p>
      <w:pPr>
        <w:ind w:right="40" w:firstLine="987"/>
        <w:spacing w:after="0" w:line="286" w:lineRule="auto"/>
        <w:tabs>
          <w:tab w:leader="none" w:pos="1246"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Amount of Payments.</w:t>
      </w:r>
      <w:r>
        <w:rPr>
          <w:rFonts w:ascii="Arial" w:cs="Arial" w:eastAsia="Arial" w:hAnsi="Arial"/>
          <w:sz w:val="17"/>
          <w:szCs w:val="17"/>
          <w:color w:val="auto"/>
        </w:rPr>
        <w:t xml:space="preserve"> For purposes of this Agreement, a “</w:t>
      </w:r>
      <w:r>
        <w:rPr>
          <w:rFonts w:ascii="Arial" w:cs="Arial" w:eastAsia="Arial" w:hAnsi="Arial"/>
          <w:sz w:val="17"/>
          <w:szCs w:val="17"/>
          <w:u w:val="single" w:color="auto"/>
          <w:color w:val="auto"/>
        </w:rPr>
        <w:t>Tax Benefit Payment</w:t>
      </w:r>
      <w:r>
        <w:rPr>
          <w:rFonts w:ascii="Arial" w:cs="Arial" w:eastAsia="Arial" w:hAnsi="Arial"/>
          <w:sz w:val="17"/>
          <w:szCs w:val="17"/>
          <w:color w:val="auto"/>
        </w:rPr>
        <w:t>” with respect to any TRA Holder means an amount equal to the sum of the Net Tax Benefit that is Attributable to such TRA Holder and the Interest Amount. No Tax Benefit Payment shall be calculated or made in respect of any estimated tax payments, including any estimated U.S. Federal income tax payments.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12" w:name="page113"/>
    <w:bookmarkEnd w:id="112"/>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w:t>
      </w:r>
      <w:r>
        <w:rPr>
          <w:rFonts w:ascii="Arial" w:cs="Arial" w:eastAsia="Arial" w:hAnsi="Arial"/>
          <w:sz w:val="18"/>
          <w:szCs w:val="18"/>
          <w:u w:val="single" w:color="auto"/>
          <w:color w:val="auto"/>
        </w:rPr>
        <w:t>Attributable.</w:t>
      </w:r>
      <w:r>
        <w:rPr>
          <w:rFonts w:ascii="Arial" w:cs="Arial" w:eastAsia="Arial" w:hAnsi="Arial"/>
          <w:sz w:val="18"/>
          <w:szCs w:val="18"/>
          <w:color w:val="auto"/>
        </w:rPr>
        <w:t xml:space="preserve"> A Net Tax Benefit is “</w:t>
      </w:r>
      <w:r>
        <w:rPr>
          <w:rFonts w:ascii="Arial" w:cs="Arial" w:eastAsia="Arial" w:hAnsi="Arial"/>
          <w:sz w:val="18"/>
          <w:szCs w:val="18"/>
          <w:u w:val="single" w:color="auto"/>
          <w:color w:val="auto"/>
        </w:rPr>
        <w:t>Attributable</w:t>
      </w:r>
      <w:r>
        <w:rPr>
          <w:rFonts w:ascii="Arial" w:cs="Arial" w:eastAsia="Arial" w:hAnsi="Arial"/>
          <w:sz w:val="18"/>
          <w:szCs w:val="18"/>
          <w:color w:val="auto"/>
        </w:rPr>
        <w:t>” to a TRA Holder with respect to any Tax Attribute under the following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103" w:lineRule="exact"/>
        <w:rPr>
          <w:sz w:val="20"/>
          <w:szCs w:val="20"/>
          <w:color w:val="auto"/>
        </w:rPr>
      </w:pPr>
    </w:p>
    <w:p>
      <w:pPr>
        <w:ind w:left="540" w:right="60" w:firstLine="910"/>
        <w:spacing w:after="0" w:line="342" w:lineRule="auto"/>
        <w:tabs>
          <w:tab w:leader="none" w:pos="173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any Blocker Transferred Basis is Attributable to the Blocker Shareholders in accordance with such Blocker Shareholders’ proportionate ownership of the total equity interests of the Blocker Corporation immediately prior to the Blocker Mergers;</w:t>
      </w:r>
    </w:p>
    <w:p>
      <w:pPr>
        <w:spacing w:after="0" w:line="15" w:lineRule="exact"/>
        <w:rPr>
          <w:rFonts w:ascii="Arial" w:cs="Arial" w:eastAsia="Arial" w:hAnsi="Arial"/>
          <w:sz w:val="16"/>
          <w:szCs w:val="16"/>
          <w:color w:val="auto"/>
        </w:rPr>
      </w:pPr>
    </w:p>
    <w:p>
      <w:pPr>
        <w:ind w:left="540" w:firstLine="910"/>
        <w:spacing w:after="0" w:line="259" w:lineRule="auto"/>
        <w:tabs>
          <w:tab w:leader="none" w:pos="172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Existing Basis shall be determined separately with respect to each Member and is Attributable to a Member based on such Member’s relative pro rata share in accordance with percentage interest of Units held immediately after the Recapitalization and prior to the IPO Unit Redemption and the IPO or, in the case of a Subsequent Capital Contribution, immediately prior to such Subsequent Capital Contribution;</w:t>
      </w:r>
    </w:p>
    <w:p>
      <w:pPr>
        <w:spacing w:after="0" w:line="78" w:lineRule="exact"/>
        <w:rPr>
          <w:rFonts w:ascii="Arial" w:cs="Arial" w:eastAsia="Arial" w:hAnsi="Arial"/>
          <w:sz w:val="18"/>
          <w:szCs w:val="18"/>
          <w:color w:val="auto"/>
        </w:rPr>
      </w:pPr>
    </w:p>
    <w:p>
      <w:pPr>
        <w:ind w:left="540" w:right="120" w:firstLine="910"/>
        <w:spacing w:after="0" w:line="263" w:lineRule="auto"/>
        <w:tabs>
          <w:tab w:leader="none" w:pos="172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Exchange Basis, Basis Adjustment and Imputed Interest shall be determined separately with respect to each Member and each Exchange undertaken by or with respect such Member in an amount equal to the total Exchange Basis, Basis Adjustments and Imputed Interest relating to the Units Exchanged by or with respect to such Member.</w:t>
      </w:r>
    </w:p>
    <w:p>
      <w:pPr>
        <w:spacing w:after="0" w:line="75" w:lineRule="exact"/>
        <w:rPr>
          <w:rFonts w:ascii="Arial" w:cs="Arial" w:eastAsia="Arial" w:hAnsi="Arial"/>
          <w:sz w:val="18"/>
          <w:szCs w:val="18"/>
          <w:color w:val="auto"/>
        </w:rPr>
      </w:pPr>
    </w:p>
    <w:p>
      <w:pPr>
        <w:ind w:right="80" w:firstLine="948"/>
        <w:spacing w:after="0" w:line="259" w:lineRule="auto"/>
        <w:tabs>
          <w:tab w:leader="none" w:pos="121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Net Tax Benefit</w:t>
      </w:r>
      <w:r>
        <w:rPr>
          <w:rFonts w:ascii="Arial" w:cs="Arial" w:eastAsia="Arial" w:hAnsi="Arial"/>
          <w:sz w:val="18"/>
          <w:szCs w:val="18"/>
          <w:color w:val="auto"/>
        </w:rPr>
        <w:t xml:space="preserve">” with respect to a TRA Holder for a Taxable Year equals the amount of the excess, if any, of (A) 85% of the Cumulative Net Realized Tax Benefit Attributable to such TRA Holder as of the end of such Taxable Year over (B) the aggregate amount of all Tax Benefit Payments previously made to such TRA Holder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(excluding payments attributable to Interest Amounts).</w:t>
      </w:r>
    </w:p>
    <w:p>
      <w:pPr>
        <w:spacing w:after="0" w:line="78" w:lineRule="exact"/>
        <w:rPr>
          <w:rFonts w:ascii="Arial" w:cs="Arial" w:eastAsia="Arial" w:hAnsi="Arial"/>
          <w:sz w:val="18"/>
          <w:szCs w:val="18"/>
          <w:color w:val="auto"/>
        </w:rPr>
      </w:pPr>
    </w:p>
    <w:p>
      <w:pPr>
        <w:ind w:right="60" w:firstLine="948"/>
        <w:spacing w:after="0" w:line="301" w:lineRule="auto"/>
        <w:tabs>
          <w:tab w:leader="none" w:pos="1267"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Cumulative Net Realized Tax Benefit.</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Cumulative Net Realized Tax Benefit</w:t>
      </w:r>
      <w:r>
        <w:rPr>
          <w:rFonts w:ascii="Arial" w:cs="Arial" w:eastAsia="Arial" w:hAnsi="Arial"/>
          <w:sz w:val="16"/>
          <w:szCs w:val="16"/>
          <w:color w:val="auto"/>
        </w:rPr>
        <w:t>” for a Taxable Year equals the cumulative amount of Realized Tax Benefits for all Taxable Years of the Corporation, up to and including such Taxable Year, net of the cumulative amount of Realized Tax Detriments for the same period. The Realized Tax Benefit and Realized Tax Detriment for each Taxable Year shall be determined based on the most recent Tax Benefit Schedule or Amended Schedule, if any, in existence at the time of such determination.</w:t>
      </w:r>
    </w:p>
    <w:p>
      <w:pPr>
        <w:spacing w:after="0" w:line="49" w:lineRule="exact"/>
        <w:rPr>
          <w:rFonts w:ascii="Arial" w:cs="Arial" w:eastAsia="Arial" w:hAnsi="Arial"/>
          <w:sz w:val="16"/>
          <w:szCs w:val="16"/>
          <w:color w:val="auto"/>
        </w:rPr>
      </w:pPr>
    </w:p>
    <w:p>
      <w:pPr>
        <w:ind w:right="20" w:firstLine="948"/>
        <w:spacing w:after="0" w:line="259" w:lineRule="auto"/>
        <w:tabs>
          <w:tab w:leader="none" w:pos="125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Realized Tax Benefit.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Realized Tax Benefit</w:t>
      </w:r>
      <w:r>
        <w:rPr>
          <w:rFonts w:ascii="Arial" w:cs="Arial" w:eastAsia="Arial" w:hAnsi="Arial"/>
          <w:sz w:val="18"/>
          <w:szCs w:val="18"/>
          <w:color w:val="auto"/>
        </w:rPr>
        <w:t>” for a Taxable Year equals the excess, if any, of the Hypothetical Tax Liability over the Actual Tax Liability for such Taxable Year. If all or a portion of the Actual Tax Liability for such Taxable Year arises as a result of an audit or similar proceeding by a Taxing Authority of any Taxable Year, such liability shall not be included in determining the Realized Tax Benefit unless and until there has been a Determination.</w:t>
      </w:r>
    </w:p>
    <w:p>
      <w:pPr>
        <w:spacing w:after="0" w:line="78" w:lineRule="exact"/>
        <w:rPr>
          <w:rFonts w:ascii="Arial" w:cs="Arial" w:eastAsia="Arial" w:hAnsi="Arial"/>
          <w:sz w:val="18"/>
          <w:szCs w:val="18"/>
          <w:color w:val="auto"/>
        </w:rPr>
      </w:pPr>
    </w:p>
    <w:p>
      <w:pPr>
        <w:ind w:right="100" w:firstLine="948"/>
        <w:spacing w:after="0" w:line="259" w:lineRule="auto"/>
        <w:tabs>
          <w:tab w:leader="none" w:pos="120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Realized Tax Detriment.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Realized Tax Detriment</w:t>
      </w:r>
      <w:r>
        <w:rPr>
          <w:rFonts w:ascii="Arial" w:cs="Arial" w:eastAsia="Arial" w:hAnsi="Arial"/>
          <w:sz w:val="18"/>
          <w:szCs w:val="18"/>
          <w:color w:val="auto"/>
        </w:rPr>
        <w:t>” for a Taxable Year equals the excess, if any, of the Actual Tax Liability over the Hypothetical Tax Liability for such Taxable Year. If all or a portion of the Actual Tax Liability for such Taxable Year arises as a result of an audit or similar proceeding by a Taxing Authority of any Taxable Year, such liability shall not be included in determining the Realized Tax Detriment unless and until there has been a Determination.</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113" w:name="page114"/>
    <w:bookmarkEnd w:id="113"/>
    <w:p>
      <w:pPr>
        <w:ind w:left="440" w:firstLine="948"/>
        <w:spacing w:after="0" w:line="279" w:lineRule="auto"/>
        <w:tabs>
          <w:tab w:leader="none" w:pos="1696" w:val="left"/>
        </w:tabs>
        <w:numPr>
          <w:ilvl w:val="1"/>
          <w:numId w:val="1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Amount.</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Interest Amount</w:t>
      </w:r>
      <w:r>
        <w:rPr>
          <w:rFonts w:ascii="Arial" w:cs="Arial" w:eastAsia="Arial" w:hAnsi="Arial"/>
          <w:sz w:val="17"/>
          <w:szCs w:val="17"/>
          <w:color w:val="auto"/>
        </w:rPr>
        <w:t>” in respect of a TRA Holder equals interest on the unpaid amount of the Net Tax Benefit with respect to such TRA Holder for a Taxable Year, calculated at the Agreed Rate from the due date (without extensions) for filing the U.S. Federal income Tax Return of the Corporation for such Taxable Year until the earlier of (A) the date on which no remaining Tax Benefit Payment to the TRA Holder is due in respect of such Net Tax Benefit and (B) the applicable Final Payment Date.</w:t>
      </w:r>
    </w:p>
    <w:p>
      <w:pPr>
        <w:spacing w:after="0" w:line="63" w:lineRule="exact"/>
        <w:rPr>
          <w:rFonts w:ascii="Arial" w:cs="Arial" w:eastAsia="Arial" w:hAnsi="Arial"/>
          <w:sz w:val="17"/>
          <w:szCs w:val="17"/>
          <w:color w:val="auto"/>
        </w:rPr>
      </w:pPr>
    </w:p>
    <w:p>
      <w:pPr>
        <w:ind w:left="440" w:right="100" w:firstLine="948"/>
        <w:spacing w:after="0" w:line="283" w:lineRule="auto"/>
        <w:tabs>
          <w:tab w:leader="none" w:pos="17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TRA Holders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unless the applicable TRA Holder notifies the Corporation otherwise, the stated maximum selling price (within the meaning of Treasury Regulation 15A.453-1(c)(2)) (A) with respect to the Blocker Mergers (including amounts payable to the Blocker Shareholder pursuant to this Agreement) shall not exceed sum of (I) the value of the Class A Common Stock delivered to the Blocker Shareholders in the Blocker Mergers on the closing date of such Blocker Mergers, (II) the amount of cash, if any, delivered to the Blocker Shareholders in the Blocker Mergers plus (III) 40% of Blocker Transferred Basis, and the aggregate Payments under this Agreement to such Blocker Shareholders (other than amounts accounted for as interest under the Code) shall not exceed the amount described in this clause (III) and (B) with respect to any transfer of Units by a Member pursuant to an Exchange shall not exceed the sum of (I) the value of the Class A Common Stock or the amount of cash delivered to the Member, in each case, in the Exchange plus</w:t>
      </w:r>
    </w:p>
    <w:p>
      <w:pPr>
        <w:spacing w:after="0" w:line="4" w:lineRule="exact"/>
        <w:rPr>
          <w:rFonts w:ascii="Arial" w:cs="Arial" w:eastAsia="Arial" w:hAnsi="Arial"/>
          <w:sz w:val="16"/>
          <w:szCs w:val="16"/>
          <w:color w:val="auto"/>
        </w:rPr>
      </w:pPr>
    </w:p>
    <w:p>
      <w:pPr>
        <w:ind w:left="440" w:right="300" w:hanging="4"/>
        <w:spacing w:after="0" w:line="290" w:lineRule="auto"/>
        <w:tabs>
          <w:tab w:leader="none" w:pos="72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65% of all Basis Adjustments arising from such Exchange, and the aggregate Payments under this Agreement to such Member (other than amounts accounted for as interest under the Code) shall not exceed the amount described in this clause (II).</w:t>
      </w:r>
    </w:p>
    <w:p>
      <w:pPr>
        <w:spacing w:after="0" w:line="161"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No Duplicative Payments.</w:t>
      </w:r>
      <w:r>
        <w:rPr>
          <w:rFonts w:ascii="Arial" w:cs="Arial" w:eastAsia="Arial" w:hAnsi="Arial"/>
          <w:sz w:val="18"/>
          <w:szCs w:val="18"/>
          <w:color w:val="auto"/>
        </w:rPr>
        <w:t xml:space="preserve"> It is intended that the provisions hereunder will not result in the duplicative payment of any amount that may be required under this Agreement, and the provisions hereunder shall be consistently interpreted and applied in accordance with that intent.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Pro-Ration of Payments as Between the TRA Holders.</w:t>
      </w:r>
    </w:p>
    <w:p>
      <w:pPr>
        <w:spacing w:after="0" w:line="117" w:lineRule="exact"/>
        <w:rPr>
          <w:sz w:val="20"/>
          <w:szCs w:val="20"/>
          <w:color w:val="auto"/>
        </w:rPr>
      </w:pPr>
    </w:p>
    <w:p>
      <w:pPr>
        <w:ind w:right="20" w:firstLine="987"/>
        <w:spacing w:after="0" w:line="296" w:lineRule="auto"/>
        <w:tabs>
          <w:tab w:leader="none" w:pos="123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Insufficient Taxable Income.</w:t>
      </w:r>
      <w:r>
        <w:rPr>
          <w:rFonts w:ascii="Arial" w:cs="Arial" w:eastAsia="Arial" w:hAnsi="Arial"/>
          <w:sz w:val="16"/>
          <w:szCs w:val="16"/>
          <w:color w:val="auto"/>
        </w:rPr>
        <w:t xml:space="preserve"> Notwithstanding anything in </w:t>
      </w:r>
      <w:r>
        <w:rPr>
          <w:rFonts w:ascii="Arial" w:cs="Arial" w:eastAsia="Arial" w:hAnsi="Arial"/>
          <w:sz w:val="16"/>
          <w:szCs w:val="16"/>
          <w:u w:val="single" w:color="auto"/>
          <w:color w:val="auto"/>
        </w:rPr>
        <w:t>Section 3.1(b)</w:t>
      </w:r>
      <w:r>
        <w:rPr>
          <w:rFonts w:ascii="Arial" w:cs="Arial" w:eastAsia="Arial" w:hAnsi="Arial"/>
          <w:sz w:val="16"/>
          <w:szCs w:val="16"/>
          <w:color w:val="auto"/>
        </w:rPr>
        <w:t xml:space="preserve"> to the contrary, if the aggregate potential Covered Tax benefit of the Corporation as calculated with respect to the Tax Attributes (in each case, without regard to the Taxable Year of origination) is limited in a particular Taxable Year because the Corporation does not have sufficient actual taxable income, then the available Covered Tax benefit for the Corporation shall be allocated among the TRA Holders in proportion to the respective Tax Benefit Payment that would have been payable if the Corporation had sufficient taxable income. For example, if the Corporation had $200 of aggregate potential Covered Tax benefits with</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114" w:name="page115"/>
    <w:bookmarkEnd w:id="114"/>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the Tax Attributes in a particular Taxable Year (with $50 of such Covered Tax benefits Attributable to TRA Holder A and $150 Attributable to TRA Holder B), such that TRA Holder A would have been entitled to a Tax Benefit Payment of $42.50 and TRA Holder B would have been entitled to a Tax Benefit Payment of $127.50 if the Corporation had sufficient actual taxable income, and if the Corporation instead had insufficient actual taxable income in such Taxable Year, such that the Covered Tax benefit was limited to $100, then $25 of the aggregate $100 actual Covered Tax benefit for the Corporation for such Taxable Year would be allocated to TRA Holder A and $75 would be allocated to TRA Holder B, such that TRA Holder A would receive a Tax Benefit Payment of $21.25 and TRA Holder B would receive a Tax Benefit Payment of $63.75.</w:t>
      </w:r>
    </w:p>
    <w:p>
      <w:pPr>
        <w:spacing w:after="0" w:line="56" w:lineRule="exact"/>
        <w:rPr>
          <w:sz w:val="20"/>
          <w:szCs w:val="20"/>
          <w:color w:val="auto"/>
        </w:rPr>
      </w:pPr>
    </w:p>
    <w:p>
      <w:pPr>
        <w:jc w:val="both"/>
        <w:ind w:left="4" w:right="140" w:firstLine="987"/>
        <w:spacing w:after="0" w:line="275" w:lineRule="auto"/>
        <w:tabs>
          <w:tab w:leader="none" w:pos="1250"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Late Payments.</w:t>
      </w:r>
      <w:r>
        <w:rPr>
          <w:rFonts w:ascii="Arial" w:cs="Arial" w:eastAsia="Arial" w:hAnsi="Arial"/>
          <w:sz w:val="17"/>
          <w:szCs w:val="17"/>
          <w:color w:val="auto"/>
        </w:rPr>
        <w:t xml:space="preserve"> If for any reason the Corporation is not able to fully satisfy its payment obligations to make all Tax Benefit Payments due in respect of a particular Taxable Year, then (i) Default Rate Interest will accrue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(ii) the Corporation shall pay the available amount of such Tax Benefit Payments (and any applicable Default Rate Interest) in respect of such Taxable Year to each TRA Holder pro rata in line with </w:t>
      </w:r>
      <w:r>
        <w:rPr>
          <w:rFonts w:ascii="Arial" w:cs="Arial" w:eastAsia="Arial" w:hAnsi="Arial"/>
          <w:sz w:val="17"/>
          <w:szCs w:val="17"/>
          <w:u w:val="single" w:color="auto"/>
          <w:color w:val="auto"/>
        </w:rPr>
        <w:t>Section 3.3(a)</w:t>
      </w:r>
      <w:r>
        <w:rPr>
          <w:rFonts w:ascii="Arial" w:cs="Arial" w:eastAsia="Arial" w:hAnsi="Arial"/>
          <w:sz w:val="17"/>
          <w:szCs w:val="17"/>
          <w:color w:val="auto"/>
        </w:rPr>
        <w:t xml:space="preserve"> and (iii) no Tax Benefit Payment shall be made in respect of any Taxable Year until all Tax Benefit Payments (and any applicable Default Rate Interest) to all TRA Holders in respect of all prior Taxable Years have been made in full.</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of Agreement; Acceleration Events.</w:t>
      </w:r>
    </w:p>
    <w:p>
      <w:pPr>
        <w:spacing w:after="0" w:line="117" w:lineRule="exact"/>
        <w:rPr>
          <w:sz w:val="20"/>
          <w:szCs w:val="20"/>
          <w:color w:val="auto"/>
        </w:rPr>
      </w:pPr>
    </w:p>
    <w:p>
      <w:pPr>
        <w:ind w:left="4" w:firstLine="987"/>
        <w:spacing w:after="0" w:line="263" w:lineRule="auto"/>
        <w:tabs>
          <w:tab w:leader="none" w:pos="124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Corporation’s Early Termination Right.</w:t>
      </w:r>
      <w:r>
        <w:rPr>
          <w:rFonts w:ascii="Arial" w:cs="Arial" w:eastAsia="Arial" w:hAnsi="Arial"/>
          <w:sz w:val="18"/>
          <w:szCs w:val="18"/>
          <w:color w:val="auto"/>
        </w:rPr>
        <w:t xml:space="preserve"> With the written approval of a majority of the Independent Directors, the Corporation may terminate this Agreement, as and to the extent provided herein, by paying in full each and every TRA Holder the Early Termination Payment (along with any applicable Default Rate Interest) due to such TRA Holder.</w:t>
      </w:r>
    </w:p>
    <w:p>
      <w:pPr>
        <w:spacing w:after="0" w:line="75" w:lineRule="exact"/>
        <w:rPr>
          <w:rFonts w:ascii="Arial" w:cs="Arial" w:eastAsia="Arial" w:hAnsi="Arial"/>
          <w:sz w:val="18"/>
          <w:szCs w:val="18"/>
          <w:color w:val="auto"/>
        </w:rPr>
      </w:pPr>
    </w:p>
    <w:p>
      <w:pPr>
        <w:ind w:left="4" w:right="240" w:firstLine="987"/>
        <w:spacing w:after="0" w:line="263" w:lineRule="auto"/>
        <w:tabs>
          <w:tab w:leader="none" w:pos="1250" w:val="left"/>
        </w:tabs>
        <w:numPr>
          <w:ilvl w:val="1"/>
          <w:numId w:val="115"/>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of Control.</w:t>
      </w:r>
      <w:r>
        <w:rPr>
          <w:rFonts w:ascii="Arial" w:cs="Arial" w:eastAsia="Arial" w:hAnsi="Arial"/>
          <w:sz w:val="18"/>
          <w:szCs w:val="18"/>
          <w:color w:val="auto"/>
        </w:rPr>
        <w:t xml:space="preserve"> In the event of a Change of Control, the Early Termination Payment (calculated as if an Early Termination Notice had been delivered on the date of the Change of Control) shall become due and payable in accordance with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the Agreement shall terminate, as and to the extent provided herein.</w:t>
      </w:r>
    </w:p>
    <w:p>
      <w:pPr>
        <w:spacing w:after="0" w:line="75" w:lineRule="exact"/>
        <w:rPr>
          <w:rFonts w:ascii="Arial" w:cs="Arial" w:eastAsia="Arial" w:hAnsi="Arial"/>
          <w:sz w:val="18"/>
          <w:szCs w:val="18"/>
          <w:color w:val="auto"/>
        </w:rPr>
      </w:pPr>
    </w:p>
    <w:p>
      <w:pPr>
        <w:ind w:left="4" w:right="140" w:firstLine="987"/>
        <w:spacing w:after="0" w:line="285" w:lineRule="auto"/>
        <w:tabs>
          <w:tab w:leader="none" w:pos="1240"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Acceleration upon Breach of Agreement.</w:t>
      </w:r>
      <w:r>
        <w:rPr>
          <w:rFonts w:ascii="Arial" w:cs="Arial" w:eastAsia="Arial" w:hAnsi="Arial"/>
          <w:sz w:val="16"/>
          <w:szCs w:val="16"/>
          <w:color w:val="auto"/>
        </w:rPr>
        <w:t xml:space="preserve"> In the event of a Material Breach, the Early Termination Payment (calculated as if an Early Termination Notice had been delivered on the date of the Material Breach) shall become due and payable in accordance with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the Agreement shall terminate, as and to the extent provided herein. Subject to the next sentence, the Corporation’s failure to make a Payment (along with any applicable Default Rate Interest) within 30 calendar days of the applicable Final Payment Date shall be deemed to constitute a Material Breach. To the extent that any Tax Benefit Payment is not made by the date that is 30 calendar days after the relevant Final Payment Date because the Corporation</w:t>
      </w:r>
    </w:p>
    <w:p>
      <w:pPr>
        <w:spacing w:after="0" w:line="1" w:lineRule="exact"/>
        <w:rPr>
          <w:rFonts w:ascii="Arial" w:cs="Arial" w:eastAsia="Arial" w:hAnsi="Arial"/>
          <w:sz w:val="16"/>
          <w:szCs w:val="16"/>
          <w:color w:val="auto"/>
        </w:rPr>
      </w:pPr>
    </w:p>
    <w:p>
      <w:pPr>
        <w:ind w:left="4" w:right="40" w:hanging="4"/>
        <w:spacing w:after="0" w:line="260" w:lineRule="auto"/>
        <w:tabs>
          <w:tab w:leader="none" w:pos="21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is prohibited from making such payment under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or the terms of any agreement governing any Senior Obligations or (ii) does not have, and cannot take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115" w:name="page116"/>
    <w:bookmarkEnd w:id="115"/>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commercially reasonable actions to obtain, sufficient funds to make such payment, such failure will not constitute a Material Breach;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5" w:lineRule="exact"/>
        <w:rPr>
          <w:sz w:val="20"/>
          <w:szCs w:val="20"/>
          <w:color w:val="auto"/>
        </w:rPr>
      </w:pPr>
    </w:p>
    <w:p>
      <w:pPr>
        <w:ind w:left="4" w:right="20" w:hanging="4"/>
        <w:spacing w:after="0" w:line="267" w:lineRule="auto"/>
        <w:tabs>
          <w:tab w:leader="none" w:pos="29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such payment obligation nevertheless will accrue for the benefit of the TRA Holders, (B) the Corporation shall promptly (and in any event, within 3 Business Days) pay the entirety of the unpaid amount (along with any applicable Default Rate Interest) once the Corporation is not prohibited from making such payment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the terms of the agreements governing the Senior Obligations and the Corporation has sufficient funds to make such payment and (C) the failure of the Corporation to do so will constitute a Material Breach;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that the interest provisions of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apply to such late payment (unless the Corporation does not have sufficient funds to make such payment as a result of limitations imposed by any Senior Obligations, in which case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apply, but the Default Rate shall be replaced by the Agreed Rate). It shall be a Material Breach if the Corporation makes any distribution of cash or other property (other than shares of Class A Common Stock) to its stockholders or uses cash or other property to repurchase any capital stock of the Corporation (including Class A Common Stock), in each case before all Tax Benefit Payments (along with any applicable Default Rate Interest) have been paid for any Taxable Year that has ended. The Corporation shall use commercially reasonable efforts to (1) obtain sufficient available funds for the purpose of making Tax Benefit Payments under this Agreement and (2) avoid entering into any agreements that could be reasonably anticipated to materially delay the timing of the making of any Tax Benefit Payments under this Agreement.</w:t>
      </w:r>
    </w:p>
    <w:p>
      <w:pPr>
        <w:spacing w:after="0" w:line="76" w:lineRule="exact"/>
        <w:rPr>
          <w:rFonts w:ascii="Arial" w:cs="Arial" w:eastAsia="Arial" w:hAnsi="Arial"/>
          <w:sz w:val="17"/>
          <w:szCs w:val="17"/>
          <w:color w:val="auto"/>
        </w:rPr>
      </w:pPr>
    </w:p>
    <w:p>
      <w:pPr>
        <w:ind w:left="4" w:firstLine="987"/>
        <w:spacing w:after="0" w:line="293" w:lineRule="auto"/>
        <w:tabs>
          <w:tab w:leader="none" w:pos="125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In the case of a termination pursuant to any of the foregoing </w:t>
      </w:r>
      <w:r>
        <w:rPr>
          <w:rFonts w:ascii="Arial" w:cs="Arial" w:eastAsia="Arial" w:hAnsi="Arial"/>
          <w:sz w:val="16"/>
          <w:szCs w:val="16"/>
          <w:u w:val="single" w:color="auto"/>
          <w:color w:val="auto"/>
        </w:rPr>
        <w:t>paragraphs (a), (b) or (c)</w:t>
      </w:r>
      <w:r>
        <w:rPr>
          <w:rFonts w:ascii="Arial" w:cs="Arial" w:eastAsia="Arial" w:hAnsi="Arial"/>
          <w:sz w:val="16"/>
          <w:szCs w:val="16"/>
          <w:color w:val="auto"/>
        </w:rPr>
        <w:t>, upon the Corporation’s payment in full of the Early Termination Payment (along with any applicable Default Rate Interest) to each TRA Holder, the Corporation shall have no further payment obligations under this Agreement other than with respect to any Tax Benefit Payments (along with any applicable Default Rate Interest) in respect of any Taxable Year ending prior to the Early Termination Effective Date, and such payment obligations shall survive the termination of, and be calculated and paid in accordance with, this Agreement. If an Exchange subsequently occurs with respect to Units for which the Corporation has paid the Early Termination Payment in full, the Corporation shall have no obligations under this Agreement with respect to such Exchange.</w:t>
      </w:r>
    </w:p>
    <w:p>
      <w:pPr>
        <w:spacing w:after="0" w:line="16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Early Termination Notice.</w:t>
      </w:r>
    </w:p>
    <w:p>
      <w:pPr>
        <w:spacing w:after="0" w:line="117" w:lineRule="exact"/>
        <w:rPr>
          <w:sz w:val="20"/>
          <w:szCs w:val="20"/>
          <w:color w:val="auto"/>
        </w:rPr>
      </w:pPr>
    </w:p>
    <w:p>
      <w:pPr>
        <w:ind w:left="4" w:right="140" w:firstLine="987"/>
        <w:spacing w:after="0" w:line="275" w:lineRule="auto"/>
        <w:tabs>
          <w:tab w:leader="none" w:pos="12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If (i) the Corporation chooses to exercise its termination right under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Voluntary Early Termination</w:t>
      </w:r>
      <w:r>
        <w:rPr>
          <w:rFonts w:ascii="Arial" w:cs="Arial" w:eastAsia="Arial" w:hAnsi="Arial"/>
          <w:sz w:val="17"/>
          <w:szCs w:val="17"/>
          <w:color w:val="auto"/>
        </w:rPr>
        <w:t>”), (ii) a Change of Control occurs or (iii) a Material Breach occurs, the Corporation shall, in each case, deliver to the TRA Holders a reasonably detailed notice of the Corporation’s decision to exercise such right or the occurrence of such event, as applicable (an “</w:t>
      </w:r>
      <w:r>
        <w:rPr>
          <w:rFonts w:ascii="Arial" w:cs="Arial" w:eastAsia="Arial" w:hAnsi="Arial"/>
          <w:sz w:val="17"/>
          <w:szCs w:val="17"/>
          <w:u w:val="single" w:color="auto"/>
          <w:color w:val="auto"/>
        </w:rPr>
        <w:t>Early Termination Notice</w:t>
      </w:r>
      <w:r>
        <w:rPr>
          <w:rFonts w:ascii="Arial" w:cs="Arial" w:eastAsia="Arial" w:hAnsi="Arial"/>
          <w:sz w:val="17"/>
          <w:szCs w:val="17"/>
          <w:color w:val="auto"/>
        </w:rPr>
        <w:t>”). In the case of an Early Termination Notice delivered with respect to a Voluntary Early Termination, the Corporation may withdraw such Early Termination Notice and rescind its Voluntary Early Termination at any time prior to the time at which any Early Termination Payment is paid.</w:t>
      </w:r>
    </w:p>
    <w:p>
      <w:pPr>
        <w:spacing w:after="0" w:line="68" w:lineRule="exact"/>
        <w:rPr>
          <w:rFonts w:ascii="Arial" w:cs="Arial" w:eastAsia="Arial" w:hAnsi="Arial"/>
          <w:sz w:val="17"/>
          <w:szCs w:val="17"/>
          <w:color w:val="auto"/>
        </w:rPr>
      </w:pPr>
    </w:p>
    <w:p>
      <w:pPr>
        <w:ind w:left="4" w:right="20" w:firstLine="987"/>
        <w:spacing w:after="0" w:line="257" w:lineRule="auto"/>
        <w:tabs>
          <w:tab w:leader="none" w:pos="125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Corporation shall deliver a schedule showing in reasonable detail the calculation of the Early Termination Payment (an “</w:t>
      </w:r>
      <w:r>
        <w:rPr>
          <w:rFonts w:ascii="Arial" w:cs="Arial" w:eastAsia="Arial" w:hAnsi="Arial"/>
          <w:sz w:val="18"/>
          <w:szCs w:val="18"/>
          <w:u w:val="single" w:color="auto"/>
          <w:color w:val="auto"/>
        </w:rPr>
        <w:t>Early</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Termination Schedule</w:t>
      </w:r>
      <w:r>
        <w:rPr>
          <w:rFonts w:ascii="Arial" w:cs="Arial" w:eastAsia="Arial" w:hAnsi="Arial"/>
          <w:sz w:val="18"/>
          <w:szCs w:val="18"/>
          <w:color w:val="auto"/>
        </w:rPr>
        <w:t xml:space="preserve">”) (i) simultaneously with the delivery of an Early Termination Notice or (ii) in the case of a termination pursuant to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4.1(c)</w:t>
      </w:r>
      <w:r>
        <w:rPr>
          <w:rFonts w:ascii="Arial" w:cs="Arial" w:eastAsia="Arial" w:hAnsi="Arial"/>
          <w:sz w:val="18"/>
          <w:szCs w:val="18"/>
          <w:color w:val="auto"/>
        </w:rPr>
        <w:t xml:space="preserve">, as soon as reasonably practicable following the occurrence of the Change of Control or Material Breach giving rise to such termination. The date on which such Early Termination Schedule becomes final in accordance with </w:t>
      </w:r>
      <w:r>
        <w:rPr>
          <w:rFonts w:ascii="Arial" w:cs="Arial" w:eastAsia="Arial" w:hAnsi="Arial"/>
          <w:sz w:val="18"/>
          <w:szCs w:val="18"/>
          <w:u w:val="single" w:color="auto"/>
          <w:color w:val="auto"/>
        </w:rPr>
        <w:t>Section 2.4(a)</w:t>
      </w:r>
      <w:r>
        <w:rPr>
          <w:rFonts w:ascii="Arial" w:cs="Arial" w:eastAsia="Arial" w:hAnsi="Arial"/>
          <w:sz w:val="18"/>
          <w:szCs w:val="18"/>
          <w:color w:val="auto"/>
        </w:rPr>
        <w:t xml:space="preserve"> shall be the “</w:t>
      </w:r>
      <w:r>
        <w:rPr>
          <w:rFonts w:ascii="Arial" w:cs="Arial" w:eastAsia="Arial" w:hAnsi="Arial"/>
          <w:sz w:val="18"/>
          <w:szCs w:val="18"/>
          <w:u w:val="single" w:color="auto"/>
          <w:color w:val="auto"/>
        </w:rPr>
        <w:t>Early Termination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Reference Date</w:t>
      </w:r>
      <w:r>
        <w:rPr>
          <w:rFonts w:ascii="Arial" w:cs="Arial" w:eastAsia="Arial" w:hAnsi="Arial"/>
          <w:sz w:val="18"/>
          <w:szCs w:val="18"/>
          <w:color w:val="auto"/>
        </w:rPr>
        <w: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4"/>
          </w:cols>
          <w:pgMar w:left="436" w:top="274" w:right="439" w:bottom="1440" w:gutter="0" w:footer="0" w:header="0"/>
        </w:sectPr>
      </w:pPr>
    </w:p>
    <w:bookmarkStart w:id="116" w:name="page117"/>
    <w:bookmarkEnd w:id="11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4.3. </w:t>
      </w:r>
      <w:r>
        <w:rPr>
          <w:rFonts w:ascii="Arial" w:cs="Arial" w:eastAsia="Arial" w:hAnsi="Arial"/>
          <w:sz w:val="18"/>
          <w:szCs w:val="18"/>
          <w:u w:val="single" w:color="auto"/>
          <w:color w:val="auto"/>
        </w:rPr>
        <w:t>Payment upon Early Termination.</w:t>
      </w:r>
    </w:p>
    <w:p>
      <w:pPr>
        <w:spacing w:after="0" w:line="117" w:lineRule="exact"/>
        <w:rPr>
          <w:sz w:val="20"/>
          <w:szCs w:val="20"/>
          <w:color w:val="auto"/>
        </w:rPr>
      </w:pPr>
    </w:p>
    <w:p>
      <w:pPr>
        <w:jc w:val="both"/>
        <w:ind w:right="160" w:firstLine="987"/>
        <w:spacing w:after="0" w:line="259" w:lineRule="auto"/>
        <w:tabs>
          <w:tab w:leader="none" w:pos="123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Timing of Payment.</w:t>
      </w:r>
      <w:r>
        <w:rPr>
          <w:rFonts w:ascii="Arial" w:cs="Arial" w:eastAsia="Arial" w:hAnsi="Arial"/>
          <w:sz w:val="18"/>
          <w:szCs w:val="18"/>
          <w:color w:val="auto"/>
        </w:rPr>
        <w:t xml:space="preserve"> By the date that is 3 Business Days after the Early Termination Reference Date (such date, the “</w:t>
      </w:r>
      <w:r>
        <w:rPr>
          <w:rFonts w:ascii="Arial" w:cs="Arial" w:eastAsia="Arial" w:hAnsi="Arial"/>
          <w:sz w:val="18"/>
          <w:szCs w:val="18"/>
          <w:u w:val="single" w:color="auto"/>
          <w:color w:val="auto"/>
        </w:rPr>
        <w:t>Final 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in respect of the Early Termination Payment), the Corporation shall pay in full to each TRA Holder an amount equal to the Early Termination Payment applicable to such TRA Holder. Such Early Termination Payment shall be made by the Corporation by wire transfer of immediately available funds to a bank account or accounts designated by the applicable TRA Holder.</w:t>
      </w:r>
    </w:p>
    <w:p>
      <w:pPr>
        <w:spacing w:after="0" w:line="78" w:lineRule="exact"/>
        <w:rPr>
          <w:rFonts w:ascii="Arial" w:cs="Arial" w:eastAsia="Arial" w:hAnsi="Arial"/>
          <w:sz w:val="18"/>
          <w:szCs w:val="18"/>
          <w:color w:val="auto"/>
        </w:rPr>
      </w:pPr>
    </w:p>
    <w:p>
      <w:pPr>
        <w:ind w:right="20" w:firstLine="987"/>
        <w:spacing w:after="0" w:line="255" w:lineRule="auto"/>
        <w:tabs>
          <w:tab w:leader="none" w:pos="124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Amount of Payment.</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xml:space="preserve">” payable to a TRA Holder pursuant to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shall equal the present value, discounted at the Agreed Rate and determined as of the Early Termination Reference Date, of all Tax Benefit Payments (other than any Tax Benefit Payments in respect of Taxable Years ending prior to the Early Termination Effective Date) that would be required to be paid by the Corporation to such TRA Holder, beginning from the Early Termination Effective Date and using the Valuation Assumptions. For the avoidance of doubt, an Early Termination Payment shall be made to each TRA Holder in accordance with this Agreement, regardless of whether a TRA Holder has Exchanged all of its Units as of the Early Termination Effective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and Late Payments</w:t>
      </w:r>
    </w:p>
    <w:p>
      <w:pPr>
        <w:spacing w:after="0" w:line="229"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Subordination.</w:t>
      </w:r>
      <w:r>
        <w:rPr>
          <w:rFonts w:ascii="Arial" w:cs="Arial" w:eastAsia="Arial" w:hAnsi="Arial"/>
          <w:sz w:val="16"/>
          <w:szCs w:val="16"/>
          <w:color w:val="auto"/>
        </w:rPr>
        <w:t xml:space="preserve"> Notwithstanding any other provision of this Agreement to the contrary, any payment required to be made by the Corporation to the TRA Holders under this Agreement shall rank subordinate and junior in right of payment to any principal, interest or other amounts due and payable in respect of any obligations owed in respect of secured indebtedness for borrowed money of the Corporation (“</w:t>
      </w:r>
      <w:r>
        <w:rPr>
          <w:rFonts w:ascii="Arial" w:cs="Arial" w:eastAsia="Arial" w:hAnsi="Arial"/>
          <w:sz w:val="16"/>
          <w:szCs w:val="16"/>
          <w:u w:val="single" w:color="auto"/>
          <w:color w:val="auto"/>
        </w:rPr>
        <w:t>Senior</w:t>
      </w:r>
      <w:r>
        <w:rPr>
          <w:rFonts w:ascii="Arial" w:cs="Arial" w:eastAsia="Arial" w:hAnsi="Arial"/>
          <w:sz w:val="16"/>
          <w:szCs w:val="16"/>
          <w:color w:val="auto"/>
        </w:rPr>
        <w:t xml:space="preserve"> </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current or future obligations of the Corporation that are not Senior Obligations.</w:t>
      </w:r>
    </w:p>
    <w:p>
      <w:pPr>
        <w:spacing w:after="0" w:line="157" w:lineRule="exact"/>
        <w:rPr>
          <w:sz w:val="20"/>
          <w:szCs w:val="20"/>
          <w:color w:val="auto"/>
        </w:rPr>
      </w:pPr>
    </w:p>
    <w:p>
      <w:pPr>
        <w:ind w:right="160" w:firstLine="991"/>
        <w:spacing w:after="0" w:line="286"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Late Payments by the Corporation.</w:t>
      </w:r>
      <w:r>
        <w:rPr>
          <w:rFonts w:ascii="Arial" w:cs="Arial" w:eastAsia="Arial" w:hAnsi="Arial"/>
          <w:sz w:val="17"/>
          <w:szCs w:val="17"/>
          <w:color w:val="auto"/>
        </w:rPr>
        <w:t xml:space="preserve"> The amount of any Payment not made to any TRA Holder by the applicable Final Payment Date shall be payable together with “</w:t>
      </w:r>
      <w:r>
        <w:rPr>
          <w:rFonts w:ascii="Arial" w:cs="Arial" w:eastAsia="Arial" w:hAnsi="Arial"/>
          <w:sz w:val="17"/>
          <w:szCs w:val="17"/>
          <w:u w:val="single" w:color="auto"/>
          <w:color w:val="auto"/>
        </w:rPr>
        <w:t>Default Rate Interest</w:t>
      </w:r>
      <w:r>
        <w:rPr>
          <w:rFonts w:ascii="Arial" w:cs="Arial" w:eastAsia="Arial" w:hAnsi="Arial"/>
          <w:sz w:val="17"/>
          <w:szCs w:val="17"/>
          <w:color w:val="auto"/>
        </w:rPr>
        <w:t>”, calculated at the Default Rate and accruing on the amount of the unpaid Payment from the applicable Final Payment Date until the date on which the Corporation makes such Payment to such TRA Holder.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17" w:name="page118"/>
    <w:bookmarkEnd w:id="117"/>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Tax Matters; Consistency; Cooperation</w:t>
      </w:r>
    </w:p>
    <w:p>
      <w:pPr>
        <w:spacing w:after="0" w:line="229"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Participation in the Corporation’s and GoHealth Holdings’ Tax Matters.</w:t>
      </w:r>
      <w:r>
        <w:rPr>
          <w:rFonts w:ascii="Arial" w:cs="Arial" w:eastAsia="Arial" w:hAnsi="Arial"/>
          <w:sz w:val="16"/>
          <w:szCs w:val="16"/>
          <w:color w:val="auto"/>
        </w:rPr>
        <w:t xml:space="preserve"> Except as otherwise provided herein or in Article IX of the Operating Agreement, the Corporation shall have full responsibility for, and sole discretion over, all tax matters concerning the Corporation and GoHealth Holdings, including preparing, filing or amending any Tax Return and defending, contesting or settling any issue pertaining to taxes. Notwithstanding the foregoing, (i) the Corporation shall notify the relevant TRA Holders of, and keep them reasonably informed with respect to, the portion of any audit by any Taxing Authority of the Corporation, GoHealth Holdings or any of GoHealth Holdings’ Subsidiaries, the outcome of which is reasonably expected to materially affect such TRA Holders’ rights and obligations under this Agreement and (ii) the Corporation shall not settle or fail to contest any issue pertaining to Covered Taxes that is reasonably expected to materially and adversely affect the TRA Holders’ rights and obligations under this Agreement without the consent of Centerbridge and NVX Holdings, such consent not to be unreasonably withheld, conditioned or delayed, and (iii) Centerbridge and NVX Holdings shall have the right to participate in and to monitor at their own expense (but, for the avoidance of doubt, not to control) any such issue in any such Tax audit. If Centerbridge or NVX Holdings fails to respond to any notice with respect to the settlement of any such issue within fifteen (15) days of its receipt of the applicable notice, Centerbridge or NVX Holdings, as applicable, shall be deemed to have consented to the proposed settlement or other disposition. To the extent there is a conflict between this Agreement and the Operating Agreement as it relates to tax matters concerning Covered Taxes and the Corporation and GoHealth Holdings, including preparation, filing or amending of any Tax Return and defending, contesting or settling any issue pertaining to taxes, this Agreement shall control.</w:t>
      </w:r>
    </w:p>
    <w:p>
      <w:pPr>
        <w:spacing w:after="0" w:line="171" w:lineRule="exact"/>
        <w:rPr>
          <w:sz w:val="20"/>
          <w:szCs w:val="20"/>
          <w:color w:val="auto"/>
        </w:rPr>
      </w:pPr>
    </w:p>
    <w:p>
      <w:pPr>
        <w:ind w:left="4" w:right="20" w:firstLine="991"/>
        <w:spacing w:after="0" w:line="253"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Consistency.</w:t>
      </w:r>
      <w:r>
        <w:rPr>
          <w:rFonts w:ascii="Arial" w:cs="Arial" w:eastAsia="Arial" w:hAnsi="Arial"/>
          <w:sz w:val="18"/>
          <w:szCs w:val="18"/>
          <w:color w:val="auto"/>
        </w:rPr>
        <w:t xml:space="preserve"> Except upon the written advice of the Advisory Firm, all calculations and determinations made hereunder, including any Basis Adjustments, the Schedules and the determination of any Realized Tax Benefits or Realized Tax Detriments, shall be made in accordance with the elections, methodologies and positions taken by the Corporation and GoHealth Holdings on their respective Tax Returns. Each TRA Holder shall prepare its Tax Returns in a manner consistent with the terms of this Agreement and any related calculations or determinations made hereunder, including the terms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and the Schedules provided to each such TRA Holder, except as otherwise required by Law. In the event that an Advisory Firm is replaced with another Advisory Firm acceptable to the Audit Committee, the TRA Holders shall cause such replacement Advisory Firm to perform its services necessitated by this Agreement using procedures and methodologies consistent with those of the previous Advisory Firm, unless otherwise required by Law or unless the Corporation and all of the TRA Holders agree to the use of other procedures and methodologies.</w:t>
      </w:r>
    </w:p>
    <w:p>
      <w:pPr>
        <w:spacing w:after="0" w:line="19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Cooperation.</w:t>
      </w:r>
    </w:p>
    <w:p>
      <w:pPr>
        <w:spacing w:after="0" w:line="117" w:lineRule="exact"/>
        <w:rPr>
          <w:sz w:val="20"/>
          <w:szCs w:val="20"/>
          <w:color w:val="auto"/>
        </w:rPr>
      </w:pPr>
    </w:p>
    <w:p>
      <w:pPr>
        <w:ind w:left="4" w:right="20" w:firstLine="987"/>
        <w:spacing w:after="0" w:line="285" w:lineRule="auto"/>
        <w:tabs>
          <w:tab w:leader="none" w:pos="124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Each TRA Holder shall (i) furnish to the Corporation in a timely manner such information, documents and other materials as the Corporation may reasonably request for purposes of making any determination or computation necessary or appropriate under this Agreement, preparing any Tax Return of GoHealth Holdings or any of its Subsidiaries or contesting or defending any related audit, examination or controversy with any Taxing Authority, (ii) make itself available to the Corporation and its representatives to provide explanations of documents and materials and such other information as the Corporation or its representatives may reasonably request in connection with any of the matters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reasonably cooperate in connection with any such matter.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0" w:right="439" w:bottom="1440" w:gutter="0" w:footer="0" w:header="0"/>
        </w:sectPr>
      </w:pPr>
    </w:p>
    <w:bookmarkStart w:id="118" w:name="page119"/>
    <w:bookmarkEnd w:id="118"/>
    <w:p>
      <w:pPr>
        <w:ind w:left="4" w:right="320" w:firstLine="987"/>
        <w:spacing w:after="0" w:line="277" w:lineRule="auto"/>
        <w:tabs>
          <w:tab w:leader="none" w:pos="1250" w:val="left"/>
        </w:tabs>
        <w:numPr>
          <w:ilvl w:val="0"/>
          <w:numId w:val="1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Corporation shall reimburse the TRA Holders for any reasonable and documented out-of-pocket costs and expenses incurred pursuant to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382"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consents and other communications required or permitted hereunder shall be in writing and</w:t>
      </w:r>
    </w:p>
    <w:p>
      <w:pPr>
        <w:spacing w:after="0" w:line="46" w:lineRule="exact"/>
        <w:rPr>
          <w:sz w:val="20"/>
          <w:szCs w:val="20"/>
          <w:color w:val="auto"/>
        </w:rPr>
      </w:pPr>
    </w:p>
    <w:p>
      <w:pPr>
        <w:ind w:left="984" w:right="2880" w:hanging="984"/>
        <w:spacing w:after="0" w:line="367" w:lineRule="auto"/>
        <w:tabs>
          <w:tab w:leader="none" w:pos="2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delivered personally, (ii) sent by e-mail or (iii) sent by overnight courier, in each case, addressed as follows: If to the Corporation, to:</w:t>
      </w:r>
    </w:p>
    <w:p>
      <w:pPr>
        <w:spacing w:after="0" w:line="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984"/>
        <w:spacing w:after="0"/>
        <w:tabs>
          <w:tab w:leader="none" w:pos="178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Chief Legal Officer</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a copy (which shall not constitute notice to the Corporation)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984"/>
        <w:spacing w:after="0"/>
        <w:tabs>
          <w:tab w:leader="none" w:pos="178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Ian D. Schuman</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Facsimile: (212) 751-4864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E-mail:####@lw.com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Centerbridge or the Blocker Shareholders,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 Centerbridge Partners, L.P.</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375 Park Avenue, 11th Floor</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New York, New York 10152</w:t>
      </w:r>
    </w:p>
    <w:p>
      <w:pPr>
        <w:spacing w:after="0" w:line="9" w:lineRule="exact"/>
        <w:rPr>
          <w:sz w:val="20"/>
          <w:szCs w:val="20"/>
          <w:color w:val="auto"/>
        </w:rPr>
      </w:pPr>
    </w:p>
    <w:p>
      <w:pPr>
        <w:ind w:left="984"/>
        <w:spacing w:after="0"/>
        <w:tabs>
          <w:tab w:leader="none" w:pos="1784"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Office of the General Counsel</w:t>
      </w:r>
    </w:p>
    <w:p>
      <w:pPr>
        <w:spacing w:after="0" w:line="9" w:lineRule="exact"/>
        <w:rPr>
          <w:sz w:val="20"/>
          <w:szCs w:val="20"/>
          <w:color w:val="auto"/>
        </w:rPr>
      </w:pPr>
    </w:p>
    <w:p>
      <w:pPr>
        <w:ind w:left="984"/>
        <w:spacing w:after="0"/>
        <w:tabs>
          <w:tab w:leader="none" w:pos="1784"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####@centerbridge.com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to NVX Holdings,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214 West Huron St.</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 ####@gohealth.com</w:t>
      </w:r>
    </w:p>
    <w:p>
      <w:pPr>
        <w:spacing w:after="0" w:line="10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with copies (which shall not constitute notice to NVX Holdings)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Clinton Jones</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E-mail:####@gohealth.com</w:t>
      </w:r>
    </w:p>
    <w:p>
      <w:pPr>
        <w:spacing w:after="0" w:line="14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864"/>
          </w:cols>
          <w:pgMar w:left="436" w:top="274" w:right="599" w:bottom="1440" w:gutter="0" w:footer="0" w:header="0"/>
        </w:sectPr>
      </w:pPr>
    </w:p>
    <w:bookmarkStart w:id="119" w:name="page120"/>
    <w:bookmarkEnd w:id="11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Brandon Cruz</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E-mail:####@gohealth.com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If to any other TRA Holder, to the address and e-mail address specified on such TRA Holder’s signature page to the applicable Joinder.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Any Party may change its address, fax number or e-mail address by giving each of the other Party written notice thereof in the manner set forth above.</w:t>
      </w:r>
    </w:p>
    <w:p>
      <w:pPr>
        <w:spacing w:after="0" w:line="248" w:lineRule="exact"/>
        <w:rPr>
          <w:sz w:val="20"/>
          <w:szCs w:val="20"/>
          <w:color w:val="auto"/>
        </w:rPr>
      </w:pPr>
    </w:p>
    <w:p>
      <w:pPr>
        <w:ind w:right="180" w:firstLine="991"/>
        <w:spacing w:after="0" w:line="279"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one or more counterparts, all of which shall be considered one and the same agreement and shall become effective when one or more counterparts have been signed by each of the TRA Holders and delivered to the other TRA Holders, it being understood that all TRA Holders need not sign the same counterpart. Delivery of an executed signature page to this Agreement by e-mail transmission shall be as effective as delivery of a manually signed counterpart of this Agreement.</w:t>
      </w:r>
    </w:p>
    <w:p>
      <w:pPr>
        <w:spacing w:after="0" w:line="17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 No Third-Party Beneficiaries.</w:t>
      </w:r>
      <w:r>
        <w:rPr>
          <w:rFonts w:ascii="Arial" w:cs="Arial" w:eastAsia="Arial" w:hAnsi="Arial"/>
          <w:sz w:val="18"/>
          <w:szCs w:val="18"/>
          <w:color w:val="auto"/>
        </w:rPr>
        <w:t xml:space="preserve">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8"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term or other provision of this Agreement is invalid, illegal or incapable of being enforced by any Law or public policy, all other terms and provisions hereunder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Assignments; Amendments; Successors; No Waiver.</w:t>
      </w:r>
    </w:p>
    <w:p>
      <w:pPr>
        <w:spacing w:after="0" w:line="117" w:lineRule="exact"/>
        <w:rPr>
          <w:sz w:val="20"/>
          <w:szCs w:val="20"/>
          <w:color w:val="auto"/>
        </w:rPr>
      </w:pPr>
    </w:p>
    <w:p>
      <w:pPr>
        <w:jc w:val="both"/>
        <w:ind w:right="260" w:firstLine="987"/>
        <w:spacing w:after="0" w:line="259" w:lineRule="auto"/>
        <w:tabs>
          <w:tab w:leader="none" w:pos="123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No TRA Holder may assign, sell, pledge or otherwise alienate or transfer any interest in this Agreement, including the right to receive any payments under this Agreement, to any Person without such Person executing and delivering a Joinder agreeing to succeed to the applicable portion of such TRA Holder’s interest in this Agreement and to become a Party for all purposes of this Agreement (the “</w:t>
      </w:r>
      <w:r>
        <w:rPr>
          <w:rFonts w:ascii="Arial" w:cs="Arial" w:eastAsia="Arial" w:hAnsi="Arial"/>
          <w:sz w:val="18"/>
          <w:szCs w:val="18"/>
          <w:u w:val="single" w:color="auto"/>
          <w:color w:val="auto"/>
        </w:rPr>
        <w:t>Joinder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120" w:name="page121"/>
    <w:bookmarkEnd w:id="120"/>
    <w:p>
      <w:pPr>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provided</w:t>
      </w:r>
      <w:r>
        <w:rPr>
          <w:rFonts w:ascii="Arial" w:cs="Arial" w:eastAsia="Arial" w:hAnsi="Arial"/>
          <w:sz w:val="17"/>
          <w:szCs w:val="17"/>
          <w:color w:val="auto"/>
        </w:rPr>
        <w:t xml:space="preserve">, that Centerbridge’s and NVX Holdings’ approval and consent rights described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shall not be transferrable or assignable to any Person (other than Permitted Transferees) without the prior written consent of the Corporation, not to be unreasonably withheld, conditioned or delayed. Notwithstanding the foregoing, if any Member sells, exchanges, distributes or otherwise transfers Units to any Person (other than the Corporation or GoHealth Holdings) in accordance with the terms of the Operating Agreement, such Member shall have the option to assign to the transferee of such Units its rights under this Agreement with respect to such transferred Units;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transferee has satisfied the Joinder Requirement. For the avoidance of doubt, if a Member transfers Units in accordance with the terms of the Operating Agreement but does not assign to the transferee of such Units its rights under this Agreement with respect to such transferred Units, such Member shall continue to be entitled to receive the Tax Benefit Payments arising in respect of a subsequent Exchange of such Units (and any such transferred Units shall be separately identified, so as to facilitate the determination of payments hereunder). The Corporation may not assign any of its rights or obligations under this Agreement to any Person without TRA Holder Approval (and any purported assignment without such consent shall be null and void).</w:t>
      </w:r>
    </w:p>
    <w:p>
      <w:pPr>
        <w:spacing w:after="0" w:line="77" w:lineRule="exact"/>
        <w:rPr>
          <w:sz w:val="20"/>
          <w:szCs w:val="20"/>
          <w:color w:val="auto"/>
        </w:rPr>
      </w:pPr>
    </w:p>
    <w:p>
      <w:pPr>
        <w:ind w:firstLine="987"/>
        <w:spacing w:after="0" w:line="296" w:lineRule="auto"/>
        <w:tabs>
          <w:tab w:leader="none" w:pos="124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No provision of this Agreement may be amended unless such amendment is approved in writing by the Corporation with TRA 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amendment of the definition of Change of Control will also require the written approval of a majority of the Independent Directors;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to the extent any amendment would materially, adversely and disproportionately affect a TRA Holder with respect to any rights under this Agreement, such amendment shall require the written approval of such affected TRA Holder. In the event that LIBOR ceases to be available, the Parties will negotiate in good faith to amend this Agreement to replace LIBOR with a mutually acceptable successor rate.</w:t>
      </w:r>
    </w:p>
    <w:p>
      <w:pPr>
        <w:spacing w:after="0" w:line="53" w:lineRule="exact"/>
        <w:rPr>
          <w:rFonts w:ascii="Arial" w:cs="Arial" w:eastAsia="Arial" w:hAnsi="Arial"/>
          <w:sz w:val="16"/>
          <w:szCs w:val="16"/>
          <w:color w:val="auto"/>
        </w:rPr>
      </w:pPr>
    </w:p>
    <w:p>
      <w:pPr>
        <w:ind w:right="20" w:firstLine="987"/>
        <w:spacing w:after="0" w:line="296" w:lineRule="auto"/>
        <w:tabs>
          <w:tab w:leader="none" w:pos="1236"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7.5(a)</w:t>
      </w:r>
      <w:r>
        <w:rPr>
          <w:rFonts w:ascii="Arial" w:cs="Arial" w:eastAsia="Arial" w:hAnsi="Arial"/>
          <w:sz w:val="16"/>
          <w:szCs w:val="16"/>
          <w:color w:val="auto"/>
        </w:rPr>
        <w:t>, all of the terms and provisions hereunder shall be binding upon, and shall inure to the benefit of and be enforceable by, the Parties and their respective successors, assigns, heirs, executors, administrators and legal representatives. The Corporation shall require and cause any direct or indirect successor (whether by equity purchase, merger, consolidation or otherwise) to all or substantially all of the business or assets of the Corporation, by written agreement, expressly to assume and agree to perform this Agreement in the same manner and to the same extent that the Corporation would be required to perform if no such succession had taken place.</w:t>
      </w:r>
    </w:p>
    <w:p>
      <w:pPr>
        <w:spacing w:after="0" w:line="53"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No provision of this Agreement may be waived unless such waiver is in writing and signed by the Party against whom the waiver is to be effective.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21" w:name="page122"/>
    <w:bookmarkEnd w:id="121"/>
    <w:p>
      <w:pPr>
        <w:ind w:left="4"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7.6.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xml:space="preserve">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Resolution of Disputes; Governing Law.</w:t>
      </w:r>
    </w:p>
    <w:p>
      <w:pPr>
        <w:spacing w:after="0" w:line="117" w:lineRule="exact"/>
        <w:rPr>
          <w:sz w:val="20"/>
          <w:szCs w:val="20"/>
          <w:color w:val="auto"/>
        </w:rPr>
      </w:pPr>
    </w:p>
    <w:p>
      <w:pPr>
        <w:ind w:left="4" w:firstLine="987"/>
        <w:spacing w:after="0" w:line="287" w:lineRule="auto"/>
        <w:tabs>
          <w:tab w:leader="none" w:pos="12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Except for Reconciliation Disputes subject to </w:t>
      </w:r>
      <w:r>
        <w:rPr>
          <w:rFonts w:ascii="Arial" w:cs="Arial" w:eastAsia="Arial" w:hAnsi="Arial"/>
          <w:sz w:val="16"/>
          <w:szCs w:val="16"/>
          <w:u w:val="single" w:color="auto"/>
          <w:color w:val="auto"/>
        </w:rPr>
        <w:t>Section 7.8</w:t>
      </w:r>
      <w:r>
        <w:rPr>
          <w:rFonts w:ascii="Arial" w:cs="Arial" w:eastAsia="Arial" w:hAnsi="Arial"/>
          <w:sz w:val="16"/>
          <w:szCs w:val="16"/>
          <w:color w:val="auto"/>
        </w:rPr>
        <w:t xml:space="preserve">, any and all disputes which cannot be settled after good faith negotiation within 30 calendar days, including any ancillary claims of any Party, arising out of, relating to or in connection with the validity, negotiation, execution, interpretation, performance or non-performance of this Agreement (including the validity, scope and enforceability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7.8</w:t>
      </w:r>
      <w:r>
        <w:rPr>
          <w:rFonts w:ascii="Arial" w:cs="Arial" w:eastAsia="Arial" w:hAnsi="Arial"/>
          <w:sz w:val="16"/>
          <w:szCs w:val="16"/>
          <w:color w:val="auto"/>
        </w:rPr>
        <w:t>) (each, a “</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shall be finally resolved by arbitration in accordance with the International Institute for Conflict Prevention and Resolution Rules for Non-Administered Arbitration by the majority vote of a panel of three arbitrators, of which the Corporation shall designate one arbitrator and the TRA Holders that are party to such Dispute shall designate one arbitrator, in each case in accordance with the “screened” appointment procedure provided in Resolution Rule 5.4. In addition to monetary damages, the arbitrators shall be empowered and permitted to award equitable relief, including an injunction and specific performance of any obligation under this Agreement. The arbitrators are not empowered to award damages in excess of compensatory damages, and each TRA Holder hereby irrevocably waives any right to recover punitive, exemplary or similar damages with respect to any Dispute. Any award shall be the sole and exclusive remedy between the TRA Holders regarding any claims, counterclaims, issues or accounting presented to the arbitrators.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and judgment upon the award rendered by the arbitrators may be entered by any court having jurisdiction thereof. The place of the arbitration shall be New York, New York.</w:t>
      </w:r>
    </w:p>
    <w:p>
      <w:pPr>
        <w:spacing w:after="0" w:line="59" w:lineRule="exact"/>
        <w:rPr>
          <w:rFonts w:ascii="Arial" w:cs="Arial" w:eastAsia="Arial" w:hAnsi="Arial"/>
          <w:sz w:val="16"/>
          <w:szCs w:val="16"/>
          <w:color w:val="auto"/>
        </w:rPr>
      </w:pPr>
    </w:p>
    <w:p>
      <w:pPr>
        <w:ind w:left="4" w:right="60" w:firstLine="987"/>
        <w:spacing w:after="0" w:line="287" w:lineRule="auto"/>
        <w:tabs>
          <w:tab w:leader="none" w:pos="125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Notwithstanding the provisions of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any Party may bring an action or special proceeding in any court of competent jurisdiction for the purpose of compelling another Party to arbitrate, seeking temporary or preliminary relief in aid of an arbitration hereunder or enforcing an arbitration award and, for the purposes of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each Party (i) expressly consents to the application of </w:t>
      </w:r>
      <w:r>
        <w:rPr>
          <w:rFonts w:ascii="Arial" w:cs="Arial" w:eastAsia="Arial" w:hAnsi="Arial"/>
          <w:sz w:val="16"/>
          <w:szCs w:val="16"/>
          <w:u w:val="single" w:color="auto"/>
          <w:color w:val="auto"/>
        </w:rPr>
        <w:t>paragraphs (c)</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4" w:right="740" w:hanging="4"/>
        <w:spacing w:after="0" w:line="260" w:lineRule="auto"/>
        <w:tabs>
          <w:tab w:leader="none" w:pos="25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to any such action or proceeding and (ii) agrees that proof shall not be required that monetary damages for breach of the provisions hereunder would be difficult to calculate and that remedies at law would be inadequate.</w:t>
      </w:r>
    </w:p>
    <w:p>
      <w:pPr>
        <w:spacing w:after="0" w:line="77" w:lineRule="exact"/>
        <w:rPr>
          <w:rFonts w:ascii="Arial" w:cs="Arial" w:eastAsia="Arial" w:hAnsi="Arial"/>
          <w:sz w:val="18"/>
          <w:szCs w:val="18"/>
          <w:color w:val="auto"/>
        </w:rPr>
      </w:pPr>
    </w:p>
    <w:p>
      <w:pPr>
        <w:ind w:left="4" w:right="60" w:firstLine="987"/>
        <w:spacing w:after="0" w:line="293" w:lineRule="auto"/>
        <w:tabs>
          <w:tab w:leader="none" w:pos="124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This Agreement shall be governed in all respects, including as to validity, interpretation and effect, by the internal Laws of the State of New York, without giving effect to the conflict of laws rules thereof. Subject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7.8</w:t>
      </w:r>
      <w:r>
        <w:rPr>
          <w:rFonts w:ascii="Arial" w:cs="Arial" w:eastAsia="Arial" w:hAnsi="Arial"/>
          <w:sz w:val="16"/>
          <w:szCs w:val="16"/>
          <w:color w:val="auto"/>
        </w:rPr>
        <w:t>, the Parties agree that any suit or proceeding in connection with, arising out of or relating to this Agreement shall be instituted only in a New York state court (or U.S. Federal court) located in New York, New York, and the Parties, for the purpose of any such suit or proceeding, irrevocably consent and submit to the exclusive personal jurisdiction and venue of any such court in any such suit or proceeding. Each Party agrees that a final judgment in any such action or proceeding shall be conclusive and may be enforced in other jurisdictions by suit on the judgment or in any other manner provided by Law.</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122" w:name="page123"/>
    <w:bookmarkEnd w:id="122"/>
    <w:p>
      <w:pPr>
        <w:ind w:left="-120" w:right="420" w:firstLine="987"/>
        <w:spacing w:after="0" w:line="311" w:lineRule="auto"/>
        <w:tabs>
          <w:tab w:leader="none" w:pos="1126"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Party irrevocably and unconditionally waives, to the fullest extent permitted by Law, (i) any objection that it may now or hereafter have to the laying of venue of any suit, action or proceeding arising out of or relating to this Agreement in any court referred to in </w:t>
      </w:r>
      <w:r>
        <w:rPr>
          <w:rFonts w:ascii="Arial" w:cs="Arial" w:eastAsia="Arial" w:hAnsi="Arial"/>
          <w:sz w:val="16"/>
          <w:szCs w:val="16"/>
          <w:u w:val="single" w:color="auto"/>
          <w:color w:val="auto"/>
        </w:rPr>
        <w:t>Section 7.7(b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7.7(c)</w:t>
      </w:r>
      <w:r>
        <w:rPr>
          <w:rFonts w:ascii="Arial" w:cs="Arial" w:eastAsia="Arial" w:hAnsi="Arial"/>
          <w:sz w:val="16"/>
          <w:szCs w:val="16"/>
          <w:color w:val="auto"/>
        </w:rPr>
        <w:t xml:space="preserve"> and (ii) the defense of an inconvenient forum to the maintenance of any such suit, action or proceeding in any such court.</w:t>
      </w:r>
    </w:p>
    <w:p>
      <w:pPr>
        <w:spacing w:after="0" w:line="40" w:lineRule="exact"/>
        <w:rPr>
          <w:rFonts w:ascii="Arial" w:cs="Arial" w:eastAsia="Arial" w:hAnsi="Arial"/>
          <w:sz w:val="16"/>
          <w:szCs w:val="16"/>
          <w:color w:val="auto"/>
        </w:rPr>
      </w:pPr>
    </w:p>
    <w:p>
      <w:pPr>
        <w:ind w:left="-120" w:right="220" w:firstLine="987"/>
        <w:spacing w:after="0" w:line="277" w:lineRule="auto"/>
        <w:tabs>
          <w:tab w:leader="none" w:pos="111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Each Party irrevocably consents to service of process by means of notice in the manner provided for in </w:t>
      </w:r>
      <w:r>
        <w:rPr>
          <w:rFonts w:ascii="Arial" w:cs="Arial" w:eastAsia="Arial" w:hAnsi="Arial"/>
          <w:sz w:val="18"/>
          <w:szCs w:val="18"/>
          <w:u w:val="single" w:color="auto"/>
          <w:color w:val="auto"/>
        </w:rPr>
        <w:t>Section 7.1</w:t>
      </w:r>
      <w:r>
        <w:rPr>
          <w:rFonts w:ascii="Arial" w:cs="Arial" w:eastAsia="Arial" w:hAnsi="Arial"/>
          <w:sz w:val="18"/>
          <w:szCs w:val="18"/>
          <w:color w:val="auto"/>
        </w:rPr>
        <w:t>. Nothing in this Agreement shall affect the right of any Party to serve process in any other manner permitted by Law.</w:t>
      </w:r>
    </w:p>
    <w:p>
      <w:pPr>
        <w:spacing w:after="0" w:line="62" w:lineRule="exact"/>
        <w:rPr>
          <w:rFonts w:ascii="Arial" w:cs="Arial" w:eastAsia="Arial" w:hAnsi="Arial"/>
          <w:sz w:val="18"/>
          <w:szCs w:val="18"/>
          <w:color w:val="auto"/>
        </w:rPr>
      </w:pPr>
    </w:p>
    <w:p>
      <w:pPr>
        <w:ind w:left="-120" w:right="60" w:firstLine="987"/>
        <w:spacing w:after="0" w:line="255" w:lineRule="auto"/>
        <w:tabs>
          <w:tab w:leader="none" w:pos="109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WAIVER OF RIGHT TO TRIAL BY JURY. EACH PARTY HERETO HEREBY KNOWINGLY, VOLUNTARILY, INTENTIONALLY AND IRREVOCABLY WAIVES, TO THE FULLEST EXTENT PERMITTED BY APPLICABLE LAW, AND WITH THE ADVICE OF ITS COUNSEL, ANY RIGHT IT MAY HAVE TO A TRIAL BY JURY IN ANY SUIT, ACTION OR PROCEEDING, WHETHER A CLAIM, COUNTERCLAIM, CROSS-CLAIM, OR THIRD PARTY CLAIM, DIRECTLY OR INDIRECTLY ARISING OUT OF OR RELATING IN ANY WAY TO THIS AGREEMENT OR THE TRANSACTIONS CONTEMPLATED HEREBY (WHETHER BASED ON CONTRACT, TORT OR ANY OTHER THEORY).</w:t>
      </w:r>
    </w:p>
    <w:p>
      <w:pPr>
        <w:spacing w:after="0" w:line="19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Reconciliation Procedures.</w:t>
      </w:r>
    </w:p>
    <w:p>
      <w:pPr>
        <w:spacing w:after="0" w:line="117" w:lineRule="exact"/>
        <w:rPr>
          <w:sz w:val="20"/>
          <w:szCs w:val="20"/>
          <w:color w:val="auto"/>
        </w:rPr>
      </w:pPr>
    </w:p>
    <w:p>
      <w:pPr>
        <w:ind w:left="-120" w:firstLine="987"/>
        <w:spacing w:after="0" w:line="285" w:lineRule="auto"/>
        <w:tabs>
          <w:tab w:leader="none" w:pos="111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In the event that the Corporation and any TRA Holder are unable to resolve a disagreement with respect to a Schedule prepared in accordance with the procedures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as applicable, within the relevant time period designated in this Agreement (a “</w:t>
      </w:r>
      <w:r>
        <w:rPr>
          <w:rFonts w:ascii="Arial" w:cs="Arial" w:eastAsia="Arial" w:hAnsi="Arial"/>
          <w:sz w:val="16"/>
          <w:szCs w:val="16"/>
          <w:u w:val="single" w:color="auto"/>
          <w:color w:val="auto"/>
        </w:rPr>
        <w:t>Reconciliation Dispute</w:t>
      </w:r>
      <w:r>
        <w:rPr>
          <w:rFonts w:ascii="Arial" w:cs="Arial" w:eastAsia="Arial" w:hAnsi="Arial"/>
          <w:sz w:val="16"/>
          <w:szCs w:val="16"/>
          <w:color w:val="auto"/>
        </w:rPr>
        <w:t>”), the procedures described in this paragraph (the “</w:t>
      </w:r>
      <w:r>
        <w:rPr>
          <w:rFonts w:ascii="Arial" w:cs="Arial" w:eastAsia="Arial" w:hAnsi="Arial"/>
          <w:sz w:val="16"/>
          <w:szCs w:val="16"/>
          <w:u w:val="single" w:color="auto"/>
          <w:color w:val="auto"/>
        </w:rPr>
        <w:t>Reconciliation Procedures</w:t>
      </w:r>
      <w:r>
        <w:rPr>
          <w:rFonts w:ascii="Arial" w:cs="Arial" w:eastAsia="Arial" w:hAnsi="Arial"/>
          <w:sz w:val="16"/>
          <w:szCs w:val="16"/>
          <w:color w:val="auto"/>
        </w:rPr>
        <w:t>”) will apply. The applicable TRA Holders shall, within 15 calendar days of the commencement of a Reconciliation Dispute, mutually select a nationally recognized expert in the particular area of disagreement (the “</w:t>
      </w:r>
      <w:r>
        <w:rPr>
          <w:rFonts w:ascii="Arial" w:cs="Arial" w:eastAsia="Arial" w:hAnsi="Arial"/>
          <w:sz w:val="16"/>
          <w:szCs w:val="16"/>
          <w:u w:val="single" w:color="auto"/>
          <w:color w:val="auto"/>
        </w:rPr>
        <w:t>Expert</w:t>
      </w:r>
      <w:r>
        <w:rPr>
          <w:rFonts w:ascii="Arial" w:cs="Arial" w:eastAsia="Arial" w:hAnsi="Arial"/>
          <w:sz w:val="16"/>
          <w:szCs w:val="16"/>
          <w:color w:val="auto"/>
        </w:rPr>
        <w:t xml:space="preserve">”) and submit the Reconciliation Dispute to such Expert for determination. The Expert shall be a partner or principal in a nationally recognized accounting firm, and unless the Corporation and such TRA Holder agree otherwise, the Expert (and its employing firm) shall not have any material relationship with the Corporation or such TRA Holder or other actual or potential conflict of interest. If the applicable Parties are unable to agree on an Expert within such 15 calendar-day time period, the selection of an Expert shall be treated as a Dispute subject to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and an arbitration panel shall pick an Expert from a nationally recognized accounting firm that does not have any material relationship with the applicable Parties or other actual or potential conflict of interest. The Expert shall resolve any matter relating to (i) a Basis Schedule, Early Termination Schedule or an amendment to either within 30 calendar days and (ii) a Tax Benefit Schedule or an amendment thereto within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by the date prescribed by this Agreement and such Tax Return may be filed as prepared by the Corporation, subject to adjustment or amendment upon resolution. The Expert shall finally determine any Reconciliation Dispute, and its determinations pursuant to this </w:t>
      </w:r>
      <w:r>
        <w:rPr>
          <w:rFonts w:ascii="Arial" w:cs="Arial" w:eastAsia="Arial" w:hAnsi="Arial"/>
          <w:sz w:val="16"/>
          <w:szCs w:val="16"/>
          <w:u w:val="single" w:color="auto"/>
          <w:color w:val="auto"/>
        </w:rPr>
        <w:t>Section 7.8(a)</w:t>
      </w:r>
      <w:r>
        <w:rPr>
          <w:rFonts w:ascii="Arial" w:cs="Arial" w:eastAsia="Arial" w:hAnsi="Arial"/>
          <w:sz w:val="16"/>
          <w:szCs w:val="16"/>
          <w:color w:val="auto"/>
        </w:rPr>
        <w:t xml:space="preserve"> shall be binding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560" w:top="274" w:right="579" w:bottom="1440" w:gutter="0" w:footer="0" w:header="0"/>
        </w:sectPr>
      </w:pPr>
    </w:p>
    <w:bookmarkStart w:id="123" w:name="page124"/>
    <w:bookmarkEnd w:id="123"/>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on the applicable Parties and may be entered and enforced in any court having competent jurisdiction. Any dispute as to whether a dispute is a Reconciliation Dispute within the meaning of this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or a Dispute within the meaning of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decided and resolved as a Dispute subject to the procedures set forth in </w:t>
      </w:r>
      <w:r>
        <w:rPr>
          <w:rFonts w:ascii="Arial" w:cs="Arial" w:eastAsia="Arial" w:hAnsi="Arial"/>
          <w:sz w:val="18"/>
          <w:szCs w:val="18"/>
          <w:u w:val="single" w:color="auto"/>
          <w:color w:val="auto"/>
        </w:rPr>
        <w:t>Section 7.7</w:t>
      </w:r>
      <w:r>
        <w:rPr>
          <w:rFonts w:ascii="Arial" w:cs="Arial" w:eastAsia="Arial" w:hAnsi="Arial"/>
          <w:sz w:val="18"/>
          <w:szCs w:val="18"/>
          <w:color w:val="auto"/>
        </w:rPr>
        <w:t>.</w:t>
      </w:r>
    </w:p>
    <w:p>
      <w:pPr>
        <w:spacing w:after="0" w:line="76" w:lineRule="exact"/>
        <w:rPr>
          <w:sz w:val="20"/>
          <w:szCs w:val="20"/>
          <w:color w:val="auto"/>
        </w:rPr>
      </w:pPr>
    </w:p>
    <w:p>
      <w:pPr>
        <w:ind w:right="280" w:firstLine="987"/>
        <w:spacing w:after="0" w:line="275" w:lineRule="auto"/>
        <w:tabs>
          <w:tab w:leader="none" w:pos="124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Subject to the next sentence, the applicable Parties shall bear their own costs and expenses of such proceeding, unless (i) the Expert adopts the TRA Holder’s position, in which case the Corporation shall reimburse the TRA Holder for any reasonable and documented out-of-pocket costs and expenses in such proceeding or (ii) the Expert adopts the Corporation’s position, in which case the TRA Holders shall reimburse the Corporation for any reasonable and documented out-of-pocket costs and expenses in such proceeding. The costs and expenses relating to the engagement of such Expert or amending any Tax Return shall be borne by the Corporation.</w:t>
      </w:r>
    </w:p>
    <w:p>
      <w:pPr>
        <w:spacing w:after="0" w:line="176"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Corporation and its Affiliates shall be entitled to deduct and withhold from any payment that is payable to any TRA Holder pursuant to this Agreement such amounts as the Corporation is required to deduct and withhold with respect to the making of such payment by applicable Law. To the extent that amounts are so deducted and withheld and paid over to the appropriate Taxing Authority by the Corporation, such deducted and withheld amounts shall be treated for all purposes of this Agreement as having been paid by the Corporation to the relevant TRA Holder in respect of whom the deduction and withholding was made. Each TRA Holder shall promptly provide the Corporation with any applicable tax forms and certifications reasonably requested by the Corporation in connection with determining whether any such deductions and withholdings are required by applicable Law.</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Admission of the Corporation into a Consolidated Group; Transfers of Corporate Assets.</w:t>
      </w:r>
    </w:p>
    <w:p>
      <w:pPr>
        <w:spacing w:after="0" w:line="117" w:lineRule="exact"/>
        <w:rPr>
          <w:sz w:val="20"/>
          <w:szCs w:val="20"/>
          <w:color w:val="auto"/>
        </w:rPr>
      </w:pPr>
    </w:p>
    <w:p>
      <w:pPr>
        <w:ind w:right="20" w:firstLine="987"/>
        <w:spacing w:after="0" w:line="279" w:lineRule="auto"/>
        <w:tabs>
          <w:tab w:leader="none" w:pos="12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If the Corporation is or becomes a member of an affiliated or consolidated group of corporations that files a consolidated income Tax Return pursuant to Section 1501 or other applicable sections of the Code governing affiliated or consolidated groups, or any corresponding provisions of state, local or foreign tax Law, then (i) the provisions of this Agreement shall be applied with respect to the group as a whole, and (ii) Payments and other applicable items hereunder shall be computed with reference to the consolidated taxable income of the group as a whole.</w:t>
      </w:r>
    </w:p>
    <w:p>
      <w:pPr>
        <w:spacing w:after="0" w:line="63" w:lineRule="exact"/>
        <w:rPr>
          <w:rFonts w:ascii="Arial" w:cs="Arial" w:eastAsia="Arial" w:hAnsi="Arial"/>
          <w:sz w:val="17"/>
          <w:szCs w:val="17"/>
          <w:color w:val="auto"/>
        </w:rPr>
      </w:pPr>
    </w:p>
    <w:p>
      <w:pPr>
        <w:ind w:firstLine="987"/>
        <w:spacing w:after="0" w:line="254" w:lineRule="auto"/>
        <w:tabs>
          <w:tab w:leader="none" w:pos="12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If the Corporation or any member of the GoHealth Holdings Group transfers one or more Reference Assets to a Person treated as a corporation for U.S. Federal income tax purposes (with which, in the case of the Corporation, the Corporation does not file a consolidated Tax Return pursuant to Section 1501 of the Code), such transferor, for purposes of calculating the amount of any Payment due hereunder, shall be treated as having disposed of such asset in a fully taxable transaction on the date of such transfer. The consideration deemed to be received by the Corporation or GoHealth Holdings Group member, as the applicable transferor, shall be equal to the fair market value of the transferred asset plus the amount of debt to which such asset is subject, in the case of a transfer of an encumbered asset. For purposes of this </w:t>
      </w:r>
      <w:r>
        <w:rPr>
          <w:rFonts w:ascii="Arial" w:cs="Arial" w:eastAsia="Arial" w:hAnsi="Arial"/>
          <w:sz w:val="18"/>
          <w:szCs w:val="18"/>
          <w:u w:val="single" w:color="auto"/>
          <w:color w:val="auto"/>
        </w:rPr>
        <w:t>Section 7.10</w:t>
      </w:r>
      <w:r>
        <w:rPr>
          <w:rFonts w:ascii="Arial" w:cs="Arial" w:eastAsia="Arial" w:hAnsi="Arial"/>
          <w:sz w:val="18"/>
          <w:szCs w:val="18"/>
          <w:color w:val="auto"/>
        </w:rPr>
        <w:t>, a transfer of a partnership interest shall be treated as a transfer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124" w:name="page125"/>
    <w:bookmarkEnd w:id="124"/>
    <w:p>
      <w:pPr>
        <w:ind w:left="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transferring partner’s applicable share of each of the assets and liabilities of that partnership. Notwithstanding anything to the contrary set forth herein, if the Corporation or any member of a group described in </w:t>
      </w:r>
      <w:r>
        <w:rPr>
          <w:rFonts w:ascii="Arial" w:cs="Arial" w:eastAsia="Arial" w:hAnsi="Arial"/>
          <w:sz w:val="18"/>
          <w:szCs w:val="18"/>
          <w:u w:val="single" w:color="auto"/>
          <w:color w:val="auto"/>
        </w:rPr>
        <w:t>Section 7.10(a)</w:t>
      </w:r>
      <w:r>
        <w:rPr>
          <w:rFonts w:ascii="Arial" w:cs="Arial" w:eastAsia="Arial" w:hAnsi="Arial"/>
          <w:sz w:val="18"/>
          <w:szCs w:val="18"/>
          <w:color w:val="auto"/>
        </w:rPr>
        <w:t xml:space="preserve"> transfers its assets pursuant to a transaction that qualifies as a “reorganization” (within the meaning of Section 368(a) of the Code) in which such entity does not survive or pursuant to any other transaction to which Section 381(a) of the Code applies (other than any such reorganization or any such other transaction, in each case, pursuant to which such entity transfers assets to a corporation with which the Corporation or any member of the group described in </w:t>
      </w:r>
      <w:r>
        <w:rPr>
          <w:rFonts w:ascii="Arial" w:cs="Arial" w:eastAsia="Arial" w:hAnsi="Arial"/>
          <w:sz w:val="18"/>
          <w:szCs w:val="18"/>
          <w:u w:val="single" w:color="auto"/>
          <w:color w:val="auto"/>
        </w:rPr>
        <w:t>Section 7.10(a)</w:t>
      </w:r>
      <w:r>
        <w:rPr>
          <w:rFonts w:ascii="Arial" w:cs="Arial" w:eastAsia="Arial" w:hAnsi="Arial"/>
          <w:sz w:val="18"/>
          <w:szCs w:val="18"/>
          <w:color w:val="auto"/>
        </w:rPr>
        <w:t xml:space="preserve"> (other than any such member being transferred in such reorganization or other transaction) does not file a consolidated Tax Return pursuant to Section 1501 of the Code), the transfer will not cause such entity to be treated as having transferred any assets to a corporation (or a Person classified as a corporation for U.S. Federal income tax purposes) pursuant to this </w:t>
      </w:r>
      <w:r>
        <w:rPr>
          <w:rFonts w:ascii="Arial" w:cs="Arial" w:eastAsia="Arial" w:hAnsi="Arial"/>
          <w:sz w:val="18"/>
          <w:szCs w:val="18"/>
          <w:u w:val="single" w:color="auto"/>
          <w:color w:val="auto"/>
        </w:rPr>
        <w:t>Section 7.10(b)</w:t>
      </w:r>
      <w:r>
        <w:rPr>
          <w:rFonts w:ascii="Arial" w:cs="Arial" w:eastAsia="Arial" w:hAnsi="Arial"/>
          <w:sz w:val="18"/>
          <w:szCs w:val="18"/>
          <w:color w:val="auto"/>
        </w:rPr>
        <w:t>.</w:t>
      </w:r>
    </w:p>
    <w:p>
      <w:pPr>
        <w:spacing w:after="0" w:line="192"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TRA Holder and each of its respective assignees acknowledges and agrees that the information of the Corporation is confidential and, except in the course of performing any duties as necessary for the Corporation and its Affiliates, as required by Law or legal process or to enforce the terms of this Agreement, such Person shall keep and retain in the strictest confidence and not disclose to any other Person any confidential information, acquired pursuant to this Agreement, of the Corporation or its controlled Affiliates or their successors. This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shall not apply to (i) any information that has been made publicly available by the Corporation or any of its controlled Affiliates, becomes public knowledge (except as a result of an act of any TRA Holder in violation of this Agreement) or is generally known to the business community,</w:t>
      </w:r>
    </w:p>
    <w:p>
      <w:pPr>
        <w:spacing w:after="0" w:line="4" w:lineRule="exact"/>
        <w:rPr>
          <w:sz w:val="20"/>
          <w:szCs w:val="20"/>
          <w:color w:val="auto"/>
        </w:rPr>
      </w:pPr>
    </w:p>
    <w:p>
      <w:pPr>
        <w:ind w:left="264" w:hanging="264"/>
        <w:spacing w:after="0"/>
        <w:tabs>
          <w:tab w:leader="none" w:pos="26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disclosure of information to the extent necessary for a TRA Holder to prosecute or defend claims arising under or relating to this Agreement and</w:t>
      </w:r>
    </w:p>
    <w:p>
      <w:pPr>
        <w:spacing w:after="0" w:line="32" w:lineRule="exact"/>
        <w:rPr>
          <w:rFonts w:ascii="Arial" w:cs="Arial" w:eastAsia="Arial" w:hAnsi="Arial"/>
          <w:sz w:val="16"/>
          <w:szCs w:val="16"/>
          <w:color w:val="auto"/>
        </w:rPr>
      </w:pPr>
    </w:p>
    <w:p>
      <w:pPr>
        <w:ind w:left="4" w:right="80" w:hanging="4"/>
        <w:spacing w:after="0" w:line="281" w:lineRule="auto"/>
        <w:tabs>
          <w:tab w:leader="none" w:pos="31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disclosure of information to the extent necessary for a TRA Holder to prepare and file its Tax Returns, to respond to any inquiries regarding the same from any Taxing Authority or to prosecute or defend any action, proceeding or audit by any Taxing Authority with respect to such Tax Returns. Notwithstanding anything to the contrary herein, the TRA Holders and each of their assignees (and each employee, representative or other agent of the TRA Holders or their assignees, as applicable) may disclose at their discretion to any and all Persons, without limitation of any kind, the tax treatment and tax structure of the Corporation, the TRA Holders and any of their transactions, and all materials of any kind (including tax opinions or other tax analyses) that are provided to the TRA Holders relating to such tax treatment and tax structure. If a TRA Holder or an assignee commits, or threatens to commit, a breach of any of the provisions of this </w:t>
      </w:r>
      <w:r>
        <w:rPr>
          <w:rFonts w:ascii="Arial" w:cs="Arial" w:eastAsia="Arial" w:hAnsi="Arial"/>
          <w:sz w:val="16"/>
          <w:szCs w:val="16"/>
          <w:u w:val="single" w:color="auto"/>
          <w:color w:val="auto"/>
        </w:rPr>
        <w:t>Section 7.11</w:t>
      </w:r>
      <w:r>
        <w:rPr>
          <w:rFonts w:ascii="Arial" w:cs="Arial" w:eastAsia="Arial" w:hAnsi="Arial"/>
          <w:sz w:val="16"/>
          <w:szCs w:val="16"/>
          <w:color w:val="auto"/>
        </w:rPr>
        <w:t>, the Corporation shall have the right and remedy to have the provisions of this</w:t>
      </w:r>
    </w:p>
    <w:p>
      <w:pPr>
        <w:spacing w:after="0" w:line="4" w:lineRule="exact"/>
        <w:rPr>
          <w:rFonts w:ascii="Arial" w:cs="Arial" w:eastAsia="Arial" w:hAnsi="Arial"/>
          <w:sz w:val="16"/>
          <w:szCs w:val="16"/>
          <w:color w:val="auto"/>
        </w:rPr>
      </w:pPr>
    </w:p>
    <w:p>
      <w:pPr>
        <w:ind w:left="4" w:right="12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specifically enforced by injunctive relief or otherwise by any court of competent jurisdiction without the need to post any bond or other security, it being acknowledged and agreed that any such breach or threatened breach will cause irreparable injury to the Corporation or any of its controlled Affiliates and that money damages alone will not provide an adequate remedy to such Persons. Such rights and remedies shall be in addition to, and not in lieu of, any other rights and remedies available at Law or in equity.</w:t>
      </w:r>
    </w:p>
    <w:p>
      <w:pPr>
        <w:spacing w:after="0" w:line="193" w:lineRule="exact"/>
        <w:rPr>
          <w:sz w:val="20"/>
          <w:szCs w:val="20"/>
          <w:color w:val="auto"/>
        </w:rPr>
      </w:pPr>
    </w:p>
    <w:p>
      <w:pPr>
        <w:ind w:left="4" w:right="40" w:firstLine="991"/>
        <w:spacing w:after="0" w:line="259"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Notwithstanding anything herein to the contrary, if, in connection with an actual or proposed change in Law, a TRA Holder reasonably believes that the existence of this Agreement could cause income (other than income arising from receipt of a payment under this Agreement) recognized by such TRA Holder (or direct or indirect equity holders in such TRA Holder) in connection with any Exchange to be treated as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125" w:name="page126"/>
    <w:bookmarkEnd w:id="125"/>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ordinary income (other than with respect to assets described in Section 751(a) of the Code) rather than capital gain (or otherwise taxed at ordinary income rates) for U.S. Federal income tax purposes or would have other material adverse tax consequences to such TRA Holder or any direct or indirect owner of such TRA Holder, then, at the written election of such TRA Holder in its sole discretion (in an instrument signed by such TRA Holder and delivered to the Corporation) and to the extent specified therein by such TRA Holder, this Agreement shall cease to have further effect and shall not apply to an Exchange occurring after a date specified by such TRA Holder, or may be amended in a manner reasonably determined by such TRA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amendment shall not result in an increase in any payments owed by the Corporation under this Agreement at any time as compared to the amounts and times of payments that would have been due in the absence of such amendment.</w:t>
      </w:r>
    </w:p>
    <w:p>
      <w:pPr>
        <w:spacing w:after="0" w:line="177"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xml:space="preserve"> Notwithstanding anything to the contrary contained herein, the interest paid or agreed to be paid hereunder with respect to amounts due to any TRA Holder hereunder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any TRA Holder shall receive interest in an amount that exceeds the Maximum Rate, the excess interest shall be applied to the applicable payment (but in each case exclusive of any component thereof comprising interest) or, if it exceeds such unpaid non-interest amount, refunded to the Corporation. In determining whether the interest contracted for, charged or received by any TRA Holder exceeds the Maximum Rate, such TRA Holder may, to the extent permitted by applicable Law, (i) characterize any payment that is not principal as an expense, fee or premium rather than interest, (ii) exclude voluntary prepayments and the effects thereof or (iii) amortize, prorate, allocate and spread in equal or unequal parts the total amount of interest throughout the contemplated term of the payment obligations owed by the Corporation to such TRA Holder hereunder. Notwithstanding the foregoing, it is the intention of the Parties to conform strictly to any applicable usury Laws.</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Independent Nature of Rights and Obligations.</w:t>
      </w:r>
      <w:r>
        <w:rPr>
          <w:rFonts w:ascii="Arial" w:cs="Arial" w:eastAsia="Arial" w:hAnsi="Arial"/>
          <w:sz w:val="18"/>
          <w:szCs w:val="18"/>
          <w:color w:val="auto"/>
        </w:rPr>
        <w:t xml:space="preserve"> The rights and obligations of each TRA Holder hereunder are several and not joint with the rights and obligations of any other Person. A TRA Holder shall not be responsible in any way for the performance of the obligations of any other Person hereunder, nor shall a TRA Holder have the right to enforce the rights or obligations of any other Person hereunder (other than obligations of the Corporation). The obligations of a TRA Holder hereunder are solely for the benefit of, and shall be enforceable solely by, the Corporation. Nothing contained herein or in any other agreement or document delivered in connection herewith, and no action taken by any TRA Holder pursuant hereto or thereto, shall be deemed to constitute the TRA Holders acting as a partnership, association, joint venture or any other kind of entity, or create a presumption that the TRA Holders are in any way acting in concert or as a group with respect to such rights or obligations or the transactions contemplated hereby.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 this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26" w:name="page127"/>
    <w:bookmarkEnd w:id="126"/>
    <w:p>
      <w:pPr>
        <w:ind w:right="4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have executed or caused to be executed on their behalf this Agreement as of the date first written above.</w:t>
      </w:r>
    </w:p>
    <w:p>
      <w:pPr>
        <w:spacing w:after="0" w:line="19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CORPORATION: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93179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Clinton P. Jones</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GOHEALTH HOLDINGS: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GOHEALTH HOLDINGS, LLC</w:t>
      </w:r>
    </w:p>
    <w:p>
      <w:pPr>
        <w:spacing w:after="0" w:line="229" w:lineRule="exact"/>
        <w:rPr>
          <w:sz w:val="20"/>
          <w:szCs w:val="20"/>
          <w:color w:val="auto"/>
        </w:rPr>
      </w:pPr>
    </w:p>
    <w:tbl>
      <w:tblPr>
        <w:tblLayout w:type="fixed"/>
        <w:tblInd w:w="57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Pr>
          <w:p>
            <w:pPr>
              <w:spacing w:after="0"/>
              <w:rPr>
                <w:sz w:val="20"/>
                <w:szCs w:val="20"/>
                <w:color w:val="auto"/>
              </w:rPr>
            </w:pPr>
            <w:r>
              <w:rPr>
                <w:rFonts w:ascii="Arial" w:cs="Arial" w:eastAsia="Arial" w:hAnsi="Arial"/>
                <w:sz w:val="18"/>
                <w:szCs w:val="18"/>
                <w:color w:val="auto"/>
              </w:rPr>
              <w:t>GoHealth, Inc.</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Its:</w:t>
            </w:r>
          </w:p>
        </w:tc>
        <w:tc>
          <w:tcPr>
            <w:tcW w:w="46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Clinton P. Jones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127" w:name="page128"/>
    <w:bookmarkEnd w:id="127"/>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 HOLDERS: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CB BLIZZARD CO-INVEST HOLDINGS,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Centerbridge Associates III,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CCP III AIV VII HOLDINGS, L.P.</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Centerbridge Associates III, L.P.</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ectPr>
          <w:pgSz w:w="11900" w:h="16838" w:orient="portrait"/>
          <w:cols w:equalWidth="0" w:num="1">
            <w:col w:w="9300"/>
          </w:cols>
          <w:pgMar w:left="1440" w:top="270" w:right="1159" w:bottom="1440" w:gutter="0" w:footer="0" w:header="0"/>
        </w:sectPr>
      </w:pPr>
    </w:p>
    <w:bookmarkStart w:id="128" w:name="page129"/>
    <w:bookmarkEnd w:id="12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BLIZZARD AGGREGATOR,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BLIZZARD MANAGEMENT FEEDER,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W. Gelber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ectPr>
          <w:pgSz w:w="11900" w:h="16838" w:orient="portrait"/>
          <w:cols w:equalWidth="0" w:num="1">
            <w:col w:w="9200"/>
          </w:cols>
          <w:pgMar w:left="1440" w:top="270" w:right="1259" w:bottom="1440" w:gutter="0" w:footer="0" w:header="0"/>
        </w:sectPr>
      </w:pPr>
    </w:p>
    <w:bookmarkStart w:id="129" w:name="page130"/>
    <w:bookmarkEnd w:id="12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NVX HOLDINGS,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Brandon M. Cruz</w:t>
      </w:r>
    </w:p>
    <w:p>
      <w:pPr>
        <w:spacing w:after="0" w:line="3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BCCJ,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Brandon M. Cruz</w:t>
      </w:r>
    </w:p>
    <w:p>
      <w:pPr>
        <w:spacing w:after="0" w:line="35"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30" w:name="page131"/>
    <w:bookmarkEnd w:id="13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NORWEST EQUITY PARTNERS IX,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Itasca Partners IX,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Norwest Venture Capital Management, Inc.</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Timothy C. DeVries</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ectPr>
          <w:pgSz w:w="11900" w:h="16838" w:orient="portrait"/>
          <w:cols w:equalWidth="0" w:num="1">
            <w:col w:w="9040"/>
          </w:cols>
          <w:pgMar w:left="1440" w:top="270" w:right="1419" w:bottom="1440" w:gutter="0" w:footer="0" w:header="0"/>
        </w:sectPr>
      </w:pPr>
    </w:p>
    <w:bookmarkStart w:id="131" w:name="page132"/>
    <w:bookmarkEnd w:id="13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GREINER INVESTMENTS,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Jeffrey Greiner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32" w:name="page133"/>
    <w:bookmarkEnd w:id="13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GH I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Alexis Maged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Authorized Signatory</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OR GH II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Alexis Maged</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Authorized Signatory</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Tax Receivable Agreement</w:t>
      </w:r>
      <w:r>
        <w:rPr>
          <w:rFonts w:ascii="Arial" w:cs="Arial" w:eastAsia="Arial" w:hAnsi="Arial"/>
          <w:sz w:val="16"/>
          <w:szCs w:val="16"/>
          <w:color w:val="auto"/>
        </w:rPr>
        <w:t>]</w:t>
      </w:r>
    </w:p>
    <w:p>
      <w:pPr>
        <w:sectPr>
          <w:pgSz w:w="11900" w:h="16838" w:orient="portrait"/>
          <w:cols w:equalWidth="0" w:num="1">
            <w:col w:w="9019"/>
          </w:cols>
          <w:pgMar w:left="1440" w:top="270"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JOINDER AGREEMENT, dated as of _______________, 20___ (this “</w:t>
      </w:r>
      <w:r>
        <w:rPr>
          <w:rFonts w:ascii="Arial" w:cs="Arial" w:eastAsia="Arial" w:hAnsi="Arial"/>
          <w:sz w:val="17"/>
          <w:szCs w:val="17"/>
          <w:u w:val="single" w:color="auto"/>
          <w:color w:val="auto"/>
        </w:rPr>
        <w:t>Joinder</w:t>
      </w:r>
      <w:r>
        <w:rPr>
          <w:rFonts w:ascii="Arial" w:cs="Arial" w:eastAsia="Arial" w:hAnsi="Arial"/>
          <w:sz w:val="17"/>
          <w:szCs w:val="17"/>
          <w:color w:val="auto"/>
        </w:rPr>
        <w:t>”), is delivered pursuant to that certain Tax Receivable</w:t>
      </w:r>
    </w:p>
    <w:p>
      <w:pPr>
        <w:spacing w:after="0" w:line="3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Agreement, dated as of July [ ], 2020 (as amended, restated, amended and restated, supplemented or otherwise modified from time to time, the “</w:t>
      </w:r>
      <w:r>
        <w:rPr>
          <w:rFonts w:ascii="Arial" w:cs="Arial" w:eastAsia="Arial" w:hAnsi="Arial"/>
          <w:sz w:val="18"/>
          <w:szCs w:val="18"/>
          <w:u w:val="single" w:color="auto"/>
          <w:color w:val="auto"/>
        </w:rPr>
        <w:t>Tax</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Receivable Agreement</w:t>
      </w:r>
      <w:r>
        <w:rPr>
          <w:rFonts w:ascii="Arial" w:cs="Arial" w:eastAsia="Arial" w:hAnsi="Arial"/>
          <w:sz w:val="18"/>
          <w:szCs w:val="18"/>
          <w:color w:val="auto"/>
        </w:rPr>
        <w:t>”), by and among GoHealth, Inc., a Delaware corporation (the “</w:t>
      </w:r>
      <w:r>
        <w:rPr>
          <w:rFonts w:ascii="Arial" w:cs="Arial" w:eastAsia="Arial" w:hAnsi="Arial"/>
          <w:sz w:val="18"/>
          <w:szCs w:val="18"/>
          <w:u w:val="single" w:color="auto"/>
          <w:color w:val="auto"/>
        </w:rPr>
        <w:t>Corporation</w:t>
      </w:r>
      <w:r>
        <w:rPr>
          <w:rFonts w:ascii="Arial" w:cs="Arial" w:eastAsia="Arial" w:hAnsi="Arial"/>
          <w:sz w:val="18"/>
          <w:szCs w:val="18"/>
          <w:color w:val="auto"/>
        </w:rPr>
        <w:t>”), GoHealth Holdings, LLC, a Delaware limited liability company (“</w:t>
      </w:r>
      <w:r>
        <w:rPr>
          <w:rFonts w:ascii="Arial" w:cs="Arial" w:eastAsia="Arial" w:hAnsi="Arial"/>
          <w:sz w:val="18"/>
          <w:szCs w:val="18"/>
          <w:u w:val="single" w:color="auto"/>
          <w:color w:val="auto"/>
        </w:rPr>
        <w:t>GoHealth Holdings</w:t>
      </w:r>
      <w:r>
        <w:rPr>
          <w:rFonts w:ascii="Arial" w:cs="Arial" w:eastAsia="Arial" w:hAnsi="Arial"/>
          <w:sz w:val="18"/>
          <w:szCs w:val="18"/>
          <w:color w:val="auto"/>
        </w:rPr>
        <w:t>”), CB Blizzard Co-Invest Holdings, L.P., a Delaware limited partnership (“</w:t>
      </w:r>
      <w:r>
        <w:rPr>
          <w:rFonts w:ascii="Arial" w:cs="Arial" w:eastAsia="Arial" w:hAnsi="Arial"/>
          <w:sz w:val="18"/>
          <w:szCs w:val="18"/>
          <w:u w:val="single" w:color="auto"/>
          <w:color w:val="auto"/>
        </w:rPr>
        <w:t>CB Blizzard</w:t>
      </w:r>
      <w:r>
        <w:rPr>
          <w:rFonts w:ascii="Arial" w:cs="Arial" w:eastAsia="Arial" w:hAnsi="Arial"/>
          <w:sz w:val="18"/>
          <w:szCs w:val="18"/>
          <w:color w:val="auto"/>
        </w:rPr>
        <w:t>”), CCP III AIV VII Holdings L.P., a Delaware limited partnership (“</w:t>
      </w:r>
      <w:r>
        <w:rPr>
          <w:rFonts w:ascii="Arial" w:cs="Arial" w:eastAsia="Arial" w:hAnsi="Arial"/>
          <w:sz w:val="18"/>
          <w:szCs w:val="18"/>
          <w:u w:val="single" w:color="auto"/>
          <w:color w:val="auto"/>
        </w:rPr>
        <w:t>CCP III AIV</w:t>
      </w:r>
      <w:r>
        <w:rPr>
          <w:rFonts w:ascii="Arial" w:cs="Arial" w:eastAsia="Arial" w:hAnsi="Arial"/>
          <w:sz w:val="18"/>
          <w:szCs w:val="18"/>
          <w:color w:val="auto"/>
        </w:rPr>
        <w:t>”, and together with CB Blizzard, the “</w:t>
      </w:r>
      <w:r>
        <w:rPr>
          <w:rFonts w:ascii="Arial" w:cs="Arial" w:eastAsia="Arial" w:hAnsi="Arial"/>
          <w:sz w:val="18"/>
          <w:szCs w:val="18"/>
          <w:u w:val="single" w:color="auto"/>
          <w:color w:val="auto"/>
        </w:rPr>
        <w:t>Blocker Shareholders</w:t>
      </w:r>
      <w:r>
        <w:rPr>
          <w:rFonts w:ascii="Arial" w:cs="Arial" w:eastAsia="Arial" w:hAnsi="Arial"/>
          <w:sz w:val="18"/>
          <w:szCs w:val="18"/>
          <w:color w:val="auto"/>
        </w:rPr>
        <w:t>”) and each of the Members from time to time party thereto. Capitalized terms used but not otherwise defined herein have the respective meanings set forth in the Tax Receivable Agreement.</w:t>
      </w:r>
    </w:p>
    <w:p>
      <w:pPr>
        <w:spacing w:after="0" w:line="99" w:lineRule="exact"/>
        <w:rPr>
          <w:sz w:val="20"/>
          <w:szCs w:val="20"/>
          <w:color w:val="auto"/>
        </w:rPr>
      </w:pPr>
    </w:p>
    <w:p>
      <w:pPr>
        <w:ind w:left="960" w:right="220" w:hanging="532"/>
        <w:spacing w:after="0" w:line="277"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xml:space="preserve"> The undersigned hereby represents and warrants to the Corporation that, as of the date hereof, the undersigned has been assigned an interest in the Tax Receivable Agreement from a TRA Holder.</w:t>
      </w:r>
    </w:p>
    <w:p>
      <w:pPr>
        <w:spacing w:after="0" w:line="75" w:lineRule="exact"/>
        <w:rPr>
          <w:rFonts w:ascii="Arial" w:cs="Arial" w:eastAsia="Arial" w:hAnsi="Arial"/>
          <w:sz w:val="18"/>
          <w:szCs w:val="18"/>
          <w:color w:val="auto"/>
        </w:rPr>
      </w:pPr>
    </w:p>
    <w:p>
      <w:pPr>
        <w:ind w:left="960" w:right="200" w:hanging="532"/>
        <w:spacing w:after="0" w:line="259"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Joinder to the Tax Receivable Agreement.</w:t>
      </w:r>
      <w:r>
        <w:rPr>
          <w:rFonts w:ascii="Arial" w:cs="Arial" w:eastAsia="Arial" w:hAnsi="Arial"/>
          <w:sz w:val="18"/>
          <w:szCs w:val="18"/>
          <w:color w:val="auto"/>
        </w:rPr>
        <w:t xml:space="preserve"> Upon the execution of this Joinder by the undersigned and delivery hereof to the Corporation, the undersigned hereby is and hereafter will be a TRA Holder under the Tax Receivable Agreement, with all the rights, privileges and responsibilities of a party thereunder. The undersigned hereby agrees that it shall comply with and be fully bound by the terms of the Tax Receivable Agreement as if it had been a signatory thereto as of the date thereof.</w:t>
      </w:r>
    </w:p>
    <w:p>
      <w:pPr>
        <w:spacing w:after="0" w:line="92"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All terms and conditions of the Tax Receivable Agreement are hereby incorporated by reference in this Joinder as if set forth herein in full.</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xml:space="preserve"> All notices under the Tax Receivable Agreement to the undersigned shall be direct to:</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[City, State, Zip Code]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 this Page]</w:t>
      </w:r>
    </w:p>
    <w:p>
      <w:pPr>
        <w:sectPr>
          <w:pgSz w:w="11900" w:h="16838" w:orient="portrait"/>
          <w:cols w:equalWidth="0" w:num="1">
            <w:col w:w="11020"/>
          </w:cols>
          <w:pgMar w:left="440" w:top="270" w:right="439" w:bottom="1440" w:gutter="0" w:footer="0" w:header="0"/>
        </w:sectPr>
      </w:pPr>
    </w:p>
    <w:bookmarkStart w:id="134" w:name="page135"/>
    <w:bookmarkEnd w:id="13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duly executed and delivered this Joinder as of the day and year first above written.</w:t>
      </w:r>
    </w:p>
    <w:p>
      <w:pPr>
        <w:spacing w:after="0" w:line="27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[NAME OF NEW TRA HOLDER]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168910</wp:posOffset>
            </wp:positionV>
            <wp:extent cx="26231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5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168910</wp:posOffset>
            </wp:positionV>
            <wp:extent cx="26231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5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Joinder Agreement</w:t>
      </w:r>
      <w:r>
        <w:rPr>
          <w:rFonts w:ascii="Arial" w:cs="Arial" w:eastAsia="Arial" w:hAnsi="Arial"/>
          <w:sz w:val="18"/>
          <w:szCs w:val="18"/>
          <w:color w:val="auto"/>
        </w:rPr>
        <w:t>]</w:t>
      </w:r>
    </w:p>
    <w:p>
      <w:pPr>
        <w:sectPr>
          <w:pgSz w:w="11900" w:h="16838" w:orient="portrait"/>
          <w:cols w:equalWidth="0" w:num="1">
            <w:col w:w="10400"/>
          </w:cols>
          <w:pgMar w:left="440" w:top="274" w:right="105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AGREEMENT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07" w:lineRule="exact"/>
        <w:rPr>
          <w:sz w:val="20"/>
          <w:szCs w:val="20"/>
          <w:color w:val="auto"/>
        </w:rPr>
      </w:pPr>
    </w:p>
    <w:p>
      <w:pPr>
        <w:ind w:left="440"/>
        <w:spacing w:after="0"/>
        <w:tabs>
          <w:tab w:leader="none" w:pos="4760" w:val="left"/>
        </w:tabs>
        <w:rPr>
          <w:sz w:val="20"/>
          <w:szCs w:val="20"/>
          <w:color w:val="auto"/>
        </w:rPr>
      </w:pPr>
      <w:r>
        <w:rPr>
          <w:rFonts w:ascii="Arial" w:cs="Arial" w:eastAsia="Arial" w:hAnsi="Arial"/>
          <w:sz w:val="18"/>
          <w:szCs w:val="18"/>
          <w:b w:val="1"/>
          <w:bCs w:val="1"/>
          <w:color w:val="auto"/>
        </w:rPr>
        <w:t>THIS STOCKHOLDERS AGREEMENT</w:t>
      </w:r>
      <w:r>
        <w:rPr>
          <w:rFonts w:ascii="Arial" w:cs="Arial" w:eastAsia="Arial" w:hAnsi="Arial"/>
          <w:sz w:val="18"/>
          <w:szCs w:val="18"/>
          <w:color w:val="auto"/>
        </w:rPr>
        <w:t>, dated as of [</w:t>
      </w:r>
      <w:r>
        <w:rPr>
          <w:sz w:val="20"/>
          <w:szCs w:val="20"/>
          <w:color w:val="auto"/>
        </w:rPr>
        <w:tab/>
      </w:r>
      <w:r>
        <w:rPr>
          <w:rFonts w:ascii="Arial" w:cs="Arial" w:eastAsia="Arial" w:hAnsi="Arial"/>
          <w:sz w:val="16"/>
          <w:szCs w:val="16"/>
          <w:color w:val="auto"/>
        </w:rPr>
        <w:t>], 2020 (as it may be amended, amended and restated or otherwise modified from time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time in accordance with the terms hereof,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GoHealth, Inc., a Delaware corporation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Corporation</w:t>
      </w:r>
      <w:r>
        <w:rPr>
          <w:rFonts w:ascii="Arial" w:cs="Arial" w:eastAsia="Arial" w:hAnsi="Arial"/>
          <w:sz w:val="17"/>
          <w:szCs w:val="17"/>
          <w:color w:val="auto"/>
        </w:rPr>
        <w:t>”), Centerbridge Capital Partners III, L.P., a Delaware limited partnership (“</w:t>
      </w:r>
      <w:r>
        <w:rPr>
          <w:rFonts w:ascii="Arial" w:cs="Arial" w:eastAsia="Arial" w:hAnsi="Arial"/>
          <w:sz w:val="17"/>
          <w:szCs w:val="17"/>
          <w:u w:val="single" w:color="auto"/>
          <w:color w:val="auto"/>
        </w:rPr>
        <w:t>Centerbridge</w:t>
      </w:r>
      <w:r>
        <w:rPr>
          <w:rFonts w:ascii="Arial" w:cs="Arial" w:eastAsia="Arial" w:hAnsi="Arial"/>
          <w:sz w:val="17"/>
          <w:szCs w:val="17"/>
          <w:color w:val="auto"/>
        </w:rPr>
        <w:t>” and the Persons (as defined below) listed 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together with Centerbridge, the “</w:t>
      </w:r>
      <w:r>
        <w:rPr>
          <w:rFonts w:ascii="Arial" w:cs="Arial" w:eastAsia="Arial" w:hAnsi="Arial"/>
          <w:sz w:val="17"/>
          <w:szCs w:val="17"/>
          <w:u w:val="single" w:color="auto"/>
          <w:color w:val="auto"/>
        </w:rPr>
        <w:t>Centerbridge Parties</w:t>
      </w:r>
      <w:r>
        <w:rPr>
          <w:rFonts w:ascii="Arial" w:cs="Arial" w:eastAsia="Arial" w:hAnsi="Arial"/>
          <w:sz w:val="17"/>
          <w:szCs w:val="17"/>
          <w:color w:val="auto"/>
        </w:rPr>
        <w:t>”), and NVX Holdings, Inc., a Delaware corporation (“</w:t>
      </w:r>
      <w:r>
        <w:rPr>
          <w:rFonts w:ascii="Arial" w:cs="Arial" w:eastAsia="Arial" w:hAnsi="Arial"/>
          <w:sz w:val="17"/>
          <w:szCs w:val="17"/>
          <w:u w:val="single" w:color="auto"/>
          <w:color w:val="auto"/>
        </w:rPr>
        <w:t>NVX Holdings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together with the Centerbridge Parties, the “</w:t>
      </w:r>
      <w:r>
        <w:rPr>
          <w:rFonts w:ascii="Arial" w:cs="Arial" w:eastAsia="Arial" w:hAnsi="Arial"/>
          <w:sz w:val="18"/>
          <w:szCs w:val="18"/>
          <w:u w:val="single" w:color="auto"/>
          <w:color w:val="auto"/>
        </w:rPr>
        <w:t>Original Members</w:t>
      </w:r>
      <w:r>
        <w:rPr>
          <w:rFonts w:ascii="Arial" w:cs="Arial" w:eastAsia="Arial" w:hAnsi="Arial"/>
          <w:sz w:val="18"/>
          <w:szCs w:val="18"/>
          <w:color w:val="auto"/>
        </w:rPr>
        <w:t xml:space="preserve">”). Certain terms used in this Agreement are defined in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Original Member owns, directly or indirectly, outstanding limited liability company interests in GoHealth Holdings,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w:t>
      </w:r>
      <w:r>
        <w:rPr>
          <w:rFonts w:ascii="Arial" w:cs="Arial" w:eastAsia="Arial" w:hAnsi="Arial"/>
          <w:sz w:val="18"/>
          <w:szCs w:val="18"/>
          <w:u w:val="single" w:color="auto"/>
          <w:color w:val="auto"/>
        </w:rPr>
        <w:t>GoHealth LLC</w:t>
      </w:r>
      <w:r>
        <w:rPr>
          <w:rFonts w:ascii="Arial" w:cs="Arial" w:eastAsia="Arial" w:hAnsi="Arial"/>
          <w:sz w:val="18"/>
          <w:szCs w:val="18"/>
          <w:color w:val="auto"/>
        </w:rPr>
        <w:t>”), which limited liability company interests constitute and are defined as “Common Units” pursuant to the Second Amended and Restated Limited Liability Company Agreement of GoHealth LLC, dated as of the date hereof, as such agreement may be further amended, restated, amended and restated, supplemented or otherwise modified from time to time (the “</w:t>
      </w:r>
      <w:r>
        <w:rPr>
          <w:rFonts w:ascii="Arial" w:cs="Arial" w:eastAsia="Arial" w:hAnsi="Arial"/>
          <w:sz w:val="18"/>
          <w:szCs w:val="18"/>
          <w:u w:val="single" w:color="auto"/>
          <w:color w:val="auto"/>
        </w:rPr>
        <w:t>LLC Agreement</w:t>
      </w:r>
      <w:r>
        <w:rPr>
          <w:rFonts w:ascii="Arial" w:cs="Arial" w:eastAsia="Arial" w:hAnsi="Arial"/>
          <w:sz w:val="18"/>
          <w:szCs w:val="18"/>
          <w:color w:val="auto"/>
        </w:rPr>
        <w:t>”, and such limited liability company interests, the “</w:t>
      </w:r>
      <w:r>
        <w:rPr>
          <w:rFonts w:ascii="Arial" w:cs="Arial" w:eastAsia="Arial" w:hAnsi="Arial"/>
          <w:sz w:val="18"/>
          <w:szCs w:val="18"/>
          <w:u w:val="single" w:color="auto"/>
          <w:color w:val="auto"/>
        </w:rPr>
        <w:t>Common Units</w:t>
      </w:r>
      <w:r>
        <w:rPr>
          <w:rFonts w:ascii="Arial" w:cs="Arial" w:eastAsia="Arial" w:hAnsi="Arial"/>
          <w:sz w:val="18"/>
          <w:szCs w:val="18"/>
          <w:color w:val="auto"/>
        </w:rPr>
        <w:t>”);</w:t>
      </w:r>
    </w:p>
    <w:p>
      <w:pPr>
        <w:spacing w:after="0" w:line="183"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Corporation is contemplating an offering and sale of the shares of Class A common stock, par value $0.0001 per share,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in an underwritten initial public offering (the “</w:t>
      </w:r>
      <w:r>
        <w:rPr>
          <w:rFonts w:ascii="Arial" w:cs="Arial" w:eastAsia="Arial" w:hAnsi="Arial"/>
          <w:sz w:val="18"/>
          <w:szCs w:val="18"/>
          <w:u w:val="single" w:color="auto"/>
          <w:color w:val="auto"/>
        </w:rPr>
        <w:t>IPO</w:t>
      </w:r>
      <w:r>
        <w:rPr>
          <w:rFonts w:ascii="Arial" w:cs="Arial" w:eastAsia="Arial" w:hAnsi="Arial"/>
          <w:sz w:val="18"/>
          <w:szCs w:val="18"/>
          <w:color w:val="auto"/>
        </w:rPr>
        <w:t>”) and using a portion of the net proceeds received from the IPO to purchase Common Units;</w:t>
      </w:r>
    </w:p>
    <w:p>
      <w:pPr>
        <w:spacing w:after="0" w:line="17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that certain Common Unit Subscription Agreement by and between the Corporation and GoHealth LLC, dated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(the “</w:t>
      </w:r>
      <w:r>
        <w:rPr>
          <w:rFonts w:ascii="Arial" w:cs="Arial" w:eastAsia="Arial" w:hAnsi="Arial"/>
          <w:sz w:val="18"/>
          <w:szCs w:val="18"/>
          <w:u w:val="single" w:color="auto"/>
          <w:color w:val="auto"/>
        </w:rPr>
        <w:t>Common Unit Subscription Agreement</w:t>
      </w:r>
      <w:r>
        <w:rPr>
          <w:rFonts w:ascii="Arial" w:cs="Arial" w:eastAsia="Arial" w:hAnsi="Arial"/>
          <w:sz w:val="18"/>
          <w:szCs w:val="18"/>
          <w:color w:val="auto"/>
        </w:rPr>
        <w:t>”), the Corporation will hold Common Units;</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upon consummation of the transactions contemplated by the Common Unit Subscription Agreement, it is contemplated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will be admitted as a member, and appointed as the sole managing member, of GoHealth LLC;</w:t>
      </w:r>
    </w:p>
    <w:p>
      <w:pPr>
        <w:spacing w:after="0" w:line="162"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and prior to, the consummation of the IPO, it is anticipated that the Original Members, the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GoHealth LLC and certain of their respective affiliates will enter into a series of related transactions pursuant to which, among other things, the Original Members will become holders of Class B common stock, par value $0.0001 per share, of the Corporation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w:t>
      </w:r>
    </w:p>
    <w:p>
      <w:pPr>
        <w:spacing w:after="0" w:line="158" w:lineRule="exact"/>
        <w:rPr>
          <w:sz w:val="20"/>
          <w:szCs w:val="20"/>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immediately following the consummation of the IPO, the Original Members will be the record holders of shares of Class B</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and</w:t>
      </w:r>
    </w:p>
    <w:p>
      <w:pPr>
        <w:spacing w:after="0" w:line="162" w:lineRule="exact"/>
        <w:rPr>
          <w:sz w:val="20"/>
          <w:szCs w:val="20"/>
          <w:color w:val="auto"/>
        </w:rPr>
      </w:pPr>
    </w:p>
    <w:p>
      <w:pPr>
        <w:ind w:right="24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Original Members (x) to approve the sale and issuance of Common Units by GoHealth LLC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and the appointment of the Corporation as the sole managing member of GoHealth LLC in connection with the IPO and (y) to take such other actions as shall be necessary to effectuate the transactions related to the IPO, the parties hereto desire to set forth their agreement with respect to the matters set forth herein in connection with their respective investments in the Corporation.</w:t>
      </w:r>
    </w:p>
    <w:p>
      <w:pPr>
        <w:sectPr>
          <w:pgSz w:w="11900" w:h="16838" w:orient="portrait"/>
          <w:cols w:equalWidth="0" w:num="1">
            <w:col w:w="11020"/>
          </w:cols>
          <w:pgMar w:left="440" w:top="121" w:right="439" w:bottom="1440" w:gutter="0" w:footer="0" w:header="0"/>
        </w:sectPr>
      </w:pPr>
    </w:p>
    <w:bookmarkStart w:id="136" w:name="page137"/>
    <w:bookmarkEnd w:id="136"/>
    <w:p>
      <w:pPr>
        <w:ind w:right="80" w:firstLine="44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NOW, THEREFORE</w:t>
      </w:r>
      <w:r>
        <w:rPr>
          <w:rFonts w:ascii="Arial" w:cs="Arial" w:eastAsia="Arial" w:hAnsi="Arial"/>
          <w:sz w:val="17"/>
          <w:szCs w:val="17"/>
          <w:color w:val="auto"/>
        </w:rPr>
        <w:t>, in consideration of the covenants and agreements contained herein and other good and valuable consideration, the receipt</w:t>
      </w:r>
      <w:r>
        <w:rPr>
          <w:rFonts w:ascii="Arial" w:cs="Arial" w:eastAsia="Arial" w:hAnsi="Arial"/>
          <w:sz w:val="17"/>
          <w:szCs w:val="17"/>
          <w:b w:val="1"/>
          <w:bCs w:val="1"/>
          <w:color w:val="auto"/>
        </w:rPr>
        <w:t xml:space="preserve"> </w:t>
      </w:r>
      <w:r>
        <w:rPr>
          <w:rFonts w:ascii="Arial" w:cs="Arial" w:eastAsia="Arial" w:hAnsi="Arial"/>
          <w:sz w:val="17"/>
          <w:szCs w:val="17"/>
          <w:color w:val="auto"/>
        </w:rPr>
        <w:t>and sufficiency of which are hereby acknowledged, the Corporation and the Original Members agree as follows: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Election of the Board of Directors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 xml:space="preserve">Subject to the other provisions of this </w:t>
      </w:r>
      <w:r>
        <w:rPr>
          <w:rFonts w:ascii="Arial" w:cs="Arial" w:eastAsia="Arial" w:hAnsi="Arial"/>
          <w:sz w:val="17"/>
          <w:szCs w:val="17"/>
          <w:u w:val="single" w:color="auto"/>
          <w:color w:val="auto"/>
        </w:rPr>
        <w:t>Section 1</w:t>
      </w:r>
      <w:r>
        <w:rPr>
          <w:rFonts w:ascii="Arial" w:cs="Arial" w:eastAsia="Arial" w:hAnsi="Arial"/>
          <w:sz w:val="17"/>
          <w:szCs w:val="17"/>
          <w:color w:val="auto"/>
        </w:rPr>
        <w:t>, the number of Directors constituting the full Board shall initially be fixed at nine (9).</w:t>
      </w:r>
    </w:p>
    <w:p>
      <w:pPr>
        <w:spacing w:after="0" w:line="128" w:lineRule="exact"/>
        <w:rPr>
          <w:rFonts w:ascii="Arial" w:cs="Arial" w:eastAsia="Arial" w:hAnsi="Arial"/>
          <w:sz w:val="17"/>
          <w:szCs w:val="17"/>
          <w:color w:val="auto"/>
        </w:rPr>
      </w:pPr>
    </w:p>
    <w:p>
      <w:pPr>
        <w:ind w:firstLine="436"/>
        <w:spacing w:after="0" w:line="287" w:lineRule="auto"/>
        <w:tabs>
          <w:tab w:leader="none" w:pos="69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 for so long as the Centerbridge Parties beneficially own, directly or indirectly, in the aggregate at least ten percent (10%) of all issued and outstanding shares of Class A Common Stock (including for this purpose the Underlying Class A Shares), Centerbridge shall be entitled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two (2) Centerbridge Directors on the Board and (ii) if at any time, the Centerbridge Parties beneficially own, directly or indirectly, in the aggregate less than ten percent (10%) but at least five percent (5%) of the issued and outstanding shares of Class A Common Stock (including for this purpose the Underlying Class A Shares), Centerbridge shall be entitled to designate for nomination by the Board in any applicable election that number of individuals, which, assuming all such individuals are successfully elected to the Board, when taken together with any incumbent Centerbridge Director not standing for election in such election, would result in there being one (1) Centerbridge Director on the Board. The Centerbridge Directors shall be apportioned among the three (3) classes of Directors as nearly equal in number as possible. Centerbridge shall not be entitled to designate any individuals in accordance with this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if at any time the Centerbridge Parties beneficially own, directly or indirectly, less than five percent (5%) of the issued and outstanding shares of Class A Common Stock (including for this purpose the Underlying Class A Shares).</w:t>
      </w:r>
    </w:p>
    <w:p>
      <w:pPr>
        <w:spacing w:after="0" w:line="59" w:lineRule="exact"/>
        <w:rPr>
          <w:rFonts w:ascii="Arial" w:cs="Arial" w:eastAsia="Arial" w:hAnsi="Arial"/>
          <w:sz w:val="16"/>
          <w:szCs w:val="16"/>
          <w:color w:val="auto"/>
        </w:rPr>
      </w:pPr>
    </w:p>
    <w:p>
      <w:pPr>
        <w:ind w:right="120" w:firstLine="436"/>
        <w:spacing w:after="0" w:line="287" w:lineRule="auto"/>
        <w:tabs>
          <w:tab w:leader="none" w:pos="68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(i) for so long as NVX Holdings beneficially owns, directly or indirectly, in the aggregate at least ten percent (10%) of all issued and outstanding shares of Class A Common Stock (including for this purpose the Underlying Class A Shares), NVX Holdings shall be entitled to designate for nomination by the Board in any applicable election that number of individuals, which, assuming all such individuals are successfully elected to the Board, when taken together with any incumbent NVX Director not standing for election in such election, would result in there being two (2) NVX Directors on the Board and (ii) if at any time, NVX Holdings beneficially owns, directly or indirectly, in the aggregate less than ten percent (10%) but at least five percent (5%) of the issued and outstanding shares of Class A Common Stock (including for this purpose the Underlying Class A Shares) NVX Holdings shall be entitled to designate for nomination by the Board in any applicable election that number of individuals, which, assuming all such individuals are successfully elected to the Board, when taken together with any incumbent NVX Director not standing for election in such election, would result in there being one (1) NVX Director on the Board. The NVX Directors shall be apportioned among the three (3) classes of Directors as nearly equal in number as possible. NVX Holdings shall not be entitled to designate any NVX Directors in accordance with this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if at any time NVX Holdings beneficially owns, directly or indirectly, less than five percent (5%) of the issued and outstanding shares of Class A Common Stock (including for this purpose the Underlying Class A Shares).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37" w:name="page138"/>
    <w:bookmarkEnd w:id="137"/>
    <w:p>
      <w:pPr>
        <w:ind w:left="-20" w:right="60" w:firstLine="436"/>
        <w:spacing w:after="0" w:line="286" w:lineRule="auto"/>
        <w:tabs>
          <w:tab w:leader="none" w:pos="675"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this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(i) for so long as the Centerbridge Parties beneficially own, directly or indirectly, in the aggregate at least twenty percent (20%) of all issued and outstanding shares of Class A Common Stock (including for this purpose the Underlying Class A Shares), Centerbridge shall be entitled to designate for nomination by the Board in any applicable election, that number of individuals who satisfy the Independence Requirements, which, assuming all such individuals are successfully elected to the Board, when taken together with any incumbent Centerbridge-Designated Independent Director not standing for election in such election, would result in there being two (2) Centerbridge-Designated Independent Directors on the Board and (ii) if at any time, the Centerbridge Parties beneficially own, directly or indirectly, in the aggregate less than twenty percent (20%) but at least fifteen percent (15%) of the issued and outstanding shares of Class A Common Stock (including for this purpose the Underlying Class A Shares), Centerbridge shall be entitled to designate for nomination by the Board in any applicable election that number of individuals who each satisfy the Independence Requirements, which, assuming all such individuals are successfully elected to the Board, when taken together with any incumbent Centerbridge-Designated Independent Director not standing for election in such election, would result in there being one (1) Centerbridge-Designated Independent Director serving on the Board. For the avoidance of doubt, individuals designated pursuant to this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shall not be counted against the number of Centerbridge Directors that may be designated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Centerbridge shall not be entitled to designate any individuals in accordance with this </w:t>
      </w:r>
      <w:r>
        <w:rPr>
          <w:rFonts w:ascii="Arial" w:cs="Arial" w:eastAsia="Arial" w:hAnsi="Arial"/>
          <w:sz w:val="16"/>
          <w:szCs w:val="16"/>
          <w:u w:val="single" w:color="auto"/>
          <w:color w:val="auto"/>
        </w:rPr>
        <w:t>Section 1(d)</w:t>
      </w:r>
      <w:r>
        <w:rPr>
          <w:rFonts w:ascii="Arial" w:cs="Arial" w:eastAsia="Arial" w:hAnsi="Arial"/>
          <w:sz w:val="16"/>
          <w:szCs w:val="16"/>
          <w:color w:val="auto"/>
        </w:rPr>
        <w:t xml:space="preserve"> if at any time the Centerbridge Parties beneficially own, directly or indirectly, less than fifteen percent (15%) of the issued and outstanding shares of Class A Common Stock (including for this purpose the Underlying Class A Shares).</w:t>
      </w:r>
    </w:p>
    <w:p>
      <w:pPr>
        <w:spacing w:after="0" w:line="62" w:lineRule="exact"/>
        <w:rPr>
          <w:rFonts w:ascii="Arial" w:cs="Arial" w:eastAsia="Arial" w:hAnsi="Arial"/>
          <w:sz w:val="16"/>
          <w:szCs w:val="16"/>
          <w:color w:val="auto"/>
        </w:rPr>
      </w:pPr>
    </w:p>
    <w:p>
      <w:pPr>
        <w:ind w:left="-20" w:right="40" w:firstLine="436"/>
        <w:spacing w:after="0" w:line="286" w:lineRule="auto"/>
        <w:tabs>
          <w:tab w:leader="none" w:pos="66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Subject to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(i) for so long as NVX Holdings beneficially owns, directly or indirectly, in the aggregate at least twenty percent (20%) of all issued and outstanding shares of Class A Common Stock (including for this purpose the Underlying Class A Shares), NVX Holdings shall be entitled to designate for nomination by the Board in any applicable election, that number of individuals who satisfy the Independence Requirements, which, assuming all such individuals are successfully elected to the Board, when taken together with any incumbent NVX-Designated Independent Director, would result in there being two (2) NVX-Designated Independent Directors serving on the Board and (ii) if at any time, NVX Holdings beneficially owns, directly or indirectly, in the aggregate less than twenty percent (20%) but at least fifteen percent (15%) of the issued and outstanding shares of Class A Common Stock (including for this purpose the Underlying Class A Shares), NVX Holdings shall be entitled to designate for nomination by the Board in any applicable election that number of individuals who each satisfy the Independence Requirements, which, assuming all such individuals are successfully elected to the Board, when taken together with any incumbent NVX-Designated Independent Director not standing for election in such election, would result in there being one (1) NVX-Designated Independent Director serving on the Board. For avoidance of doubt, any individuals designated pursuant to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shall not be counted against the number of NVX Directors that may be designated pursuant to </w:t>
      </w:r>
      <w:r>
        <w:rPr>
          <w:rFonts w:ascii="Arial" w:cs="Arial" w:eastAsia="Arial" w:hAnsi="Arial"/>
          <w:sz w:val="16"/>
          <w:szCs w:val="16"/>
          <w:u w:val="single" w:color="auto"/>
          <w:color w:val="auto"/>
        </w:rPr>
        <w:t>Section 1(c)</w:t>
      </w:r>
      <w:r>
        <w:rPr>
          <w:rFonts w:ascii="Arial" w:cs="Arial" w:eastAsia="Arial" w:hAnsi="Arial"/>
          <w:sz w:val="16"/>
          <w:szCs w:val="16"/>
          <w:color w:val="auto"/>
        </w:rPr>
        <w:t xml:space="preserve">. NVX Holdings shall not be entitled to designate any NVX-Designated Independent Directors in accordance with this </w:t>
      </w:r>
      <w:r>
        <w:rPr>
          <w:rFonts w:ascii="Arial" w:cs="Arial" w:eastAsia="Arial" w:hAnsi="Arial"/>
          <w:sz w:val="16"/>
          <w:szCs w:val="16"/>
          <w:u w:val="single" w:color="auto"/>
          <w:color w:val="auto"/>
        </w:rPr>
        <w:t>Section 1(e)</w:t>
      </w:r>
      <w:r>
        <w:rPr>
          <w:rFonts w:ascii="Arial" w:cs="Arial" w:eastAsia="Arial" w:hAnsi="Arial"/>
          <w:sz w:val="16"/>
          <w:szCs w:val="16"/>
          <w:color w:val="auto"/>
        </w:rPr>
        <w:t xml:space="preserve"> if at any time NVX Holdings beneficially owns, directly or indirectly, less than fifteen percent (15%) of the issued and outstanding shares of Class A Common Stock (including for this purpose the Underlying Class A Shares).</w:t>
      </w:r>
    </w:p>
    <w:p>
      <w:pPr>
        <w:spacing w:after="0" w:line="62" w:lineRule="exact"/>
        <w:rPr>
          <w:rFonts w:ascii="Arial" w:cs="Arial" w:eastAsia="Arial" w:hAnsi="Arial"/>
          <w:sz w:val="16"/>
          <w:szCs w:val="16"/>
          <w:color w:val="auto"/>
        </w:rPr>
      </w:pPr>
    </w:p>
    <w:p>
      <w:pPr>
        <w:ind w:left="-20" w:firstLine="436"/>
        <w:spacing w:after="0" w:line="296" w:lineRule="auto"/>
        <w:tabs>
          <w:tab w:leader="none" w:pos="64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Subject to the foregoing </w:t>
      </w:r>
      <w:r>
        <w:rPr>
          <w:rFonts w:ascii="Arial" w:cs="Arial" w:eastAsia="Arial" w:hAnsi="Arial"/>
          <w:sz w:val="16"/>
          <w:szCs w:val="16"/>
          <w:u w:val="single" w:color="auto"/>
          <w:color w:val="auto"/>
        </w:rPr>
        <w:t>Sections 1(b)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each of the Original Members (and any of their respective Permitted Transferees) hereby agrees to vote, or cause to be voted, all outstanding shares of Class A Common Stock and/or Class B Common Stock, as applicable, held by such Original Members (or any of their respective Permitted Transferees) at any annual or special meeting of stockholders of the Corporation at which Directors of the Corporation are to be elected or removed, or to take all Necessary Action to cause the election or removal of the Centerbridge Directors, NVX Directors, Centerbridge-Designated Independent Directors and NVX-Designated Independent Directors as Directors, as provided herein.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60" w:top="274" w:right="47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Vacancies and Replacements</w:t>
      </w:r>
      <w:r>
        <w:rPr>
          <w:rFonts w:ascii="Arial" w:cs="Arial" w:eastAsia="Arial" w:hAnsi="Arial"/>
          <w:sz w:val="18"/>
          <w:szCs w:val="18"/>
          <w:color w:val="auto"/>
        </w:rPr>
        <w:t>.</w:t>
      </w:r>
    </w:p>
    <w:p>
      <w:pPr>
        <w:spacing w:after="0" w:line="117" w:lineRule="exact"/>
        <w:rPr>
          <w:sz w:val="20"/>
          <w:szCs w:val="20"/>
          <w:color w:val="auto"/>
        </w:rPr>
      </w:pPr>
    </w:p>
    <w:p>
      <w:pPr>
        <w:ind w:right="200" w:firstLine="436"/>
        <w:spacing w:after="0" w:line="277" w:lineRule="auto"/>
        <w:tabs>
          <w:tab w:leader="none" w:pos="6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If the number of Directors that Centerbridge or NVX Holdings have the right to designate to the Board is decreased pursuant to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1(e)</w:t>
      </w:r>
      <w:r>
        <w:rPr>
          <w:rFonts w:ascii="Arial" w:cs="Arial" w:eastAsia="Arial" w:hAnsi="Arial"/>
          <w:sz w:val="18"/>
          <w:szCs w:val="18"/>
          <w:color w:val="auto"/>
        </w:rPr>
        <w:t xml:space="preserve"> (each such occurrence, a “</w:t>
      </w:r>
      <w:r>
        <w:rPr>
          <w:rFonts w:ascii="Arial" w:cs="Arial" w:eastAsia="Arial" w:hAnsi="Arial"/>
          <w:sz w:val="18"/>
          <w:szCs w:val="18"/>
          <w:u w:val="single" w:color="auto"/>
          <w:color w:val="auto"/>
        </w:rPr>
        <w:t>Decrease in Designation Rights</w:t>
      </w:r>
      <w:r>
        <w:rPr>
          <w:rFonts w:ascii="Arial" w:cs="Arial" w:eastAsia="Arial" w:hAnsi="Arial"/>
          <w:sz w:val="18"/>
          <w:szCs w:val="18"/>
          <w:color w:val="auto"/>
        </w:rPr>
        <w:t>”), then:</w:t>
      </w:r>
    </w:p>
    <w:p>
      <w:pPr>
        <w:spacing w:after="0" w:line="62" w:lineRule="exact"/>
        <w:rPr>
          <w:rFonts w:ascii="Arial" w:cs="Arial" w:eastAsia="Arial" w:hAnsi="Arial"/>
          <w:sz w:val="18"/>
          <w:szCs w:val="18"/>
          <w:color w:val="auto"/>
        </w:rPr>
      </w:pPr>
    </w:p>
    <w:p>
      <w:pPr>
        <w:ind w:left="440" w:right="40" w:firstLine="419"/>
        <w:spacing w:after="0" w:line="286" w:lineRule="auto"/>
        <w:tabs>
          <w:tab w:leader="none" w:pos="107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 xml:space="preserve">unless a majority of Directors agree in writing that a Director or Directors shall not resign as a result of a Decrease in Designation Rights, each of the Centerbridge Parties or NVX Holdings, as applicable, shall use its reasonable best efforts to cause each of (x) the appropriate number of Centerbridge Directors or Centerbridge-Designated Independent Directors that Centerbridge ceases to have the right to designate to serve as a Centerbridge Director or Centerbridge-Designated Independent Director, as applicable, or (y) the appropriate number of NVX Directors or NVX-Designated Independent Directors that NVX Holdings ceases to have the right to designate to serve as the NVX Directors or NVX-Designated Independent Directors, respectively, to offer to tender his, her or their resignation(s), and each of such Centerbridge Directors or Centerbridge-Designated Independent Directors or NVX Directors or NVX-Designated Independent Directors so tendering a resignation, as applicable, shall resign within thirty (30) days from the date that Centerbridge and/or NVX Holdings, as applicable, incurs a Decrease in Designation Rights. In the event any such Centerbridge Director, Centerbridge-Designated Independent Director, NVX Director or NVX-Designated Independent Director, as applicable, does not resign as a Director by such time as is required by the foregoing, the Centerbridge Parties and NVX Holdings, as holders of Class A Common Stock and Class B Common Stock, the Corporation and the Board, to the fullest extent permitted by law and, with respect to the Board, subject to its fiduciary duties to the Corporation’s stockholders, shall thereafter take all Necessary Action, including voting in accordance with </w:t>
      </w:r>
      <w:r>
        <w:rPr>
          <w:rFonts w:ascii="Arial" w:cs="Arial" w:eastAsia="Arial" w:hAnsi="Arial"/>
          <w:sz w:val="16"/>
          <w:szCs w:val="16"/>
          <w:u w:val="single" w:color="auto"/>
          <w:color w:val="auto"/>
        </w:rPr>
        <w:t>Section1(f)</w:t>
      </w:r>
      <w:r>
        <w:rPr>
          <w:rFonts w:ascii="Arial" w:cs="Arial" w:eastAsia="Arial" w:hAnsi="Arial"/>
          <w:sz w:val="16"/>
          <w:szCs w:val="16"/>
          <w:color w:val="auto"/>
        </w:rPr>
        <w:t>, to cause the removal of such individual as a Director; and</w:t>
      </w:r>
    </w:p>
    <w:p>
      <w:pPr>
        <w:spacing w:after="0" w:line="65" w:lineRule="exact"/>
        <w:rPr>
          <w:rFonts w:ascii="Arial" w:cs="Arial" w:eastAsia="Arial" w:hAnsi="Arial"/>
          <w:sz w:val="16"/>
          <w:szCs w:val="16"/>
          <w:color w:val="auto"/>
        </w:rPr>
      </w:pPr>
    </w:p>
    <w:p>
      <w:pPr>
        <w:ind w:left="440" w:right="480" w:firstLine="419"/>
        <w:spacing w:after="0" w:line="342" w:lineRule="auto"/>
        <w:tabs>
          <w:tab w:leader="none" w:pos="112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vacancy or vacancies created by such resignation(s) and/or removal(s) shall be filled with one or more Directors, as applicable, designated by the Board upon the recommendation of the Nominating and Corporate Governance Committee, so long as it is established.</w:t>
      </w:r>
    </w:p>
    <w:p>
      <w:pPr>
        <w:spacing w:after="0" w:line="15" w:lineRule="exact"/>
        <w:rPr>
          <w:rFonts w:ascii="Arial" w:cs="Arial" w:eastAsia="Arial" w:hAnsi="Arial"/>
          <w:sz w:val="16"/>
          <w:szCs w:val="16"/>
          <w:color w:val="auto"/>
        </w:rPr>
      </w:pPr>
    </w:p>
    <w:p>
      <w:pPr>
        <w:ind w:firstLine="436"/>
        <w:spacing w:after="0" w:line="270" w:lineRule="auto"/>
        <w:tabs>
          <w:tab w:leader="none" w:pos="69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Each of Centerbridge and NVX Holdings shall have the sole right to request that one or more of their respective designated Directors (including, for the avoidance of doubt, any Centerbridge-Designated Independent Director or NVX-Designated Director, as applicable), as applicable, tender their resignations as Directors of the Board, in each case, with or without cause at any time, by sending a written notice to such Director and the Corporation’s Secretary stating the name of the Director or Directors whose resignation from the Board is requested (the “</w:t>
      </w:r>
      <w:r>
        <w:rPr>
          <w:rFonts w:ascii="Arial" w:cs="Arial" w:eastAsia="Arial" w:hAnsi="Arial"/>
          <w:sz w:val="17"/>
          <w:szCs w:val="17"/>
          <w:u w:val="single" w:color="auto"/>
          <w:color w:val="auto"/>
        </w:rPr>
        <w:t>Removal Notice</w:t>
      </w:r>
      <w:r>
        <w:rPr>
          <w:rFonts w:ascii="Arial" w:cs="Arial" w:eastAsia="Arial" w:hAnsi="Arial"/>
          <w:sz w:val="17"/>
          <w:szCs w:val="17"/>
          <w:color w:val="auto"/>
        </w:rPr>
        <w:t xml:space="preserve">”). If the Director subject to such Removal Notice does not resign within thirty (30) days from receipt thereof by such Director, the Centerbridge Parties and NVX Holdings, as holders of Class A Common Stock and Class B Common Stock, the Corporation and the Board, to the fullest extent permitted by law and, with respect to the Board, subject to its fiduciary duties to the Corporation’s stockholders, shall thereafter take all Necessary Action, including voting in accordance with </w:t>
      </w:r>
      <w:r>
        <w:rPr>
          <w:rFonts w:ascii="Arial" w:cs="Arial" w:eastAsia="Arial" w:hAnsi="Arial"/>
          <w:sz w:val="17"/>
          <w:szCs w:val="17"/>
          <w:u w:val="single" w:color="auto"/>
          <w:color w:val="auto"/>
        </w:rPr>
        <w:t>Section 1(f)</w:t>
      </w:r>
      <w:r>
        <w:rPr>
          <w:rFonts w:ascii="Arial" w:cs="Arial" w:eastAsia="Arial" w:hAnsi="Arial"/>
          <w:sz w:val="17"/>
          <w:szCs w:val="17"/>
          <w:color w:val="auto"/>
        </w:rPr>
        <w:t xml:space="preserve"> to cause the removal of such Director from the Board (and such Director shall only be removed by the parties to this Agreement in such manner as provided herein).</w:t>
      </w:r>
    </w:p>
    <w:p>
      <w:pPr>
        <w:spacing w:after="0" w:line="72" w:lineRule="exact"/>
        <w:rPr>
          <w:rFonts w:ascii="Arial" w:cs="Arial" w:eastAsia="Arial" w:hAnsi="Arial"/>
          <w:sz w:val="17"/>
          <w:szCs w:val="17"/>
          <w:color w:val="auto"/>
        </w:rPr>
      </w:pPr>
    </w:p>
    <w:p>
      <w:pPr>
        <w:ind w:right="220" w:firstLine="436"/>
        <w:spacing w:after="0" w:line="301"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Each of Centerbridge and NVX Holdings, as applicable, shall have the exclusive right to designate a replacement Director for nomination or election by the Board to fill vacancies created as a result of not designating their respective Directors initially or by death, disability, retirement, resignation, removal (with or without cause) of their respective Directors, or otherwise by designating a successor for nomination or election by the Board to fill the vacancy of their respective Directors created thereby on the terms and subject to the conditions of </w:t>
      </w:r>
      <w:r>
        <w:rPr>
          <w:rFonts w:ascii="Arial" w:cs="Arial" w:eastAsia="Arial" w:hAnsi="Arial"/>
          <w:sz w:val="16"/>
          <w:szCs w:val="16"/>
          <w:u w:val="single" w:color="auto"/>
          <w:color w:val="auto"/>
        </w:rPr>
        <w:t>Section 1</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39" w:name="page140"/>
    <w:bookmarkEnd w:id="13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8"/>
          <w:szCs w:val="18"/>
          <w:u w:val="single" w:color="auto"/>
          <w:color w:val="auto"/>
        </w:rPr>
        <w:t>Initial Directors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71" w:lineRule="auto"/>
        <w:rPr>
          <w:sz w:val="20"/>
          <w:szCs w:val="20"/>
          <w:color w:val="auto"/>
        </w:rPr>
      </w:pPr>
      <w:r>
        <w:rPr>
          <w:rFonts w:ascii="Arial" w:cs="Arial" w:eastAsia="Arial" w:hAnsi="Arial"/>
          <w:sz w:val="17"/>
          <w:szCs w:val="17"/>
          <w:color w:val="auto"/>
        </w:rPr>
        <w:t xml:space="preserve">The initial Centerbridge Directors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shall be Jeremy W. Gelber (as a Class III Director) and Miriam A. Tawil (as a Class II Director). The initial NVX Directors pursuant to </w:t>
      </w:r>
      <w:r>
        <w:rPr>
          <w:rFonts w:ascii="Arial" w:cs="Arial" w:eastAsia="Arial" w:hAnsi="Arial"/>
          <w:sz w:val="17"/>
          <w:szCs w:val="17"/>
          <w:u w:val="single" w:color="auto"/>
          <w:color w:val="auto"/>
        </w:rPr>
        <w:t>Section 1(c)</w:t>
      </w:r>
      <w:r>
        <w:rPr>
          <w:rFonts w:ascii="Arial" w:cs="Arial" w:eastAsia="Arial" w:hAnsi="Arial"/>
          <w:sz w:val="17"/>
          <w:szCs w:val="17"/>
          <w:color w:val="auto"/>
        </w:rPr>
        <w:t xml:space="preserve"> shall be Brandon M. Cruz (as a Class II Director) and Clinton P. Jones (as a Class III Director). The initial Centerbridge-Designated Independent Directors pursuant to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shall be Joseph G. Flanagan (as a Class II Director) and Alexander E. Timm (as a Class I Director). The initial NVX-Designated Independent Directors pursuant to </w:t>
      </w:r>
      <w:r>
        <w:rPr>
          <w:rFonts w:ascii="Arial" w:cs="Arial" w:eastAsia="Arial" w:hAnsi="Arial"/>
          <w:sz w:val="17"/>
          <w:szCs w:val="17"/>
          <w:u w:val="single" w:color="auto"/>
          <w:color w:val="auto"/>
        </w:rPr>
        <w:t>Section 1(e)</w:t>
      </w:r>
      <w:r>
        <w:rPr>
          <w:rFonts w:ascii="Arial" w:cs="Arial" w:eastAsia="Arial" w:hAnsi="Arial"/>
          <w:sz w:val="17"/>
          <w:szCs w:val="17"/>
          <w:color w:val="auto"/>
        </w:rPr>
        <w:t xml:space="preserve"> shall be Helene D. Gayle (as a Class I Director) and Anita V. Pramoda (as a Class III Director). The one (1) remaining initial Director shall satisfy the Independence Requirements, and shall be Rahm Emanuel (as Class I Director). Clinton P. Jones and Brandon M. Cruz shall serve as the initial Chairpersons of the Board (as defined in the Bylaws) for the initial term, in accordance with this Agreement and the Bylaws, after which the Chairperson(s) of the Board shall be determined in accordance with this Agreement and the Bylaws.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Committees</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With respect to any committee of Directors established by the Board, any such committee shall include one Centerbridge-Designated Independent Director and one NVX-Designated Independent Director to serve on such committee, in each case, for so long as Centerbridge or NVX Holdings, as applicable, retains designation rights pursuant to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Board Observers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Until such time as (a) the Centerbridge Parties no longer beneficially own, directly or indirectly, in the aggregate, at least five percent (5%) of the issued and outstanding shares of Class A Common Stock (including for this purpose the Underlying Class A Shares), Centerbridge shall be entitled to appoint one (1) individual (such individual, the “</w:t>
      </w:r>
      <w:r>
        <w:rPr>
          <w:rFonts w:ascii="Arial" w:cs="Arial" w:eastAsia="Arial" w:hAnsi="Arial"/>
          <w:sz w:val="16"/>
          <w:szCs w:val="16"/>
          <w:u w:val="single" w:color="auto"/>
          <w:color w:val="auto"/>
        </w:rPr>
        <w:t>Centerbridge Observer</w:t>
      </w:r>
      <w:r>
        <w:rPr>
          <w:rFonts w:ascii="Arial" w:cs="Arial" w:eastAsia="Arial" w:hAnsi="Arial"/>
          <w:sz w:val="16"/>
          <w:szCs w:val="16"/>
          <w:color w:val="auto"/>
        </w:rPr>
        <w:t>”) to attend all meetings of the Board (including, for the avoidance of doubt, telephonic and video meetings) and any committee thereof (including, for the avoidance of doubt, telephonic and video meetings) in a nonvoting observer capacity and (b) NVX Holdings no longer beneficially owns, directly or indirectly, in the aggregate, at least five percent (5%) of the issued and outstanding shares of Class A Common Stock (including for this purpose the Underlying Class A Shares), NVX Holdings shall be entitled to appoint one</w:t>
      </w:r>
    </w:p>
    <w:p>
      <w:pPr>
        <w:spacing w:after="0" w:line="4" w:lineRule="exact"/>
        <w:rPr>
          <w:sz w:val="20"/>
          <w:szCs w:val="20"/>
          <w:color w:val="auto"/>
        </w:rPr>
      </w:pPr>
    </w:p>
    <w:p>
      <w:pPr>
        <w:ind w:left="4" w:right="100" w:hanging="4"/>
        <w:spacing w:after="0" w:line="267" w:lineRule="auto"/>
        <w:tabs>
          <w:tab w:leader="none" w:pos="25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individual (such individual, the “</w:t>
      </w:r>
      <w:r>
        <w:rPr>
          <w:rFonts w:ascii="Arial" w:cs="Arial" w:eastAsia="Arial" w:hAnsi="Arial"/>
          <w:sz w:val="17"/>
          <w:szCs w:val="17"/>
          <w:u w:val="single" w:color="auto"/>
          <w:color w:val="auto"/>
        </w:rPr>
        <w:t>NVX Observer</w:t>
      </w:r>
      <w:r>
        <w:rPr>
          <w:rFonts w:ascii="Arial" w:cs="Arial" w:eastAsia="Arial" w:hAnsi="Arial"/>
          <w:sz w:val="17"/>
          <w:szCs w:val="17"/>
          <w:color w:val="auto"/>
        </w:rPr>
        <w:t>”, and together with the Centerbridge Observer, each, an “</w:t>
      </w:r>
      <w:r>
        <w:rPr>
          <w:rFonts w:ascii="Arial" w:cs="Arial" w:eastAsia="Arial" w:hAnsi="Arial"/>
          <w:sz w:val="17"/>
          <w:szCs w:val="17"/>
          <w:u w:val="single" w:color="auto"/>
          <w:color w:val="auto"/>
        </w:rPr>
        <w:t>Observer</w:t>
      </w:r>
      <w:r>
        <w:rPr>
          <w:rFonts w:ascii="Arial" w:cs="Arial" w:eastAsia="Arial" w:hAnsi="Arial"/>
          <w:sz w:val="17"/>
          <w:szCs w:val="17"/>
          <w:color w:val="auto"/>
        </w:rPr>
        <w:t>”) to attend all meetings of the Board (including, for the avoidance of doubt, telephonic and video meetings) and any committee thereof (including, for the avoidance of doubt, telephonic and video meetings) in a nonvoting observer capacity. Each Observer shall execute and deliver a confidentiality agreement in form and substance reasonably acceptable to the Corporation. In connection therewith, the Board of the Company shall provide each Observer with copies of all notices, minutes, consents and other materials that it provides Directors or any committees substantially concurrently therewith. Notwithstanding the foregoing, the Board or the Corporation may withhold any information or exclude any Observer from any such meeting or portion thereof, including closing and/or executive sessions, if the Board determines in good faith that such exclusion is reasonably necessary to preserve attorney-client privilege or under circumstances that present an actual or potential conflict of interest. For the avoidance of doubt, (i) the designation of the Centerbridge Observer and the NVX Observer is a right, and not an obligation, of Centerbridge and NVX Holdings, respectively and (ii) no Observer shall owe any fiduciary duties to the Corporation or any of its stockholders (other than to a Centerbridge Party or NVX Holdings pursuant to a separate agreement by and between an Observer and any such Centerbridge Party or NVX Holdings).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140" w:name="page141"/>
    <w:bookmarkEnd w:id="14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8"/>
          <w:szCs w:val="18"/>
          <w:u w:val="single" w:color="auto"/>
          <w:color w:val="auto"/>
        </w:rPr>
        <w:t>Rights of the Original Members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In addition to any voting requirements contained in the organizational documents of the Corporation or any of its Subsidiaries or controlled affiliates, the Corporation shall not take, and shall cause GoHealth LLC and its Subsidiaries and any of the Corporation’s controlled affiliates not to take,</w:t>
      </w:r>
    </w:p>
    <w:p>
      <w:pPr>
        <w:ind w:left="4" w:right="40" w:hanging="4"/>
        <w:spacing w:after="0" w:line="281" w:lineRule="auto"/>
        <w:tabs>
          <w:tab w:leader="none" w:pos="219"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any of the actions set forth in the following clauses that constitute Material Actions (whether by merger, consolidation or otherwise) without the prior written approval of each of (A) Centerbridge for as long as the Centerbridge Parties beneficially own, directly or indirectly, in the aggregate fifteen percent (15%) or more of all issued and outstanding shares of Class A Common Stock (including for these purposes the Underlying Class A Shares) and</w:t>
      </w:r>
    </w:p>
    <w:p>
      <w:pPr>
        <w:spacing w:after="0" w:line="1" w:lineRule="exact"/>
        <w:rPr>
          <w:rFonts w:ascii="Arial" w:cs="Arial" w:eastAsia="Arial" w:hAnsi="Arial"/>
          <w:sz w:val="16"/>
          <w:szCs w:val="16"/>
          <w:color w:val="auto"/>
        </w:rPr>
      </w:pPr>
    </w:p>
    <w:p>
      <w:pPr>
        <w:ind w:left="4" w:right="20"/>
        <w:spacing w:after="0" w:line="269" w:lineRule="auto"/>
        <w:rPr>
          <w:rFonts w:ascii="Arial" w:cs="Arial" w:eastAsia="Arial" w:hAnsi="Arial"/>
          <w:sz w:val="16"/>
          <w:szCs w:val="16"/>
          <w:color w:val="auto"/>
        </w:rPr>
      </w:pPr>
      <w:r>
        <w:rPr>
          <w:rFonts w:ascii="Arial" w:cs="Arial" w:eastAsia="Arial" w:hAnsi="Arial"/>
          <w:sz w:val="17"/>
          <w:szCs w:val="17"/>
          <w:color w:val="auto"/>
        </w:rPr>
        <w:t>(B) NVX Holdings for as long as NVX Holdings beneficially owns, directly or indirectly, in the aggregate fifteen percent (15%) or more of all issued and outstanding shares of Class A Common Stock (including for these purposes the Underlying Class A Shares) or (ii) any of the actions set forth in the following clauses that constitute Fundamental Actions (whether by merger, consolidation, division or otherwise) without the prior written approval of each of (A) Centerbridge for as long as the Centerbridge Parties beneficially own, directly or indirectly, in the aggregate five percent (5%) or more of all issued and outstanding shares of Class A Common Stock (including for these purposes the Underlying Class A Shares) and (B) NVX Holdings for as long as NVX Holdings beneficially owns, directly or indirectly, in the aggregate five percent (5%) or more of all issued and outstanding shares of Class A Common Stock (including for these purposes the Underlying Class A Shares):</w:t>
      </w:r>
    </w:p>
    <w:p>
      <w:pPr>
        <w:spacing w:after="0" w:line="72" w:lineRule="exact"/>
        <w:rPr>
          <w:rFonts w:ascii="Arial" w:cs="Arial" w:eastAsia="Arial" w:hAnsi="Arial"/>
          <w:sz w:val="16"/>
          <w:szCs w:val="16"/>
          <w:color w:val="auto"/>
        </w:rPr>
      </w:pPr>
    </w:p>
    <w:p>
      <w:pPr>
        <w:ind w:left="4" w:right="100" w:firstLine="436"/>
        <w:spacing w:after="0" w:line="271" w:lineRule="auto"/>
        <w:tabs>
          <w:tab w:leader="none" w:pos="689" w:val="left"/>
        </w:tabs>
        <w:numPr>
          <w:ilvl w:val="1"/>
          <w:numId w:val="138"/>
        </w:numPr>
        <w:rPr>
          <w:rFonts w:ascii="Arial" w:cs="Arial" w:eastAsia="Arial" w:hAnsi="Arial"/>
          <w:sz w:val="17"/>
          <w:szCs w:val="17"/>
          <w:color w:val="auto"/>
        </w:rPr>
      </w:pPr>
      <w:r>
        <w:rPr>
          <w:rFonts w:ascii="Arial" w:cs="Arial" w:eastAsia="Arial" w:hAnsi="Arial"/>
          <w:sz w:val="17"/>
          <w:szCs w:val="17"/>
          <w:color w:val="auto"/>
        </w:rPr>
        <w:t>any transaction or series of related transactions, in each case, to the extent within the reasonable control of the Corporation, (i) in which any “person” or “group” (within the meaning of Sections 13(d) and 14(d) of the Exchange Act (excluding the Centerbridge Parties and any “group” that includes the Centerbridge Parties and NVX Holdings)) acquires, directly or indirectly, in excess of fifty percent (50%) of the then outstanding shares of any class of capital stock (or equivalent) of the Corporation, GoHealth LLC or any of their respective Subsidiaries (whether by merger, consolidation, sale or transfer of capital stock or partnership, limited liability company or other equity interests, tender offer, exchange offer, reorganization, recapitalization or otherwise), (ii) following which any “person” or “group” referred to in clause (i) hereof has the direct or indirect power to elect a majority of the members of the Board or to replace the Corporation as the sole manager of GoHealth LLC (or to add another Person as a co-manager of GoHealth LLC) or (iii) which would result in a Change of Control (as defined in the Charter);</w:t>
      </w:r>
    </w:p>
    <w:p>
      <w:pPr>
        <w:spacing w:after="0" w:line="70" w:lineRule="exact"/>
        <w:rPr>
          <w:rFonts w:ascii="Arial" w:cs="Arial" w:eastAsia="Arial" w:hAnsi="Arial"/>
          <w:sz w:val="17"/>
          <w:szCs w:val="17"/>
          <w:color w:val="auto"/>
        </w:rPr>
      </w:pPr>
    </w:p>
    <w:p>
      <w:pPr>
        <w:ind w:left="4" w:right="120" w:firstLine="436"/>
        <w:spacing w:after="0" w:line="277" w:lineRule="auto"/>
        <w:tabs>
          <w:tab w:leader="none" w:pos="69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reorganization, recapitalization, voluntary bankruptcy, liquidation, dissolution or winding-up of the Corporation, GoHealth LLC or any of their respective Subsidiaries;</w:t>
      </w:r>
    </w:p>
    <w:p>
      <w:pPr>
        <w:spacing w:after="0" w:line="62" w:lineRule="exact"/>
        <w:rPr>
          <w:rFonts w:ascii="Arial" w:cs="Arial" w:eastAsia="Arial" w:hAnsi="Arial"/>
          <w:sz w:val="18"/>
          <w:szCs w:val="18"/>
          <w:color w:val="auto"/>
        </w:rPr>
      </w:pPr>
    </w:p>
    <w:p>
      <w:pPr>
        <w:ind w:left="684" w:hanging="244"/>
        <w:spacing w:after="0"/>
        <w:tabs>
          <w:tab w:leader="none" w:pos="684" w:val="left"/>
        </w:tabs>
        <w:numPr>
          <w:ilvl w:val="1"/>
          <w:numId w:val="138"/>
        </w:numPr>
        <w:rPr>
          <w:rFonts w:ascii="Arial" w:cs="Arial" w:eastAsia="Arial" w:hAnsi="Arial"/>
          <w:sz w:val="17"/>
          <w:szCs w:val="17"/>
          <w:color w:val="auto"/>
        </w:rPr>
      </w:pPr>
      <w:r>
        <w:rPr>
          <w:rFonts w:ascii="Arial" w:cs="Arial" w:eastAsia="Arial" w:hAnsi="Arial"/>
          <w:sz w:val="17"/>
          <w:szCs w:val="17"/>
          <w:color w:val="auto"/>
        </w:rPr>
        <w:t>the sale, lease or exchange of all or substantially all of the property and assets of the Corporation and its Subsidiaries, taken as a whole;</w:t>
      </w:r>
    </w:p>
    <w:p>
      <w:pPr>
        <w:spacing w:after="0" w:line="128" w:lineRule="exact"/>
        <w:rPr>
          <w:rFonts w:ascii="Arial" w:cs="Arial" w:eastAsia="Arial" w:hAnsi="Arial"/>
          <w:sz w:val="17"/>
          <w:szCs w:val="17"/>
          <w:color w:val="auto"/>
        </w:rPr>
      </w:pPr>
    </w:p>
    <w:p>
      <w:pPr>
        <w:ind w:left="4" w:right="400" w:firstLine="436"/>
        <w:spacing w:after="0" w:line="277" w:lineRule="auto"/>
        <w:tabs>
          <w:tab w:leader="none" w:pos="69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(i) resignation, replacement or removal of the Corporation as the sole manager of GoHealth LLC or (ii) appointment of any additional Person as a manager of GoHealth LLC;</w:t>
      </w:r>
    </w:p>
    <w:p>
      <w:pPr>
        <w:spacing w:after="0" w:line="62" w:lineRule="exact"/>
        <w:rPr>
          <w:rFonts w:ascii="Arial" w:cs="Arial" w:eastAsia="Arial" w:hAnsi="Arial"/>
          <w:sz w:val="18"/>
          <w:szCs w:val="18"/>
          <w:color w:val="auto"/>
        </w:rPr>
      </w:pPr>
    </w:p>
    <w:p>
      <w:pPr>
        <w:jc w:val="both"/>
        <w:ind w:left="4" w:right="180" w:firstLine="436"/>
        <w:spacing w:after="0" w:line="259" w:lineRule="auto"/>
        <w:tabs>
          <w:tab w:leader="none" w:pos="68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acquisition or disposition by the Corporation or any of its Subsidiaries of assets, Persons, equity interests or businesses, or entry into any joint venture by the Corporation or any of its Subsidiaries, where the aggregate consideration is greater than fifty million dollars ($50,000,000) in any single transaction or series of related transactions, other than transactions solely between or among the Corporation and/or one or more of the Corporation’s direct or indirect wholly owned subsidiaries;</w:t>
      </w:r>
    </w:p>
    <w:p>
      <w:pPr>
        <w:spacing w:after="0" w:line="78" w:lineRule="exact"/>
        <w:rPr>
          <w:rFonts w:ascii="Arial" w:cs="Arial" w:eastAsia="Arial" w:hAnsi="Arial"/>
          <w:sz w:val="18"/>
          <w:szCs w:val="18"/>
          <w:color w:val="auto"/>
        </w:rPr>
      </w:pPr>
    </w:p>
    <w:p>
      <w:pPr>
        <w:ind w:left="4" w:right="840" w:firstLine="436"/>
        <w:spacing w:after="0" w:line="277" w:lineRule="auto"/>
        <w:tabs>
          <w:tab w:leader="none" w:pos="66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creation of a new class or series of capital stock or equity securities of the Corporation, GoHealth LLC or any of their respective Subsidiaries;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41" w:name="page142"/>
    <w:bookmarkEnd w:id="141"/>
    <w:p>
      <w:pPr>
        <w:ind w:left="-20" w:right="80" w:firstLine="436"/>
        <w:spacing w:after="0" w:line="255"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issuance of additional shares of Class A Common Stock, Class B Common Stock, Preferred Stock or other equity securities of the Corporation, GoHealth LLC or any of their respective Subsidiaries after the date hereof, other than any issuance of additional shares of Class A Common Stock or other equity securities of the Corporation or its Subsidiaries (i) under any stock option or other equity compensation plan of the Corporation or any of its Subsidiaries approved by the Board or the compensation committee of the Board, (ii) pursuant to the exercise or conversion of any options, warrants or other securities existing as of the date of this Agreement, or (iii) in connection with any redemption of Common Units as set forth in the LLC Agreement;</w:t>
      </w:r>
    </w:p>
    <w:p>
      <w:pPr>
        <w:spacing w:after="0" w:line="84" w:lineRule="exact"/>
        <w:rPr>
          <w:rFonts w:ascii="Arial" w:cs="Arial" w:eastAsia="Arial" w:hAnsi="Arial"/>
          <w:sz w:val="18"/>
          <w:szCs w:val="18"/>
          <w:color w:val="auto"/>
        </w:rPr>
      </w:pPr>
    </w:p>
    <w:p>
      <w:pPr>
        <w:ind w:left="-20" w:right="280" w:firstLine="436"/>
        <w:spacing w:after="0" w:line="277"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amendment or modification of the organizational documents of the Corporation, GoHealth LLC or any of their respective Subsidiaries, including, for the avoidance of doubt, the LLC Agreement;</w:t>
      </w:r>
    </w:p>
    <w:p>
      <w:pPr>
        <w:spacing w:after="0" w:line="62" w:lineRule="exact"/>
        <w:rPr>
          <w:rFonts w:ascii="Arial" w:cs="Arial" w:eastAsia="Arial" w:hAnsi="Arial"/>
          <w:sz w:val="18"/>
          <w:szCs w:val="18"/>
          <w:color w:val="auto"/>
        </w:rPr>
      </w:pPr>
    </w:p>
    <w:p>
      <w:pPr>
        <w:ind w:left="640" w:hanging="224"/>
        <w:spacing w:after="0"/>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increase or decrease of the size of the Board;</w:t>
      </w:r>
    </w:p>
    <w:p>
      <w:pPr>
        <w:spacing w:after="0" w:line="117" w:lineRule="exact"/>
        <w:rPr>
          <w:rFonts w:ascii="Arial" w:cs="Arial" w:eastAsia="Arial" w:hAnsi="Arial"/>
          <w:sz w:val="18"/>
          <w:szCs w:val="18"/>
          <w:color w:val="auto"/>
        </w:rPr>
      </w:pPr>
    </w:p>
    <w:p>
      <w:pPr>
        <w:ind w:left="-20" w:right="200" w:firstLine="436"/>
        <w:spacing w:after="0" w:line="277" w:lineRule="auto"/>
        <w:tabs>
          <w:tab w:leader="none" w:pos="6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 than as contemplated by the LLC Agreement, any repurchase, redemption or other acquisition of any equity interests or other securities of, or other ownership interests in, the Corporation or any of its Subsidiaries;</w:t>
      </w:r>
    </w:p>
    <w:p>
      <w:pPr>
        <w:spacing w:after="0" w:line="62" w:lineRule="exact"/>
        <w:rPr>
          <w:rFonts w:ascii="Arial" w:cs="Arial" w:eastAsia="Arial" w:hAnsi="Arial"/>
          <w:sz w:val="18"/>
          <w:szCs w:val="18"/>
          <w:color w:val="auto"/>
        </w:rPr>
      </w:pPr>
    </w:p>
    <w:p>
      <w:pPr>
        <w:ind w:left="680" w:hanging="264"/>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material change to the primary nature of the Corporation’s and its Subsidiaries’ business;</w:t>
      </w:r>
    </w:p>
    <w:p>
      <w:pPr>
        <w:spacing w:after="0" w:line="117" w:lineRule="exact"/>
        <w:rPr>
          <w:rFonts w:ascii="Arial" w:cs="Arial" w:eastAsia="Arial" w:hAnsi="Arial"/>
          <w:sz w:val="18"/>
          <w:szCs w:val="18"/>
          <w:color w:val="auto"/>
        </w:rPr>
      </w:pPr>
    </w:p>
    <w:p>
      <w:pPr>
        <w:ind w:left="-20" w:firstLine="436"/>
        <w:spacing w:after="0" w:line="263" w:lineRule="auto"/>
        <w:tabs>
          <w:tab w:leader="none" w:pos="6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other than as provided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any transaction with any affiliate, director or officer of the Corporation or any of its Subsidiaries (other than employment arrangements with any such director or officer (which shall be governed by clause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w:t>
      </w:r>
      <w:r>
        <w:rPr>
          <w:rFonts w:ascii="Arial" w:cs="Arial" w:eastAsia="Arial" w:hAnsi="Arial"/>
          <w:sz w:val="18"/>
          <w:szCs w:val="18"/>
          <w:color w:val="auto"/>
        </w:rPr>
        <w:t>)) involving an amount in excess of three million dollars ($3,000,000);</w:t>
      </w:r>
    </w:p>
    <w:p>
      <w:pPr>
        <w:spacing w:after="0" w:line="75" w:lineRule="exact"/>
        <w:rPr>
          <w:rFonts w:ascii="Arial" w:cs="Arial" w:eastAsia="Arial" w:hAnsi="Arial"/>
          <w:sz w:val="18"/>
          <w:szCs w:val="18"/>
          <w:color w:val="auto"/>
        </w:rPr>
      </w:pPr>
    </w:p>
    <w:p>
      <w:pPr>
        <w:ind w:left="-20" w:right="80" w:firstLine="436"/>
        <w:spacing w:after="0" w:line="263" w:lineRule="auto"/>
        <w:tabs>
          <w:tab w:leader="none" w:pos="72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incurrence of new indebtedness or refinancing of existing indebtedness by the Corporation or any of its Subsidiaries, any guarantee made by the Corporation or any of its Subsidiaries or any grant of any security interest in any of the assets of the Corporation or any of its Subsidiaries, in each case with a value in excess of twenty-five million dollars ($25,000,000);</w:t>
      </w:r>
    </w:p>
    <w:p>
      <w:pPr>
        <w:spacing w:after="0" w:line="75" w:lineRule="exact"/>
        <w:rPr>
          <w:rFonts w:ascii="Arial" w:cs="Arial" w:eastAsia="Arial" w:hAnsi="Arial"/>
          <w:sz w:val="18"/>
          <w:szCs w:val="18"/>
          <w:color w:val="auto"/>
        </w:rPr>
      </w:pPr>
    </w:p>
    <w:p>
      <w:pPr>
        <w:ind w:left="680" w:hanging="264"/>
        <w:spacing w:after="0"/>
        <w:tabs>
          <w:tab w:leader="none" w:pos="6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settlement of any material litigation or similar action to which the Corporation or any Subsidiary is a party or could otherwise be bound;</w:t>
      </w:r>
    </w:p>
    <w:p>
      <w:pPr>
        <w:spacing w:after="0" w:line="128" w:lineRule="exact"/>
        <w:rPr>
          <w:rFonts w:ascii="Arial" w:cs="Arial" w:eastAsia="Arial" w:hAnsi="Arial"/>
          <w:sz w:val="17"/>
          <w:szCs w:val="17"/>
          <w:color w:val="auto"/>
        </w:rPr>
      </w:pPr>
    </w:p>
    <w:p>
      <w:pPr>
        <w:ind w:left="680" w:hanging="264"/>
        <w:spacing w:after="0"/>
        <w:tabs>
          <w:tab w:leader="none" w:pos="6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engagement of, or change to, the Corporation’s independent auditor;</w:t>
      </w:r>
    </w:p>
    <w:p>
      <w:pPr>
        <w:spacing w:after="0" w:line="117" w:lineRule="exact"/>
        <w:rPr>
          <w:rFonts w:ascii="Arial" w:cs="Arial" w:eastAsia="Arial" w:hAnsi="Arial"/>
          <w:sz w:val="18"/>
          <w:szCs w:val="18"/>
          <w:color w:val="auto"/>
        </w:rPr>
      </w:pPr>
    </w:p>
    <w:p>
      <w:pPr>
        <w:ind w:left="-20" w:right="200" w:firstLine="436"/>
        <w:spacing w:after="0" w:line="342" w:lineRule="auto"/>
        <w:tabs>
          <w:tab w:leader="none" w:pos="67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hiring or termination (other than a termination for cause) of the Chief Executive Officer; </w:t>
      </w:r>
      <w:r>
        <w:rPr>
          <w:rFonts w:ascii="Arial" w:cs="Arial" w:eastAsia="Arial" w:hAnsi="Arial"/>
          <w:sz w:val="16"/>
          <w:szCs w:val="16"/>
          <w:i w:val="1"/>
          <w:iCs w:val="1"/>
          <w:color w:val="auto"/>
        </w:rPr>
        <w:t>provided</w:t>
      </w:r>
      <w:r>
        <w:rPr>
          <w:rFonts w:ascii="Arial" w:cs="Arial" w:eastAsia="Arial" w:hAnsi="Arial"/>
          <w:sz w:val="16"/>
          <w:szCs w:val="16"/>
          <w:color w:val="auto"/>
        </w:rPr>
        <w:t>, with respect to the hiring of the Chief Executive Officer, such approval shall not be unreasonably withheld if the candidate for Chief Executive Officer has been approved by the Board;</w:t>
      </w:r>
    </w:p>
    <w:p>
      <w:pPr>
        <w:spacing w:after="0" w:line="15" w:lineRule="exact"/>
        <w:rPr>
          <w:rFonts w:ascii="Arial" w:cs="Arial" w:eastAsia="Arial" w:hAnsi="Arial"/>
          <w:sz w:val="16"/>
          <w:szCs w:val="16"/>
          <w:color w:val="auto"/>
        </w:rPr>
      </w:pPr>
    </w:p>
    <w:p>
      <w:pPr>
        <w:ind w:left="-20" w:right="120" w:firstLine="436"/>
        <w:spacing w:after="0" w:line="259" w:lineRule="auto"/>
        <w:tabs>
          <w:tab w:leader="none" w:pos="6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any increase, decrease or change in compensation (including equity compensation or other employment terms) with respect to the Chief Executive Officer, President, Chief Financial Officer, Chief Operating Officer or Chief Strategy Officer or (ii) any approval, authorization or implementation of, or any change, amendment or modification to, any employee equity incentive plan, agreement or arrangement of the Corporation or any of its Subsidiaries;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142" w:name="page143"/>
    <w:bookmarkEnd w:id="1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 any agreement, authorization or commitment to do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Covenants of the Corporation</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1" w:lineRule="auto"/>
        <w:tabs>
          <w:tab w:leader="none" w:pos="68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The Corporation agrees to take all Necessary Action to cause (i) the Board to be comprised at least of nine (9) Directors or such other number of Directors as the Board may determine, subject to the terms of this Agreement, the Charter or the Bylaws of the Corporation; (ii) the individuals designated in accordance with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to be included in the slate of nominees to be elected at the next annual or special meeting of stockholders of the Corporation at which Directors are to be elected, in accordance with the Bylaws, Charter and General Corporation Law of the State of Delaware and at each annual meeting of stockholders of the Corporation thereafter at which such Director’s term expires; (iii) the individuals designated in accordance with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to fill the applicable vacancies on the Board, in accordance with the Bylaws, Charter, Securities Laws, General Corporation Law of the State of Delaware and the NASDAQ rules; (iv) Clinton P. Jones and Brandon M. Cruz to be the Chairpersons of the Board and (v) to adhere to, implement and enforce the provisions set forth in </w:t>
      </w:r>
      <w:r>
        <w:rPr>
          <w:rFonts w:ascii="Arial" w:cs="Arial" w:eastAsia="Arial" w:hAnsi="Arial"/>
          <w:sz w:val="17"/>
          <w:szCs w:val="17"/>
          <w:u w:val="single" w:color="auto"/>
          <w:color w:val="auto"/>
        </w:rPr>
        <w:t>Sections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40" w:firstLine="436"/>
        <w:spacing w:after="0" w:line="288"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The Centerbridge Parties and NVX Holdings shall comply with the requirements of the Charter and Bylaws when designating and nominating individuals as Directors, in each case, to the extent such requirements are applicable to Directors generally. Notwithstanding anything to the contrary set forth herein, in the event that the Board determines, within sixty (60) days after compliance with the first sentence of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in good faith, after consultation with outside legal counsel, that its nomination, appointment or election of a particular Director designated in accordance with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as applicable, would constitute a breach of its fiduciary duties to the Corporation’s stockholders or does not otherwise comply with any requirements of the Charter or Bylaws, then the Board shall inform the Centerbridge Parties and/or NVX Holdings, as applicable, of such determination in writing and explain in reasonable detail the basis for such determination and shall, to the fullest extent permitted by law, nominate, appoint or elect another individual designated for nomination, election or appointment to the Board by the Centerbridge Parties and/or NVX Holdings, as applicable (subject in each case to this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The Board and the Corporation shall, to the fullest extent permitted by law, take all Necessary Action required by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with respect to the election of such substitute designees to the Board.</w:t>
      </w:r>
    </w:p>
    <w:p>
      <w:pPr>
        <w:spacing w:after="0" w:line="60" w:lineRule="exact"/>
        <w:rPr>
          <w:rFonts w:ascii="Arial" w:cs="Arial" w:eastAsia="Arial" w:hAnsi="Arial"/>
          <w:sz w:val="16"/>
          <w:szCs w:val="16"/>
          <w:color w:val="auto"/>
        </w:rPr>
      </w:pPr>
    </w:p>
    <w:p>
      <w:pPr>
        <w:ind w:right="80" w:firstLine="436"/>
        <w:spacing w:after="0" w:line="286" w:lineRule="auto"/>
        <w:tabs>
          <w:tab w:leader="none" w:pos="68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Corporation shall deliver or cause to be delivered the following information to each Original Member, in each case, for so long as such Original Member beneficially owns, directly or indirectly, in the aggregate at least one percent (1%) or more of all issued and outstanding shares of Class A Common Stock (including for this purpose the Underlying Class A Shares): (i) as soon as available after the end of the first, second and third quarterly accounting periods in each fiscal year of the Corporation, and in any event within forty-five (45) days thereafter, an unaudited consolidated balance sheet of the Corporation and its Subsidiaries as of the end of each such quarterly period, and the related consolidated statements of operations, stockholders’ equity, comprehensive income (loss) and cash flows of the Corporation and its Subsidiaries for such quarterly period and for the current fiscal year to date, together with all related notes and schedules thereto, prepared in accordance with GAAP consistently applied (subject to normal year-end audit adjustments) and setting forth in comparative form the figures for the corresponding periods of the previous fiscal year, in reasonable detail and certified by the Chief Financial Officer of the Corporation, and reviewed by the Corporation’s independent auditor; (ii) as soon as available after the end of each fiscal year of the Corporation, and in any event within ninety (90) days thereafter, an audited consolidated balance sheet of the Corporation and its Subsidiaries as of the end of such fiscal year, and the related audited consolidated statements of operations, stockholders’ equity, comprehensive income (loss) and cash flows of the Corporation and its Subsidiaries for such year, together with all related notes and schedules thereto, prepared in accordance with GAAP consistently applied and setting forth in each case in comparative form the figures for the previous fiscal year, all in reasonable detail and accompanied by the audit reports thereon of the Corporation’s independent auditor, in reasonable detail and certified by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43" w:name="page144"/>
    <w:bookmarkEnd w:id="14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Chief Financial Officer of the Corporation; (iii) reasonably promptly after the end of each calendar month, monthly management reports and information packets, including budgets, forecasts, business plans, results of operations and other similar matters; and (iv) with reasonable promptness, such other information and data (including such information and reports made available to any lender of the Corporation or any of its Subsidiaries under any credit agreement or otherwise) with respect to the Corporation and each of its Subsidiaries as may be necessary for such Original Member to comply with its respective reporting, regulatory, or other legal requirements and/or as may from time to time be reasonably requested by any such Original Member.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Agreement shall terminate upon the earliest to occur of any one of the following events:</w:t>
      </w:r>
    </w:p>
    <w:p>
      <w:pPr>
        <w:spacing w:after="0" w:line="117" w:lineRule="exact"/>
        <w:rPr>
          <w:sz w:val="20"/>
          <w:szCs w:val="20"/>
          <w:color w:val="auto"/>
        </w:rPr>
      </w:pPr>
    </w:p>
    <w:p>
      <w:pPr>
        <w:ind w:left="680" w:hanging="244"/>
        <w:spacing w:after="0"/>
        <w:tabs>
          <w:tab w:leader="none" w:pos="6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each of (i) the Centerbridge Parties and (ii) NVX Holdings ceasing to own any shares of Class A Common Stock or Class B Common Stock; or</w:t>
      </w:r>
    </w:p>
    <w:p>
      <w:pPr>
        <w:spacing w:after="0" w:line="140" w:lineRule="exact"/>
        <w:rPr>
          <w:rFonts w:ascii="Arial" w:cs="Arial" w:eastAsia="Arial" w:hAnsi="Arial"/>
          <w:sz w:val="16"/>
          <w:szCs w:val="16"/>
          <w:color w:val="auto"/>
        </w:rPr>
      </w:pPr>
    </w:p>
    <w:p>
      <w:pPr>
        <w:ind w:left="700" w:hanging="264"/>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unanimous written consent of the parties hereto.</w:t>
      </w:r>
    </w:p>
    <w:p>
      <w:pPr>
        <w:spacing w:after="0" w:line="225" w:lineRule="exact"/>
        <w:rPr>
          <w:sz w:val="20"/>
          <w:szCs w:val="20"/>
          <w:color w:val="auto"/>
        </w:rPr>
      </w:pPr>
    </w:p>
    <w:p>
      <w:pPr>
        <w:ind w:right="160" w:firstLine="440"/>
        <w:spacing w:after="0" w:line="293"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for the avoidance of doubt, the rights and obligations (i) of the Centerbridge Parties under this Agreement shall terminate upon the Centerbridge Parties ceasing to own any shares of Class A Common Stock or Class B Common Stock and (ii) of NVX Holdings under this Agreement shall terminate upon NVX Holdings ceasing to own any shares of Class A Common Stock or Class B Common Stock. Notwithstanding the foregoing, nothing in this Agreement shall modify, limit or otherwise affect, in any way, any and all rights to indemnification, exculpation and/or contribution owed by any of the parties hereto, to the extent arising out of or relating to events occurring prior to the date of termination of this Agreement or the date the rights and obligations of such party under this Agreement terminates in accordance with this </w:t>
      </w:r>
      <w:r>
        <w:rPr>
          <w:rFonts w:ascii="Arial" w:cs="Arial" w:eastAsia="Arial" w:hAnsi="Arial"/>
          <w:sz w:val="16"/>
          <w:szCs w:val="16"/>
          <w:u w:val="single" w:color="auto"/>
          <w:color w:val="auto"/>
        </w:rPr>
        <w:t>Section 8</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Agreement, any term that it is not defined herein, shall have the following meanings: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dated as of the date hereof, as the same may be further amended, restated, amended and restated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Centerbridge Director</w:t>
      </w:r>
      <w:r>
        <w:rPr>
          <w:rFonts w:ascii="Arial" w:cs="Arial" w:eastAsia="Arial" w:hAnsi="Arial"/>
          <w:sz w:val="16"/>
          <w:szCs w:val="16"/>
          <w:color w:val="auto"/>
        </w:rPr>
        <w:t xml:space="preserve">” means any Director who had initially been designated for nomination by Centerbridge in accordance with </w:t>
      </w:r>
      <w:r>
        <w:rPr>
          <w:rFonts w:ascii="Arial" w:cs="Arial" w:eastAsia="Arial" w:hAnsi="Arial"/>
          <w:sz w:val="16"/>
          <w:szCs w:val="16"/>
          <w:u w:val="single" w:color="auto"/>
          <w:color w:val="auto"/>
        </w:rPr>
        <w:t>Section 1(b)</w:t>
      </w:r>
      <w:r>
        <w:rPr>
          <w:rFonts w:ascii="Arial" w:cs="Arial" w:eastAsia="Arial" w:hAnsi="Arial"/>
          <w:sz w:val="16"/>
          <w:szCs w:val="16"/>
          <w:color w:val="auto"/>
        </w:rPr>
        <w:t>.</w:t>
      </w:r>
    </w:p>
    <w:p>
      <w:pPr>
        <w:spacing w:after="0" w:line="248"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Centerbridge-Designated Independent Director</w:t>
      </w:r>
      <w:r>
        <w:rPr>
          <w:rFonts w:ascii="Arial" w:cs="Arial" w:eastAsia="Arial" w:hAnsi="Arial"/>
          <w:sz w:val="18"/>
          <w:szCs w:val="18"/>
          <w:color w:val="auto"/>
        </w:rPr>
        <w:t xml:space="preserve">” means any Director who had initially been designated for nomination by Centerbridge in accordance with </w:t>
      </w:r>
      <w:r>
        <w:rPr>
          <w:rFonts w:ascii="Arial" w:cs="Arial" w:eastAsia="Arial" w:hAnsi="Arial"/>
          <w:sz w:val="18"/>
          <w:szCs w:val="18"/>
          <w:u w:val="single" w:color="auto"/>
          <w:color w:val="auto"/>
        </w:rPr>
        <w:t>Section 1(d)</w:t>
      </w:r>
      <w:r>
        <w:rPr>
          <w:rFonts w:ascii="Arial" w:cs="Arial" w:eastAsia="Arial" w:hAnsi="Arial"/>
          <w:sz w:val="18"/>
          <w:szCs w:val="18"/>
          <w:color w:val="auto"/>
        </w:rPr>
        <w:t>.</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Charter</w:t>
      </w:r>
      <w:r>
        <w:rPr>
          <w:rFonts w:ascii="Arial" w:cs="Arial" w:eastAsia="Arial" w:hAnsi="Arial"/>
          <w:sz w:val="18"/>
          <w:szCs w:val="18"/>
          <w:color w:val="auto"/>
        </w:rPr>
        <w:t>” means the amended and restated certificate of incorporation of the Corporation, effective as of the date hereof, as the same may be further amended, restated, amended and restated or otherwise modified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44" w:name="page145"/>
    <w:bookmarkEnd w:id="144"/>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Fundamental Action</w:t>
      </w:r>
      <w:r>
        <w:rPr>
          <w:rFonts w:ascii="Arial" w:cs="Arial" w:eastAsia="Arial" w:hAnsi="Arial"/>
          <w:sz w:val="18"/>
          <w:szCs w:val="18"/>
          <w:color w:val="auto"/>
        </w:rPr>
        <w:t xml:space="preserve">” means (I) any of the matters described in </w:t>
      </w:r>
      <w:r>
        <w:rPr>
          <w:rFonts w:ascii="Arial" w:cs="Arial" w:eastAsia="Arial" w:hAnsi="Arial"/>
          <w:sz w:val="18"/>
          <w:szCs w:val="18"/>
          <w:u w:val="single" w:color="auto"/>
          <w:color w:val="auto"/>
        </w:rPr>
        <w:t>Sections 6(b)</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(l)</w:t>
      </w:r>
      <w:r>
        <w:rPr>
          <w:rFonts w:ascii="Arial" w:cs="Arial" w:eastAsia="Arial" w:hAnsi="Arial"/>
          <w:sz w:val="18"/>
          <w:szCs w:val="18"/>
          <w:color w:val="auto"/>
        </w:rPr>
        <w:t xml:space="preserve"> (and clause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respect to any of the preceding clauses) and (II) any of the matters described in Sections 6(f), (g), (h) and (j) (and clause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respect to any of the preceding clauses) to the extent, in the case of this clause (II), that the taking of the applicable action would have a disproportionate and materially adverse impact on the Person asserting a consent right pursuant to Section 6, relative to other equityholders of the Corporation and its Subsidiaries holding the same type of equity as such Person.</w:t>
      </w:r>
    </w:p>
    <w:p>
      <w:pPr>
        <w:spacing w:after="0" w:line="188"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Independence Requirements</w:t>
      </w:r>
      <w:r>
        <w:rPr>
          <w:rFonts w:ascii="Arial" w:cs="Arial" w:eastAsia="Arial" w:hAnsi="Arial"/>
          <w:sz w:val="18"/>
          <w:szCs w:val="18"/>
          <w:color w:val="auto"/>
        </w:rPr>
        <w:t>” means, with respect to a Director, an individual who is (i) an “independent director” within the meaning of that term used in Rules 5005(a)(20) and 5605(a)(2) of the NASDAQ Listing Rules, as amended, and (ii) “independent” for purposes of Rule 10A-3(b)(1) under the Securities Exchange Act of 1934, as amended, and the rules promulgated thereunder.</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Action</w:t>
      </w:r>
      <w:r>
        <w:rPr>
          <w:rFonts w:ascii="Arial" w:cs="Arial" w:eastAsia="Arial" w:hAnsi="Arial"/>
          <w:sz w:val="18"/>
          <w:szCs w:val="18"/>
          <w:color w:val="auto"/>
        </w:rPr>
        <w:t xml:space="preserve">” means any of the matters described in </w:t>
      </w:r>
      <w:r>
        <w:rPr>
          <w:rFonts w:ascii="Arial" w:cs="Arial" w:eastAsia="Arial" w:hAnsi="Arial"/>
          <w:sz w:val="18"/>
          <w:szCs w:val="18"/>
          <w:u w:val="single" w:color="auto"/>
          <w:color w:val="auto"/>
        </w:rPr>
        <w:t>Sections 6(a)</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(f), (g), (h), (j),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(q)</w:t>
      </w:r>
      <w:r>
        <w:rPr>
          <w:rFonts w:ascii="Arial" w:cs="Arial" w:eastAsia="Arial" w:hAnsi="Arial"/>
          <w:sz w:val="18"/>
          <w:szCs w:val="18"/>
          <w:color w:val="auto"/>
        </w:rPr>
        <w:t xml:space="preserve"> (and clause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with respect to any of the preceding clauses).</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Necessary Action</w:t>
      </w:r>
      <w:r>
        <w:rPr>
          <w:rFonts w:ascii="Arial" w:cs="Arial" w:eastAsia="Arial" w:hAnsi="Arial"/>
          <w:sz w:val="17"/>
          <w:szCs w:val="17"/>
          <w:color w:val="auto"/>
        </w:rPr>
        <w:t>” means, with respect to a specified result, all commercially reasonable actions required to cause such result that are within the power of a specified Person, including (i) voting or providing a written consent or proxy with respect to the equity securities owned by the Person obligated to undertake the necessary action, (ii) voting in favor of the adoption of stockholders’ resolutions and amendments to the organizational documents of the Corporation, (iii) executing agreements and instruments, and (iv) making, or causing to be made, with governmental, administrative or regulatory authorities, all filings, registrations or similar actions that are required to achieve such result.</w:t>
      </w:r>
    </w:p>
    <w:p>
      <w:pPr>
        <w:spacing w:after="0" w:line="176"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Nominating and Corporate Governance Committee</w:t>
      </w:r>
      <w:r>
        <w:rPr>
          <w:rFonts w:ascii="Arial" w:cs="Arial" w:eastAsia="Arial" w:hAnsi="Arial"/>
          <w:sz w:val="18"/>
          <w:szCs w:val="18"/>
          <w:color w:val="auto"/>
        </w:rPr>
        <w:t>” means the nominating and corporate governance committee of the Board or any committee of the Board authorized to perform the function of recommending to the Board the nominees for election as Directors or nominating the nominees for election as Directors.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NVX Director</w:t>
      </w:r>
      <w:r>
        <w:rPr>
          <w:rFonts w:ascii="Arial" w:cs="Arial" w:eastAsia="Arial" w:hAnsi="Arial"/>
          <w:sz w:val="17"/>
          <w:szCs w:val="17"/>
          <w:color w:val="auto"/>
        </w:rPr>
        <w:t xml:space="preserve">” means any Director who had initially been designated for nomination by NVX Holdings in accordance with </w:t>
      </w:r>
      <w:r>
        <w:rPr>
          <w:rFonts w:ascii="Arial" w:cs="Arial" w:eastAsia="Arial" w:hAnsi="Arial"/>
          <w:sz w:val="17"/>
          <w:szCs w:val="17"/>
          <w:u w:val="single" w:color="auto"/>
          <w:color w:val="auto"/>
        </w:rPr>
        <w:t>Section 1(c)</w:t>
      </w:r>
      <w:r>
        <w:rPr>
          <w:rFonts w:ascii="Arial" w:cs="Arial" w:eastAsia="Arial" w:hAnsi="Arial"/>
          <w:sz w:val="17"/>
          <w:szCs w:val="17"/>
          <w:color w:val="auto"/>
        </w:rPr>
        <w:t>.</w:t>
      </w:r>
    </w:p>
    <w:p>
      <w:pPr>
        <w:spacing w:after="0" w:line="237"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NVX-Designated Independent Director</w:t>
      </w:r>
      <w:r>
        <w:rPr>
          <w:rFonts w:ascii="Arial" w:cs="Arial" w:eastAsia="Arial" w:hAnsi="Arial"/>
          <w:sz w:val="18"/>
          <w:szCs w:val="18"/>
          <w:color w:val="auto"/>
        </w:rPr>
        <w:t xml:space="preserve">” means any Director who had initially been designated for nomination by NVX Holdings in accordance with </w:t>
      </w:r>
      <w:r>
        <w:rPr>
          <w:rFonts w:ascii="Arial" w:cs="Arial" w:eastAsia="Arial" w:hAnsi="Arial"/>
          <w:sz w:val="18"/>
          <w:szCs w:val="18"/>
          <w:u w:val="single" w:color="auto"/>
          <w:color w:val="auto"/>
        </w:rPr>
        <w:t>Section 1(e)</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has the meaning set forth in the LLC Agreement.</w:t>
      </w:r>
    </w:p>
    <w:p>
      <w:pPr>
        <w:spacing w:after="0" w:line="225" w:lineRule="exact"/>
        <w:rPr>
          <w:sz w:val="20"/>
          <w:szCs w:val="20"/>
          <w:color w:val="auto"/>
        </w:rPr>
      </w:pPr>
    </w:p>
    <w:p>
      <w:pPr>
        <w:ind w:right="4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corporation, limited liability company, partnership, trust, joint stock company, business trust, unincorporated association, joint venture, governmental authority or other entity or organization, including a government or any subdivision or agency thereof.</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shares of preferred stock, par value $0.0001 per share, of the Corporation.</w:t>
      </w:r>
    </w:p>
    <w:p>
      <w:pPr>
        <w:spacing w:after="0" w:line="225"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the Securities Act of 1933, as amended, and the Securities Exchange Act of 1934, as amended, and the rules promulgated thereunder.</w:t>
      </w:r>
    </w:p>
    <w:p>
      <w:pPr>
        <w:spacing w:after="0" w:line="170"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limited liability company, partnership, association, trust or other form of legal entity, of which (a) such first Person directly or indirectly owns or controls at least a majority of the securities or other interests having by their terms voting power to elect a majority of the board of directors or others performing similar functions, or (b) such first Person is a general partner or managing member (excluding partnerships in which such Person or any Subsidiary thereof does not have a majority of the voting interests in such partnership).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5" w:name="page146"/>
    <w:bookmarkEnd w:id="145"/>
    <w:p>
      <w:pPr>
        <w:ind w:right="3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Underlying Class A Shares</w:t>
      </w:r>
      <w:r>
        <w:rPr>
          <w:rFonts w:ascii="Arial" w:cs="Arial" w:eastAsia="Arial" w:hAnsi="Arial"/>
          <w:sz w:val="16"/>
          <w:szCs w:val="16"/>
          <w:color w:val="auto"/>
        </w:rPr>
        <w:t>” means all shares of Class A Common Stock issuable upon redemption of Common Units in accordance with the terms and conditions of the LLC Agreement, assuming all such Common Units are redeemed for Class A Common Stock on a one-for-one basis.</w:t>
      </w:r>
    </w:p>
    <w:p>
      <w:pPr>
        <w:spacing w:after="0" w:line="12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 “including” shall mean “including, without limitation”; (vi) each defined term has its defined meaning throughout this Agreement, whether the definition of such term appears before or after such term is used; and (vii) the word “or” shall be disjunctive but not exclusive. References to agreements and other documents shall be deemed to include all subsequent amendments and other modifications thereto.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Choice of Law and Venue; Waiver of Right to Jury Trial</w:t>
      </w:r>
      <w:r>
        <w:rPr>
          <w:rFonts w:ascii="Arial" w:cs="Arial" w:eastAsia="Arial" w:hAnsi="Arial"/>
          <w:sz w:val="18"/>
          <w:szCs w:val="18"/>
          <w:color w:val="auto"/>
        </w:rPr>
        <w:t>.</w:t>
      </w:r>
    </w:p>
    <w:p>
      <w:pPr>
        <w:spacing w:after="0" w:line="117" w:lineRule="exact"/>
        <w:rPr>
          <w:sz w:val="20"/>
          <w:szCs w:val="20"/>
          <w:color w:val="auto"/>
        </w:rPr>
      </w:pPr>
    </w:p>
    <w:p>
      <w:pPr>
        <w:ind w:right="40" w:firstLine="436"/>
        <w:spacing w:after="0" w:line="254" w:lineRule="auto"/>
        <w:tabs>
          <w:tab w:leader="none" w:pos="6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AGREEMENT SHALL BE GOVERNED BY, CONSTRUED, APPLIED AND ENFORCED IN ACCORDANCE WITH THE INTERNAL LAWS OF THE STATE OF DELAWARE. EACH OF THE PARTIES HERETO ACKNOWLEDGES AND AGREES THAT IN THE EVENT OF ANY BREACH OF THIS AGREEMENT, THE NON-BREACHING PARTY WOULD BE IRREPARABLY HARMED AND COULD NOT BE MADE WHOLE BY MONETARY DAMAGES, AND THAT, IN ADDITION TO ANY OTHER REMEDY TO WHICH THEY MAY BE ENTITLED AT LAW OR IN EQUITY, THE PARTIES SHALL BE ENTITLED TO SUCH EQUITABLE OR INJUNCTIVE RELIEF AS MAY BE APPROPRIATE. THE CHOICE OF FORUM SET FORTH IN THIS SECTION SHALL NOT BE DEEMED TO PRECLUDE THE ENFORCEMENT OF ANY JUDGMENT OF A DELAWARE FEDERAL OR STATE COURT, OR THE TAKING OF ANY ACTION UNDER THIS AGREEMENT TO ENFORCE SUCH A JUDGMENT, IN ANY OTHER APPROPRIATE JURISDICTION.</w:t>
      </w:r>
    </w:p>
    <w:p>
      <w:pPr>
        <w:spacing w:after="0" w:line="83" w:lineRule="exact"/>
        <w:rPr>
          <w:rFonts w:ascii="Arial" w:cs="Arial" w:eastAsia="Arial" w:hAnsi="Arial"/>
          <w:sz w:val="18"/>
          <w:szCs w:val="18"/>
          <w:color w:val="auto"/>
        </w:rPr>
      </w:pPr>
    </w:p>
    <w:p>
      <w:pPr>
        <w:ind w:firstLine="436"/>
        <w:spacing w:after="0" w:line="269" w:lineRule="auto"/>
        <w:tabs>
          <w:tab w:leader="none" w:pos="69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THE EVENT ANY PARTY TO THIS AGREEMENT COMMENCES ANY LITIGATION, PROCEEDING OR OTHER LEGAL ACTION IN CONNECTION WITH OR RELATING TO THIS AGREEMENT, ANY RELATED AGREEMENT OR ANY MATTERS DESCRIBED OR CONTEMPLATED HEREIN OR THEREIN, THE PARTIES TO THIS AGREEMENT HEREBY (1) AGREE UNDER ALL CIRCUMSTANCES ABSOLUTELY AND IRREVOCABLY TO SUBMIT TO THE EXCLUSIVE JURISDICTION OF THE COURT OF CHANCERY OF THE STATE OF DELAWARE, OR IF (AND ONLY IF) SUCH COURT FINDS IT LACKS SUBJECT MATTER JURISDICTION, THE SUPERIOR COURT OF THE STATE OF DELAWARE (COMPLEX COMMERCIAL DIVISION), OR IF UNDER APPLICABLE LAW, SUBJECT MATTER JURISDICTION OVER THE MATTER THAT IS THE SUBJECT OF THE ACTION OR PROCEEDING IS VESTED EXCLUSIVELY IN THE FEDERAL COURTS OF THE UNITED STATES OF AMERICA, THE UNITED STATES DISTRICT COURT FOR THE DISTRICT OF DELAWARE, AND APPELLATE COURTS FROM ANY THEREOF, WITH RESPECT TO ALL ACTIONS AND PROCEEDINGS ARISING OUT OF OR RELATING TO THIS AGREEMENT AND THE TRANSACTIONS CONTEMPLATED HEREBY; (2) AGREE THAT IN THE EVENT OF ANY SUCH LITIGATION, PROCEEDING OR ACTION, SUCH PARTIES WILL CONSENT AND SUBMIT TO THE PERSONAL JURISDICTION OF ANY SUCH COURT DESCRIBED IN CLAUSE (1) OF THIS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46" w:name="page147"/>
    <w:bookmarkEnd w:id="146"/>
    <w:p>
      <w:pPr>
        <w:spacing w:after="0" w:line="270"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10(B)</w:t>
      </w:r>
      <w:r>
        <w:rPr>
          <w:rFonts w:ascii="Arial" w:cs="Arial" w:eastAsia="Arial" w:hAnsi="Arial"/>
          <w:sz w:val="17"/>
          <w:szCs w:val="17"/>
          <w:color w:val="auto"/>
        </w:rPr>
        <w:t xml:space="preserve"> AND TO SERVICE OF PROCESS UPON THEM IN ACCORDANCE WITH THE RULES AND STATUTES GOVERNING SERVICE OF PROCESS; (3) AGREE TO WAIVE TO THE FULL EXTENT PERMITTED BY LAW ANY OBJECTION THAT THEY MAY NOW OR HEREAFTER HAVE TO THE VENUE OF ANY SUCH LITIGATION, PROCEEDING OR ACTION IN ANY SUCH COURT OR THAT ANY SUCH LITIGATION, PROCEEDING OR ACTION WAS BROUGHT IN ANY INCONVENIENT FORUM; (4) AGREE TO WAIVE ANY RIGHTS TO A JURY TRIAL TO RESOLVE ANY DISPUTES OR CLAIMS RELATING TO THIS AGREEMENT; (5) AGREE TO SERVICE OF PROCESS IN ANY LEGAL PROCEEDING BY MAILING OF COPIES THEREOF TO SUCH PARTY AT ITS ADDRESS SET FORTH HEREIN FOR COMMUNICATIONS TO SUCH PARTY; (6) AGREE THAT ANY SERVICE MADE AS PROVIDED HEREIN SHALL BE EFFECTIVE AND BINDING SERVICE IN EVERY RESPECT; AND (7) AGREE THAT NOTHING HEREIN SHALL AFFECT THE RIGHTS OF ANY PARTY TO EFFECT SERVICE OF PROCESS IN ANY OTHER MANNER PERMITTED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Any notice, request, claim, demand, document and other communication hereunder to any party shall be effective upon receipt (or refusal of receipt) and shall be in writing and delivered personally or sent by facsimile, or by electronic mail, or first class mail, or by Federal Express or other similar courier or other similar means of communication, as follows:</w:t>
      </w:r>
    </w:p>
    <w:p>
      <w:pPr>
        <w:spacing w:after="0" w:line="89" w:lineRule="exact"/>
        <w:rPr>
          <w:sz w:val="20"/>
          <w:szCs w:val="20"/>
          <w:color w:val="auto"/>
        </w:rPr>
      </w:pPr>
    </w:p>
    <w:p>
      <w:pPr>
        <w:ind w:left="960" w:hanging="532"/>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to Centerbridge or the Centerbridge Parties,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 Centerbridge Partners, L.P.</w:t>
      </w:r>
    </w:p>
    <w:p>
      <w:pPr>
        <w:spacing w:after="0" w:line="23" w:lineRule="exact"/>
        <w:rPr>
          <w:rFonts w:ascii="Arial" w:cs="Arial" w:eastAsia="Arial" w:hAnsi="Arial"/>
          <w:sz w:val="18"/>
          <w:szCs w:val="18"/>
          <w:color w:val="auto"/>
        </w:rPr>
      </w:pPr>
    </w:p>
    <w:p>
      <w:pPr>
        <w:ind w:left="980" w:right="7280"/>
        <w:spacing w:after="0" w:line="265" w:lineRule="auto"/>
        <w:rPr>
          <w:rFonts w:ascii="Arial" w:cs="Arial" w:eastAsia="Arial" w:hAnsi="Arial"/>
          <w:sz w:val="18"/>
          <w:szCs w:val="18"/>
          <w:color w:val="auto"/>
        </w:rPr>
      </w:pPr>
      <w:r>
        <w:rPr>
          <w:rFonts w:ascii="Arial" w:cs="Arial" w:eastAsia="Arial" w:hAnsi="Arial"/>
          <w:sz w:val="17"/>
          <w:szCs w:val="17"/>
          <w:color w:val="auto"/>
        </w:rPr>
        <w:t>375 Park Avenue, 11th Floor New York, New York 10152 Attn: Office of the General Counsel</w:t>
      </w:r>
    </w:p>
    <w:p>
      <w:pPr>
        <w:ind w:left="980"/>
        <w:spacing w:after="0"/>
        <w:rPr>
          <w:rFonts w:ascii="Arial" w:cs="Arial" w:eastAsia="Arial" w:hAnsi="Arial"/>
          <w:sz w:val="18"/>
          <w:szCs w:val="18"/>
          <w:color w:val="auto"/>
        </w:rPr>
      </w:pPr>
      <w:r>
        <w:rPr>
          <w:rFonts w:ascii="Arial" w:cs="Arial" w:eastAsia="Arial" w:hAnsi="Arial"/>
          <w:sz w:val="18"/>
          <w:szCs w:val="18"/>
          <w:color w:val="auto"/>
        </w:rPr>
        <w:t>E-mail: legalnotices@centerbridge.com</w:t>
      </w:r>
    </w:p>
    <w:p>
      <w:pPr>
        <w:spacing w:after="0" w:line="237" w:lineRule="exact"/>
        <w:rPr>
          <w:rFonts w:ascii="Arial" w:cs="Arial" w:eastAsia="Arial" w:hAnsi="Arial"/>
          <w:sz w:val="18"/>
          <w:szCs w:val="18"/>
          <w:color w:val="auto"/>
        </w:rPr>
      </w:pPr>
    </w:p>
    <w:p>
      <w:pPr>
        <w:ind w:left="960" w:hanging="532"/>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to NVX Holdings,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NVX Holdings, Inc.</w:t>
      </w:r>
    </w:p>
    <w:p>
      <w:pPr>
        <w:spacing w:after="0" w:line="23" w:lineRule="exact"/>
        <w:rPr>
          <w:rFonts w:ascii="Arial" w:cs="Arial" w:eastAsia="Arial" w:hAnsi="Arial"/>
          <w:sz w:val="18"/>
          <w:szCs w:val="18"/>
          <w:color w:val="auto"/>
        </w:rPr>
      </w:pPr>
    </w:p>
    <w:p>
      <w:pPr>
        <w:ind w:left="980" w:right="7760"/>
        <w:spacing w:after="0" w:line="253" w:lineRule="auto"/>
        <w:rPr>
          <w:rFonts w:ascii="Arial" w:cs="Arial" w:eastAsia="Arial" w:hAnsi="Arial"/>
          <w:sz w:val="18"/>
          <w:szCs w:val="18"/>
          <w:color w:val="auto"/>
        </w:rPr>
      </w:pPr>
      <w:r>
        <w:rPr>
          <w:rFonts w:ascii="Arial" w:cs="Arial" w:eastAsia="Arial" w:hAnsi="Arial"/>
          <w:sz w:val="18"/>
          <w:szCs w:val="18"/>
          <w:color w:val="auto"/>
        </w:rPr>
        <w:t>214 West Huron St. Chicago, Illinois 60654 Attn: General Counsel E-mail: ####@gohealth.com</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440" w:top="274" w:right="619" w:bottom="1440" w:gutter="0" w:footer="0" w:header="0"/>
        </w:sectPr>
      </w:pPr>
    </w:p>
    <w:bookmarkStart w:id="147" w:name="page148"/>
    <w:bookmarkEnd w:id="14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Winston &amp; Strawn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35 W. Wacker Drive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Chicago, IL 60601</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Gregory J. Bynan and Courtney Tygesson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312-558-5700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####@winston.com and ####@winston.com</w:t>
      </w:r>
    </w:p>
    <w:p>
      <w:pPr>
        <w:spacing w:after="0" w:line="238" w:lineRule="exact"/>
        <w:rPr>
          <w:sz w:val="20"/>
          <w:szCs w:val="20"/>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to the Corporation, addressed as follows: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GoHealth, Inc.</w:t>
      </w:r>
    </w:p>
    <w:p>
      <w:pPr>
        <w:spacing w:after="0" w:line="23" w:lineRule="exact"/>
        <w:rPr>
          <w:rFonts w:ascii="Arial" w:cs="Arial" w:eastAsia="Arial" w:hAnsi="Arial"/>
          <w:sz w:val="18"/>
          <w:szCs w:val="18"/>
          <w:color w:val="auto"/>
        </w:rPr>
      </w:pPr>
    </w:p>
    <w:p>
      <w:pPr>
        <w:ind w:left="980" w:right="7920"/>
        <w:spacing w:after="0" w:line="273" w:lineRule="auto"/>
        <w:rPr>
          <w:rFonts w:ascii="Arial" w:cs="Arial" w:eastAsia="Arial" w:hAnsi="Arial"/>
          <w:sz w:val="18"/>
          <w:szCs w:val="18"/>
          <w:color w:val="auto"/>
        </w:rPr>
      </w:pPr>
      <w:r>
        <w:rPr>
          <w:rFonts w:ascii="Arial" w:cs="Arial" w:eastAsia="Arial" w:hAnsi="Arial"/>
          <w:sz w:val="17"/>
          <w:szCs w:val="17"/>
          <w:color w:val="auto"/>
        </w:rPr>
        <w:t>214 West Huron St. Chicago, Illinois 60654 Attn: Chief Legal Officer E-mail: ####@gohealth.com</w:t>
      </w:r>
    </w:p>
    <w:p>
      <w:pPr>
        <w:spacing w:after="0" w:line="176"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with a copy (which copy shall not constitute notice) to:</w:t>
      </w:r>
    </w:p>
    <w:p>
      <w:pPr>
        <w:spacing w:after="0" w:line="117" w:lineRule="exact"/>
        <w:rPr>
          <w:rFonts w:ascii="Arial" w:cs="Arial" w:eastAsia="Arial" w:hAnsi="Arial"/>
          <w:sz w:val="18"/>
          <w:szCs w:val="18"/>
          <w:color w:val="auto"/>
        </w:rPr>
      </w:pPr>
    </w:p>
    <w:p>
      <w:pPr>
        <w:ind w:left="980" w:right="8280"/>
        <w:spacing w:after="0" w:line="274" w:lineRule="auto"/>
        <w:rPr>
          <w:rFonts w:ascii="Arial" w:cs="Arial" w:eastAsia="Arial" w:hAnsi="Arial"/>
          <w:sz w:val="18"/>
          <w:szCs w:val="18"/>
          <w:color w:val="auto"/>
        </w:rPr>
      </w:pPr>
      <w:r>
        <w:rPr>
          <w:rFonts w:ascii="Arial" w:cs="Arial" w:eastAsia="Arial" w:hAnsi="Arial"/>
          <w:sz w:val="17"/>
          <w:szCs w:val="17"/>
          <w:color w:val="auto"/>
        </w:rPr>
        <w:t>Latham &amp; Watkins LLP 885 Third Avenue</w:t>
      </w:r>
    </w:p>
    <w:p>
      <w:pPr>
        <w:ind w:left="980"/>
        <w:spacing w:after="0"/>
        <w:rPr>
          <w:rFonts w:ascii="Arial" w:cs="Arial" w:eastAsia="Arial" w:hAnsi="Arial"/>
          <w:sz w:val="18"/>
          <w:szCs w:val="18"/>
          <w:color w:val="auto"/>
        </w:rPr>
      </w:pPr>
      <w:r>
        <w:rPr>
          <w:rFonts w:ascii="Arial" w:cs="Arial" w:eastAsia="Arial" w:hAnsi="Arial"/>
          <w:sz w:val="18"/>
          <w:szCs w:val="18"/>
          <w:color w:val="auto"/>
        </w:rPr>
        <w:t>New York, New York 10022</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Attn: Ian Schuman, Stelios Saffos, Jonathan Solomon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Facsimile: +1 (212) 751-4864</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E-mail: ####@lw.com, ####@lw.com, ####@lw.com</w:t>
      </w:r>
    </w:p>
    <w:p>
      <w:pPr>
        <w:spacing w:after="0" w:line="21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or, in each case, to such other address or email address as such party may designate in writing to each party by written notice given in the manner specified herein. All such communications shall be deemed to have been given, delivered or made when so delivered by hand or sent by facsimile (with confirmed transmission), on the next business day if sent by overnight courier service (with confirmed delivery) or when received if sent by first class mail, or in the case of notice by electronic mail, when the relevant email enters the recipient’s server.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Assignment; Aggregation of Shares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Except as otherwise provided herein, all of the terms and provisions of this Agreement shall be binding upon, shall inure to the benefit of and shall be enforceable by the respective successors and permitted assigns of the parties hereto. This Agreement may not be assigned (by operation of law or otherwise) without the express prior written consent of the other parties hereto, and any attempted assignment, without such consents, will be null and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of the Original Members (and any subsequent Permitted Transferees thereof) is permitted to assign this Agreement to their respective Permitted Transferees of the Class B Common Stock or Common Units and each Original Member (and any such Permitted Transferee) is permitted to assign this Agreement to its respective affiliates in connection with a transfer of the Class A Common Stock to such affiliate (or receipt by any such affiliate of Class A Common Stock pursuant to the exchange and redemption provisions of the LLC Agreement) (it being understood that no such assignment shall relieve any such Original Member or Permitted Transferee of its obligations hereunder so long as it continues to hold Class A Common Stock, Class B Common Stock or Common Units). Notwithstanding anything herein to the contrary, each of the Original Members (and any subsequent Permitted Transferee thereof) shall cause any of their respective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48" w:name="page149"/>
    <w:bookmarkEnd w:id="14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Permitted Transferees of the Class B Common Stock or Common Units, or, any of their affiliates that receives shares of Class A Common Stock (whether through a transfer, or via the exchange and redemption provisions of the LLC Agreement), to become a party to this Agreement by executing a joinder hereto reasonably satisfactory to the Corporation, as a pre-condition to the effectiveness of such transaction. For the avoidance of doubt, for purposes of (a) determining whether any party meets any threshold contained herein which is based on ownership of shares of Class A Common Stock (including any Underlying Class A Shares) and/or Class B Common Stock, (b) any provisions that require the parties hereto to vote or take any other actions with respect to any shares of Class A Common Stock (including any Underlying Class A Shares) and/or Class B Common Stock, such determinations or provisions shall be deemed to include all shares of Class A Common Stock (including any Underlying Class A Shares) and/or Class B Common Stock held by any Permitted Transferee or affiliate of any Original Member (or subsequent Permitted Transferee thereof) that becomes party to this Agreement pursuant to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purposes hereof, in no event shall (x) beneficial ownership of shares of Class A Common Stock (including any underlying Class A Shares) by one party hereto be counted towards the beneficial ownership of shares of Class A Common Stock of any other party hereto solely as a result of such parties being in the same “group” (as defined in the Exchange Act) or party to this Agreement and (y) any party hereto by considered an affiliate of any other party hereto solely by virtue of being in the same “group” (as defined in the Exchange Act) party to this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Amendment and Modification; Waiver of Compliance</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This Agreement may not be amended, modified, altered or supplemented except by means of a written instrument executed on behalf of each of the Corporation, Centerbridge and NVX Holdings. Except as otherwise provided in this Agreement, any failure of any of the parties to comply with any obligation, covenant, agreement or condition herein may be waived by the party or parties entitled to the benefits thereof only by a written instrument signed by the party or parties granting such waiver, but such waiver or failure to insist upon strict compliance with such obligation, covenant, agreement or condition shall not operate as a waiver of, or estoppel with respect to, any subsequent or other failure.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Waiver</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No failure on the part of either party hereto to exercise any power, right, privilege or remedy under this Agreement, and no delay on the part of either party hereto in exercising any power, right, privilege or remedy under this Agreement, shall operate as a waiver thereof; and no single or partial exercise of any such power, right, privilege or remedy shall preclude any other or further exercise thereof or of any other power, right, privilege or remedy.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40"/>
        <w:spacing w:after="0" w:line="257" w:lineRule="auto"/>
        <w:rPr>
          <w:sz w:val="20"/>
          <w:szCs w:val="20"/>
          <w:color w:val="auto"/>
        </w:rPr>
      </w:pPr>
      <w:r>
        <w:rPr>
          <w:rFonts w:ascii="Arial" w:cs="Arial" w:eastAsia="Arial" w:hAnsi="Arial"/>
          <w:sz w:val="18"/>
          <w:szCs w:val="18"/>
          <w:color w:val="auto"/>
        </w:rPr>
        <w:t>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law, (ii) as to such Person or circumstance or in such jurisdiction such provision shall be reformed to be valid and enforceable to the fullest extent permitted by law and (iii) the application of such provision to other Persons or circumstances or in other jurisdictions shall not be affected thereby.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This Agreement may be executed in any number of counterparts and signatures may be delivered by facsimile, each of which may be executed by less than all parties, each of which shall be enforceable against the parties actually executing such counterparts, and all of which together shall constitute one instrument.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17. </w:t>
      </w:r>
      <w:r>
        <w:rPr>
          <w:rFonts w:ascii="Arial" w:cs="Arial" w:eastAsia="Arial" w:hAnsi="Arial"/>
          <w:sz w:val="18"/>
          <w:szCs w:val="18"/>
          <w:u w:val="single" w:color="auto"/>
          <w:color w:val="auto"/>
        </w:rPr>
        <w:t>Further Assurances</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At any time or from time to time after the date hereof, the parties hereto agree to cooperate with each other, and at the request of any other party, to execute and deliver any further instruments or documents and to take all such further action as any other party may reasonably request in order to evidence or effectuate the provisions of this Agreement and to otherwise carry out the intent of the parties 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descriptive headings of this Agreement are inserted for convenience only and do not constitute a part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73" w:lineRule="auto"/>
        <w:tabs>
          <w:tab w:leader="none" w:pos="68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Original Member and each Person who becomes a party to this Agreement after the date hereof, severally and not jointly and solely with respect to itself, represents and warrants to the Corporation as of the time such party becomes a party to this Agreement that (a) if applicable, it is duly authorized to execute, deliver and perform this Agreement; (b) this Agreement has been duly executed by such party and is a valid and binding agreement of such party, enforceable against such party in accordance with its terms; and (c) the execution, delivery and performance by such party of this Agreement does not violate or conflict with or result in a breach of or constitute (or with notice or lapse of time or both constitute) a default under any agreement to which such party is a party or, if applicable, the organizational documents of such party.</w:t>
      </w:r>
    </w:p>
    <w:p>
      <w:pPr>
        <w:spacing w:after="0" w:line="69" w:lineRule="exact"/>
        <w:rPr>
          <w:rFonts w:ascii="Arial" w:cs="Arial" w:eastAsia="Arial" w:hAnsi="Arial"/>
          <w:sz w:val="17"/>
          <w:szCs w:val="17"/>
          <w:color w:val="auto"/>
        </w:rPr>
      </w:pPr>
    </w:p>
    <w:p>
      <w:pPr>
        <w:ind w:right="40" w:firstLine="436"/>
        <w:spacing w:after="0" w:line="290" w:lineRule="auto"/>
        <w:tabs>
          <w:tab w:leader="none" w:pos="69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Corporation represents and warrants to each other party hereto that (a) the Corporation is duly authorized to execute, deliver and perform this Agreement; (b) this Agreement has been duly authorized, executed and delivered by the Corporation and is a valid and binding agreement of the Corporation, enforceable against the Corporation in accordance with its terms; and (c) the execution, delivery and performance by the Corporation of this Agreement does not violate or conflict with or result in a breach by the Corporation of or constitute (or with notice or lapse of time or both constitute) a default by the Corporation under the Charter or Bylaws, any existing applicable law, rule, regulation, judgment, order, or decree of any governmental authority exercising any statutory or regulatory authority of any of the foregoing, domestic or foreign, having jurisdiction over the Corporation or any of its Subsidiaries or any of their respective properties or assets, or any agreement or instrument to which the Corporation or any of its Subsidiaries is a party or by which the Corporation or any of its Subsidiaries or any of their respective properties or assets may be bound.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No Strict Construction</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This Agreement shall be deemed to be collectively prepared by the parties hereto, and no ambiguity herein shall be construed for or against any party based upon the identity of the author of this Agreement or any provision hereof.</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[REMAINDER OF PAGE INTENTIONALLY LEFT BLANK]</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440" w:top="274" w:right="539" w:bottom="1440" w:gutter="0" w:footer="0" w:header="0"/>
        </w:sectPr>
      </w:pPr>
    </w:p>
    <w:bookmarkStart w:id="150" w:name="page151"/>
    <w:bookmarkEnd w:id="15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Stockholders Agreement to be executed on the day and year first above written.</w:t>
      </w:r>
    </w:p>
    <w:p>
      <w:pPr>
        <w:spacing w:after="0" w:line="267"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GOHEALTH, INC.</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Stockholders Agreement</w:t>
      </w:r>
      <w:r>
        <w:rPr>
          <w:rFonts w:ascii="Arial" w:cs="Arial" w:eastAsia="Arial" w:hAnsi="Arial"/>
          <w:sz w:val="18"/>
          <w:szCs w:val="18"/>
          <w:color w:val="auto"/>
        </w:rPr>
        <w:t>]</w:t>
      </w:r>
    </w:p>
    <w:p>
      <w:pPr>
        <w:sectPr>
          <w:pgSz w:w="11900" w:h="16838" w:orient="portrait"/>
          <w:cols w:equalWidth="0" w:num="1">
            <w:col w:w="10240"/>
          </w:cols>
          <w:pgMar w:left="880" w:top="274" w:right="779" w:bottom="1440" w:gutter="0" w:footer="0" w:header="0"/>
        </w:sectPr>
      </w:pPr>
    </w:p>
    <w:bookmarkStart w:id="151" w:name="page152"/>
    <w:bookmarkEnd w:id="151"/>
    <w:p>
      <w:pPr>
        <w:ind w:left="56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[CENTERBRIDGE]</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NVX HOLDINGS, INC.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Stockholders Agreement</w:t>
      </w:r>
      <w:r>
        <w:rPr>
          <w:rFonts w:ascii="Arial" w:cs="Arial" w:eastAsia="Arial" w:hAnsi="Arial"/>
          <w:sz w:val="16"/>
          <w:szCs w:val="16"/>
          <w:color w:val="auto"/>
        </w:rPr>
        <w:t>]</w:t>
      </w:r>
    </w:p>
    <w:p>
      <w:pPr>
        <w:sectPr>
          <w:pgSz w:w="11900" w:h="16838" w:orient="portrait"/>
          <w:cols w:equalWidth="0" w:num="1">
            <w:col w:w="9019"/>
          </w:cols>
          <w:pgMar w:left="1440" w:top="265" w:right="1440" w:bottom="1440" w:gutter="0" w:footer="0" w:header="0"/>
        </w:sectPr>
      </w:pPr>
    </w:p>
    <w:bookmarkStart w:id="152" w:name="page153"/>
    <w:bookmarkEnd w:id="152"/>
    <w:p>
      <w:pPr>
        <w:jc w:val="center"/>
        <w:ind w:right="-5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25"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Centerbridge Parties</w:t>
      </w:r>
    </w:p>
    <w:p>
      <w:pPr>
        <w:spacing w:after="0" w:line="229" w:lineRule="exact"/>
        <w:rPr>
          <w:sz w:val="20"/>
          <w:szCs w:val="20"/>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CB Blizzard Co-Invest Holdings, L.P., a Delaware limited partnership</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CCP III AIV VII Holdings, L.P., a Delaware limited partnership</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Blizzard Aggregator, LLC, a Delaware limited liability company</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CB Blizzard Co-Invest, L.P., a Delaware limited partnership</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CCP III AIV VII L.P., a Delaware limited partnership</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146"/>
        </w:numPr>
        <w:rPr>
          <w:rFonts w:ascii="Arial" w:cs="Arial" w:eastAsia="Arial" w:hAnsi="Arial"/>
          <w:sz w:val="17"/>
          <w:szCs w:val="17"/>
          <w:color w:val="auto"/>
        </w:rPr>
      </w:pPr>
      <w:r>
        <w:rPr>
          <w:rFonts w:ascii="Arial" w:cs="Arial" w:eastAsia="Arial" w:hAnsi="Arial"/>
          <w:sz w:val="17"/>
          <w:szCs w:val="17"/>
          <w:color w:val="auto"/>
        </w:rPr>
        <w:t>Centerbridge Capital Partners, SBS III, L.P., a Delaware limited partnership</w:t>
      </w:r>
    </w:p>
    <w:p>
      <w:pPr>
        <w:sectPr>
          <w:pgSz w:w="11900" w:h="16838" w:orient="portrait"/>
          <w:cols w:equalWidth="0" w:num="1">
            <w:col w:w="9583"/>
          </w:cols>
          <w:pgMar w:left="876" w:top="270"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Affiliate Transactions</w:t>
      </w:r>
    </w:p>
    <w:p>
      <w:pPr>
        <w:sectPr>
          <w:pgSz w:w="11900" w:h="16838" w:orient="portrait"/>
          <w:cols w:equalWidth="0" w:num="1">
            <w:col w:w="9019"/>
          </w:cols>
          <w:pgMar w:left="1440" w:top="270" w:right="1440"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4" w:right="60" w:firstLine="440"/>
        <w:spacing w:after="0" w:line="263"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 ], 2020 by and among GoHealth,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and each Person identified on the Schedule of Holders attached hereto as of the date hereof (such Persons, collectively, the “</w:t>
      </w:r>
      <w:r>
        <w:rPr>
          <w:rFonts w:ascii="Arial" w:cs="Arial" w:eastAsia="Arial" w:hAnsi="Arial"/>
          <w:sz w:val="18"/>
          <w:szCs w:val="18"/>
          <w:b w:val="1"/>
          <w:bCs w:val="1"/>
          <w:i w:val="1"/>
          <w:iCs w:val="1"/>
          <w:color w:val="auto"/>
        </w:rPr>
        <w:t>Original Equity Owner Parties</w:t>
      </w:r>
      <w:r>
        <w:rPr>
          <w:rFonts w:ascii="Arial" w:cs="Arial" w:eastAsia="Arial" w:hAnsi="Arial"/>
          <w:sz w:val="18"/>
          <w:szCs w:val="18"/>
          <w:color w:val="auto"/>
        </w:rPr>
        <w:t>”).</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WHEREAS, the Corporation is contemplating an offer and sale of its shares of Class A common stock, par value $0.0001 per share (the “</w:t>
      </w:r>
      <w:r>
        <w:rPr>
          <w:rFonts w:ascii="Arial" w:cs="Arial" w:eastAsia="Arial" w:hAnsi="Arial"/>
          <w:sz w:val="18"/>
          <w:szCs w:val="18"/>
          <w:b w:val="1"/>
          <w:bCs w:val="1"/>
          <w:i w:val="1"/>
          <w:iCs w:val="1"/>
          <w:color w:val="auto"/>
        </w:rPr>
        <w:t>Class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such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to the public in an underwritten initial public offering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w:t>
      </w:r>
    </w:p>
    <w:p>
      <w:pPr>
        <w:spacing w:after="0" w:line="170"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WHEREAS, the Corporation desires to use a portion of the net proceeds from the IPO to purchase Common Units (as defined below) of GoHealth Holdings, LLC, a Delaware limited liability company (the “</w:t>
      </w:r>
      <w:r>
        <w:rPr>
          <w:rFonts w:ascii="Arial" w:cs="Arial" w:eastAsia="Arial" w:hAnsi="Arial"/>
          <w:sz w:val="18"/>
          <w:szCs w:val="18"/>
          <w:b w:val="1"/>
          <w:bCs w:val="1"/>
          <w:i w:val="1"/>
          <w:iCs w:val="1"/>
          <w:color w:val="auto"/>
        </w:rPr>
        <w:t>LLC Company</w:t>
      </w:r>
      <w:r>
        <w:rPr>
          <w:rFonts w:ascii="Arial" w:cs="Arial" w:eastAsia="Arial" w:hAnsi="Arial"/>
          <w:sz w:val="18"/>
          <w:szCs w:val="18"/>
          <w:color w:val="auto"/>
        </w:rPr>
        <w:t>”), and the LLC Company desires to issue its Common Units to the Corporation in exchange for such portion of the net proceeds from the IPO;</w:t>
      </w:r>
    </w:p>
    <w:p>
      <w:pPr>
        <w:spacing w:after="0" w:line="184" w:lineRule="exact"/>
        <w:rPr>
          <w:sz w:val="20"/>
          <w:szCs w:val="20"/>
          <w:color w:val="auto"/>
        </w:rPr>
      </w:pPr>
    </w:p>
    <w:p>
      <w:pPr>
        <w:ind w:left="4" w:right="260" w:firstLine="440"/>
        <w:spacing w:after="0" w:line="259" w:lineRule="auto"/>
        <w:rPr>
          <w:sz w:val="20"/>
          <w:szCs w:val="20"/>
          <w:color w:val="auto"/>
        </w:rPr>
      </w:pPr>
      <w:r>
        <w:rPr>
          <w:rFonts w:ascii="Arial" w:cs="Arial" w:eastAsia="Arial" w:hAnsi="Arial"/>
          <w:sz w:val="18"/>
          <w:szCs w:val="18"/>
          <w:color w:val="auto"/>
        </w:rPr>
        <w:t>WHEREAS, immediately prior to or simultaneously with the purchase by the Corporation of the Common Units, the Corporation, the LLC Company and the Original Equity Owner Parties and certain other parties will enter into that certain Second Amended and Restated Limited Liability Company Agreement of the LLC Company (such agreement, as it may be amended, restated, amended and restated, supplemented or otherwise modified form time to time, the “</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WHEREAS, in connection with the closing of the IPO, (i) the Corporation will become the sole managing member of the LLC Company,</w:t>
      </w:r>
    </w:p>
    <w:p>
      <w:pPr>
        <w:spacing w:after="0" w:line="35" w:lineRule="exact"/>
        <w:rPr>
          <w:sz w:val="20"/>
          <w:szCs w:val="20"/>
          <w:color w:val="auto"/>
        </w:rPr>
      </w:pPr>
    </w:p>
    <w:p>
      <w:pPr>
        <w:ind w:left="4" w:right="120" w:hanging="4"/>
        <w:spacing w:after="0" w:line="281" w:lineRule="auto"/>
        <w:tabs>
          <w:tab w:leader="none" w:pos="26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under the LLC Agreement, the equity interests held by the Original Equity Owner Parties and the other equity owners in the LLC Company prior to such time will be cancelled and new Common Units (as defined in the LLC Agreement, the “</w:t>
      </w:r>
      <w:r>
        <w:rPr>
          <w:rFonts w:ascii="Arial" w:cs="Arial" w:eastAsia="Arial" w:hAnsi="Arial"/>
          <w:sz w:val="16"/>
          <w:szCs w:val="16"/>
          <w:b w:val="1"/>
          <w:bCs w:val="1"/>
          <w:i w:val="1"/>
          <w:iCs w:val="1"/>
          <w:color w:val="auto"/>
        </w:rPr>
        <w:t>Common Units</w:t>
      </w:r>
      <w:r>
        <w:rPr>
          <w:rFonts w:ascii="Arial" w:cs="Arial" w:eastAsia="Arial" w:hAnsi="Arial"/>
          <w:sz w:val="16"/>
          <w:szCs w:val="16"/>
          <w:color w:val="auto"/>
        </w:rPr>
        <w:t>”) of the LLC Company will be issued,</w:t>
      </w:r>
    </w:p>
    <w:p>
      <w:pPr>
        <w:spacing w:after="0" w:line="1" w:lineRule="exact"/>
        <w:rPr>
          <w:rFonts w:ascii="Arial" w:cs="Arial" w:eastAsia="Arial" w:hAnsi="Arial"/>
          <w:sz w:val="16"/>
          <w:szCs w:val="16"/>
          <w:color w:val="auto"/>
        </w:rPr>
      </w:pPr>
    </w:p>
    <w:p>
      <w:pPr>
        <w:ind w:left="4" w:right="460" w:hanging="4"/>
        <w:spacing w:after="0" w:line="281" w:lineRule="auto"/>
        <w:tabs>
          <w:tab w:leader="none" w:pos="319"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each Continuing Equity Owner Party and certain other equity owners in the LLC Company will become non-managing members of the LLC Company, but otherwise continue to hold Common Units in the LLC Company (such persons, collectively, the “</w:t>
      </w:r>
      <w:r>
        <w:rPr>
          <w:rFonts w:ascii="Arial" w:cs="Arial" w:eastAsia="Arial" w:hAnsi="Arial"/>
          <w:sz w:val="16"/>
          <w:szCs w:val="16"/>
          <w:b w:val="1"/>
          <w:bCs w:val="1"/>
          <w:i w:val="1"/>
          <w:iCs w:val="1"/>
          <w:color w:val="auto"/>
        </w:rPr>
        <w:t>Continuing Equity Owners</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consideration of the Corporation acquiring the Common Units and becoming the managing member of the LLC Company and for other good</w:t>
      </w:r>
    </w:p>
    <w:p>
      <w:pPr>
        <w:spacing w:after="0" w:line="20" w:lineRule="exact"/>
        <w:rPr>
          <w:rFonts w:ascii="Arial" w:cs="Arial" w:eastAsia="Arial" w:hAnsi="Arial"/>
          <w:sz w:val="17"/>
          <w:szCs w:val="17"/>
          <w:color w:val="auto"/>
        </w:rPr>
      </w:pPr>
    </w:p>
    <w:p>
      <w:pPr>
        <w:jc w:val="both"/>
        <w:ind w:left="4" w:right="40"/>
        <w:spacing w:after="0" w:line="255" w:lineRule="auto"/>
        <w:rPr>
          <w:rFonts w:ascii="Arial" w:cs="Arial" w:eastAsia="Arial" w:hAnsi="Arial"/>
          <w:sz w:val="17"/>
          <w:szCs w:val="17"/>
          <w:color w:val="auto"/>
        </w:rPr>
      </w:pPr>
      <w:r>
        <w:rPr>
          <w:rFonts w:ascii="Arial" w:cs="Arial" w:eastAsia="Arial" w:hAnsi="Arial"/>
          <w:sz w:val="18"/>
          <w:szCs w:val="18"/>
          <w:color w:val="auto"/>
        </w:rPr>
        <w:t>consideration, the LLC Company has provided the Continuing Equity Owners with a redemption right pursuant to which the Continuing Equity Owners can redeem their Common Units for, at the Corporation’s option, shares of Class A Common Stock or cash on the terms set forth in the LLC Agreement; and</w:t>
      </w:r>
    </w:p>
    <w:p>
      <w:pPr>
        <w:spacing w:after="0" w:line="190" w:lineRule="exact"/>
        <w:rPr>
          <w:sz w:val="20"/>
          <w:szCs w:val="20"/>
          <w:color w:val="auto"/>
        </w:rPr>
      </w:pPr>
    </w:p>
    <w:p>
      <w:pPr>
        <w:ind w:left="4" w:right="460" w:firstLine="440"/>
        <w:spacing w:after="0" w:line="342" w:lineRule="auto"/>
        <w:rPr>
          <w:sz w:val="20"/>
          <w:szCs w:val="20"/>
          <w:color w:val="auto"/>
        </w:rPr>
      </w:pPr>
      <w:r>
        <w:rPr>
          <w:rFonts w:ascii="Arial" w:cs="Arial" w:eastAsia="Arial" w:hAnsi="Arial"/>
          <w:sz w:val="16"/>
          <w:szCs w:val="16"/>
          <w:color w:val="auto"/>
        </w:rPr>
        <w:t>WHEREAS, in connection with the IPO and the transactions described above, the Corporation has agreed to grant to the Holders (as defined below) certain rights with respect to the registration of the Registrable Securities (as defined below) on the terms and conditions set forth herein.</w:t>
      </w:r>
    </w:p>
    <w:p>
      <w:pPr>
        <w:sectPr>
          <w:pgSz w:w="11900" w:h="16838" w:orient="portrait"/>
          <w:cols w:equalWidth="0" w:num="1">
            <w:col w:w="11024"/>
          </w:cols>
          <w:pgMar w:left="436" w:top="121" w:right="439" w:bottom="1440" w:gutter="0" w:footer="0" w:header="0"/>
        </w:sectPr>
      </w:pPr>
    </w:p>
    <w:bookmarkStart w:id="155" w:name="page156"/>
    <w:bookmarkEnd w:id="155"/>
    <w:p>
      <w:pPr>
        <w:ind w:right="5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 THEREFORE, in consideration of the mutual covenants contained herein and other good and valuable consideration, the receipt and sufficiency of which are hereby acknowledged, the parties to this Agreement hereby agree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Agreement, the following terms shall have the meanings specified in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Acquired Common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Holder</w:t>
      </w:r>
      <w:r>
        <w:rPr>
          <w:rFonts w:ascii="Arial" w:cs="Arial" w:eastAsia="Arial" w:hAnsi="Arial"/>
          <w:sz w:val="18"/>
          <w:szCs w:val="18"/>
          <w:color w:val="auto"/>
        </w:rPr>
        <w:t>” has the meaning set forth in Section 15, and shall be deemed to include each such Person’s Affiliates, immediate family members, heirs, successors and assigns who may succeed to such Person as a Holder hereunder.</w:t>
      </w:r>
    </w:p>
    <w:p>
      <w:pPr>
        <w:spacing w:after="0" w:line="170"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Adverse Disclosure</w:t>
      </w:r>
      <w:r>
        <w:rPr>
          <w:rFonts w:ascii="Arial" w:cs="Arial" w:eastAsia="Arial" w:hAnsi="Arial"/>
          <w:sz w:val="18"/>
          <w:szCs w:val="18"/>
          <w:color w:val="auto"/>
        </w:rPr>
        <w:t>” means public disclosure of material non-public information which, in the Board’s judgment, after consultation with outside legal counsel to the Corporation, (i) would be required to be made in any report or Registration Statement filed with the SEC by the Corporation so that such report or Registration Statement would not be materially misleading; (ii) would not be required to be made at such time but for the filing, effectiveness or continued use of such report or Registration Statement; and (iii) the Corporation has a bona fide business purpose for not disclosing publicly at such time.</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of any Person means any other Person controlled by, controlling or under common control with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Corporation and its Subsidiaries shall not be deemed to be Affiliates of any Holder. As used in this definition, “control” (including, with its correlative meanings, “controlling,” “controlled by” and “under common control with”) shall mean possession, directly or indirectly, of power to direct or cause the direction of management or policies (whether through ownership of securities, by contract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 Transferee</w:t>
      </w:r>
      <w:r>
        <w:rPr>
          <w:rFonts w:ascii="Arial" w:cs="Arial" w:eastAsia="Arial" w:hAnsi="Arial"/>
          <w:sz w:val="18"/>
          <w:szCs w:val="18"/>
          <w:color w:val="auto"/>
        </w:rPr>
        <w:t>” means, with respect to any Person, any Transferee that is an Affiliate of such Person.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Automatic Shelf Registration Statement</w:t>
      </w:r>
      <w:r>
        <w:rPr>
          <w:rFonts w:ascii="Arial" w:cs="Arial" w:eastAsia="Arial" w:hAnsi="Arial"/>
          <w:sz w:val="18"/>
          <w:szCs w:val="18"/>
          <w:color w:val="auto"/>
        </w:rPr>
        <w:t>” shall have the meaning set forth in Rule 405.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Corporation.</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of the year on which national banking institutions in New York are open to the public for conducting business and are not required or authorized to close.</w:t>
      </w:r>
    </w:p>
    <w:p>
      <w:pPr>
        <w:spacing w:after="0" w:line="170" w:lineRule="exact"/>
        <w:rPr>
          <w:sz w:val="20"/>
          <w:szCs w:val="20"/>
          <w:color w:val="auto"/>
        </w:rPr>
      </w:pPr>
    </w:p>
    <w:p>
      <w:pPr>
        <w:ind w:right="2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Stock</w:t>
      </w:r>
      <w:r>
        <w:rPr>
          <w:rFonts w:ascii="Arial" w:cs="Arial" w:eastAsia="Arial" w:hAnsi="Arial"/>
          <w:sz w:val="16"/>
          <w:szCs w:val="16"/>
          <w:color w:val="auto"/>
        </w:rPr>
        <w:t xml:space="preserve">” means (i) with respect to any Person that is a corporation, any and all shares, interests or equivalents in capital stock of such corporation (whether voting or nonvoting and whether common or preferred), (ii) with respect to any Person that is not a corporation, individual or governmental entity, any and all partnership, membership, limited liability company or other equity interests of such Person that confer on the holder thereof the right to receive a share of the profits and losses of, or the distribution of assets of the issuing Person, and (iii) any and all warrants, rights (including conversion and exchange rights) and options to purchase any security described in the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CBP</w:t>
      </w:r>
      <w:r>
        <w:rPr>
          <w:rFonts w:ascii="Arial" w:cs="Arial" w:eastAsia="Arial" w:hAnsi="Arial"/>
          <w:sz w:val="17"/>
          <w:szCs w:val="17"/>
          <w:color w:val="auto"/>
        </w:rPr>
        <w:t>” means Centerbridge Partners, L.P., a Delaware limited partnership, or any successor to its investment management business.</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56" w:name="page157"/>
    <w:bookmarkEnd w:id="156"/>
    <w:p>
      <w:pPr>
        <w:ind w:right="3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CBP Holders</w:t>
      </w:r>
      <w:r>
        <w:rPr>
          <w:rFonts w:ascii="Arial" w:cs="Arial" w:eastAsia="Arial" w:hAnsi="Arial"/>
          <w:sz w:val="18"/>
          <w:szCs w:val="18"/>
          <w:color w:val="auto"/>
        </w:rPr>
        <w:t>” means the entities designated as Centerbridge Holders on the Schedule of Holders (the “</w:t>
      </w:r>
      <w:r>
        <w:rPr>
          <w:rFonts w:ascii="Arial" w:cs="Arial" w:eastAsia="Arial" w:hAnsi="Arial"/>
          <w:sz w:val="18"/>
          <w:szCs w:val="18"/>
          <w:b w:val="1"/>
          <w:bCs w:val="1"/>
          <w:i w:val="1"/>
          <w:iCs w:val="1"/>
          <w:color w:val="auto"/>
        </w:rPr>
        <w:t>CBP Members</w:t>
      </w:r>
      <w:r>
        <w:rPr>
          <w:rFonts w:ascii="Arial" w:cs="Arial" w:eastAsia="Arial" w:hAnsi="Arial"/>
          <w:sz w:val="18"/>
          <w:szCs w:val="18"/>
          <w:color w:val="auto"/>
        </w:rPr>
        <w:t>”), any Affiliate of the CBP Members, any of its Affiliate Transferees and any Affiliate Transferee of any of the foregoing.</w:t>
      </w:r>
    </w:p>
    <w:p>
      <w:pPr>
        <w:spacing w:after="0" w:line="170"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CBP Initiating Holders</w:t>
      </w:r>
      <w:r>
        <w:rPr>
          <w:rFonts w:ascii="Arial" w:cs="Arial" w:eastAsia="Arial" w:hAnsi="Arial"/>
          <w:sz w:val="18"/>
          <w:szCs w:val="18"/>
          <w:color w:val="auto"/>
        </w:rPr>
        <w:t>” means one or more CBP Holders or any CBP Affiliate Transferee to whom a CBP Holder has transferred rights pursuant to Section 9 below acting pursuant to Sections 2(d) and 3(a)(x).</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Corporation’s Class B common stock, par value $0.0001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Equity Owner Parties</w:t>
      </w:r>
      <w:r>
        <w:rPr>
          <w:rFonts w:ascii="Arial" w:cs="Arial" w:eastAsia="Arial" w:hAnsi="Arial"/>
          <w:sz w:val="18"/>
          <w:szCs w:val="18"/>
          <w:color w:val="auto"/>
        </w:rPr>
        <w:t>” has the meaning set forth in the recitals, and shall be deemed to include their respective Affiliates, immediate family members, heirs, successors and assigns who may succeed to such Person as a Holder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Continuing Equity Owners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Demand Registrations</w:t>
      </w:r>
      <w:r>
        <w:rPr>
          <w:rFonts w:ascii="Arial" w:cs="Arial" w:eastAsia="Arial" w:hAnsi="Arial"/>
          <w:sz w:val="18"/>
          <w:szCs w:val="18"/>
          <w:color w:val="auto"/>
        </w:rPr>
        <w:t>” has the meaning set forth in Section 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3094990</wp:posOffset>
            </wp:positionH>
            <wp:positionV relativeFrom="paragraph">
              <wp:posOffset>-10160</wp:posOffset>
            </wp:positionV>
            <wp:extent cx="2120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212090" cy="8890"/>
                    </a:xfrm>
                    <a:prstGeom prst="rect">
                      <a:avLst/>
                    </a:prstGeom>
                    <a:noFill/>
                  </pic:spPr>
                </pic:pic>
              </a:graphicData>
            </a:graphic>
          </wp:anchor>
        </w:drawing>
      </w:r>
    </w:p>
    <w:p>
      <w:pPr>
        <w:spacing w:after="0" w:line="20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Demand Participation Holders</w:t>
      </w:r>
      <w:r>
        <w:rPr>
          <w:rFonts w:ascii="Arial" w:cs="Arial" w:eastAsia="Arial" w:hAnsi="Arial"/>
          <w:sz w:val="18"/>
          <w:szCs w:val="18"/>
          <w:color w:val="auto"/>
        </w:rPr>
        <w:t>” mean each of the CBP Holders, the NVX Holders, the NEP Holders and any other Holders that the CBP Holders have designated as Eligible Demand Participation Holders.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Take-Down Holders</w:t>
      </w:r>
      <w:r>
        <w:rPr>
          <w:rFonts w:ascii="Arial" w:cs="Arial" w:eastAsia="Arial" w:hAnsi="Arial"/>
          <w:sz w:val="18"/>
          <w:szCs w:val="18"/>
          <w:color w:val="auto"/>
        </w:rPr>
        <w:t>” means each of the CBP Holders, the NVX Holders, the NEP Holders and any other Holders that the CBP Holders have designated as Eligible Take-Down Holders, in each case, to the extent it is a Shelf Holder.</w:t>
      </w:r>
    </w:p>
    <w:p>
      <w:pPr>
        <w:spacing w:after="0" w:line="170"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from time to time, or any successor federal law then in force, together with all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Free Writing Prospectus</w:t>
      </w:r>
      <w:r>
        <w:rPr>
          <w:rFonts w:ascii="Arial" w:cs="Arial" w:eastAsia="Arial" w:hAnsi="Arial"/>
          <w:sz w:val="18"/>
          <w:szCs w:val="18"/>
          <w:color w:val="auto"/>
        </w:rPr>
        <w:t>” means a free-writing prospectus, as defined in Rule 405.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that is a party to this Agreement from time to time, as set forth on the signature pages hereto.</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w:t>
      </w:r>
      <w:r>
        <w:rPr>
          <w:rFonts w:ascii="Arial" w:cs="Arial" w:eastAsia="Arial" w:hAnsi="Arial"/>
          <w:sz w:val="18"/>
          <w:szCs w:val="18"/>
          <w:color w:val="auto"/>
        </w:rPr>
        <w:t>” means the CBP Initiating Holders, the NVX Initiating Holders (subject to Section 3(a)(y)) or the NEP Initiating Holders (subject to Section 3(a)(z)),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157" w:name="page158"/>
    <w:bookmarkEnd w:id="15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has the meaning set forth in Section 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LLC 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Marketed</w:t>
      </w:r>
      <w:r>
        <w:rPr>
          <w:rFonts w:ascii="Arial" w:cs="Arial" w:eastAsia="Arial" w:hAnsi="Arial"/>
          <w:sz w:val="18"/>
          <w:szCs w:val="18"/>
          <w:color w:val="auto"/>
        </w:rPr>
        <w:t>” means an Underwritten Shelf Take-Down that involves the use or involvement of a customary “road show” (including an “electronic road show”) or other substantial marketing effort by underwriters over a period of at least 48 hours.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MNPI</w:t>
      </w:r>
      <w:r>
        <w:rPr>
          <w:rFonts w:ascii="Arial" w:cs="Arial" w:eastAsia="Arial" w:hAnsi="Arial"/>
          <w:sz w:val="18"/>
          <w:szCs w:val="18"/>
          <w:color w:val="auto"/>
        </w:rPr>
        <w:t>” means material non-public information within the meaning of Regulation FD promulgated under the Exchange Act.</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NEP Holders</w:t>
      </w:r>
      <w:r>
        <w:rPr>
          <w:rFonts w:ascii="Arial" w:cs="Arial" w:eastAsia="Arial" w:hAnsi="Arial"/>
          <w:sz w:val="18"/>
          <w:szCs w:val="18"/>
          <w:color w:val="auto"/>
        </w:rPr>
        <w:t>” means Norwest Equity Partners IX, LP, a Delaware limited partnership (the “</w:t>
      </w:r>
      <w:r>
        <w:rPr>
          <w:rFonts w:ascii="Arial" w:cs="Arial" w:eastAsia="Arial" w:hAnsi="Arial"/>
          <w:sz w:val="18"/>
          <w:szCs w:val="18"/>
          <w:b w:val="1"/>
          <w:bCs w:val="1"/>
          <w:i w:val="1"/>
          <w:iCs w:val="1"/>
          <w:color w:val="auto"/>
        </w:rPr>
        <w:t>NEP Member</w:t>
      </w:r>
      <w:r>
        <w:rPr>
          <w:rFonts w:ascii="Arial" w:cs="Arial" w:eastAsia="Arial" w:hAnsi="Arial"/>
          <w:sz w:val="18"/>
          <w:szCs w:val="18"/>
          <w:color w:val="auto"/>
        </w:rPr>
        <w:t>”), any Affiliate of the NEP Member, any of its Affiliate Transferees and any Affiliate Transferee of any of the foregoing.</w:t>
      </w:r>
    </w:p>
    <w:p>
      <w:pPr>
        <w:spacing w:after="0" w:line="170"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NEP Initiating Holders</w:t>
      </w:r>
      <w:r>
        <w:rPr>
          <w:rFonts w:ascii="Arial" w:cs="Arial" w:eastAsia="Arial" w:hAnsi="Arial"/>
          <w:sz w:val="18"/>
          <w:szCs w:val="18"/>
          <w:color w:val="auto"/>
        </w:rPr>
        <w:t>” means the NEP Holders acting pursuant to Sections 2(d) and 3(a)(z). Any election or exercise of rights by the NEP Holders must be coordinated by Norwest Equity Partners IX, LP.</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Non-Marketed</w:t>
      </w:r>
      <w:r>
        <w:rPr>
          <w:rFonts w:ascii="Arial" w:cs="Arial" w:eastAsia="Arial" w:hAnsi="Arial"/>
          <w:sz w:val="18"/>
          <w:szCs w:val="18"/>
          <w:color w:val="auto"/>
        </w:rPr>
        <w:t>” means an Underwritten Shelf Take-Down that is not a Marketed Underwritten Shelf Take-Down.</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Holders</w:t>
      </w:r>
      <w:r>
        <w:rPr>
          <w:rFonts w:ascii="Arial" w:cs="Arial" w:eastAsia="Arial" w:hAnsi="Arial"/>
          <w:sz w:val="18"/>
          <w:szCs w:val="18"/>
          <w:color w:val="auto"/>
        </w:rPr>
        <w:t>” means NVX Holdings, Inc., a Delaware corporation (the “</w:t>
      </w:r>
      <w:r>
        <w:rPr>
          <w:rFonts w:ascii="Arial" w:cs="Arial" w:eastAsia="Arial" w:hAnsi="Arial"/>
          <w:sz w:val="18"/>
          <w:szCs w:val="18"/>
          <w:b w:val="1"/>
          <w:bCs w:val="1"/>
          <w:i w:val="1"/>
          <w:iCs w:val="1"/>
          <w:color w:val="auto"/>
        </w:rPr>
        <w:t>NVX Member</w:t>
      </w:r>
      <w:r>
        <w:rPr>
          <w:rFonts w:ascii="Arial" w:cs="Arial" w:eastAsia="Arial" w:hAnsi="Arial"/>
          <w:sz w:val="18"/>
          <w:szCs w:val="18"/>
          <w:color w:val="auto"/>
        </w:rPr>
        <w:t>”), any Affiliate of the NVX Member, any of its Affiliate Transferees and any Affiliate Transferee of any of the foregoing.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Initiating Holders</w:t>
      </w:r>
      <w:r>
        <w:rPr>
          <w:rFonts w:ascii="Arial" w:cs="Arial" w:eastAsia="Arial" w:hAnsi="Arial"/>
          <w:sz w:val="18"/>
          <w:szCs w:val="18"/>
          <w:color w:val="auto"/>
        </w:rPr>
        <w:t>” means the NVX Holders acting pursuant to Sections 2(d) and 3(a)(y).</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Equity Owner Parties</w:t>
      </w:r>
      <w:r>
        <w:rPr>
          <w:rFonts w:ascii="Arial" w:cs="Arial" w:eastAsia="Arial" w:hAnsi="Arial"/>
          <w:sz w:val="18"/>
          <w:szCs w:val="18"/>
          <w:color w:val="auto"/>
        </w:rPr>
        <w:t>” has the meaning set forth in the recitals, and shall be deemed to include their respective Affiliates, immediate family members, heirs, successors and assigns who may succeed to such Person as a Holder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Equity Owners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and a governmental entity or any department, agency or political subdivision thereof.</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means the prospectus included in any Registration Statement, all amendments and supplements to such prospectus, including post-effective amendments, and all other material incorporated by reference in such prospectus.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58" w:name="page159"/>
    <w:bookmarkEnd w:id="158"/>
    <w:p>
      <w:pPr>
        <w:ind w:right="3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i w:val="1"/>
          <w:iCs w:val="1"/>
          <w:color w:val="auto"/>
        </w:rPr>
        <w:t>Public Offering</w:t>
      </w:r>
      <w:r>
        <w:rPr>
          <w:rFonts w:ascii="Arial" w:cs="Arial" w:eastAsia="Arial" w:hAnsi="Arial"/>
          <w:sz w:val="17"/>
          <w:szCs w:val="17"/>
          <w:color w:val="auto"/>
        </w:rPr>
        <w:t>” means any sale or distribution to the public of Capital Stock of the Corporation pursuant to an offering registered under the Securities Act, whether by the Corporation, by Holders and/or by any other holders of the Corporation’s Capital Stock.</w:t>
      </w:r>
    </w:p>
    <w:p>
      <w:pPr>
        <w:spacing w:after="0" w:line="146"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t>
      </w:r>
      <w:r>
        <w:rPr>
          <w:rFonts w:ascii="Arial" w:cs="Arial" w:eastAsia="Arial" w:hAnsi="Arial"/>
          <w:sz w:val="16"/>
          <w:szCs w:val="16"/>
          <w:b w:val="1"/>
          <w:bCs w:val="1"/>
          <w:i w:val="1"/>
          <w:iCs w:val="1"/>
          <w:color w:val="auto"/>
        </w:rPr>
        <w:t>registered</w:t>
      </w:r>
      <w:r>
        <w:rPr>
          <w:rFonts w:ascii="Arial" w:cs="Arial" w:eastAsia="Arial" w:hAnsi="Arial"/>
          <w:sz w:val="16"/>
          <w:szCs w:val="16"/>
          <w:color w:val="auto"/>
        </w:rPr>
        <w:t>” and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means a registration effected pursuant to a registration statement filed with the SEC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 compliance with the Securities Act, and the declaration or ordering by the SEC of the effectiveness of such Registration Statement.</w:t>
      </w:r>
    </w:p>
    <w:p>
      <w:pPr>
        <w:spacing w:after="0" w:line="12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xml:space="preserve">” means (i) any Class A Common Stock issued by the Corporation in a Share Settlement in connection with (x) the redemption by the LLC Company of Common Units owned by any Continuing Equity Owner Parties or (y) at the election of the Corporation, in a direct exchange for Common Units owned by any Continuing Equity Owner Party, in each case in accordance with the terms of the LLC Agreement, (ii) any Capital Stock of the Corporation or of any Subsidiary of the Corporation issued or issuable with respect to the securities referred to in clause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above by way of dividend, distribution, split or combination of securities, or any recapitalization, merger, consolidation or other reorganization, and (iii) any other Shares owned, directly or indirectly, by Holders. As to any particular Registrable Securities owned by any Person, such securities shall cease to be Registrable Securities (a) on the date such securities have been sold or distributed pursuant to a Public Offering, (b) on the date such securities have been sold in compliance with Rule 144 following the consummation of the IPO, (c) on the date such securities have been repurchased by the Corporation or a Subsidiary of the Corporation or (d) on the date the Holder which, together with his, her or its Permitted Transferees, beneficially owns less than one percent (1%) of the Capital Stock of the Corporation that is outstanding at such time and such Holder is able to dispose of all of its Registrable Securities pursuant to Rule 144 in a single transaction without volume limitation or other restrictions on transfer thereunder (subject to the demand rights of the CBP Initiating Holder in Section 3(a) and Section 3(d)(i)) and the Corporation has delivered an opinion of counsel reasonably satisfactory to the transfer agent of the Corporation’s equity securities certifying that such Registrable Securities may be so sold. For purposes of this Agreement, a Person shall be deemed to be a Holder, and the Registrable Securities shall be deemed to be in existence,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 and such Person shall be entitled to exercise the rights of a holder of Registrable Securities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a holder of Registrable Securities may only request that Registrable Securities in the form of Capital Stock of the Corporation that is registered or to be registered as a class under Section 12 of the Exchange Act be registered pursuant to this Agreement. For the avoidance of doubt, while Common Units and shares of Class B Common Stock may constitute Registrable Securities, under no circumstances shall the Corporation be obligated to register Common Units or shares of Class B Common Stock, and only Shares issuable upon redemption or exchange of Common Units will be registered.</w:t>
      </w:r>
    </w:p>
    <w:p>
      <w:pPr>
        <w:spacing w:after="0" w:line="180"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means any and all expenses incident to the performance by the Corporation of its obligations under this Agreement, including (i) all SEC or stock exchange registration and filing fees (including, if applicable, the fees and expenses of any “qualified independent underwriter,” as such term is defined in Rule 5121 of FINRA (or any successor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59" w:name="page160"/>
    <w:bookmarkEnd w:id="159"/>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provision), and of its counsel), (ii) all fees and expenses of complying with securities or blue sky laws (including fees and disbursements of counsel for the underwriters in connection with blue sky qualifications of the Registrable Securities), (iii) all printing, messenger and delivery expenses, (iv) all fees and expenses incurred in connection with the listing of the Registrable Securities on any securities exchange and all rating agency fees, (v) the fees and disbursements of counsel for the Corporation and of its independent public accountants, including the expenses of any special audits and/or comfort letters required by or incident to such performance and compliance, (vi) any fees and disbursements of underwriters customarily paid by the issuers or sellers of securities, including liability insurance if the Corporation so desires or if the underwriters so require, and the reasonable fees and expenses of any special experts retained in connection with the requested registration, but excluding underwriting discounts and commissions and transfer taxes, if any, (vii) the reasonable fees and out-of-pocket expenses of (a) one counsel for the CBP Holders, (b) one counsel for the NVX Holders and (c) one counsel for the NEP Holders, (viii) the costs and expenses of the Corporation relating to analyst and investor presentations or any “road show” undertaken in connection with the registration and/or marketing of the Registrable Securities (including Expenses incurred by the CBP Holders, the NVX Holders and the NEP Holders in connection therewith) and (ix) any other fees and disbursements customarily paid by the issuers of securities.</w:t>
      </w:r>
    </w:p>
    <w:p>
      <w:pPr>
        <w:spacing w:after="0" w:line="172"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w:t>
      </w:r>
      <w:r>
        <w:rPr>
          <w:rFonts w:ascii="Arial" w:cs="Arial" w:eastAsia="Arial" w:hAnsi="Arial"/>
          <w:sz w:val="18"/>
          <w:szCs w:val="18"/>
          <w:b w:val="1"/>
          <w:bCs w:val="1"/>
          <w:i w:val="1"/>
          <w:iCs w:val="1"/>
          <w:color w:val="auto"/>
        </w:rPr>
        <w:t>Rule 158</w:t>
      </w:r>
      <w:r>
        <w:rPr>
          <w:rFonts w:ascii="Arial" w:cs="Arial" w:eastAsia="Arial" w:hAnsi="Arial"/>
          <w:sz w:val="18"/>
          <w:szCs w:val="18"/>
          <w:color w:val="auto"/>
        </w:rPr>
        <w:t>,” “</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Rule 415</w:t>
      </w:r>
      <w:r>
        <w:rPr>
          <w:rFonts w:ascii="Arial" w:cs="Arial" w:eastAsia="Arial" w:hAnsi="Arial"/>
          <w:sz w:val="18"/>
          <w:szCs w:val="18"/>
          <w:color w:val="auto"/>
        </w:rPr>
        <w:t>” mean, in each case, such rule promulgated under the Securities Act (or any successor provision) by the SEC, as the same shall be amended from time to time, or any successor rule then in force.</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Holders</w:t>
      </w:r>
      <w:r>
        <w:rPr>
          <w:rFonts w:ascii="Arial" w:cs="Arial" w:eastAsia="Arial" w:hAnsi="Arial"/>
          <w:sz w:val="18"/>
          <w:szCs w:val="18"/>
          <w:color w:val="auto"/>
        </w:rPr>
        <w:t>” means the schedule attached to this Agreement entitled “Schedule of Holders,” which shall reflect each Holder from time to time party to this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from time to time, or any successor federal law then in force, together with all rules and regulations promulgated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Settlement</w:t>
      </w:r>
      <w:r>
        <w:rPr>
          <w:rFonts w:ascii="Arial" w:cs="Arial" w:eastAsia="Arial" w:hAnsi="Arial"/>
          <w:sz w:val="18"/>
          <w:szCs w:val="18"/>
          <w:color w:val="auto"/>
        </w:rPr>
        <w:t>” shall have the meaning set forth in the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Holder</w:t>
      </w:r>
      <w:r>
        <w:rPr>
          <w:rFonts w:ascii="Arial" w:cs="Arial" w:eastAsia="Arial" w:hAnsi="Arial"/>
          <w:sz w:val="18"/>
          <w:szCs w:val="18"/>
          <w:color w:val="auto"/>
        </w:rPr>
        <w:t>” means any Holder that owns Registrable Securities that have been registered on a Shelf Registration Statement.</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Registration Statement</w:t>
      </w:r>
      <w:r>
        <w:rPr>
          <w:rFonts w:ascii="Arial" w:cs="Arial" w:eastAsia="Arial" w:hAnsi="Arial"/>
          <w:sz w:val="18"/>
          <w:szCs w:val="18"/>
          <w:color w:val="auto"/>
        </w:rPr>
        <w:t>” means a Registration Statement of the Corporation filed with the SEC on Form S-3 for an offering to be made on a continuous basis pursuant to Rule 415 under the Securities Act (or any similar rule that may be adopted by the SEC) covering the Registrable Securities, as applicable.</w:t>
      </w:r>
    </w:p>
    <w:p>
      <w:pPr>
        <w:spacing w:after="0" w:line="184"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Shelf Take-Down</w:t>
      </w:r>
      <w:r>
        <w:rPr>
          <w:rFonts w:ascii="Arial" w:cs="Arial" w:eastAsia="Arial" w:hAnsi="Arial"/>
          <w:sz w:val="18"/>
          <w:szCs w:val="18"/>
          <w:color w:val="auto"/>
        </w:rPr>
        <w:t>” means any offering or sale of Registrable Securities initiated by an Initiating Holder pursuant to a Shelf Registration Statement.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60" w:name="page161"/>
    <w:bookmarkEnd w:id="160"/>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Corporation, any corporation, limited liability company, partnership, association or other business entity of which (i) if a corporation, a majority of the total voting power of Capital Stock of such Person entitled (without regard to the occurrence of any contingency) to vote in the election of directors is at the time owned or controlled, directly or indirectly, by the Corporation, or (ii) if a limited liability company, partnership, association or other business entity, either (x) a majority of the Capital Stock of such Person entitled (without regard to the occurrence of any contingency) to vote in the election of managers, general partners or other oversight board vested with the authority to direct management of such Person is at the time owned or controlled, directly or indirectly, by the Corporation or (y) the Corporation or one of its Subsidiaries is the sole manager or general partner of such Person.</w:t>
      </w:r>
    </w:p>
    <w:p>
      <w:pPr>
        <w:spacing w:after="0" w:line="19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Holder</w:t>
      </w:r>
      <w:r>
        <w:rPr>
          <w:rFonts w:ascii="Arial" w:cs="Arial" w:eastAsia="Arial" w:hAnsi="Arial"/>
          <w:sz w:val="18"/>
          <w:szCs w:val="18"/>
          <w:color w:val="auto"/>
        </w:rPr>
        <w:t>” means any holder (other than a Holder) of Shares who exercises contractual rights to participate in a registered offering of Shares.</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Shelf Holder</w:t>
      </w:r>
      <w:r>
        <w:rPr>
          <w:rFonts w:ascii="Arial" w:cs="Arial" w:eastAsia="Arial" w:hAnsi="Arial"/>
          <w:sz w:val="18"/>
          <w:szCs w:val="18"/>
          <w:color w:val="auto"/>
        </w:rPr>
        <w:t>” means any Third Party Holders whose Registrable Securities are registered on a Shelf Registration Statement on which Registrable Securities of the Holders are also registered.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Transferee</w:t>
      </w:r>
      <w:r>
        <w:rPr>
          <w:rFonts w:ascii="Arial" w:cs="Arial" w:eastAsia="Arial" w:hAnsi="Arial"/>
          <w:sz w:val="16"/>
          <w:szCs w:val="16"/>
          <w:color w:val="auto"/>
        </w:rPr>
        <w:t>” means any Person to whom any Holder directly or indirectly transfers Registrable Securities in accordance with the terms 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WKSI</w:t>
      </w:r>
      <w:r>
        <w:rPr>
          <w:rFonts w:ascii="Arial" w:cs="Arial" w:eastAsia="Arial" w:hAnsi="Arial"/>
          <w:sz w:val="18"/>
          <w:szCs w:val="18"/>
          <w:color w:val="auto"/>
        </w:rPr>
        <w:t>” means a “well-known seasoned issuer” as defined under Rule 405.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Shelf Registration.</w:t>
      </w:r>
    </w:p>
    <w:p>
      <w:pPr>
        <w:spacing w:after="0" w:line="117" w:lineRule="exact"/>
        <w:rPr>
          <w:sz w:val="20"/>
          <w:szCs w:val="20"/>
          <w:color w:val="auto"/>
        </w:rPr>
      </w:pPr>
    </w:p>
    <w:p>
      <w:pPr>
        <w:ind w:firstLine="436"/>
        <w:spacing w:after="0" w:line="268" w:lineRule="auto"/>
        <w:tabs>
          <w:tab w:leader="none" w:pos="685"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Filing</w:t>
      </w:r>
      <w:r>
        <w:rPr>
          <w:rFonts w:ascii="Arial" w:cs="Arial" w:eastAsia="Arial" w:hAnsi="Arial"/>
          <w:sz w:val="17"/>
          <w:szCs w:val="17"/>
          <w:color w:val="auto"/>
        </w:rPr>
        <w:t>. Subject to the Corporation’s rights under Section 2(c), for so long as any Holder holds at least five percent (5%) of the outstanding Capital Stock of the Corporation, the Corporation hereby agrees that it shall (i) use its reasonable best efforts to file on the first day of the calendar month following 12 full calendar months after the consummation of the IPO or, if such day is not a Business Day, on the first Business Day thereafter or, if the Corporation is not then eligible to file a Shelf Registration Statement, upon the Corporation becoming eligible to file a Shelf Registration Statement (the “</w:t>
      </w:r>
      <w:r>
        <w:rPr>
          <w:rFonts w:ascii="Arial" w:cs="Arial" w:eastAsia="Arial" w:hAnsi="Arial"/>
          <w:sz w:val="17"/>
          <w:szCs w:val="17"/>
          <w:b w:val="1"/>
          <w:bCs w:val="1"/>
          <w:i w:val="1"/>
          <w:iCs w:val="1"/>
          <w:color w:val="auto"/>
        </w:rPr>
        <w:t>Shelf Registration Date</w:t>
      </w:r>
      <w:r>
        <w:rPr>
          <w:rFonts w:ascii="Arial" w:cs="Arial" w:eastAsia="Arial" w:hAnsi="Arial"/>
          <w:sz w:val="17"/>
          <w:szCs w:val="17"/>
          <w:color w:val="auto"/>
        </w:rPr>
        <w:t>”) a Shelf Registration Statement (which Shelf Registration Statement shall be designated by the Corporation as an Automatic Shelf Registration Statement if the Corporation is a WKSI at the time of filing such Shelf Registration Statement with the SEC), as will permit or facilitate the sale and distribution of all Registrable Securities owned by the Holders (or such lesser amount of the Registrable Securities of any Holder as such Holder shall request to the Corporation in writing), and (ii) use its reasonable best efforts to cause such Shelf Registration Statement to become effective as promptly as reasonably practicable after the Shelf Registration Date. No later than ten (10) Business Days prior to the filing of such Shelf Registration Statement, the Corporation shall give written notice to all Holders (a “</w:t>
      </w:r>
      <w:r>
        <w:rPr>
          <w:rFonts w:ascii="Arial" w:cs="Arial" w:eastAsia="Arial" w:hAnsi="Arial"/>
          <w:sz w:val="17"/>
          <w:szCs w:val="17"/>
          <w:b w:val="1"/>
          <w:bCs w:val="1"/>
          <w:i w:val="1"/>
          <w:iCs w:val="1"/>
          <w:color w:val="auto"/>
        </w:rPr>
        <w:t>Shelf Registration Notice</w:t>
      </w:r>
      <w:r>
        <w:rPr>
          <w:rFonts w:ascii="Arial" w:cs="Arial" w:eastAsia="Arial" w:hAnsi="Arial"/>
          <w:sz w:val="17"/>
          <w:szCs w:val="17"/>
          <w:color w:val="auto"/>
        </w:rPr>
        <w:t>”) of the anticipated date of the filing of such Shelf Registration Statement. If the Corporation is permitted by applicable law, rule or regulation to add selling securityholders or additional Registrable Securities, as applicable, to a Shelf Registration Statement without filing a post-effective amendment, a Holder that requested that not all of its Registrable Securities be included in a Shelf Registration Statement that is currently effective may request the inclusion of such Holder’s Registrable Securities (such amount not in any event to exceed the total Registrable Securities owned by such Holder) in such Shelf Registration Statement at any time or from time to time, and the Corporation shall add such Registrable Securities to the Shelf Registration Statement as promptly as reasonably practicable, and such Holder shall be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61" w:name="page162"/>
    <w:bookmarkEnd w:id="161"/>
    <w:p>
      <w:pPr>
        <w:jc w:val="both"/>
        <w:ind w:left="4"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deemed a Shelf Holder. The Corporation shall also use its reasonable best efforts to file any replacement or additional Shelf Registration Statement and use reasonable best efforts to cause such replacement or additional Shelf Registration Statement to become effective prior to the expiration of the initial Shelf Registration Statement filed pursuant to this Section 2(a).</w:t>
      </w:r>
    </w:p>
    <w:p>
      <w:pPr>
        <w:spacing w:after="0" w:line="76" w:lineRule="exact"/>
        <w:rPr>
          <w:sz w:val="20"/>
          <w:szCs w:val="20"/>
          <w:color w:val="auto"/>
        </w:rPr>
      </w:pPr>
    </w:p>
    <w:p>
      <w:pPr>
        <w:ind w:left="4" w:right="160" w:firstLine="436"/>
        <w:spacing w:after="0" w:line="257" w:lineRule="auto"/>
        <w:tabs>
          <w:tab w:leader="none" w:pos="699" w:val="left"/>
        </w:tabs>
        <w:numPr>
          <w:ilvl w:val="1"/>
          <w:numId w:val="149"/>
        </w:numPr>
        <w:rPr>
          <w:rFonts w:ascii="Arial" w:cs="Arial" w:eastAsia="Arial" w:hAnsi="Arial"/>
          <w:sz w:val="18"/>
          <w:szCs w:val="18"/>
          <w:color w:val="auto"/>
        </w:rPr>
      </w:pPr>
      <w:r>
        <w:rPr>
          <w:rFonts w:ascii="Arial" w:cs="Arial" w:eastAsia="Arial" w:hAnsi="Arial"/>
          <w:sz w:val="18"/>
          <w:szCs w:val="18"/>
          <w:u w:val="single" w:color="auto"/>
          <w:color w:val="auto"/>
        </w:rPr>
        <w:t>Continued Effectiveness</w:t>
      </w:r>
      <w:r>
        <w:rPr>
          <w:rFonts w:ascii="Arial" w:cs="Arial" w:eastAsia="Arial" w:hAnsi="Arial"/>
          <w:sz w:val="18"/>
          <w:szCs w:val="18"/>
          <w:color w:val="auto"/>
        </w:rPr>
        <w:t>. The Corporation shall use its reasonable best efforts to keep such Shelf Registration Statement filed pursuant to this Section 2 hereof, including any replacement or additional Shelf Registration Statement, continuously effective under the Securities Act in order to permit the Prospectus forming a part thereof to be usable by the Shelf Holders until the earlier of (i) the date as of which all Registrable Securities registered by such Shelf Registration Statement have been sold or cease to be Registrable Securities and (ii) such shorter period as the CBP Initiating Holders may determine (such period of effectiveness, the “</w:t>
      </w:r>
      <w:r>
        <w:rPr>
          <w:rFonts w:ascii="Arial" w:cs="Arial" w:eastAsia="Arial" w:hAnsi="Arial"/>
          <w:sz w:val="18"/>
          <w:szCs w:val="18"/>
          <w:b w:val="1"/>
          <w:bCs w:val="1"/>
          <w:i w:val="1"/>
          <w:iCs w:val="1"/>
          <w:color w:val="auto"/>
        </w:rPr>
        <w:t>Shelf Period</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 w:firstLine="436"/>
        <w:spacing w:after="0" w:line="283" w:lineRule="auto"/>
        <w:tabs>
          <w:tab w:leader="none" w:pos="689"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Suspension of Filing or Registration</w:t>
      </w:r>
      <w:r>
        <w:rPr>
          <w:rFonts w:ascii="Arial" w:cs="Arial" w:eastAsia="Arial" w:hAnsi="Arial"/>
          <w:sz w:val="16"/>
          <w:szCs w:val="16"/>
          <w:color w:val="auto"/>
        </w:rPr>
        <w:t>. If the Corporation shall furnish to the Holders (if a Shelf Registration Statement has not yet become effective) or the Shelf Holders (after a Shelf Registration Statement has become effective), a certificate signed by the chief executive officer or equivalent senior executive of the Corporation, stating that the filing, effectiveness or continued use of the Shelf Registration Statement would require the Corporation to make an Adverse Disclosure, then the Corporation shall have a period of not more than sixty (60) days or such longer period as the applicable Initiating Holder shall consent to in writing, within which to delay the filing or effectiveness (but not the preparation) of such Shelf Registration Statement or, in the case of a Shelf Registration Statement that has been declared effective, to suspend the use by Shelf Holders of such Shelf Registration Statement (in each case, a “</w:t>
      </w:r>
      <w:r>
        <w:rPr>
          <w:rFonts w:ascii="Arial" w:cs="Arial" w:eastAsia="Arial" w:hAnsi="Arial"/>
          <w:sz w:val="16"/>
          <w:szCs w:val="16"/>
          <w:b w:val="1"/>
          <w:bCs w:val="1"/>
          <w:i w:val="1"/>
          <w:iCs w:val="1"/>
          <w:color w:val="auto"/>
        </w:rPr>
        <w:t>Shelf Suspension</w:t>
      </w:r>
      <w:r>
        <w:rPr>
          <w:rFonts w:ascii="Arial" w:cs="Arial" w:eastAsia="Arial" w:hAnsi="Arial"/>
          <w:sz w:val="16"/>
          <w:szCs w:val="16"/>
          <w:color w:val="auto"/>
        </w:rPr>
        <w:t>”); provided, however, that, unless consented to in writing by the applicable Initiating Holder, the Corporation shall not be permitted to exercise in any twelve (12) month period (i) more than two (2) Shelf Suspensions pursuant to this 2(c) and Demand Delays pursuant to Section 3(a)(ii) in the aggregate or (ii) aggregate Shelf Suspensions pursuant to this Section 2(c) and Demand Delays pursuant to Section 3(a)(ii) of more than one hundred twenty (120) days. Each Holder shall keep confidential the fact that a Shelf Suspension is in effect, the certificate referred to above and its contents for the permitted duration of the Shelf Suspension or until otherwise notified by the Corporation, except</w:t>
      </w:r>
    </w:p>
    <w:p>
      <w:pPr>
        <w:spacing w:after="0" w:line="3" w:lineRule="exact"/>
        <w:rPr>
          <w:rFonts w:ascii="Arial" w:cs="Arial" w:eastAsia="Arial" w:hAnsi="Arial"/>
          <w:sz w:val="16"/>
          <w:szCs w:val="16"/>
          <w:color w:val="auto"/>
        </w:rPr>
      </w:pPr>
    </w:p>
    <w:p>
      <w:pPr>
        <w:ind w:left="4" w:right="80" w:hanging="4"/>
        <w:spacing w:after="0" w:line="285" w:lineRule="auto"/>
        <w:tabs>
          <w:tab w:leader="none" w:pos="299" w:val="left"/>
        </w:tabs>
        <w:numPr>
          <w:ilvl w:val="0"/>
          <w:numId w:val="150"/>
        </w:numPr>
        <w:rPr>
          <w:rFonts w:ascii="Arial" w:cs="Arial" w:eastAsia="Arial" w:hAnsi="Arial"/>
          <w:sz w:val="16"/>
          <w:szCs w:val="16"/>
          <w:color w:val="auto"/>
        </w:rPr>
      </w:pPr>
      <w:r>
        <w:rPr>
          <w:rFonts w:ascii="Arial" w:cs="Arial" w:eastAsia="Arial" w:hAnsi="Arial"/>
          <w:sz w:val="16"/>
          <w:szCs w:val="16"/>
          <w:color w:val="auto"/>
        </w:rPr>
        <w:t>for disclosure to such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rule or regulation. In the case of a Shelf Suspension that occurs after the effectiveness of the Shelf Registration Statement, the Shelf Holders agree to suspend use of the applicable Prospectus for the permitted duration of such Shelf Suspension in connection with any sale or purchase of, or offer to sell or purchase, Registrable Securities, upon receipt of the certificate referred to above. The Corporation shall immediately notify the Holders or Shelf Holders, as applicable, upon the termination of any Shelf Suspension, and (i) in the case of a Shelf Registration Statement that has not been declared effective, shall promptly thereafter file the Shelf Registration Statement and use its reasonable best efforts to have such Shelf Registration Statement declared effective under the Securities Act and (ii) in the case of an effective Shelf Registration Statement, shall amend or supplement the Prospectus, if necessary, so it does not contain any material misstatement or omission prior to the expiration of the Shelf Suspension and furnish to the Shelf Holders such numbers of copies of the Prospectus as so amended or supplemented as the Shelf Holders may reasonably request. The Corporation agrees, if necessary, to supplement or make amendments to the Shelf Registration Statement if</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62" w:name="page163"/>
    <w:bookmarkEnd w:id="162"/>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required by the registration form used by the Corporation for the shelf registration or by the instructions applicable to such registration form or by the Securities Act or the rules or regulations promulgated thereunder or as may reasonably be requested by the Shelf Holders of a majority of the Registrable Securities then outstanding.</w:t>
      </w:r>
    </w:p>
    <w:p>
      <w:pPr>
        <w:spacing w:after="0" w:line="76" w:lineRule="exact"/>
        <w:rPr>
          <w:sz w:val="20"/>
          <w:szCs w:val="20"/>
          <w:color w:val="auto"/>
        </w:rPr>
      </w:pPr>
    </w:p>
    <w:p>
      <w:pPr>
        <w:ind w:left="700" w:hanging="264"/>
        <w:spacing w:after="0"/>
        <w:tabs>
          <w:tab w:leader="none" w:pos="70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Shelf Take-Downs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19"/>
        <w:spacing w:after="0" w:line="269" w:lineRule="auto"/>
        <w:tabs>
          <w:tab w:leader="none" w:pos="1078" w:val="left"/>
        </w:tabs>
        <w:numPr>
          <w:ilvl w:val="1"/>
          <w:numId w:val="151"/>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terms and provisions of this Agreement, for so long as the Initiating Holder (the “</w:t>
      </w:r>
      <w:r>
        <w:rPr>
          <w:rFonts w:ascii="Arial" w:cs="Arial" w:eastAsia="Arial" w:hAnsi="Arial"/>
          <w:sz w:val="17"/>
          <w:szCs w:val="17"/>
          <w:b w:val="1"/>
          <w:bCs w:val="1"/>
          <w:i w:val="1"/>
          <w:iCs w:val="1"/>
          <w:color w:val="auto"/>
        </w:rPr>
        <w:t>Shelf Take-Down Initiating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Holder</w:t>
      </w:r>
      <w:r>
        <w:rPr>
          <w:rFonts w:ascii="Arial" w:cs="Arial" w:eastAsia="Arial" w:hAnsi="Arial"/>
          <w:sz w:val="17"/>
          <w:szCs w:val="17"/>
          <w:color w:val="auto"/>
        </w:rPr>
        <w:t>”) may initiate a Shelf Take-Down pursuant to this Section 2(d), at the option of such Shelf Take-Down Initiating Holder, such Shelf Take-Down (a) may be in the form of an Underwritten Shelf Take-Down (provided, however, that an NVX Initiating Holder shall have the right to initiate an Underwritten Shelf Take-Down on only two occasions and an NEP Initiating Holder shall have the right to initiate an Underwritten Shelf Take-Down on only one occasion) or a Shelf Take-Down that is not an Underwritten Shelf Take-Down and (b) in the case of an Underwritten Shelf Take-Down, may be Non-Marketed or Marketed, in each case, as shall be specified in the written demand delivered by the Shelf Take-Down Initiating Holder to the Corporation pursuant to the provisions of this Section 2(d). Notwithstanding anything contained in this Section 2(d), no Shelf Take-Down Initiating Holder, other than the CBP Holder, shall have the right to initiate a Shelf Take-Down if such Shelf Take-Down Initiating Holder could sell or otherwise distribute its Registrable Securities pursuant to Rule 144 promulgated under the Securities Act in a single transaction without any volume or manner of sale limitations.</w:t>
      </w:r>
    </w:p>
    <w:p>
      <w:pPr>
        <w:spacing w:after="0" w:line="77" w:lineRule="exact"/>
        <w:rPr>
          <w:rFonts w:ascii="Arial" w:cs="Arial" w:eastAsia="Arial" w:hAnsi="Arial"/>
          <w:sz w:val="17"/>
          <w:szCs w:val="17"/>
          <w:color w:val="auto"/>
        </w:rPr>
      </w:pPr>
    </w:p>
    <w:p>
      <w:pPr>
        <w:ind w:left="1120" w:hanging="261"/>
        <w:spacing w:after="0"/>
        <w:tabs>
          <w:tab w:leader="none" w:pos="112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Underwritten Shelf Take-Downs</w:t>
      </w:r>
      <w:r>
        <w:rPr>
          <w:rFonts w:ascii="Arial" w:cs="Arial" w:eastAsia="Arial" w:hAnsi="Arial"/>
          <w:sz w:val="18"/>
          <w:szCs w:val="18"/>
          <w:color w:val="auto"/>
        </w:rPr>
        <w:t>.</w:t>
      </w:r>
    </w:p>
    <w:p>
      <w:pPr>
        <w:spacing w:after="0" w:line="117" w:lineRule="exact"/>
        <w:rPr>
          <w:sz w:val="20"/>
          <w:szCs w:val="20"/>
          <w:color w:val="auto"/>
        </w:rPr>
      </w:pPr>
    </w:p>
    <w:p>
      <w:pPr>
        <w:ind w:left="440" w:firstLine="419"/>
        <w:spacing w:after="0" w:line="287" w:lineRule="auto"/>
        <w:tabs>
          <w:tab w:leader="none" w:pos="110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Shelf Take-Down Initiating Holder may elect in a written demand delivered to the Corporation (an “</w:t>
      </w:r>
      <w:r>
        <w:rPr>
          <w:rFonts w:ascii="Arial" w:cs="Arial" w:eastAsia="Arial" w:hAnsi="Arial"/>
          <w:sz w:val="16"/>
          <w:szCs w:val="16"/>
          <w:b w:val="1"/>
          <w:bCs w:val="1"/>
          <w:i w:val="1"/>
          <w:iCs w:val="1"/>
          <w:color w:val="auto"/>
        </w:rPr>
        <w:t>Underwritten Shelf Take-Down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for any Shelf Take-Down that it has initiated (including any Restricted Shelf Take-Down) to be in the form of an underwritten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w:t>
      </w:r>
      <w:r>
        <w:rPr>
          <w:rFonts w:ascii="Arial" w:cs="Arial" w:eastAsia="Arial" w:hAnsi="Arial"/>
          <w:sz w:val="16"/>
          <w:szCs w:val="16"/>
          <w:b w:val="1"/>
          <w:bCs w:val="1"/>
          <w:i w:val="1"/>
          <w:iCs w:val="1"/>
          <w:color w:val="auto"/>
        </w:rPr>
        <w:t>Underwritten Shelf Take-Down</w:t>
      </w:r>
      <w:r>
        <w:rPr>
          <w:rFonts w:ascii="Arial" w:cs="Arial" w:eastAsia="Arial" w:hAnsi="Arial"/>
          <w:sz w:val="16"/>
          <w:szCs w:val="16"/>
          <w:color w:val="auto"/>
        </w:rPr>
        <w:t>”), and the Corporation shall, if so requested, file and effect an amendment or supplement of the Shelf Registration Statement for such purpose as soon as practicable but in no event later than twenty (20) days after the delivery of such Underwritten Shelf Take-Down Notice; provided, that any such Underwritten Shelf Take-Down must comply with Section 3(d) and involve the offer and sale by such Shelf Take-Down Initiating Holders of Registrable Securities having a reasonably anticipated net aggregate offering price (after deduction of underwriter commissions and offering expenses) of at least $50,000,000 unless such Underwritten Shelf Take-Down is for all of the Registrable Securities then held by the Initiating Holders and their respective Permitted Transferees (in which case there is no minimum other than the inclusion of all of such Registrable Securities). The Shelf Holders that own a majority of the Registrable Securities to be offered for sale in such Underwritten Shelf Take-Down shall have the right to select the underwriter or underwriters to administer such Underwritten Shelf Take-Down; provided, that such underwriter or underwriters shall be reasonably acceptable to the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63" w:name="page164"/>
    <w:bookmarkEnd w:id="163"/>
    <w:p>
      <w:pPr>
        <w:ind w:firstLine="419"/>
        <w:spacing w:after="0" w:line="267" w:lineRule="auto"/>
        <w:tabs>
          <w:tab w:leader="none" w:pos="678" w:val="left"/>
        </w:tabs>
        <w:numPr>
          <w:ilvl w:val="0"/>
          <w:numId w:val="1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respect to any Underwritten Shelf Take-Down (including any Marketed Underwritten Shelf Take-Down), in the event that a Shelf Holder otherwise would be entitled to participate in such Underwritten Shelf Take-Down pursuant to Section 2(d)(iii) or Section 2(d)(iv), as the case may be, the right of such Shelf Holder to participate in such Underwritten Shelf Take-Down shall be conditioned upon such Shelf Holder’s right of participation in such underwriting and the inclusion of such Shelf Holder’s Registrable Securities in the underwriting to the extent provided and requested herein. The Corporation shall, together with all Shelf Holders and Third Party Shelf Holders of Registrable Securities of the Corporation proposing to distribute their securities through such Underwritten Shelf Take-Down, enter into an underwriting agreement in customary form with the underwriter or underwriters selected in accordance with Section 2(d)(ii)(a). Notwithstanding any other provision of this Section 2, if the underwriter shall advise the Corporation that marketing factors (including an adverse effect on the per security offering price) require a limitation of the number of Registrable Securities to be underwritten in a Underwritten Shelf Take-Down, then the Corporation shall so advise all Shelf Holders and Third Party Shelf Holders of Registrable Securities that have requested to participate in such Underwritten Shelf Take-Down, and the number of Registrable Securities that may be included in such Underwritten Shelf Take Down shall be allocated first pro rata among such Shelf Holders and second pro rata among the Third Party Shelf Holders thereof in proportion, as nearly as practicable, to the respective amounts of Registrable Securities held by such Shelf Holders and Third Party Shelf Holders at the time of such Underwritten Shelf Take-Down; provided, that any Registrable Securities thereby allocated to a Shelf Holder or Third Party Shelf Holder that exceeds such Shelf Holder’s or Third Party Shelf Holder’s request shall be reallocated among the remaining Shelf Holders and Third Party Shelf Holders in like manner. No Registrable Securities excluded from an Underwritten Shelf Take-Down by reason of the underwriter’s marketing limitation shall be included in such underwritten offering. To the extent that a Shelf Take-Down Initiating Holder is not able to include at least 50% of its Registrable Securities in such Underwritten Shelf Take-Down, then such Underwritten Shelf Take-Down shall not reduce the number of initiated Underwritten Shelf Take-Downs pursuant to Section 2(d)(i).</w:t>
      </w:r>
    </w:p>
    <w:p>
      <w:pPr>
        <w:spacing w:after="0" w:line="80" w:lineRule="exact"/>
        <w:rPr>
          <w:sz w:val="20"/>
          <w:szCs w:val="20"/>
          <w:color w:val="auto"/>
        </w:rPr>
      </w:pPr>
    </w:p>
    <w:p>
      <w:pPr>
        <w:ind w:firstLine="419"/>
        <w:spacing w:after="0" w:line="287" w:lineRule="auto"/>
        <w:tabs>
          <w:tab w:leader="none" w:pos="738"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Marketed Underwritten Shelf Take-Downs</w:t>
      </w:r>
      <w:r>
        <w:rPr>
          <w:rFonts w:ascii="Arial" w:cs="Arial" w:eastAsia="Arial" w:hAnsi="Arial"/>
          <w:sz w:val="16"/>
          <w:szCs w:val="16"/>
          <w:color w:val="auto"/>
        </w:rPr>
        <w:t>. The Shelf Take-Down Initiating Holder submitting an Underwritten Shelf Take-Down Notice shall indicate in such notice that it delivers to the Corporation pursuant to Section 2(d)(ii) whether it intends for such Underwritten Shelf Take-Down to be Marketed (a “</w:t>
      </w:r>
      <w:r>
        <w:rPr>
          <w:rFonts w:ascii="Arial" w:cs="Arial" w:eastAsia="Arial" w:hAnsi="Arial"/>
          <w:sz w:val="16"/>
          <w:szCs w:val="16"/>
          <w:b w:val="1"/>
          <w:bCs w:val="1"/>
          <w:i w:val="1"/>
          <w:iCs w:val="1"/>
          <w:color w:val="auto"/>
        </w:rPr>
        <w:t>Marketed Underwritten Shelf Take-Down</w:t>
      </w:r>
      <w:r>
        <w:rPr>
          <w:rFonts w:ascii="Arial" w:cs="Arial" w:eastAsia="Arial" w:hAnsi="Arial"/>
          <w:sz w:val="16"/>
          <w:szCs w:val="16"/>
          <w:color w:val="auto"/>
        </w:rPr>
        <w:t>”); provided, that any such Marketed Underwritten Shelf Take-Down shall be deemed to be, for purposes of Section 3(a), a Demand Registration and shall be subject to the limits set forth in Section 3(d). Upon receipt of an Underwritten Shelf Take-Down Notice indicating that such Underwritten Shelf Take-Down will be a Marketed Underwritten Shelf Take-Down, the Corporation shall promptly (but in any event no later than 5:00 p.m., New York City time, on (X) the second trading day prior to the date on which the preliminary prospectus or prospectus supplement intended to be used in connection with pre-pricing marketing efforts for the Marketed Underwritten Shelf Take-Down is expected to be finalized and (Y) the second trading day prior to the date on which the pricing of the relevant a Marketed Underwritten Shelf Take-Down occurs) give written notice of such Marketed Underwritten Shelf Take-Down to all other Eligible Take-Down Holders of Registrable Securities under such Shelf Registration Statement and any such Eligible Take-Down Holders requesting inclusion in such Marketed Underwritten Shelf Take-Down must respond in writing by 5:00 p.m., New York City time, on the earlier of</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64" w:name="page165"/>
    <w:bookmarkEnd w:id="16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the trading day prior to the date on which the preliminary prospectus or prospectus supplement intended to be used in connection with pre-pricing marketing efforts for the relevant Marketed Underwritten Shelf Take-Down is expected to be finalized and (II) the trading day prior to the date on which the pricing of the relevant Marketed Underwritten Shelf Take-Down occurs. Each such Eligible Take-Down Holder that timely delivers any such request shall be permitted to sell in such Marketed Underwritten Shelf Take-Down subject to the terms and conditions of Section 2(d)(ii).</w:t>
      </w:r>
    </w:p>
    <w:p>
      <w:pPr>
        <w:spacing w:after="0" w:line="80" w:lineRule="exact"/>
        <w:rPr>
          <w:sz w:val="20"/>
          <w:szCs w:val="20"/>
          <w:color w:val="auto"/>
        </w:rPr>
      </w:pPr>
    </w:p>
    <w:p>
      <w:pPr>
        <w:ind w:left="720" w:hanging="301"/>
        <w:spacing w:after="0"/>
        <w:tabs>
          <w:tab w:leader="none" w:pos="72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Non-Marketed Underwritten Shelf Take-Downs and Non-Underwritten Shelf Take-Downs</w:t>
      </w:r>
      <w:r>
        <w:rPr>
          <w:rFonts w:ascii="Arial" w:cs="Arial" w:eastAsia="Arial" w:hAnsi="Arial"/>
          <w:sz w:val="18"/>
          <w:szCs w:val="18"/>
          <w:color w:val="auto"/>
        </w:rPr>
        <w:t>.</w:t>
      </w:r>
    </w:p>
    <w:p>
      <w:pPr>
        <w:spacing w:after="0" w:line="117" w:lineRule="exact"/>
        <w:rPr>
          <w:sz w:val="20"/>
          <w:szCs w:val="20"/>
          <w:color w:val="auto"/>
        </w:rPr>
      </w:pPr>
    </w:p>
    <w:p>
      <w:pPr>
        <w:ind w:right="80" w:firstLine="419"/>
        <w:spacing w:after="0" w:line="288" w:lineRule="auto"/>
        <w:tabs>
          <w:tab w:leader="none" w:pos="66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Shelf Take-Down Initiating Holder may initiate a (x) Non-Marketed Underwritten Shelf Take-Down or a (y) Shelf Take-Down that is not an Underwritten Shelf Take-Down (a Shelf Take-Down referred to in (x) or (y) is referred to as a “</w:t>
      </w:r>
      <w:r>
        <w:rPr>
          <w:rFonts w:ascii="Arial" w:cs="Arial" w:eastAsia="Arial" w:hAnsi="Arial"/>
          <w:sz w:val="16"/>
          <w:szCs w:val="16"/>
          <w:b w:val="1"/>
          <w:bCs w:val="1"/>
          <w:i w:val="1"/>
          <w:iCs w:val="1"/>
          <w:color w:val="auto"/>
        </w:rPr>
        <w:t>Restricted Shelf Take-Down</w:t>
      </w:r>
      <w:r>
        <w:rPr>
          <w:rFonts w:ascii="Arial" w:cs="Arial" w:eastAsia="Arial" w:hAnsi="Arial"/>
          <w:sz w:val="16"/>
          <w:szCs w:val="16"/>
          <w:color w:val="auto"/>
        </w:rPr>
        <w:t>”) by providing written notice thereof to the Corporation and, to the extent required by Section 2(d)(iv)(b), all other Eligible Take-Down Holders; provided, that any such Restricted Shelf Take-Down must involve the offer and sale by such Shelf Take-Down Initiating Holders of Registrable Securities having a reasonably anticipated net aggregate offering price (after deduction of underwriter commissions and offering expenses) of at least $15,000,000, unless such Restricted Shelf Take-Down is for all of the Registrable Securities then held by the Initiating Holders and their respective Permitted Transferees (in which case there is no minimum other than the inclusion of all of such Registrable Securities). Any notice delivered pursuant to the immediately preceding sentence shall include (i) the total number of Registrable Securities expected to be offered and sold in such Shelf Take-Down and (ii) the expected timing and plan of distribution of such Shelf Take-Down. For the avoidance of doubt, an Eligible Take-Down Holder that is not a Shelf Take-Down Initiating Holder cannot initiate an Underwritten Shelf Take-Down.</w:t>
      </w:r>
    </w:p>
    <w:p>
      <w:pPr>
        <w:spacing w:after="0" w:line="60" w:lineRule="exact"/>
        <w:rPr>
          <w:rFonts w:ascii="Arial" w:cs="Arial" w:eastAsia="Arial" w:hAnsi="Arial"/>
          <w:sz w:val="16"/>
          <w:szCs w:val="16"/>
          <w:color w:val="auto"/>
        </w:rPr>
      </w:pPr>
    </w:p>
    <w:p>
      <w:pPr>
        <w:ind w:firstLine="419"/>
        <w:spacing w:after="0" w:line="268" w:lineRule="auto"/>
        <w:tabs>
          <w:tab w:leader="none" w:pos="67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With respect to each Restricted Shelf Take-Down, the Shelf Take-Down Initiating Holder initiating such Restricted Shelf Take-Down shall provide written notice (a “</w:t>
      </w:r>
      <w:r>
        <w:rPr>
          <w:rFonts w:ascii="Arial" w:cs="Arial" w:eastAsia="Arial" w:hAnsi="Arial"/>
          <w:sz w:val="17"/>
          <w:szCs w:val="17"/>
          <w:b w:val="1"/>
          <w:bCs w:val="1"/>
          <w:i w:val="1"/>
          <w:iCs w:val="1"/>
          <w:color w:val="auto"/>
        </w:rPr>
        <w:t>Restricted Shelf Take-Down Notice</w:t>
      </w:r>
      <w:r>
        <w:rPr>
          <w:rFonts w:ascii="Arial" w:cs="Arial" w:eastAsia="Arial" w:hAnsi="Arial"/>
          <w:sz w:val="17"/>
          <w:szCs w:val="17"/>
          <w:color w:val="auto"/>
        </w:rPr>
        <w:t>”) of such Restricted Shelf Take-Down to the Corporation and all other Eligible Take-Down Holders promptly (but in any event no later than 5:00 p.m., New York City time two (2) Business Days prior to the completion of such Restricted Shelf Take-Down) which Restricted Shelf Take-Down Notice shall set forth (I) the total number of Registrable Securities expected to be offered and sold in such Restricted Shelf Take-Down, (II) the expected timing and plan of distribution of such Restricted Shelf Take-Down, (III) an invitation to each Eligible Take-Down Holder to elect (such Eligible Take-Down Holders who make such an election being “</w:t>
      </w:r>
      <w:r>
        <w:rPr>
          <w:rFonts w:ascii="Arial" w:cs="Arial" w:eastAsia="Arial" w:hAnsi="Arial"/>
          <w:sz w:val="17"/>
          <w:szCs w:val="17"/>
          <w:b w:val="1"/>
          <w:bCs w:val="1"/>
          <w:i w:val="1"/>
          <w:iCs w:val="1"/>
          <w:color w:val="auto"/>
        </w:rPr>
        <w:t>Take-Down Tagging Holders</w:t>
      </w:r>
      <w:r>
        <w:rPr>
          <w:rFonts w:ascii="Arial" w:cs="Arial" w:eastAsia="Arial" w:hAnsi="Arial"/>
          <w:sz w:val="17"/>
          <w:szCs w:val="17"/>
          <w:color w:val="auto"/>
        </w:rPr>
        <w:t>” and, together with the Shelf Take-Down Initiating Holders and all other Persons (other than any Affiliates of the Shelf Take-Down Initiating Holders) who otherwise are Transferring, or have exercised a contractual or other right to Transfer, Registrable Securities in connection with such Restricted Shelf Take-Down, the “</w:t>
      </w:r>
      <w:r>
        <w:rPr>
          <w:rFonts w:ascii="Arial" w:cs="Arial" w:eastAsia="Arial" w:hAnsi="Arial"/>
          <w:sz w:val="17"/>
          <w:szCs w:val="17"/>
          <w:b w:val="1"/>
          <w:bCs w:val="1"/>
          <w:i w:val="1"/>
          <w:iCs w:val="1"/>
          <w:color w:val="auto"/>
        </w:rPr>
        <w:t>Restricted Take-Down Selling Holders</w:t>
      </w:r>
      <w:r>
        <w:rPr>
          <w:rFonts w:ascii="Arial" w:cs="Arial" w:eastAsia="Arial" w:hAnsi="Arial"/>
          <w:sz w:val="17"/>
          <w:szCs w:val="17"/>
          <w:color w:val="auto"/>
        </w:rPr>
        <w:t>”) to include in the Restricted Shelf Take-Down Registrable Securities held by such Take-Down Tagging Holder (but subject to Section 2(d)(ii)(b)) and (IV) the action or actions required (including the timing thereof) in connection with such Restricted Shelf Take-Down with respect to each Eligible Take-Down Holder that elects to exercise such right (including the delivery of one or more stock certificates representing Registrable Securities of such Eligible Take-Down Holder to be sold in such Restricted Shelf Take-Down).</w:t>
      </w:r>
    </w:p>
    <w:p>
      <w:pPr>
        <w:spacing w:after="0" w:line="11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0"/>
          </w:cols>
          <w:pgMar w:left="880" w:top="274" w:right="499" w:bottom="1440" w:gutter="0" w:footer="0" w:header="0"/>
        </w:sectPr>
      </w:pPr>
    </w:p>
    <w:bookmarkStart w:id="165" w:name="page166"/>
    <w:bookmarkEnd w:id="165"/>
    <w:p>
      <w:pPr>
        <w:ind w:firstLine="419"/>
        <w:spacing w:after="0" w:line="268" w:lineRule="auto"/>
        <w:tabs>
          <w:tab w:leader="none" w:pos="668"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delivery of a Restricted Shelf Take-Down Notice, each Eligible Take-Down Holder may elect to sell Registrable Securities in such Restricted Shelf Take-Down, at the same price per Registrable Security and pursuant to the same terms and conditions with respect to payment for the Registrable Securities as agreed to by the Shelf Take-Down Initiating Holders, by sending an irrevocable written notice (a “</w:t>
      </w:r>
      <w:r>
        <w:rPr>
          <w:rFonts w:ascii="Arial" w:cs="Arial" w:eastAsia="Arial" w:hAnsi="Arial"/>
          <w:sz w:val="17"/>
          <w:szCs w:val="17"/>
          <w:b w:val="1"/>
          <w:bCs w:val="1"/>
          <w:i w:val="1"/>
          <w:iCs w:val="1"/>
          <w:color w:val="auto"/>
        </w:rPr>
        <w:t>Take-Down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Participation Notice</w:t>
      </w:r>
      <w:r>
        <w:rPr>
          <w:rFonts w:ascii="Arial" w:cs="Arial" w:eastAsia="Arial" w:hAnsi="Arial"/>
          <w:sz w:val="17"/>
          <w:szCs w:val="17"/>
          <w:color w:val="auto"/>
        </w:rPr>
        <w:t>”) to the Shelf Take-Down Initiating Holders within the time period specified in such Restricted Shelf Take-Down Notice,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indicating his, her or its election to sell up to the number of Registrable Securities in the Restricted Shelf Take-Down specified by such Eligible Take-Down Holder in such Take-Down Participation Notice (but, in all cases, subject to Section 2(d)(ii)(b)). Following the time period specified in such Restricted Shelf Take-Down Notice, each Take-Down Tagging Holder that has delivered a Take-Down Participation Notice shall be permitted to sell in such Restricted Shelf Take-Down on the terms and conditions set forth in the Restricted Shelf Take-Down Notice, concurrently with the Shelf Take-Down Initiating Holders and the other Restricted Take-Down Selling Holders, the number of Registrable Securities calculated pursuant to Section 2(d)(ii)(b). For the avoidance of doubt, it is understood that in order to be entitled to exercise his, her or its right to sell Registrable Securities in a Restricted Shelf Take-Down pursuant to this Section 2(d)(iv), each Take-Down Tagging Holder must agree to make the same representations, warranties, covenants, indemnities and agreements, if any, as the Shelf Take-Down Initiating Holders agree to make in connection with the Restricted Shelf Take-Down, with such additions or changes as are required of such Take-Down Tagging Holder by the underwriters.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(v)</w:t>
      </w:r>
    </w:p>
    <w:p>
      <w:pPr>
        <w:spacing w:after="0" w:line="117" w:lineRule="exact"/>
        <w:rPr>
          <w:sz w:val="20"/>
          <w:szCs w:val="20"/>
          <w:color w:val="auto"/>
        </w:rPr>
      </w:pPr>
    </w:p>
    <w:p>
      <w:pPr>
        <w:ind w:firstLine="419"/>
        <w:spacing w:after="0" w:line="268" w:lineRule="auto"/>
        <w:tabs>
          <w:tab w:leader="none" w:pos="6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Notwithstanding the delivery of any Restricted Shelf Take-Down Notice, for the first two (2) years following the consummation of the IPO, (i) all determinations as to whether to complete any Restricted Shelf Take-Down and as to the timing of such Restricted Shelf Take-Down shall be at the sole discretion of the NVX Holders and the CBP Holders, provided that (x) for any Restricted Shelf Take-Down initiated by the NVX Initiating Holders, the CBP Holders shall not unreasonably withhold, condition or delay their consent and any decisions regarding timing of such Restricted Shelf Take-Down and (y) for any Restricted Shelf Take-Down initiated by the CBP Initiating Holders, the NVX Holders shall not unreasonably withhold, condition or delay their consent and any decisions regarding timing of such Restricted Shelf Take-Down and (ii) all determinations with respect to the manner, price and other terms and conditions of any Restricted Shelf Take-Down shall be at the sole discretion of the Shelf Holders that own a majority of the Registrable Securities to be offered for sale in such Restricted Shelf Take-Down (the “Majority Holders”) (after reasonable consultation with the CBP Holder and/or the NVX Holder to the extent the CBP Holder and/or the NVX Holder, as applicable, are participating therein and are not the Majority Holders). Following the two (2) year anniversary of the consummation of the IPO and notwithstanding the delivery of any Restricted Shelf Take-Down Notice, all determinations with respect to the manner, price and other terms and conditions of any Restricted Shelf Take-Down shall be at the sole discretion of the Shelf Holders that own a majority of the Registrable Securities to be offered for sale in such Restricted Shelf Take-Down. Each of the Eligible Take-Down Holders agrees to reasonably cooperate with each Shelf Take-Down Initiating Holder and each other Eligible Take-Down Holder to establish notice, delivery and documentation procedures and measures to facilitate such other Eligible Take-Down Holder’s participation in future potential Restricted Shelf Take-Downs pursuant to this Section 2(d)(v)(a).</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66" w:name="page167"/>
    <w:bookmarkEnd w:id="166"/>
    <w:p>
      <w:pPr>
        <w:ind w:left="360" w:right="200" w:firstLine="419"/>
        <w:spacing w:after="0" w:line="255" w:lineRule="auto"/>
        <w:tabs>
          <w:tab w:leader="none" w:pos="1038"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herein to the contrary, for any Shelf Take-Downs that do not constitute Restricted Shelf Take-Downs, all determinations as to the timing, manner, price and other terms and conditions of any Shelf Take-Downs that do not constitute Restricted Shelf Take-Downs shall be at the sole discretion of the Shelf Holders that own a majority of the Registrable Securities to be offered for sale in such Shelf Take-Down (after reasonable consultation with the CBP Holder and/or the NVX Holder to the extent the CBP Holder and/or the NVX Holder, as applicable, are participating therein and are not the Holders that own a majority of the Registrable Securities to be offered for sale in such Shelf Take-Down).</w:t>
      </w:r>
    </w:p>
    <w:p>
      <w:pPr>
        <w:spacing w:after="0" w:line="192" w:lineRule="exact"/>
        <w:rPr>
          <w:sz w:val="20"/>
          <w:szCs w:val="20"/>
          <w:color w:val="auto"/>
        </w:rPr>
      </w:pPr>
    </w:p>
    <w:p>
      <w:pPr>
        <w:ind w:left="360" w:firstLine="419"/>
        <w:spacing w:after="0" w:line="301" w:lineRule="auto"/>
        <w:tabs>
          <w:tab w:leader="none" w:pos="1088" w:val="left"/>
        </w:tabs>
        <w:numPr>
          <w:ilvl w:val="0"/>
          <w:numId w:val="160"/>
        </w:numPr>
        <w:rPr>
          <w:rFonts w:ascii="Arial" w:cs="Arial" w:eastAsia="Arial" w:hAnsi="Arial"/>
          <w:sz w:val="16"/>
          <w:szCs w:val="16"/>
          <w:color w:val="auto"/>
        </w:rPr>
      </w:pPr>
      <w:r>
        <w:rPr>
          <w:rFonts w:ascii="Arial" w:cs="Arial" w:eastAsia="Arial" w:hAnsi="Arial"/>
          <w:sz w:val="16"/>
          <w:szCs w:val="16"/>
          <w:color w:val="auto"/>
        </w:rPr>
        <w:t>Notwithstanding anything herein to the contrary, prior to the first anniversary of the consummation of the IPO, no Holder other than the CBP Holders may effectuate an unregistered block trade of any Registrable Securities; provided that in the event of any such transaction effectuated by the CBP Holders, the CBP Holders shall notify the NVX Holders and the NEP Holders in advance and use reasonable best efforts to afford the NVX Holders and the NEP Holders the opportunity to participate in such transaction on a pro rata basis.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Demand Registration; Restrictions on Registered Offerings.</w:t>
      </w:r>
    </w:p>
    <w:p>
      <w:pPr>
        <w:spacing w:after="0" w:line="117" w:lineRule="exact"/>
        <w:rPr>
          <w:sz w:val="20"/>
          <w:szCs w:val="20"/>
          <w:color w:val="auto"/>
        </w:rPr>
      </w:pPr>
    </w:p>
    <w:p>
      <w:pPr>
        <w:ind w:left="-80" w:right="40" w:firstLine="436"/>
        <w:spacing w:after="0" w:line="289" w:lineRule="auto"/>
        <w:tabs>
          <w:tab w:leader="none" w:pos="60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Holders’ Demand for Registration</w:t>
      </w:r>
      <w:r>
        <w:rPr>
          <w:rFonts w:ascii="Arial" w:cs="Arial" w:eastAsia="Arial" w:hAnsi="Arial"/>
          <w:sz w:val="16"/>
          <w:szCs w:val="16"/>
          <w:color w:val="auto"/>
        </w:rPr>
        <w:t>. Subject to Section 3(d), if, following the consummation of the IPO, the Corporation shall receive a written demand from: (x) the CBP Holders; (y) the NVX Holders, provided that the NVX Holders shall only have two (2) such demand rights, or (z) the NEP Holders, provided that the NEP Holders shall only have one (1) such demand right for so long as the NEP Holders collectively own 75% of the Capital Stock of the Corporation held by the NEP Holders on the closing date of the IPO, in the case of each of clauses (x), (y) and (z), that the Corporation effect any registration other than a shelf registration or a Shelf Take-Down (a “</w:t>
      </w:r>
      <w:r>
        <w:rPr>
          <w:rFonts w:ascii="Arial" w:cs="Arial" w:eastAsia="Arial" w:hAnsi="Arial"/>
          <w:sz w:val="16"/>
          <w:szCs w:val="16"/>
          <w:b w:val="1"/>
          <w:bCs w:val="1"/>
          <w:i w:val="1"/>
          <w:iCs w:val="1"/>
          <w:color w:val="auto"/>
        </w:rPr>
        <w:t>Demand Registration</w:t>
      </w:r>
      <w:r>
        <w:rPr>
          <w:rFonts w:ascii="Arial" w:cs="Arial" w:eastAsia="Arial" w:hAnsi="Arial"/>
          <w:sz w:val="16"/>
          <w:szCs w:val="16"/>
          <w:color w:val="auto"/>
        </w:rPr>
        <w:t>”) of Registrable Securities held by such Holder(s) having a reasonably anticipated net aggregate offering price (after deduction of underwriter commissions and offering expenses) of at least, in the case of a Demand Registration pursuant to clause (x) or (y), $10,000,000, and in the case of a Demand Registration pursuant to clause (z), $25,000,000 unless such registration is for all of the Registrable Securities then held by the Initiating Holders and their respective Permitted Transferees (in which case there is no minimum other than the inclusion of all of such Registrable Securities), the Corporation will: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520" w:top="274" w:right="519" w:bottom="1440" w:gutter="0" w:footer="0" w:header="0"/>
        </w:sectPr>
      </w:pPr>
    </w:p>
    <w:bookmarkStart w:id="167" w:name="page168"/>
    <w:bookmarkEnd w:id="167"/>
    <w:p>
      <w:pPr>
        <w:ind w:left="440" w:right="20" w:firstLine="419"/>
        <w:spacing w:after="0" w:line="277" w:lineRule="auto"/>
        <w:tabs>
          <w:tab w:leader="none" w:pos="1078"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promptly (but in any event within ten (10) days prior to the date such registration becomes effective under the Securities Act) give written notice of the proposed registration to all other Eligible Demand Participation Holders; and</w:t>
      </w:r>
    </w:p>
    <w:p>
      <w:pPr>
        <w:spacing w:after="0" w:line="62" w:lineRule="exact"/>
        <w:rPr>
          <w:rFonts w:ascii="Arial" w:cs="Arial" w:eastAsia="Arial" w:hAnsi="Arial"/>
          <w:sz w:val="18"/>
          <w:szCs w:val="18"/>
          <w:color w:val="auto"/>
        </w:rPr>
      </w:pPr>
    </w:p>
    <w:p>
      <w:pPr>
        <w:ind w:left="440" w:firstLine="419"/>
        <w:spacing w:after="0" w:line="283" w:lineRule="auto"/>
        <w:tabs>
          <w:tab w:leader="none" w:pos="1128" w:val="left"/>
        </w:tabs>
        <w:numPr>
          <w:ilvl w:val="1"/>
          <w:numId w:val="162"/>
        </w:numPr>
        <w:rPr>
          <w:rFonts w:ascii="Arial" w:cs="Arial" w:eastAsia="Arial" w:hAnsi="Arial"/>
          <w:sz w:val="16"/>
          <w:szCs w:val="16"/>
          <w:color w:val="auto"/>
        </w:rPr>
      </w:pPr>
      <w:r>
        <w:rPr>
          <w:rFonts w:ascii="Arial" w:cs="Arial" w:eastAsia="Arial" w:hAnsi="Arial"/>
          <w:sz w:val="16"/>
          <w:szCs w:val="16"/>
          <w:color w:val="auto"/>
        </w:rPr>
        <w:t>use its reasonable best efforts to effect such registration as soon as practicable as will permit or facilitate the sale and distribution of all or such portion of such Initiating Holder(s)’ Registrable Securities as are specified in such demand, together with all or such portion of the Registrable Securities of any other Eligible Demand Participation Holders joining in such demand as are specified in a written demand received by the Corporation within five (5) days after such written notice is given; provided, that the Corporation shall not be obligated to file any Registration Statement or other disclosure document pursuant to this Section 3 (but shall be obligated to continue to prepare such Registration Statement or other disclosure document) if the Corporation shall furnish to such Eligible Demand Participation Holders a certificate signed by the chief executive officer or equivalent senior executive of the Corporation, stating that the filing or effectiveness of such Registration Statement would require the Corporation to make an Adverse Disclosure, in which case the Corporation shall have an additional period (each, a “</w:t>
      </w:r>
      <w:r>
        <w:rPr>
          <w:rFonts w:ascii="Arial" w:cs="Arial" w:eastAsia="Arial" w:hAnsi="Arial"/>
          <w:sz w:val="16"/>
          <w:szCs w:val="16"/>
          <w:b w:val="1"/>
          <w:bCs w:val="1"/>
          <w:i w:val="1"/>
          <w:iCs w:val="1"/>
          <w:color w:val="auto"/>
        </w:rPr>
        <w:t>Demand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Delay</w:t>
      </w:r>
      <w:r>
        <w:rPr>
          <w:rFonts w:ascii="Arial" w:cs="Arial" w:eastAsia="Arial" w:hAnsi="Arial"/>
          <w:sz w:val="16"/>
          <w:szCs w:val="16"/>
          <w:color w:val="auto"/>
        </w:rPr>
        <w:t>”) of not more than sixty (60) days (or such longer period as may be agreed upon by the Initiating Holders) within which to file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Registration Statement; provided, however, that, unless consented to in writing by the Initiating Holders, the Corporation shall not exercise, in any twelve (12) month period, (x) more than two (2) Demand Delays pursuant to this 3(a)(ii) and Shelf Suspensions pursuant to 2(c) in the aggregate or (y) aggregate Demand Delays pursuant to this Section 3(a)(ii) and Shelf Suspensions pursuant to Section 2(c) of more than one hundred twenty</w:t>
      </w:r>
    </w:p>
    <w:p>
      <w:pPr>
        <w:spacing w:after="0" w:line="2" w:lineRule="exact"/>
        <w:rPr>
          <w:rFonts w:ascii="Arial" w:cs="Arial" w:eastAsia="Arial" w:hAnsi="Arial"/>
          <w:sz w:val="16"/>
          <w:szCs w:val="16"/>
          <w:color w:val="auto"/>
        </w:rPr>
      </w:pPr>
    </w:p>
    <w:p>
      <w:pPr>
        <w:jc w:val="both"/>
        <w:ind w:left="440" w:right="20" w:hanging="4"/>
        <w:spacing w:after="0" w:line="253" w:lineRule="auto"/>
        <w:tabs>
          <w:tab w:leader="none" w:pos="8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days. Each Eligible Demand Participation Holder shall keep confidential the fact that a Demand Delay is in effect, the certificate referred to above and its contents for the permitted duration of the Demand Delay or until otherwise notified by the Corporation, except (A) for disclosure to such Eligible Demand Participation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w:t>
      </w:r>
    </w:p>
    <w:p>
      <w:pPr>
        <w:spacing w:after="0" w:line="19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No Initiating Holder, other than the CBP Initiating Holder, shall have the right to demand that the Corporation file a Registration Statement pursuant to this Section 3(a) if such Initiating Holder could sell or otherwise distribute its Registrable Securities pursuant to Rule 144 promulgated under the Securities Act in a single transaction without any volume or manner of sale limitations.</w:t>
      </w:r>
    </w:p>
    <w:p>
      <w:pPr>
        <w:spacing w:after="0" w:line="76" w:lineRule="exact"/>
        <w:rPr>
          <w:sz w:val="20"/>
          <w:szCs w:val="20"/>
          <w:color w:val="auto"/>
        </w:rPr>
      </w:pPr>
    </w:p>
    <w:p>
      <w:pPr>
        <w:ind w:right="60" w:firstLine="436"/>
        <w:spacing w:after="0" w:line="273" w:lineRule="auto"/>
        <w:tabs>
          <w:tab w:leader="none" w:pos="695"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If the Initiating Holder(s) intend to distribute the Registrable Securities covered by their demand by means of an underwritten offer, they shall so advise the Corporation as part of their demand made pursuant to this Section 3, and the Corporation shall include such information in the written notice referred to in Section 3(a)(i). In such event, the right of any Holder to registration pursuant to this Section 3 shall be conditioned upon such Holder’s participation in such underwriting and the inclusion of such Holder’s Registrable Securities in the underwriting to the extent provided herein. The Corporation shall, together with all holders of Registrable Securities of the Corporation proposing to distribute their securities through such underwriting, enter into an underwriting agreement in customary form with the underwriter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68" w:name="page169"/>
    <w:bookmarkEnd w:id="16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underwriters selected by the Initiating Holder owning a majority of the Registrable Securities to be offered for sale in such underwriting by the Initiating Holders and reasonably satisfactory to the Corporation. Notwithstanding any other provision of this Section 3, if the underwriter shall advise the Corporation that marketing factors (including an adverse effect on the per security offering price) require a limitation of the number of Registrable Securities to be underwritten, then the Corporation shall so advise all Holders of Registrable Securities that have requested to participate in such offering, and the number of Registrable Securities that may be included in the registration and underwriting shall be allocated pro rata among such Holders and other holders of Registrable Securities exercising a contractual right pursuant to this Section 3 to dispose of Registrable Securities in such underwriting thereof in proportion, as nearly as practicable, to the respective amounts of Registrable Securities held by such persons at the time of filing the Registration Statement; provided, that if such demand is in respect of the IPO, the number of Registrable Securities that may be included in the registration and underwriting shall be allocated first to the Corporation; provided, further, that any Registrable Securities thereby allocated to any such person that exceed such person’s request shall be reallocated among the remaining requesting Holders and other requesting holders of Registrable Securities in like manner; and provided, further, that the number of Registrable Securities to be included in such underwriting shall not be reduced unless all other Securities are first entirely excluded from the underwriting. No Registrable Securities excluded from the underwriting by reason of the underwriter’s marketing limitation shall be included in such registration. If the underwriter has not limited the number of Registrable Securities to be underwritten, the Corporation may include securities for its own account (or for the account of any other Persons) in such registration if the underwriter so agrees and if the number of Registrable Securities would not thereby be limited. The per security offering price in a Demand Registration shall be determined by the holder of the majority of the Registrable Securities included in such registration.</w:t>
      </w:r>
    </w:p>
    <w:p>
      <w:pPr>
        <w:spacing w:after="0" w:line="68" w:lineRule="exact"/>
        <w:rPr>
          <w:sz w:val="20"/>
          <w:szCs w:val="20"/>
          <w:color w:val="auto"/>
        </w:rPr>
      </w:pPr>
    </w:p>
    <w:p>
      <w:pPr>
        <w:ind w:firstLine="436"/>
        <w:spacing w:after="0" w:line="270" w:lineRule="auto"/>
        <w:tabs>
          <w:tab w:leader="none" w:pos="685"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Effective Registration</w:t>
      </w:r>
      <w:r>
        <w:rPr>
          <w:rFonts w:ascii="Arial" w:cs="Arial" w:eastAsia="Arial" w:hAnsi="Arial"/>
          <w:sz w:val="17"/>
          <w:szCs w:val="17"/>
          <w:color w:val="auto"/>
        </w:rPr>
        <w:t>. The Corporation shall be deemed to have effected a Demand Registration if the Registration Statement pursuant to such registration is declared effective by the SEC and remains effective for not less than one hundred eighty (180) days (or such shorter period as will terminate when all Registrable Securities covered by such Registration Statement have been sold or withdrawn), or, if such Registration Statement relates to an underwritten offering, such longer period as, in the opinion of counsel for the underwriters, a prospectus is required by law to be delivered in connection with sales of Registrable Securities by an underwriter or dealer (the applicable period, the “</w:t>
      </w:r>
      <w:r>
        <w:rPr>
          <w:rFonts w:ascii="Arial" w:cs="Arial" w:eastAsia="Arial" w:hAnsi="Arial"/>
          <w:sz w:val="17"/>
          <w:szCs w:val="17"/>
          <w:b w:val="1"/>
          <w:bCs w:val="1"/>
          <w:i w:val="1"/>
          <w:iCs w:val="1"/>
          <w:color w:val="auto"/>
        </w:rPr>
        <w:t>Demand Period</w:t>
      </w:r>
      <w:r>
        <w:rPr>
          <w:rFonts w:ascii="Arial" w:cs="Arial" w:eastAsia="Arial" w:hAnsi="Arial"/>
          <w:sz w:val="17"/>
          <w:szCs w:val="17"/>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specified in the underwriting agreement, if any, entered into in connection with such registration are not satisfied other than by reason of a wrongful act, misrepresentation or breach of such applicable underwriting agreement by a participating Holder.</w:t>
      </w:r>
    </w:p>
    <w:p>
      <w:pPr>
        <w:spacing w:after="0" w:line="72" w:lineRule="exact"/>
        <w:rPr>
          <w:rFonts w:ascii="Arial" w:cs="Arial" w:eastAsia="Arial" w:hAnsi="Arial"/>
          <w:sz w:val="17"/>
          <w:szCs w:val="17"/>
          <w:color w:val="auto"/>
        </w:rPr>
      </w:pPr>
    </w:p>
    <w:p>
      <w:pPr>
        <w:ind w:right="420" w:firstLine="436"/>
        <w:spacing w:after="0" w:line="277"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Restrictions on Registered Offerings</w:t>
      </w:r>
      <w:r>
        <w:rPr>
          <w:rFonts w:ascii="Arial" w:cs="Arial" w:eastAsia="Arial" w:hAnsi="Arial"/>
          <w:sz w:val="18"/>
          <w:szCs w:val="18"/>
          <w:color w:val="auto"/>
        </w:rPr>
        <w:t>. Notwithstanding the rights and obligations set forth in this Section 3, in no event shall the Board be obligated to take any action to effect: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any Demand Registration or Shelf Take-Down at the request of any Initiating Holder (other than a CBP Initiating Holder) prior to the one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(1) year anniversary of the consummation of the IPO;</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169" w:name="page170"/>
    <w:bookmarkEnd w:id="169"/>
    <w:p>
      <w:pPr>
        <w:ind w:left="440" w:right="100" w:firstLine="419"/>
        <w:spacing w:after="0" w:line="277" w:lineRule="auto"/>
        <w:tabs>
          <w:tab w:leader="none" w:pos="1128"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aggregate, more than two (2) Demand Registrations or Marketed Underwritten Shelf Take-Downs, in either case, at the request of the NVX Initiating Holders; or</w:t>
      </w:r>
    </w:p>
    <w:p>
      <w:pPr>
        <w:spacing w:after="0" w:line="62" w:lineRule="exact"/>
        <w:rPr>
          <w:rFonts w:ascii="Arial" w:cs="Arial" w:eastAsia="Arial" w:hAnsi="Arial"/>
          <w:sz w:val="18"/>
          <w:szCs w:val="18"/>
          <w:color w:val="auto"/>
        </w:rPr>
      </w:pPr>
    </w:p>
    <w:p>
      <w:pPr>
        <w:ind w:left="440" w:right="200" w:firstLine="419"/>
        <w:spacing w:after="0" w:line="277" w:lineRule="auto"/>
        <w:tabs>
          <w:tab w:leader="none" w:pos="117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aggregate, more than one (1) Demand Registration or Marketed Underwritten Shelf Take-Down, in either case, at the request of the NEP Initiating Holders.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54"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at any time or from time to time the Corporation shall determine to register any of its equity securities, either for its own account or for the account of security holders (other than (1) in a registration relating solely to employee benefit plans, (2) a Registration Statement on Form S-4 or S-8 (or such other similar successor forms then in effect under the Securities Act), (3) a registration pursuant to which the Corporation is offering to exchange its own securities for other securities, (4) a Registration Statement relating solely to dividend reinvestment or similar plans, (5) a Shelf Registration Statement pursuant to which only the initial purchasers and subsequent transferees of debt securities of the Corporation or any Subsidiary that are convertible for Units and that are initially issued pursuant to Rule 144A and/or Regulation S (or any successor provision) of the Securities Act may resell such notes and sell the Units into which such notes may be converted or (6) a registration pursuant to Section 2 or Section 3 hereof) the Corporation will:</w:t>
      </w:r>
    </w:p>
    <w:p>
      <w:pPr>
        <w:spacing w:after="0" w:line="83" w:lineRule="exact"/>
        <w:rPr>
          <w:rFonts w:ascii="Arial" w:cs="Arial" w:eastAsia="Arial" w:hAnsi="Arial"/>
          <w:sz w:val="18"/>
          <w:szCs w:val="18"/>
          <w:color w:val="auto"/>
        </w:rPr>
      </w:pPr>
    </w:p>
    <w:p>
      <w:pPr>
        <w:ind w:left="440" w:right="440" w:firstLine="419"/>
        <w:spacing w:after="0" w:line="277" w:lineRule="auto"/>
        <w:tabs>
          <w:tab w:leader="none" w:pos="107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promptly (but in no event less than ten (10) days before the effective date of the relevant Registration Statement) give to each of the Members (as defined in the LLC Agreement), Brandon Cruz and Clinton P. Jones written notice thereof; and</w:t>
      </w:r>
    </w:p>
    <w:p>
      <w:pPr>
        <w:spacing w:after="0" w:line="62" w:lineRule="exact"/>
        <w:rPr>
          <w:rFonts w:ascii="Arial" w:cs="Arial" w:eastAsia="Arial" w:hAnsi="Arial"/>
          <w:sz w:val="18"/>
          <w:szCs w:val="18"/>
          <w:color w:val="auto"/>
        </w:rPr>
      </w:pPr>
    </w:p>
    <w:p>
      <w:pPr>
        <w:ind w:left="440" w:right="260" w:firstLine="419"/>
        <w:spacing w:after="0" w:line="259" w:lineRule="auto"/>
        <w:tabs>
          <w:tab w:leader="none" w:pos="1128"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include in such registration (and any related qualification under state securities laws or other compliance), and in any underwriting involved therein, all the Registrable Securities specified in a written request or requests made within five (5) days after receipt of such written notice from the Corporation by any Member, Brandon Cruz or Clinton P. Jones and their respective Permitted Transferees except as set forth in Section 4(b) below.</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Notwithstanding anything herein to the contrary, this Section 4 shall not apply to any Holder (other than an NVX Holder or an NEP Holder, for which this Section 4 shall apply following the expiration of the IPO Lock-Up Period) (i) prior to the two (2) year anniversary of the consummation of the IPO, unless (x) one or more of the CBP Holders elect to participate in such registration, in which case this Section 4 shall only apply to Eligible Demand Participation Holders or (y) the CBP Holders, in their sole discretion, elect by written notice to the Corporation for this Section 4 to apply to the Registrable Securities of any one or more other such Holders specified in such notice and/or (ii) to any Shelf Take-Down irrespective of whether such Shelf Take-Down is an Underwritten Shelf Take-Down or not an Underwritten Shelf Take-Down.</w:t>
      </w:r>
    </w:p>
    <w:p>
      <w:pPr>
        <w:spacing w:after="0" w:line="70" w:lineRule="exact"/>
        <w:rPr>
          <w:sz w:val="20"/>
          <w:szCs w:val="20"/>
          <w:color w:val="auto"/>
        </w:rPr>
      </w:pPr>
    </w:p>
    <w:p>
      <w:pPr>
        <w:ind w:right="580" w:firstLine="436"/>
        <w:spacing w:after="0" w:line="263" w:lineRule="auto"/>
        <w:tabs>
          <w:tab w:leader="none" w:pos="695"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Underwriting</w:t>
      </w:r>
      <w:r>
        <w:rPr>
          <w:rFonts w:ascii="Arial" w:cs="Arial" w:eastAsia="Arial" w:hAnsi="Arial"/>
          <w:sz w:val="18"/>
          <w:szCs w:val="18"/>
          <w:color w:val="auto"/>
        </w:rPr>
        <w:t>. If the registration of which the Corporation gives notice is for a registered public offering involving an underwriting, the Corporation shall so advise the Holders as a part of the written notice given pursuant to Section 4(a)(i). In such event the right of any Holder to registration pursuant to this Section 4 shall be conditioned upon such Holder’s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70" w:name="page171"/>
    <w:bookmarkEnd w:id="170"/>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 in such underwriting and the inclusion of such Holder’s Registrable Securities in the underwriting to the extent provided herein. All Holders proposing to dispose of their Registrable Securities through such underwriting, together with the Corporation and the other parties distributing their securities through such underwriting, shall enter into an underwriting agreement in customary form with the underwriter or underwriters selected for such underwriting by the Corporation. Notwithstanding any other provision of this Section 4, if the underwriters shall advise the Corporation that marketing factors (including, without limitation, an adverse effect on the per security offering price) require a limitation of the number of Registrable Securities to be underwritten, then the Corporation may limit the number of Registrable Securities to be included in the registration and underwriting, subject to the terms of this Section 4. The Corporation shall so advise all Holders of Registrable Securities that have requested to participate in such offering, and the number of Registrable Securities that may be included in the registration and underwriting shall be allocated in the following manner: first, to the Corporation and second, to the Holders and other holders of Registrable Securities exercising a contractual right pursuant to this Section 4 to dispose of Registrable Securities in such underwriting on a pro rata basis based on the total number of Registrable Securities held by such persons; provided, that any Registrable Securities thereby allocated to any such person that exceed such person’s request shall be reallocated among the remaining requesting Holders and other requesting holders of Registrable Securities in like manner. No such reduction shall (i) reduce the securities being offered by the Corporation for its own account to be included in the registration and underwriting, or (ii) reduce the amount of securities of the selling Holders included in the registration to below twenty-five percent (25%) of the total amount of Class A Common Stock included in such registration, unless such offering does not include Class A Common Stock of any other selling security holders, in which event any or all of the Registrable Securities of the Holders may be excluded in accordance with the immediately preceding sentence. No securities excluded from the underwriting by reason of the underwriter’s marketing limitation shall be included in such registration. For the avoidance of doubt, nothing in this Section 4(b) is intended to diminish the number of securities to be included by the Corporation in the underwriting.</w:t>
      </w:r>
    </w:p>
    <w:p>
      <w:pPr>
        <w:spacing w:after="0" w:line="63" w:lineRule="exact"/>
        <w:rPr>
          <w:sz w:val="20"/>
          <w:szCs w:val="20"/>
          <w:color w:val="auto"/>
        </w:rPr>
      </w:pPr>
    </w:p>
    <w:p>
      <w:pPr>
        <w:ind w:right="540" w:firstLine="436"/>
        <w:spacing w:after="0" w:line="308" w:lineRule="auto"/>
        <w:tabs>
          <w:tab w:leader="none" w:pos="685"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Right to Terminate Registration</w:t>
      </w:r>
      <w:r>
        <w:rPr>
          <w:rFonts w:ascii="Arial" w:cs="Arial" w:eastAsia="Arial" w:hAnsi="Arial"/>
          <w:sz w:val="17"/>
          <w:szCs w:val="17"/>
          <w:color w:val="auto"/>
        </w:rPr>
        <w:t>. The Corporation shall have the right to terminate or withdraw any registration initiated by it under this Section 4 prior to the effectiveness of such registration whether or not any Holder has elected to include securities in such registration.</w:t>
      </w:r>
    </w:p>
    <w:p>
      <w:pPr>
        <w:spacing w:after="0" w:line="146" w:lineRule="exact"/>
        <w:rPr>
          <w:sz w:val="20"/>
          <w:szCs w:val="20"/>
          <w:color w:val="auto"/>
        </w:rPr>
      </w:pPr>
    </w:p>
    <w:p>
      <w:pPr>
        <w:ind w:right="400" w:firstLine="440"/>
        <w:spacing w:after="0" w:line="296"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Registration Expenses incurred in connection with all registrations effected pursuant to Section 2, Section 3 or Section 4, shall be borne by the Corporation; provided, however, that the Corporation shall not be required to pay stock transfer taxes, underwriters’ discounts or selling commissions relating to Registrable Securities; provided, further, that the Registration Expenses incurred by the Holders (except for the CBP Holders, the NVX Holders and the NEP Holders) which are to be borne by the Corporation shall be limited to the Registration Expenses incurred in connection with registrations effected pursuant to Section 2(d)(iii) and Section 3 only.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171" w:name="page172"/>
    <w:bookmarkEnd w:id="17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 </w:t>
      </w:r>
      <w:r>
        <w:rPr>
          <w:rFonts w:ascii="Arial" w:cs="Arial" w:eastAsia="Arial" w:hAnsi="Arial"/>
          <w:sz w:val="16"/>
          <w:szCs w:val="16"/>
          <w:u w:val="single" w:color="auto"/>
          <w:color w:val="auto"/>
        </w:rPr>
        <w:t>Obligations of the Corporation</w:t>
      </w:r>
      <w:r>
        <w:rPr>
          <w:rFonts w:ascii="Arial" w:cs="Arial" w:eastAsia="Arial" w:hAnsi="Arial"/>
          <w:sz w:val="16"/>
          <w:szCs w:val="16"/>
          <w:color w:val="auto"/>
        </w:rPr>
        <w:t>. Whenever required under this Agreement to effect the registration of any Registrable Securities,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as expeditiously as reasonably possible:</w:t>
      </w:r>
    </w:p>
    <w:p>
      <w:pPr>
        <w:spacing w:after="0" w:line="103" w:lineRule="exact"/>
        <w:rPr>
          <w:sz w:val="20"/>
          <w:szCs w:val="20"/>
          <w:color w:val="auto"/>
        </w:rPr>
      </w:pPr>
    </w:p>
    <w:p>
      <w:pPr>
        <w:jc w:val="both"/>
        <w:ind w:right="140" w:firstLine="436"/>
        <w:spacing w:after="0" w:line="311" w:lineRule="auto"/>
        <w:tabs>
          <w:tab w:leader="none" w:pos="68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prepare and file with the SEC a Registration Statement with respect to such Registrable Securities and use its reasonable best efforts to cause such Registration Statement to become effective, and keep such Registration Statement effective for (x) the lesser of one hundred eighty (180) days or until the Holder or Holders have completed the distribution relating thereto or (y) for such longer period as may be prescribed herein;</w:t>
      </w:r>
    </w:p>
    <w:p>
      <w:pPr>
        <w:spacing w:after="0" w:line="40" w:lineRule="exact"/>
        <w:rPr>
          <w:rFonts w:ascii="Arial" w:cs="Arial" w:eastAsia="Arial" w:hAnsi="Arial"/>
          <w:sz w:val="16"/>
          <w:szCs w:val="16"/>
          <w:color w:val="auto"/>
        </w:rPr>
      </w:pPr>
    </w:p>
    <w:p>
      <w:pPr>
        <w:jc w:val="both"/>
        <w:ind w:right="20" w:firstLine="436"/>
        <w:spacing w:after="0" w:line="259"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keep such Registration Statement effective and to comply with the provisions of the Securities Act with respect to the disposition of all securities covered by such Registration Statement in accordance with the intended methods of disposition by sellers thereof set forth in such Registration Statement;</w:t>
      </w:r>
    </w:p>
    <w:p>
      <w:pPr>
        <w:spacing w:after="0" w:line="78" w:lineRule="exact"/>
        <w:rPr>
          <w:rFonts w:ascii="Arial" w:cs="Arial" w:eastAsia="Arial" w:hAnsi="Arial"/>
          <w:sz w:val="18"/>
          <w:szCs w:val="18"/>
          <w:color w:val="auto"/>
        </w:rPr>
      </w:pPr>
    </w:p>
    <w:p>
      <w:pPr>
        <w:jc w:val="both"/>
        <w:ind w:right="100" w:firstLine="436"/>
        <w:spacing w:after="0" w:line="286" w:lineRule="auto"/>
        <w:tabs>
          <w:tab w:leader="none" w:pos="68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permit any Holder that (in the good faith reasonable judgment of such Holder) might be deemed to be a controlling person of the Corporation to participate in good faith in the preparation of such Registration Statement and to cooperate in good faith to include therein material, furnished to the Corporation in writing, that in the reasonable judgment of such Holder and its counsel should be included;</w:t>
      </w:r>
    </w:p>
    <w:p>
      <w:pPr>
        <w:spacing w:after="0" w:line="57" w:lineRule="exact"/>
        <w:rPr>
          <w:rFonts w:ascii="Arial" w:cs="Arial" w:eastAsia="Arial" w:hAnsi="Arial"/>
          <w:sz w:val="17"/>
          <w:szCs w:val="17"/>
          <w:color w:val="auto"/>
        </w:rPr>
      </w:pPr>
    </w:p>
    <w:p>
      <w:pPr>
        <w:ind w:right="280" w:firstLine="436"/>
        <w:spacing w:after="0" w:line="286" w:lineRule="auto"/>
        <w:tabs>
          <w:tab w:leader="none" w:pos="69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furnish to the Holders such numbers of copies of the Registration Statement and the related Prospectus, including all exhibits thereto and documents incorporated by reference therein and a preliminary prospectus, in conformity with the requirements of the Securities Act, and such other documents as they may reasonably request in order to facilitate the disposition of Registrable Securities owned by them;</w:t>
      </w:r>
    </w:p>
    <w:p>
      <w:pPr>
        <w:spacing w:after="0" w:line="57" w:lineRule="exact"/>
        <w:rPr>
          <w:rFonts w:ascii="Arial" w:cs="Arial" w:eastAsia="Arial" w:hAnsi="Arial"/>
          <w:sz w:val="17"/>
          <w:szCs w:val="17"/>
          <w:color w:val="auto"/>
        </w:rPr>
      </w:pPr>
    </w:p>
    <w:p>
      <w:pPr>
        <w:ind w:right="40" w:firstLine="436"/>
        <w:spacing w:after="0" w:line="263"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75" w:lineRule="exact"/>
        <w:rPr>
          <w:rFonts w:ascii="Arial" w:cs="Arial" w:eastAsia="Arial" w:hAnsi="Arial"/>
          <w:sz w:val="18"/>
          <w:szCs w:val="18"/>
          <w:color w:val="auto"/>
        </w:rPr>
      </w:pPr>
    </w:p>
    <w:p>
      <w:pPr>
        <w:ind w:right="300" w:firstLine="436"/>
        <w:spacing w:after="0" w:line="286" w:lineRule="auto"/>
        <w:tabs>
          <w:tab w:leader="none" w:pos="665" w:val="left"/>
        </w:tabs>
        <w:numPr>
          <w:ilvl w:val="0"/>
          <w:numId w:val="170"/>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as soon as reasonably possible after notice thereof is received by the Corporation of any written comments by the SEC or any request by the SEC or any other federal or state governmental authority for amendments or supplements to such Registration Statement or such prospectus or for additional information;</w:t>
      </w:r>
    </w:p>
    <w:p>
      <w:pPr>
        <w:spacing w:after="0" w:line="57" w:lineRule="exact"/>
        <w:rPr>
          <w:rFonts w:ascii="Arial" w:cs="Arial" w:eastAsia="Arial" w:hAnsi="Arial"/>
          <w:sz w:val="17"/>
          <w:szCs w:val="17"/>
          <w:color w:val="auto"/>
        </w:rPr>
      </w:pPr>
    </w:p>
    <w:p>
      <w:pPr>
        <w:ind w:firstLine="436"/>
        <w:spacing w:after="0" w:line="259"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40" w:top="274" w:right="499" w:bottom="1440" w:gutter="0" w:footer="0" w:header="0"/>
        </w:sectPr>
      </w:pPr>
    </w:p>
    <w:bookmarkStart w:id="172" w:name="page173"/>
    <w:bookmarkEnd w:id="172"/>
    <w:p>
      <w:pPr>
        <w:ind w:firstLine="436"/>
        <w:spacing w:after="0" w:line="257"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occurrence of any event contemplated by Section 6(g) above, promptly prepare a supplement or post-effective amendment to the Registration Statement or a supplement to the related prospectus or any document incorporated or deemed to be incorporated therein by reference, or file any other required document so that, as thereafter delivered to the purchasers of the Registrable Securities being sold thereunder, such Registration Statement will not include an untrue statement of a material fact or omit to state a material fact required to be stated therein or necessary to make the statements therein not misleading;</w:t>
      </w:r>
    </w:p>
    <w:p>
      <w:pPr>
        <w:spacing w:after="0" w:line="79" w:lineRule="exact"/>
        <w:rPr>
          <w:rFonts w:ascii="Arial" w:cs="Arial" w:eastAsia="Arial" w:hAnsi="Arial"/>
          <w:sz w:val="18"/>
          <w:szCs w:val="18"/>
          <w:color w:val="auto"/>
        </w:rPr>
      </w:pPr>
    </w:p>
    <w:p>
      <w:pPr>
        <w:jc w:val="both"/>
        <w:ind w:right="120" w:firstLine="436"/>
        <w:spacing w:after="0" w:line="275" w:lineRule="auto"/>
        <w:tabs>
          <w:tab w:leader="none" w:pos="6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as soon as reasonably practicable after notice thereof is received by the Corporation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or any notification with respect to the suspension of the qualification of the Registrable Securities for offering or sale in any jurisdiction or the initiation or threatening of any proceeding for such purpose;</w:t>
      </w:r>
    </w:p>
    <w:p>
      <w:pPr>
        <w:spacing w:after="0" w:line="68" w:lineRule="exact"/>
        <w:rPr>
          <w:rFonts w:ascii="Arial" w:cs="Arial" w:eastAsia="Arial" w:hAnsi="Arial"/>
          <w:sz w:val="17"/>
          <w:szCs w:val="17"/>
          <w:color w:val="auto"/>
        </w:rPr>
      </w:pPr>
    </w:p>
    <w:p>
      <w:pPr>
        <w:ind w:right="40" w:firstLine="436"/>
        <w:spacing w:after="0" w:line="263" w:lineRule="auto"/>
        <w:tabs>
          <w:tab w:leader="none" w:pos="65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use its reasonable best efforts to prevent the issuance of any stop order suspending the effectiveness of any Registration Statement or of any order preventing or suspending the use of any preliminary or final prospectus and, if any such order is issued, to obtain the withdrawal of any such order as soon as practicable;</w:t>
      </w:r>
    </w:p>
    <w:p>
      <w:pPr>
        <w:spacing w:after="0" w:line="75" w:lineRule="exact"/>
        <w:rPr>
          <w:rFonts w:ascii="Arial" w:cs="Arial" w:eastAsia="Arial" w:hAnsi="Arial"/>
          <w:sz w:val="18"/>
          <w:szCs w:val="18"/>
          <w:color w:val="auto"/>
        </w:rPr>
      </w:pPr>
    </w:p>
    <w:p>
      <w:pPr>
        <w:ind w:right="140" w:firstLine="436"/>
        <w:spacing w:after="0" w:line="257" w:lineRule="auto"/>
        <w:tabs>
          <w:tab w:leader="none" w:pos="69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make available for inspection by each Holder including Registrable Securities in such registration, any underwriter participating in any distribution pursuant to such registration, and any attorney, accountant or other agent retained by such Holder or underwriter, all financial and other records, pertinent corporate documents and properties of the Corporation, as such parties may reasonably request, and cause the Corporation’s officers, managers and employees to supply all information reasonably requested by any such Holder, underwriter, attorney, accountant or agent in connection with such Registration Statement;</w:t>
      </w:r>
    </w:p>
    <w:p>
      <w:pPr>
        <w:spacing w:after="0" w:line="79" w:lineRule="exact"/>
        <w:rPr>
          <w:rFonts w:ascii="Arial" w:cs="Arial" w:eastAsia="Arial" w:hAnsi="Arial"/>
          <w:sz w:val="18"/>
          <w:szCs w:val="18"/>
          <w:color w:val="auto"/>
        </w:rPr>
      </w:pPr>
    </w:p>
    <w:p>
      <w:pPr>
        <w:ind w:right="40" w:firstLine="436"/>
        <w:spacing w:after="0" w:line="272" w:lineRule="auto"/>
        <w:tabs>
          <w:tab w:leader="none" w:pos="65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use its reasonable best efforts to register or qualify, and cooperate with the Holders of Registrable Securities covered by such Registration Statement, the underwriters, if any, and their respective counsel, in connection with the registration or qualification of such Registrable Securities for offer and sale under the “Blue Sky” or securities laws of each state and other jurisdiction of the United States as any such Holder or underwriters, if any, or their respective counsel reasonably request in writing, and do any and all other things reasonably necessary or advisable to keep such registration or qualification in effect for such period as required by Section 2(b) and Section 2(c), as applicable; provided, that the Corporation shall not be required to qualify generally to do business in any jurisdiction where it is not then so qualified or take any action which would subject it to taxation or service of process in any such jurisdiction where it is not then so subject;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173" w:name="page174"/>
    <w:bookmarkEnd w:id="173"/>
    <w:p>
      <w:pPr>
        <w:jc w:val="both"/>
        <w:ind w:left="4" w:right="80" w:firstLine="436"/>
        <w:spacing w:after="0" w:line="259" w:lineRule="auto"/>
        <w:tabs>
          <w:tab w:leader="none" w:pos="749" w:val="left"/>
        </w:tabs>
        <w:numPr>
          <w:ilvl w:val="1"/>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obtain for delivery to the Holders of Registrable Securities covered by such Registration Statement and to the underwriters, if any, an opinion or opinions from counsel for the Corporation, dated the effective date of the Registration Statement or, in the event of an underwritten offering, the date of the closing under the underwriting agreement, in customary form, scope and substance, which opinions shall be reasonably satisfactory to such holders or underwriters, as the case may be, and their respective counsel;</w:t>
      </w:r>
    </w:p>
    <w:p>
      <w:pPr>
        <w:spacing w:after="0" w:line="78" w:lineRule="exact"/>
        <w:rPr>
          <w:rFonts w:ascii="Arial" w:cs="Arial" w:eastAsia="Arial" w:hAnsi="Arial"/>
          <w:sz w:val="18"/>
          <w:szCs w:val="18"/>
          <w:color w:val="auto"/>
        </w:rPr>
      </w:pPr>
    </w:p>
    <w:p>
      <w:pPr>
        <w:ind w:left="4" w:right="60" w:firstLine="436"/>
        <w:spacing w:after="0" w:line="301" w:lineRule="auto"/>
        <w:tabs>
          <w:tab w:leader="none" w:pos="69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in the case of an underwritten offering, obtain for delivery to the Corporation and the underwriters, with copies to the Holders of Registrable Securities included in such Registration, a “comfort letter” from the Corporation’s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49" w:lineRule="exact"/>
        <w:rPr>
          <w:rFonts w:ascii="Arial" w:cs="Arial" w:eastAsia="Arial" w:hAnsi="Arial"/>
          <w:sz w:val="16"/>
          <w:szCs w:val="16"/>
          <w:color w:val="auto"/>
        </w:rPr>
      </w:pPr>
    </w:p>
    <w:p>
      <w:pPr>
        <w:ind w:left="4" w:right="360" w:firstLine="436"/>
        <w:spacing w:after="0" w:line="277" w:lineRule="auto"/>
        <w:tabs>
          <w:tab w:leader="none" w:pos="69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use its reasonable best efforts to list the Registrable Securities that are covered by such Registration Statement with any national securities exchange or automated quotation system on which the Shares are then listed;</w:t>
      </w:r>
    </w:p>
    <w:p>
      <w:pPr>
        <w:spacing w:after="0" w:line="62" w:lineRule="exact"/>
        <w:rPr>
          <w:rFonts w:ascii="Arial" w:cs="Arial" w:eastAsia="Arial" w:hAnsi="Arial"/>
          <w:sz w:val="18"/>
          <w:szCs w:val="18"/>
          <w:color w:val="auto"/>
        </w:rPr>
      </w:pPr>
    </w:p>
    <w:p>
      <w:pPr>
        <w:ind w:left="4" w:right="760" w:firstLine="436"/>
        <w:spacing w:after="0" w:line="277" w:lineRule="auto"/>
        <w:tabs>
          <w:tab w:leader="none" w:pos="69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62" w:lineRule="exact"/>
        <w:rPr>
          <w:rFonts w:ascii="Arial" w:cs="Arial" w:eastAsia="Arial" w:hAnsi="Arial"/>
          <w:sz w:val="18"/>
          <w:szCs w:val="18"/>
          <w:color w:val="auto"/>
        </w:rPr>
      </w:pPr>
    </w:p>
    <w:p>
      <w:pPr>
        <w:ind w:left="4" w:right="240" w:firstLine="436"/>
        <w:spacing w:after="0" w:line="287" w:lineRule="auto"/>
        <w:tabs>
          <w:tab w:leader="none" w:pos="69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cooperate with Holders including Registrable Securities in such registration and the managing underwriters, if any, to facilitate the timely preparation and delivery of certificates representing Registrable Securities to be sold, if such Registrable Securities are to be sold in certificated form, such certificates to be in such denominations and registered in such names as such Holders or the managing underwriters may request at least two</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Business Days prior to any sale of Registrable Securities;</w:t>
      </w:r>
    </w:p>
    <w:p>
      <w:pPr>
        <w:spacing w:after="0" w:line="102" w:lineRule="exact"/>
        <w:rPr>
          <w:rFonts w:ascii="Arial" w:cs="Arial" w:eastAsia="Arial" w:hAnsi="Arial"/>
          <w:sz w:val="18"/>
          <w:szCs w:val="18"/>
          <w:color w:val="auto"/>
        </w:rPr>
      </w:pPr>
    </w:p>
    <w:p>
      <w:pPr>
        <w:ind w:left="4" w:firstLine="436"/>
        <w:spacing w:after="0" w:line="342" w:lineRule="auto"/>
        <w:tabs>
          <w:tab w:leader="none" w:pos="669" w:val="left"/>
        </w:tabs>
        <w:numPr>
          <w:ilvl w:val="1"/>
          <w:numId w:val="173"/>
        </w:numPr>
        <w:rPr>
          <w:rFonts w:ascii="Arial" w:cs="Arial" w:eastAsia="Arial" w:hAnsi="Arial"/>
          <w:sz w:val="16"/>
          <w:szCs w:val="16"/>
          <w:color w:val="auto"/>
        </w:rPr>
      </w:pPr>
      <w:r>
        <w:rPr>
          <w:rFonts w:ascii="Arial" w:cs="Arial" w:eastAsia="Arial" w:hAnsi="Arial"/>
          <w:sz w:val="16"/>
          <w:szCs w:val="16"/>
          <w:color w:val="auto"/>
        </w:rPr>
        <w:t>use its reasonable best efforts to comply with all applicable securities laws and make available to its Holders, as soon as reasonably practicable, an earnings statement satisfying the provisions of Section 11(a) of the Securities Act and the rules and regulations promulgated thereunder; and</w:t>
      </w:r>
    </w:p>
    <w:p>
      <w:pPr>
        <w:spacing w:after="0" w:line="15" w:lineRule="exact"/>
        <w:rPr>
          <w:rFonts w:ascii="Arial" w:cs="Arial" w:eastAsia="Arial" w:hAnsi="Arial"/>
          <w:sz w:val="16"/>
          <w:szCs w:val="16"/>
          <w:color w:val="auto"/>
        </w:rPr>
      </w:pPr>
    </w:p>
    <w:p>
      <w:pPr>
        <w:ind w:left="4" w:right="120" w:firstLine="436"/>
        <w:spacing w:after="0" w:line="263" w:lineRule="auto"/>
        <w:tabs>
          <w:tab w:leader="none" w:pos="679"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 the case of an underwritten offering, cause the senior executive officers of the Corporation to participate in the customary “road show” presentations that may be reasonably requested by the underwriters and otherwise to facilitate, cooperate with and participate in each proposed offering contemplated herein and customary selling efforts related thereto.</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left="4" w:right="300" w:firstLine="436"/>
        <w:spacing w:after="0" w:line="255" w:lineRule="auto"/>
        <w:tabs>
          <w:tab w:leader="none" w:pos="68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Corporation will, and does hereby undertake to, indemnify and hold harmless each Holder of Registrable Securities and each of such Holder’s officers, managers, trustees, employees, partners, managers, members, equityholders, beneficiaries, affiliates and agents and each Person, if any, who controls such Holder, within the meaning of either Section 15 of the Securities Act or Section 20 of the Exchange Act, with respect to any registration, qualification, compliance or sale effected pursuant to this Agreement, and each underwriter, if any, and each Person who controls any underwriter, of the Registrable Securities held by or issuable to such Holder, against all claims, losses, damages and liabilities (or actions in respect thereto) to which</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174" w:name="page175"/>
    <w:bookmarkEnd w:id="174"/>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they may become subject under the Securities Act, the Exchange Act, or other federal or state law arising out of or based on (A) any untrue statement (or alleged untrue statement) of a material fact contained in any prospectus, offering circular, Free Writing Prospectus or other similar document (including any related Registration Statement, notification, or the like) incident to any such registration, qualification, compliance or sale effected pursuant to this Agreement, or based on any omission (or alleged omission) to state therein a material fact required to be stated therein or necessary to make the statements therein not misleading in light of the circumstances in which they were made, (B) any violation or alleged violation by the Corporation of any federal, state or common law rule or regulation applicable to the Corporation in connection with any such registration, qualification, compliance or sale, or (C) any failure to register or qualify Registrable Securities in any state where the Corporation or its agents have affirmatively undertaken or agreed in writing (including pursuant to Section 6(l)) that the Corporation (the undertaking of any underwriter being attributed to the Corporation) will undertake such registration or qualification on behalf of the Holders of such Registrable Securities (provided, that in such instance the Corporation shall not be so liable if it has undertaken its reasonable best efforts to so register or qualify such Registrable Securities) and will reimburse, as incurred, each such Holder, each such underwriter and each such manager, officer, trustee, employee, partner, manager, member, equityholder, beneficiary, affiliate, agent and controlling person, for any legal and any other expenses reasonably incurred in connection with investigating or defending any such claim, loss, damage, liability or action; provided, that the Corporation will not be liable in any such case to the extent that any such claim, loss, damage, liability or expense arises out of or is based on any untrue statement or omission made in reliance and in conformity with written information furnished to the Corporation by such Holder or underwriter expressly for use therein.</w:t>
      </w:r>
    </w:p>
    <w:p>
      <w:pPr>
        <w:spacing w:after="0" w:line="59" w:lineRule="exact"/>
        <w:rPr>
          <w:sz w:val="20"/>
          <w:szCs w:val="20"/>
          <w:color w:val="auto"/>
        </w:rPr>
      </w:pPr>
    </w:p>
    <w:p>
      <w:pPr>
        <w:ind w:firstLine="436"/>
        <w:spacing w:after="0" w:line="286" w:lineRule="auto"/>
        <w:tabs>
          <w:tab w:leader="none" w:pos="69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Holder (if Registrable Securities held by or issuable to such Holder are included in such registration, qualification, compliance or sale pursuant to this Agreement) does hereby undertake to indemnify and hold harmless, severally and not jointly, the Corporation, each of its officers, managers, employees, equityholders, affiliates and agents and each Person, if any, who controls the Corporation within the meaning of either Section 15 of the Securities Act or Section 20 of the Exchange Act, each underwriter, if any, and each Person who controls any underwriter, of the Corporation’s securities covered by such a Registration Statement, and each other Holder, each of such other Holder’s officers, managers, employees, partners, equityholders, affiliates and agents and each Person, if any, who controls such Holder within the meaning of either Section 15 of the Securities Act or Section 20 of the Exchange Act, against all claims, losses, damages and liabilities (or actions in respect thereof) arising out of or based on any untrue statement (or alleged untrue statement) of a material fact contained in any such Registration Statement, prospectus, offering circular, Free Writing Prospectus or other document, or any omission (or alleged omission) to state therein a material fact required to be stated therein or necessary to make the statements therein not misleading in light of the circumstances in which they were made, and will reimburse, as incurred, the Corporation, each such underwriter, each such other Holder, and each such officer, manager, trustee, employee, partner, equityholder, beneficiary, affiliate, agent and controlling person of the foregoing,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that (i) relates to such Holder in its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175" w:name="page176"/>
    <w:bookmarkEnd w:id="175"/>
    <w:p>
      <w:pPr>
        <w:ind w:left="4"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capacity as a selling security holder and (ii) was furnished to the Corporation by such Holder expressly for use therein; provided, however, that the aggregate liability of each Holder hereunder shall be limited to the gross proceeds after underwriting discounts and commissions received by such Holder upon the sale of the Registrable Securities giving rise to such indemnification obligation. It is understood and agreed that the indemnification obligations of each Holder pursuant to any underwriting agreement entered into in connection with any Registration Statement shall be limited to the obligations contained in this Section 7(b).</w:t>
      </w:r>
    </w:p>
    <w:p>
      <w:pPr>
        <w:spacing w:after="0" w:line="188"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Each party entitled to indemnification under this Section 7 (the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shall give notice to the party required to provide such indemnification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of any claim as to which indemnification may be sought promptly after such Indemnified Party has actual knowledge thereof, and shall permit the Indemnifying Party to assume the defense of any such claim or any litigation resulting therefrom; provided, that counsel for the Indemnifying Party, who shall conduct the defense of such claim or litigation, shall be subject to approval by the Indemnified Party (whose approval shall not be unreasonably withheld), and the Indemnified Party may retain its own counsel at the Indemnifying Party’s expense if</w:t>
      </w:r>
    </w:p>
    <w:p>
      <w:pPr>
        <w:spacing w:after="0" w:line="2" w:lineRule="exact"/>
        <w:rPr>
          <w:sz w:val="20"/>
          <w:szCs w:val="20"/>
          <w:color w:val="auto"/>
        </w:rPr>
      </w:pPr>
    </w:p>
    <w:p>
      <w:pPr>
        <w:ind w:left="4" w:hanging="4"/>
        <w:spacing w:after="0" w:line="268" w:lineRule="auto"/>
        <w:tabs>
          <w:tab w:leader="none" w:pos="219" w:val="left"/>
        </w:tabs>
        <w:numPr>
          <w:ilvl w:val="0"/>
          <w:numId w:val="176"/>
        </w:numPr>
        <w:rPr>
          <w:rFonts w:ascii="Arial" w:cs="Arial" w:eastAsia="Arial" w:hAnsi="Arial"/>
          <w:sz w:val="17"/>
          <w:szCs w:val="17"/>
          <w:color w:val="auto"/>
        </w:rPr>
      </w:pPr>
      <w:r>
        <w:rPr>
          <w:rFonts w:ascii="Arial" w:cs="Arial" w:eastAsia="Arial" w:hAnsi="Arial"/>
          <w:sz w:val="17"/>
          <w:szCs w:val="17"/>
          <w:color w:val="auto"/>
        </w:rPr>
        <w:t>representation of such Indemnified Party would be inappropriate due to actual or potential differing interests between such Indemnified Party and any other party represented by such counsel in such proceeding and (ii) if the Indemnified Party shall have reasonably concluded that there may be legal defenses available to it that are different from or in addition to those available to the Indemnifying Party; and provided, further, that the failure of any Indemnified Party to give notice as provided herein shall not relieve the Indemnifying Party of its obligations under this Section 7, except to the extent that such failure to give notice materially prejudices the Indemnifying Party in the defense of any such claim or any such litigation. An Indemnifying Party, in the defense of any such claim or litigation, may, without the consent of each Indemnified Party, consent to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70" w:lineRule="exact"/>
        <w:rPr>
          <w:rFonts w:ascii="Arial" w:cs="Arial" w:eastAsia="Arial" w:hAnsi="Arial"/>
          <w:sz w:val="17"/>
          <w:szCs w:val="17"/>
          <w:color w:val="auto"/>
        </w:rPr>
      </w:pPr>
    </w:p>
    <w:p>
      <w:pPr>
        <w:ind w:left="4" w:right="20" w:firstLine="436"/>
        <w:spacing w:after="0" w:line="269" w:lineRule="auto"/>
        <w:tabs>
          <w:tab w:leader="none" w:pos="689" w:val="left"/>
        </w:tabs>
        <w:numPr>
          <w:ilvl w:val="1"/>
          <w:numId w:val="176"/>
        </w:numPr>
        <w:rPr>
          <w:rFonts w:ascii="Arial" w:cs="Arial" w:eastAsia="Arial" w:hAnsi="Arial"/>
          <w:sz w:val="17"/>
          <w:szCs w:val="17"/>
          <w:color w:val="auto"/>
        </w:rPr>
      </w:pPr>
      <w:r>
        <w:rPr>
          <w:rFonts w:ascii="Arial" w:cs="Arial" w:eastAsia="Arial" w:hAnsi="Arial"/>
          <w:sz w:val="17"/>
          <w:szCs w:val="17"/>
          <w:color w:val="auto"/>
        </w:rPr>
        <w:t>In order to provide for just and equitable contribution in case indemnification is prohibited or limited by law, the Indemnifying Party, in lieu of indemnifying such Indemnified Party, shall contribute to the amount paid or payable by such Indemnified Party as a result of such losses, claims, damages or liabilities in such proportion as is appropriate to reflect the relative fault of the Indemnifying Party and Indemnified Party in connection with the actions which resulted in such losses, claims, damages or liabilities, as well as any other relevant 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such Person’s relative intent, knowledge, access to information and opportunity to correct or prevent such actions; provided, however, that, in any case, (i) no Holder will be required to contribute any amount in excess of the gross proceeds after underwriting discounts and commissions received by such Holder upon the sale of the Registrable Securities giving rise to such contribution obligation and (ii) no Person guilty of fraudulent misrepresentation (within the meaning of Section 11(f) of the Securities Act) will be entitled to contribution from any Person who was not guilty of such fraudulent misrepresentation.</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176" w:name="page177"/>
    <w:bookmarkEnd w:id="1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 The indemnities provided in this Section 7 shall survive the Transfer of any Registrable Securities by such Holder.</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Information by Holder</w:t>
      </w:r>
      <w:r>
        <w:rPr>
          <w:rFonts w:ascii="Arial" w:cs="Arial" w:eastAsia="Arial" w:hAnsi="Arial"/>
          <w:sz w:val="16"/>
          <w:szCs w:val="16"/>
          <w:color w:val="auto"/>
        </w:rPr>
        <w:t>. The Holder or Holders of Registrable Securities included in any registration shall furnish to the Corporation such information regarding such Holder or Holders and the distribution proposed by such Holder or Holders as the Corporation may reasonably request in writing and as shall be required in connection with any registration, qualification or compliance referred to in this Agreement.</w:t>
      </w:r>
    </w:p>
    <w:p>
      <w:pPr>
        <w:spacing w:after="0" w:line="14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Transfer of Registration Rights</w:t>
      </w:r>
      <w:r>
        <w:rPr>
          <w:rFonts w:ascii="Arial" w:cs="Arial" w:eastAsia="Arial" w:hAnsi="Arial"/>
          <w:sz w:val="18"/>
          <w:szCs w:val="18"/>
          <w:color w:val="auto"/>
        </w:rPr>
        <w:t>. Any Holder may assign or otherwise convey the rights contained in Section 2, Section 3 and Section 4 hereof to cause the Corporation to register the Registrable Securities and comply with its other obligations hereunder if, after such assignment or conveyance, the applicable transferee holds at least 5% of the outstanding Registrable Securities.</w:t>
      </w:r>
    </w:p>
    <w:p>
      <w:pPr>
        <w:spacing w:after="0" w:line="184"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No Holder shall have any right to obtain, and hereby waives any right to seek, an injunction restraining or otherwise delaying any such registration as the result of any controversy that might arise with respect to the interpretation or implementation of this Agreement.</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Corporation shall not, without the prior written consent of the CBP Holders, enter into any agreement with any holder or prospective holder of any securities of the Corporation that would allow such holder or prospective holder to (i) require the Corporation to effect a registration or (ii) include any securities in any registration filed under Section 2, Section 3 and Section 4 hereof.</w:t>
      </w:r>
    </w:p>
    <w:p>
      <w:pPr>
        <w:spacing w:after="0" w:line="18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to the Holders the benefits of certain rules and regulations of the SEC that may permit the sale of the Registrable Securities to the public without registration, the Corporation, following the IPO, agrees to use its reasonable best efforts to:</w:t>
      </w:r>
    </w:p>
    <w:p>
      <w:pPr>
        <w:spacing w:after="0" w:line="76" w:lineRule="exact"/>
        <w:rPr>
          <w:sz w:val="20"/>
          <w:szCs w:val="20"/>
          <w:color w:val="auto"/>
        </w:rPr>
      </w:pPr>
    </w:p>
    <w:p>
      <w:pPr>
        <w:ind w:right="40" w:firstLine="436"/>
        <w:spacing w:after="0" w:line="277"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make and keep current public information available, within the meaning of Rule 144 (or any similar or analogous rule) promulgated under the Securities Act, at all times after it has become subject to the reporting requirements of the Exchange Act;</w:t>
      </w:r>
    </w:p>
    <w:p>
      <w:pPr>
        <w:spacing w:after="0" w:line="62"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Corporation under the Securities Act and Exchange Act (after it has become subject to such reporting requirements); and</w:t>
      </w:r>
    </w:p>
    <w:p>
      <w:pPr>
        <w:spacing w:after="0" w:line="62"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so long as a Holder owns any Registrable Securities, furnish to such Holder forthwith upon request: (i) a written statement by the Corporation as to its compliance with the reporting requirements of said Rule 144 (at any time commencing ninety (90) days after the effective date of the first registration filed by the Corporation for an offering of its securities to the general public), the Securities Act and the Exchange Act (at any time after it has become subject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40" w:top="274" w:right="519" w:bottom="1440" w:gutter="0" w:footer="0" w:header="0"/>
        </w:sectPr>
      </w:pPr>
    </w:p>
    <w:bookmarkStart w:id="177" w:name="page178"/>
    <w:bookmarkEnd w:id="177"/>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such reporting requirements); (ii) a copy of the most recent annual or quarterly report of the Corporation; and (iii) such other reports and documents as a Holder may reasonably request in availing itself of any rule or regulation of the SEC allowing it to sell any such securities without registration.</w:t>
      </w:r>
    </w:p>
    <w:p>
      <w:pPr>
        <w:spacing w:after="0" w:line="124"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“Market Stand Off” Agreement</w:t>
      </w:r>
      <w:r>
        <w:rPr>
          <w:rFonts w:ascii="Arial" w:cs="Arial" w:eastAsia="Arial" w:hAnsi="Arial"/>
          <w:sz w:val="17"/>
          <w:szCs w:val="17"/>
          <w:color w:val="auto"/>
        </w:rPr>
        <w:t>. Each Holder hereby agrees that during (i) such period beginning on the date hereof and ending no more than one hundred and eighty (180) days following the effective date of the Registration Statement of the Corporation filed in connection with the IPO or such shorter period as the CBP Holders may agree to with the underwriter or underwriters of such underwritten offering (the “</w:t>
      </w:r>
      <w:r>
        <w:rPr>
          <w:rFonts w:ascii="Arial" w:cs="Arial" w:eastAsia="Arial" w:hAnsi="Arial"/>
          <w:sz w:val="17"/>
          <w:szCs w:val="17"/>
          <w:b w:val="1"/>
          <w:bCs w:val="1"/>
          <w:i w:val="1"/>
          <w:iCs w:val="1"/>
          <w:color w:val="auto"/>
        </w:rPr>
        <w:t>IPO Lock-Up</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Period</w:t>
      </w:r>
      <w:r>
        <w:rPr>
          <w:rFonts w:ascii="Arial" w:cs="Arial" w:eastAsia="Arial" w:hAnsi="Arial"/>
          <w:sz w:val="17"/>
          <w:szCs w:val="17"/>
          <w:color w:val="auto"/>
        </w:rPr>
        <w:t>”) and (ii) with respect to underwritten offerings only (other than the IPO), such period beginning seven (7) days immediately preceding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ending no more than ninety (90) days following the effective date of a registration statement of the Corporation (or, in the case of an Underwritten Shelf Take-Down, following the date of the filing or effectiveness of a preliminary prospectus or prospectus supplement relating to such underwritten offering (or if there is no such filing, the first contemporaneous press release announcing commencement of such underwritten offering)) or such shorter period as the applicable Initiating Holder may agree to with the underwriter or underwriters of such underwritten offering (provided, that, in each case, such period shall not exceed forty five (45) days following such effective date, date of filing, effectiveness or first contemporaneous press release without the prior written consent of the CBP Holders), such Holder or its Affiliates shall not sell, pledge, hypothecate, transfer, make any short sale of, loan, grant any option or right to purchase of, or otherwise transfer or dispose of (other than to donees who agree to be similarly bound) any Registrable Securities held by it at any time during such period except Registrable Securities included in such registration. Each Holder agrees that it shall deliver to the underwriter or underwriters or any offering to which clause (i) or (ii) is applicable a customary agreement (with customary terms, conditions and exceptions) that is substantially similar to the agreement delivered to the underwriter or underwriters as the agreements delivered by each of the CBP Holders reflecting its agreement set forth in this Section 13.</w:t>
      </w:r>
    </w:p>
    <w:p>
      <w:pPr>
        <w:spacing w:after="0" w:line="182"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Termination of Registration Rights</w:t>
      </w:r>
      <w:r>
        <w:rPr>
          <w:rFonts w:ascii="Arial" w:cs="Arial" w:eastAsia="Arial" w:hAnsi="Arial"/>
          <w:sz w:val="16"/>
          <w:szCs w:val="16"/>
          <w:color w:val="auto"/>
        </w:rPr>
        <w:t>. The rights of any particular Holder to cause the Corporation to register securities under Section 2, Section 3 or Section 4 hereof shall terminate as to any Holder on the date that such Holder no longer beneficially owns any Registrable Securities.</w:t>
      </w:r>
    </w:p>
    <w:p>
      <w:pPr>
        <w:spacing w:after="0" w:line="124"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Additional Parties; Joinder</w:t>
      </w:r>
      <w:r>
        <w:rPr>
          <w:rFonts w:ascii="Arial" w:cs="Arial" w:eastAsia="Arial" w:hAnsi="Arial"/>
          <w:sz w:val="17"/>
          <w:szCs w:val="17"/>
          <w:color w:val="auto"/>
        </w:rPr>
        <w:t>. Subject to the prior written consent of each Holder, the Corporation may make any Person who acquires Class A Common Stock or rights to acquire Class A Common Stock from the Corporation after the date hereof (including without limitation any Person who acquires Common Units) a party to this Agreement (each such Person, an “</w:t>
      </w:r>
      <w:r>
        <w:rPr>
          <w:rFonts w:ascii="Arial" w:cs="Arial" w:eastAsia="Arial" w:hAnsi="Arial"/>
          <w:sz w:val="17"/>
          <w:szCs w:val="17"/>
          <w:b w:val="1"/>
          <w:bCs w:val="1"/>
          <w:i w:val="1"/>
          <w:iCs w:val="1"/>
          <w:color w:val="auto"/>
        </w:rPr>
        <w:t>Additional Holder</w:t>
      </w:r>
      <w:r>
        <w:rPr>
          <w:rFonts w:ascii="Arial" w:cs="Arial" w:eastAsia="Arial" w:hAnsi="Arial"/>
          <w:sz w:val="17"/>
          <w:szCs w:val="17"/>
          <w:color w:val="auto"/>
        </w:rPr>
        <w:t>”) and to succeed to all of the rights and obligations of a Holder under this Agreement by obtaining an executed joinder to this Agreement from such Additional Holder in the form of Exhibit A attached hereto (a “</w:t>
      </w:r>
      <w:r>
        <w:rPr>
          <w:rFonts w:ascii="Arial" w:cs="Arial" w:eastAsia="Arial" w:hAnsi="Arial"/>
          <w:sz w:val="17"/>
          <w:szCs w:val="17"/>
          <w:b w:val="1"/>
          <w:bCs w:val="1"/>
          <w:i w:val="1"/>
          <w:iCs w:val="1"/>
          <w:color w:val="auto"/>
        </w:rPr>
        <w:t>Joinder</w:t>
      </w:r>
      <w:r>
        <w:rPr>
          <w:rFonts w:ascii="Arial" w:cs="Arial" w:eastAsia="Arial" w:hAnsi="Arial"/>
          <w:sz w:val="17"/>
          <w:szCs w:val="17"/>
          <w:color w:val="auto"/>
        </w:rPr>
        <w:t>”). Upon the execution and delivery of a Joinder by such Additional Holder, the Class A Common Stock of the Corporation acquired by such Additional Holder or issuable upon redemption or exchange of Common Units acquired by such Additional Holder (the “</w:t>
      </w:r>
      <w:r>
        <w:rPr>
          <w:rFonts w:ascii="Arial" w:cs="Arial" w:eastAsia="Arial" w:hAnsi="Arial"/>
          <w:sz w:val="17"/>
          <w:szCs w:val="17"/>
          <w:b w:val="1"/>
          <w:bCs w:val="1"/>
          <w:i w:val="1"/>
          <w:iCs w:val="1"/>
          <w:color w:val="auto"/>
        </w:rPr>
        <w:t>Acquired Common</w:t>
      </w:r>
      <w:r>
        <w:rPr>
          <w:rFonts w:ascii="Arial" w:cs="Arial" w:eastAsia="Arial" w:hAnsi="Arial"/>
          <w:sz w:val="17"/>
          <w:szCs w:val="17"/>
          <w:color w:val="auto"/>
        </w:rPr>
        <w:t>”) shall be Registrable Securities to the extent provided herein, such Additional Holder shall be a Holder under this Agreement with respect to the Acquired Common, and the Corporation shall add such Additional Holder’s name and address to the Schedule of Holders and circulate such information to the parties to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178" w:name="page179"/>
    <w:bookmarkEnd w:id="178"/>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16. </w:t>
      </w:r>
      <w:r>
        <w:rPr>
          <w:rFonts w:ascii="Arial" w:cs="Arial" w:eastAsia="Arial" w:hAnsi="Arial"/>
          <w:sz w:val="17"/>
          <w:szCs w:val="17"/>
          <w:u w:val="single" w:color="auto"/>
          <w:color w:val="auto"/>
        </w:rPr>
        <w:t>Transfer of Registrable Securities</w:t>
      </w:r>
      <w:r>
        <w:rPr>
          <w:rFonts w:ascii="Arial" w:cs="Arial" w:eastAsia="Arial" w:hAnsi="Arial"/>
          <w:sz w:val="17"/>
          <w:szCs w:val="17"/>
          <w:color w:val="auto"/>
        </w:rPr>
        <w:t>. No assignment or transfer of any Holder’s rights, duties and obligations hereunder shall be binding upon or obligate the Corporation, and no Transferee shall be deemed a Holder hereunder, unless and until the Corporation shall have received a Joinder, duly executed by such Transferee, agreeing to be bound by the terms of this Agreement. Any transfer or attempted transfer of any Holder’s rights, duties and obligations hereunder in violation of any provision of this Agreement shall be void, and the Corporation, in its sole discretion, may refuse to acknowledge or sign any Joinder entered into in violation of any provision of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MNPI Provisions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59" w:lineRule="auto"/>
        <w:tabs>
          <w:tab w:leader="none" w:pos="6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Holder acknowledges that the provisions of this Agreement that require communications by the Corporation or other Holders to such Holder may result in such Holder and its Representatives (as defined below) acquiring MNPI (which may include, solely by way of illustration, the fact that an offering of the Corporation’s securities is pending or the number of Corporation securities to be offered by, or the identity of, the selling Holders).</w:t>
      </w:r>
    </w:p>
    <w:p>
      <w:pPr>
        <w:spacing w:after="0" w:line="78" w:lineRule="exact"/>
        <w:rPr>
          <w:rFonts w:ascii="Arial" w:cs="Arial" w:eastAsia="Arial" w:hAnsi="Arial"/>
          <w:sz w:val="18"/>
          <w:szCs w:val="18"/>
          <w:color w:val="auto"/>
        </w:rPr>
      </w:pPr>
    </w:p>
    <w:p>
      <w:pPr>
        <w:ind w:firstLine="436"/>
        <w:spacing w:after="0" w:line="288"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Each Holder agrees that it will maintain the confidentiality of such MNPI and, to the extent such Holder is not a natural person, such confidential treatment shall be in accordance with procedures adopted by it in good faith to protect confidential information of third parties delivered to such Holder (“</w:t>
      </w:r>
      <w:r>
        <w:rPr>
          <w:rFonts w:ascii="Arial" w:cs="Arial" w:eastAsia="Arial" w:hAnsi="Arial"/>
          <w:sz w:val="16"/>
          <w:szCs w:val="16"/>
          <w:b w:val="1"/>
          <w:bCs w:val="1"/>
          <w:i w:val="1"/>
          <w:iCs w:val="1"/>
          <w:color w:val="auto"/>
        </w:rPr>
        <w:t>Policies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holder may deliver or disclose MNPI to (i) its directors, officers, employees, agents, attorneys, members, affiliates and financial and other advisors (collectively,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but solely to the extent such disclosure reasonably relates to its evaluation of exercise of its rights under this Agreement and the sale of any Registrable Securities in connection with the subject of the notice,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case of clause (i), the recipients of such MNPI are subject to the Policies or agree to hold confidential the MNPI in a manner substantially consistent with the terms of this Section 17 and that in the case of clauses (ii) through (v), such disclosure is required by law and such Holder shall promptly notify the Corporation of such disclosure to the extent such Holder is legally permitted to give such notice.</w:t>
      </w:r>
    </w:p>
    <w:p>
      <w:pPr>
        <w:spacing w:after="0" w:line="60" w:lineRule="exact"/>
        <w:rPr>
          <w:rFonts w:ascii="Arial" w:cs="Arial" w:eastAsia="Arial" w:hAnsi="Arial"/>
          <w:sz w:val="16"/>
          <w:szCs w:val="16"/>
          <w:color w:val="auto"/>
        </w:rPr>
      </w:pPr>
    </w:p>
    <w:p>
      <w:pPr>
        <w:ind w:right="40" w:firstLine="436"/>
        <w:spacing w:after="0" w:line="289" w:lineRule="auto"/>
        <w:tabs>
          <w:tab w:leader="none" w:pos="68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Each Holder shall have the right, at any time and from time to time (including after receiving information regarding any potential Public Offering), to elect to not receive any notice that the Corporation or any other Holders otherwise are required to deliver pursuant to this Agreement by delivering to the Corporation a written statement signed by such Holder that it does not want to receive any notices hereunder (an “</w:t>
      </w:r>
      <w:r>
        <w:rPr>
          <w:rFonts w:ascii="Arial" w:cs="Arial" w:eastAsia="Arial" w:hAnsi="Arial"/>
          <w:sz w:val="16"/>
          <w:szCs w:val="16"/>
          <w:b w:val="1"/>
          <w:bCs w:val="1"/>
          <w:i w:val="1"/>
          <w:iCs w:val="1"/>
          <w:color w:val="auto"/>
        </w:rPr>
        <w:t>Opt-Out Request</w:t>
      </w:r>
      <w:r>
        <w:rPr>
          <w:rFonts w:ascii="Arial" w:cs="Arial" w:eastAsia="Arial" w:hAnsi="Arial"/>
          <w:sz w:val="16"/>
          <w:szCs w:val="16"/>
          <w:color w:val="auto"/>
        </w:rPr>
        <w:t xml:space="preserve">”); in which case and notwithstanding anything to the contrary in this Agreement the Corporation and other Holders shall not be required to, and shall not, deliver any notice or other information required to be provided to Holders hereunder to the extent that the Corporation or such other Holders reasonably expect would result in a Holder acquiring MNPI. An Opt-Out Request may state a date on which it expires or, if no such date is specified, shall remain in effect indefinitely. A Holder who previously has given the Corporation an Opt-Out Request may revoke such request at any time, and there shall be no limit on the ability of a Holder to issue and revoke subsequent Opt-Out Requests;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Holder shall use commercially reasonable efforts to minimize the administrative burden on the Corporation arising in connection with any such Opt-Out Requests.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179" w:name="page180"/>
    <w:bookmarkEnd w:id="1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18. </w:t>
      </w: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9" w:lineRule="auto"/>
        <w:tabs>
          <w:tab w:leader="none" w:pos="685"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Except as otherwise provided herein, the provisions of this Agreement may be amended, modified, terminated or waived only with the prior written consent of the Corporation and each of the CBP Holders and the NVX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amendment, modification, termination or waiver that would materially and adversely affect a Holder in a manner materially different than any other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accession by Additional Holders to this Agreement pursuant to Section 15 shall not be deemed to adversely affect any Holder), shall be effective against such Holder without the consent of such Holder that is materially and adversely affected thereby. The failure or delay of any Person to enforce any of the provisions of this Agreement shall in no way be construed as a waiver of such provisions and shall not affect the right of such Person thereafter to enforce each and every provision of this Agreement in accordance with its terms. A waiver or consent to or of any breach or default by any Person in the performance by that Person of his, her or its obligations under this Agreement shall not be deemed to be a consent or waiver to or of any other breach or default in the performance by that Person of the same or any other obligations of that Person under this Agreement.</w:t>
      </w:r>
    </w:p>
    <w:p>
      <w:pPr>
        <w:spacing w:after="0" w:line="58" w:lineRule="exact"/>
        <w:rPr>
          <w:rFonts w:ascii="Arial" w:cs="Arial" w:eastAsia="Arial" w:hAnsi="Arial"/>
          <w:sz w:val="16"/>
          <w:szCs w:val="16"/>
          <w:color w:val="auto"/>
        </w:rPr>
      </w:pPr>
    </w:p>
    <w:p>
      <w:pPr>
        <w:ind w:firstLine="436"/>
        <w:spacing w:after="0" w:line="273" w:lineRule="auto"/>
        <w:tabs>
          <w:tab w:leader="none" w:pos="695"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parties to this Agreement shall be entitled to enforce their rights under this Agreement specifically (without posting a bond or other security), to recover damages caused by reason of any breach of any provision of this Agreement and to exercise all other rights existing in their favor. The parties hereto agree and acknowledge that a breach of this Agreement would cause irreparable harm and money damages would not be an adequate remedy for any such breach and that, in addition to any other rights and remedies existing hereunder, any party shall be entitled to specific performance and/or other injunctive relief from any court of law or equity of competent jurisdiction (without posting any bond or other security) in order to enforce or prevent violation of the provisions of this Agreement.</w:t>
      </w:r>
    </w:p>
    <w:p>
      <w:pPr>
        <w:spacing w:after="0" w:line="69" w:lineRule="exact"/>
        <w:rPr>
          <w:rFonts w:ascii="Arial" w:cs="Arial" w:eastAsia="Arial" w:hAnsi="Arial"/>
          <w:sz w:val="17"/>
          <w:szCs w:val="17"/>
          <w:color w:val="auto"/>
        </w:rPr>
      </w:pPr>
    </w:p>
    <w:p>
      <w:pPr>
        <w:ind w:right="80" w:firstLine="436"/>
        <w:spacing w:after="0" w:line="275" w:lineRule="auto"/>
        <w:tabs>
          <w:tab w:leader="none" w:pos="685"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of this Agreement shall be interpreted in such manner as to be effective and valid under applicable law, but if any provision of this Agreement is held to be prohibited, invalid, illegal or unenforceable in any respect under any applicable law or regulation in any jurisdiction, such prohibition, invalidity, illegality or unenforceability shall not affect the validity, legality or enforceability of any other provision of this Agreement in such jurisdiction or in any other jurisdiction, but this Agreement shall be reformed, construed and enforced in such jurisdiction as if such prohibited, invalid, illegal or unenforceable provision had never been contained herein.</w:t>
      </w:r>
    </w:p>
    <w:p>
      <w:pPr>
        <w:spacing w:after="0" w:line="68" w:lineRule="exact"/>
        <w:rPr>
          <w:rFonts w:ascii="Arial" w:cs="Arial" w:eastAsia="Arial" w:hAnsi="Arial"/>
          <w:sz w:val="17"/>
          <w:szCs w:val="17"/>
          <w:color w:val="auto"/>
        </w:rPr>
      </w:pPr>
    </w:p>
    <w:p>
      <w:pPr>
        <w:ind w:right="20" w:firstLine="436"/>
        <w:spacing w:after="0" w:line="263" w:lineRule="auto"/>
        <w:tabs>
          <w:tab w:leader="none" w:pos="695"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Except as otherwise provided herein, this Agreement contains the complete agreement and understanding among the parties hereto with respect to the subject matter hereof and supersedes and preempts any prior understandings, agreements or representations by or among the parties hereto, written or oral, which may have related to the subject matter hereof in any way.</w:t>
      </w:r>
    </w:p>
    <w:p>
      <w:pPr>
        <w:spacing w:after="0" w:line="75" w:lineRule="exact"/>
        <w:rPr>
          <w:rFonts w:ascii="Arial" w:cs="Arial" w:eastAsia="Arial" w:hAnsi="Arial"/>
          <w:sz w:val="18"/>
          <w:szCs w:val="18"/>
          <w:color w:val="auto"/>
        </w:rPr>
      </w:pPr>
    </w:p>
    <w:p>
      <w:pPr>
        <w:ind w:right="180" w:firstLine="436"/>
        <w:spacing w:after="0" w:line="259" w:lineRule="auto"/>
        <w:tabs>
          <w:tab w:leader="none" w:pos="685"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inure to the benefit and be enforceable by the Corporation and its successors and assigns and the Holders and their respective successors and assigns (whether so expressed or not). In addition, whether or not any express assignment has been made, the provisions of this Agreement which are for the benefit of Holders are also for the benefit of, and enforceable by, any subsequent or successor Holder.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180" w:name="page181"/>
    <w:bookmarkEnd w:id="180"/>
    <w:p>
      <w:pPr>
        <w:ind w:right="120" w:firstLine="436"/>
        <w:spacing w:after="0" w:line="271" w:lineRule="auto"/>
        <w:tabs>
          <w:tab w:leader="none" w:pos="665"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Notices</w:t>
      </w:r>
      <w:r>
        <w:rPr>
          <w:rFonts w:ascii="Arial" w:cs="Arial" w:eastAsia="Arial" w:hAnsi="Arial"/>
          <w:sz w:val="17"/>
          <w:szCs w:val="17"/>
          <w:color w:val="auto"/>
        </w:rPr>
        <w:t>. Any notice, demand or other communication to be given under or by reason of the provisions of this Agreement shall be in writing and shall be deemed to have been given (i) when delivered personally to the recipient, (ii) when sent by confirmed electronic mail or facsimile if sent during normal business hours of the recipient but, if not, then on the next Business Day, (iii) one Business Day after it is sent to the recipient by reputable overnight courier service (charges prepaid) or (iv) three Business Days after it is mailed to the recipient by first class mail, return receipt requested. Such notices, demands and other communications shall be sent to the Corporation at the address specified below and to any party subject to this Agreement at such address as indicated on the Schedule of Holders, or at such address or to the attention of such other Person as the recipient party has specified by prior written notice to the sending party. Any party may change such party’s address for receipt of notice by providing prior written notice of the change to the sending party as provided herein. The Corporation’s address is: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Chief Legal Officer</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Ian Schuman, Esq. and Stelios Saffos, Esq.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751-1894</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or to the attention of such other Person as the recipient party has specified by prior written notice to the sending party.</w:t>
      </w:r>
    </w:p>
    <w:p>
      <w:pPr>
        <w:spacing w:after="0" w:line="129" w:lineRule="exact"/>
        <w:rPr>
          <w:sz w:val="20"/>
          <w:szCs w:val="20"/>
          <w:color w:val="auto"/>
        </w:rPr>
      </w:pPr>
    </w:p>
    <w:p>
      <w:pPr>
        <w:ind w:right="20" w:firstLine="436"/>
        <w:spacing w:after="0" w:line="277"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Business Days</w:t>
      </w:r>
      <w:r>
        <w:rPr>
          <w:rFonts w:ascii="Arial" w:cs="Arial" w:eastAsia="Arial" w:hAnsi="Arial"/>
          <w:sz w:val="18"/>
          <w:szCs w:val="18"/>
          <w:color w:val="auto"/>
        </w:rPr>
        <w:t>. If any time period for giving notice or taking action hereunder expires on a day that is not a Business Day, the time period shall automatically be extended to the immediately following Business Day.</w:t>
      </w:r>
    </w:p>
    <w:p>
      <w:pPr>
        <w:spacing w:after="0" w:line="62" w:lineRule="exact"/>
        <w:rPr>
          <w:rFonts w:ascii="Arial" w:cs="Arial" w:eastAsia="Arial" w:hAnsi="Arial"/>
          <w:sz w:val="18"/>
          <w:szCs w:val="18"/>
          <w:color w:val="auto"/>
        </w:rPr>
      </w:pPr>
    </w:p>
    <w:p>
      <w:pPr>
        <w:ind w:firstLine="436"/>
        <w:spacing w:after="0" w:line="257"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corporate law of the State of Delaware shall govern all issues and questions concerning the relative rights of the Corporation and its stockholders. All other issues and questions concerning the construction, validity, interpretation and enforcement of this Agreement and the exhibits and schedules hereto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79" w:lineRule="exact"/>
        <w:rPr>
          <w:rFonts w:ascii="Arial" w:cs="Arial" w:eastAsia="Arial" w:hAnsi="Arial"/>
          <w:sz w:val="18"/>
          <w:szCs w:val="18"/>
          <w:color w:val="auto"/>
        </w:rPr>
      </w:pPr>
    </w:p>
    <w:p>
      <w:pPr>
        <w:ind w:right="440" w:firstLine="436"/>
        <w:spacing w:after="0" w:line="279" w:lineRule="auto"/>
        <w:tabs>
          <w:tab w:leader="none" w:pos="655"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MUTUAL WAIVER OF JURY TRIAL</w:t>
      </w:r>
      <w:r>
        <w:rPr>
          <w:rFonts w:ascii="Arial" w:cs="Arial" w:eastAsia="Arial" w:hAnsi="Arial"/>
          <w:sz w:val="17"/>
          <w:szCs w:val="17"/>
          <w:color w:val="auto"/>
        </w:rPr>
        <w:t>.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81" w:name="page182"/>
    <w:bookmarkEnd w:id="181"/>
    <w:p>
      <w:pPr>
        <w:ind w:left="-20" w:firstLine="436"/>
        <w:spacing w:after="0" w:line="252" w:lineRule="auto"/>
        <w:tabs>
          <w:tab w:leader="none" w:pos="63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CONSENT TO JURISDICTION AND SERVICE OF PROCESS</w:t>
      </w:r>
      <w:r>
        <w:rPr>
          <w:rFonts w:ascii="Arial" w:cs="Arial" w:eastAsia="Arial" w:hAnsi="Arial"/>
          <w:sz w:val="18"/>
          <w:szCs w:val="18"/>
          <w:color w:val="auto"/>
        </w:rPr>
        <w:t>. EACH OF THE PARTIES IRREVOCABLY SUBMITS TO THE NON-EXCLUSIVE JURISDICTION OF THE FEDERAL COURTS OF THE UNITED STATES OF AMERICA LOCATED IN THE CITY AND COUNTY OF NEW YORK BOROUGH OF MANHATTAN, FOR THE PURPOSES OF ANY SUIT, ACTION OR OTHER PROCEEDING ARISING OUT OF THIS AGREEMENT, ANY RELATED AGREEMENT OR ANY TRANSACTION CONTEMPLATED HEREBY OR THEREBY. EACH OF THE PARTIES HERETO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PARAGRAPH. EACH OF THE PARTIES HERETO IRREVOCABLY AND UNCONDITIONALLY WAIVES ANY OBJECTION TO THE LAYING OF VENUE OF ANY ACTION, SUIT OR PROCEEDING ARISING OUT OF THIS AGREEMENT, ANY RELATED DOCUMENT OR THE TRANSACTIONS CONTEMPLATED HEREBY AND THEREBY IN THE UNITED STATES DISTRICT COURT FOR THE DISTRICT OF DELAWARE, AND HEREBY AND THEREBY FURTHER IRREVOCABLY AND UNCONDITIONALLY WAIVES AND AGREES NOT TO PLEAD OR CLAIM IN ANY SUCH COURT THAT ANY SUCH ACTION, SUIT OR PROCEEDING BROUGHT IN ANY SUCH COURT HAS BEEN BROUGHT IN AN INCONVENIENT FORUM.</w:t>
      </w:r>
    </w:p>
    <w:p>
      <w:pPr>
        <w:spacing w:after="0" w:line="90" w:lineRule="exact"/>
        <w:rPr>
          <w:rFonts w:ascii="Arial" w:cs="Arial" w:eastAsia="Arial" w:hAnsi="Arial"/>
          <w:sz w:val="18"/>
          <w:szCs w:val="18"/>
          <w:color w:val="auto"/>
        </w:rPr>
      </w:pPr>
    </w:p>
    <w:p>
      <w:pPr>
        <w:ind w:left="-20" w:right="20" w:firstLine="436"/>
        <w:spacing w:after="0" w:line="290" w:lineRule="auto"/>
        <w:tabs>
          <w:tab w:leader="none" w:pos="675"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anything to the contrary in this Agreement, the Corporation and each Holder agrees and acknowledges that no recourse under this Agreement or any documents or instruments delivered in connection with this Agreement, shall be had against any current or future director, officer, employee, general or limited partner or member of any Holder or of any Affiliate or assignee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officer, agent or employee of any Holder or any current or future member of any Holder or any current or future director, officer, employee, partner or member of any Holder or of any Affiliate or assignee thereof, as such for any obligation of any Holder under this Agreement or any documents or instruments delivered in connection with this Agreement for any claim based on, in respect of or by reason of such obligations or their creation.</w:t>
      </w:r>
    </w:p>
    <w:p>
      <w:pPr>
        <w:spacing w:after="0" w:line="57" w:lineRule="exact"/>
        <w:rPr>
          <w:rFonts w:ascii="Arial" w:cs="Arial" w:eastAsia="Arial" w:hAnsi="Arial"/>
          <w:sz w:val="16"/>
          <w:szCs w:val="16"/>
          <w:color w:val="auto"/>
        </w:rPr>
      </w:pPr>
    </w:p>
    <w:p>
      <w:pPr>
        <w:ind w:left="-20" w:right="20" w:firstLine="436"/>
        <w:spacing w:after="0" w:line="277" w:lineRule="auto"/>
        <w:tabs>
          <w:tab w:leader="none" w:pos="63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Descriptive Headings; Interpretation</w:t>
      </w:r>
      <w:r>
        <w:rPr>
          <w:rFonts w:ascii="Arial" w:cs="Arial" w:eastAsia="Arial" w:hAnsi="Arial"/>
          <w:sz w:val="18"/>
          <w:szCs w:val="18"/>
          <w:color w:val="auto"/>
        </w:rPr>
        <w:t>. The descriptive headings of this Agreement are inserted for convenience only and do not constitute a part of this Agreement. The use of the word “including” in this Agreement shall be by way of example rather than by limitation.</w:t>
      </w:r>
    </w:p>
    <w:p>
      <w:pPr>
        <w:spacing w:after="0" w:line="62" w:lineRule="exact"/>
        <w:rPr>
          <w:rFonts w:ascii="Arial" w:cs="Arial" w:eastAsia="Arial" w:hAnsi="Arial"/>
          <w:sz w:val="18"/>
          <w:szCs w:val="18"/>
          <w:color w:val="auto"/>
        </w:rPr>
      </w:pPr>
    </w:p>
    <w:p>
      <w:pPr>
        <w:ind w:left="-20" w:right="80" w:firstLine="436"/>
        <w:spacing w:after="0" w:line="277" w:lineRule="auto"/>
        <w:tabs>
          <w:tab w:leader="none" w:pos="72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No Strict 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party.</w:t>
      </w:r>
    </w:p>
    <w:p>
      <w:pPr>
        <w:spacing w:after="0" w:line="62" w:lineRule="exact"/>
        <w:rPr>
          <w:rFonts w:ascii="Arial" w:cs="Arial" w:eastAsia="Arial" w:hAnsi="Arial"/>
          <w:sz w:val="18"/>
          <w:szCs w:val="18"/>
          <w:color w:val="auto"/>
        </w:rPr>
      </w:pPr>
    </w:p>
    <w:p>
      <w:pPr>
        <w:ind w:left="-20" w:right="300" w:firstLine="436"/>
        <w:spacing w:after="0" w:line="277" w:lineRule="auto"/>
        <w:tabs>
          <w:tab w:leader="none" w:pos="675"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any one of which need not contain the signature of more than one party, but all such counterparts taken together shall constitute one and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60" w:top="274" w:right="479" w:bottom="1440" w:gutter="0" w:footer="0" w:header="0"/>
        </w:sectPr>
      </w:pPr>
    </w:p>
    <w:bookmarkStart w:id="182" w:name="page183"/>
    <w:bookmarkEnd w:id="182"/>
    <w:p>
      <w:pPr>
        <w:ind w:left="-40" w:firstLine="436"/>
        <w:spacing w:after="0" w:line="270" w:lineRule="auto"/>
        <w:tabs>
          <w:tab w:leader="none" w:pos="65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Electronic Delivery</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72" w:lineRule="exact"/>
        <w:rPr>
          <w:rFonts w:ascii="Arial" w:cs="Arial" w:eastAsia="Arial" w:hAnsi="Arial"/>
          <w:sz w:val="17"/>
          <w:szCs w:val="17"/>
          <w:color w:val="auto"/>
        </w:rPr>
      </w:pPr>
    </w:p>
    <w:p>
      <w:pPr>
        <w:ind w:left="-40" w:right="120" w:firstLine="436"/>
        <w:spacing w:after="0" w:line="263"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In connection with this Agreement and the transactions contemplated hereby, each Holder shall execute and deliver any additional documents and instruments and perform any additional acts that may be necessary or appropriate to effectuate and perform the provisions of this Agreement and the transactions contemplated hereby.</w:t>
      </w:r>
    </w:p>
    <w:p>
      <w:pPr>
        <w:spacing w:after="0" w:line="75" w:lineRule="exact"/>
        <w:rPr>
          <w:rFonts w:ascii="Arial" w:cs="Arial" w:eastAsia="Arial" w:hAnsi="Arial"/>
          <w:sz w:val="18"/>
          <w:szCs w:val="18"/>
          <w:color w:val="auto"/>
        </w:rPr>
      </w:pPr>
    </w:p>
    <w:p>
      <w:pPr>
        <w:ind w:left="-40" w:right="180" w:firstLine="436"/>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The Corporation shall not hereafter enter into any agreement with respect to its securities which is inconsistent with or violates the rights granted to the Holders in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80" w:top="274" w:right="479" w:bottom="1440" w:gutter="0" w:footer="0" w:header="0"/>
        </w:sectPr>
      </w:pPr>
    </w:p>
    <w:bookmarkStart w:id="183" w:name="page184"/>
    <w:bookmarkEnd w:id="18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executed this Registration Rights Agreement as of the date first written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Clinton P. Jones</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579"/>
          </w:cols>
          <w:pgMar w:left="880" w:top="274" w:right="1440" w:bottom="1440" w:gutter="0" w:footer="0" w:header="0"/>
        </w:sectPr>
      </w:pPr>
    </w:p>
    <w:bookmarkStart w:id="184" w:name="page185"/>
    <w:bookmarkEnd w:id="18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BLIZZARD AGGREGATOR,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CCP III Cayman GP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599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GoHealth Holdings,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GoHealth,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599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NVX Holdings,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599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NORWEST EQUITY PARTNERS IX,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ITASCA PARTNERS IX,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Norwest Venture Capital Management, I nc.</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14605</wp:posOffset>
            </wp:positionV>
            <wp:extent cx="24599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80"/>
          </w:cols>
          <w:pgMar w:left="1440" w:top="270" w:right="137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40" w:type="dxa"/>
            <w:vAlign w:val="bottom"/>
            <w:gridSpan w:val="2"/>
          </w:tcPr>
          <w:p>
            <w:pPr>
              <w:ind w:left="880"/>
              <w:spacing w:after="0"/>
              <w:rPr>
                <w:sz w:val="20"/>
                <w:szCs w:val="20"/>
                <w:color w:val="auto"/>
              </w:rPr>
            </w:pPr>
            <w:r>
              <w:rPr>
                <w:rFonts w:ascii="Arial" w:cs="Arial" w:eastAsia="Arial" w:hAnsi="Arial"/>
                <w:sz w:val="18"/>
                <w:szCs w:val="18"/>
                <w:color w:val="auto"/>
              </w:rPr>
              <w:t>SCHEDULE OF HOLDERS</w:t>
            </w:r>
          </w:p>
        </w:tc>
        <w:tc>
          <w:tcPr>
            <w:tcW w:w="0" w:type="dxa"/>
            <w:vAlign w:val="bottom"/>
          </w:tcPr>
          <w:p>
            <w:pPr>
              <w:spacing w:after="0"/>
              <w:rPr>
                <w:sz w:val="1"/>
                <w:szCs w:val="1"/>
                <w:color w:val="auto"/>
              </w:rPr>
            </w:pPr>
          </w:p>
        </w:tc>
      </w:tr>
      <w:tr>
        <w:trPr>
          <w:trHeight w:val="391"/>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Holder</w:t>
            </w:r>
          </w:p>
        </w:tc>
        <w:tc>
          <w:tcPr>
            <w:tcW w:w="2160" w:type="dxa"/>
            <w:vAlign w:val="bottom"/>
          </w:tcPr>
          <w:p>
            <w:pPr>
              <w:spacing w:after="0"/>
              <w:rPr>
                <w:sz w:val="24"/>
                <w:szCs w:val="24"/>
                <w:color w:val="auto"/>
              </w:rPr>
            </w:pPr>
          </w:p>
        </w:tc>
        <w:tc>
          <w:tcPr>
            <w:tcW w:w="5280" w:type="dxa"/>
            <w:vAlign w:val="bottom"/>
          </w:tcPr>
          <w:p>
            <w:pPr>
              <w:ind w:left="2080"/>
              <w:spacing w:after="0"/>
              <w:rPr>
                <w:sz w:val="20"/>
                <w:szCs w:val="20"/>
                <w:color w:val="auto"/>
              </w:rPr>
            </w:pPr>
            <w:r>
              <w:rPr>
                <w:rFonts w:ascii="Arial" w:cs="Arial" w:eastAsia="Arial" w:hAnsi="Arial"/>
                <w:sz w:val="14"/>
                <w:szCs w:val="14"/>
                <w:b w:val="1"/>
                <w:bCs w:val="1"/>
                <w:color w:val="auto"/>
              </w:rPr>
              <w:t>Holder Affiliation</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gridSpan w:val="2"/>
          </w:tcPr>
          <w:p>
            <w:pPr>
              <w:spacing w:after="0"/>
              <w:rPr>
                <w:sz w:val="20"/>
                <w:szCs w:val="20"/>
                <w:color w:val="auto"/>
              </w:rPr>
            </w:pPr>
            <w:r>
              <w:rPr>
                <w:rFonts w:ascii="Arial" w:cs="Arial" w:eastAsia="Arial" w:hAnsi="Arial"/>
                <w:sz w:val="18"/>
                <w:szCs w:val="18"/>
                <w:color w:val="auto"/>
              </w:rPr>
              <w:t>Blizzard Aggregator, LLC</w:t>
            </w:r>
          </w:p>
        </w:tc>
        <w:tc>
          <w:tcPr>
            <w:tcW w:w="2160" w:type="dxa"/>
            <w:vAlign w:val="bottom"/>
            <w:vMerge w:val="continue"/>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Centerbridge Holder</w:t>
            </w:r>
          </w:p>
        </w:tc>
        <w:tc>
          <w:tcPr>
            <w:tcW w:w="0" w:type="dxa"/>
            <w:vAlign w:val="bottom"/>
          </w:tcPr>
          <w:p>
            <w:pPr>
              <w:spacing w:after="0"/>
              <w:rPr>
                <w:sz w:val="1"/>
                <w:szCs w:val="1"/>
                <w:color w:val="auto"/>
              </w:rPr>
            </w:pPr>
          </w:p>
        </w:tc>
      </w:tr>
      <w:tr>
        <w:trPr>
          <w:trHeight w:val="295"/>
        </w:trPr>
        <w:tc>
          <w:tcPr>
            <w:tcW w:w="3580" w:type="dxa"/>
            <w:vAlign w:val="bottom"/>
            <w:gridSpan w:val="2"/>
          </w:tcPr>
          <w:p>
            <w:pPr>
              <w:spacing w:after="0"/>
              <w:rPr>
                <w:sz w:val="20"/>
                <w:szCs w:val="20"/>
                <w:color w:val="auto"/>
              </w:rPr>
            </w:pPr>
            <w:r>
              <w:rPr>
                <w:rFonts w:ascii="Arial" w:cs="Arial" w:eastAsia="Arial" w:hAnsi="Arial"/>
                <w:sz w:val="18"/>
                <w:szCs w:val="18"/>
                <w:color w:val="auto"/>
              </w:rPr>
              <w:t>CB Blizzard Co-Invest Holdings, L.P.</w:t>
            </w:r>
          </w:p>
        </w:tc>
        <w:tc>
          <w:tcPr>
            <w:tcW w:w="7440" w:type="dxa"/>
            <w:vAlign w:val="bottom"/>
            <w:gridSpan w:val="2"/>
          </w:tcPr>
          <w:p>
            <w:pPr>
              <w:ind w:left="2160"/>
              <w:spacing w:after="0"/>
              <w:rPr>
                <w:sz w:val="20"/>
                <w:szCs w:val="20"/>
                <w:color w:val="auto"/>
              </w:rPr>
            </w:pPr>
            <w:r>
              <w:rPr>
                <w:rFonts w:ascii="Arial" w:cs="Arial" w:eastAsia="Arial" w:hAnsi="Arial"/>
                <w:sz w:val="18"/>
                <w:szCs w:val="18"/>
                <w:color w:val="auto"/>
              </w:rPr>
              <w:t>Centerbridge Holder</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CCP III AIV VII Holdings L.P.</w:t>
            </w:r>
          </w:p>
        </w:tc>
        <w:tc>
          <w:tcPr>
            <w:tcW w:w="7440" w:type="dxa"/>
            <w:vAlign w:val="bottom"/>
            <w:gridSpan w:val="2"/>
          </w:tcPr>
          <w:p>
            <w:pPr>
              <w:ind w:left="2160"/>
              <w:spacing w:after="0"/>
              <w:rPr>
                <w:sz w:val="20"/>
                <w:szCs w:val="20"/>
                <w:color w:val="auto"/>
              </w:rPr>
            </w:pPr>
            <w:r>
              <w:rPr>
                <w:rFonts w:ascii="Arial" w:cs="Arial" w:eastAsia="Arial" w:hAnsi="Arial"/>
                <w:sz w:val="18"/>
                <w:szCs w:val="18"/>
                <w:color w:val="auto"/>
              </w:rPr>
              <w:t>Centerbridge Holder</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NVX Holdings, Inc.</w:t>
            </w:r>
          </w:p>
        </w:tc>
        <w:tc>
          <w:tcPr>
            <w:tcW w:w="7440" w:type="dxa"/>
            <w:vAlign w:val="bottom"/>
            <w:gridSpan w:val="2"/>
          </w:tcPr>
          <w:p>
            <w:pPr>
              <w:ind w:left="2160"/>
              <w:spacing w:after="0"/>
              <w:rPr>
                <w:sz w:val="20"/>
                <w:szCs w:val="20"/>
                <w:color w:val="auto"/>
              </w:rPr>
            </w:pPr>
            <w:r>
              <w:rPr>
                <w:rFonts w:ascii="Arial" w:cs="Arial" w:eastAsia="Arial" w:hAnsi="Arial"/>
                <w:sz w:val="18"/>
                <w:szCs w:val="18"/>
                <w:color w:val="auto"/>
              </w:rPr>
              <w:t>NVX Holder</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Norwest Equity Partners IX, LP</w:t>
            </w:r>
          </w:p>
        </w:tc>
        <w:tc>
          <w:tcPr>
            <w:tcW w:w="7440" w:type="dxa"/>
            <w:vAlign w:val="bottom"/>
            <w:gridSpan w:val="2"/>
          </w:tcPr>
          <w:p>
            <w:pPr>
              <w:ind w:left="2160"/>
              <w:spacing w:after="0"/>
              <w:rPr>
                <w:sz w:val="20"/>
                <w:szCs w:val="20"/>
                <w:color w:val="auto"/>
              </w:rPr>
            </w:pPr>
            <w:r>
              <w:rPr>
                <w:rFonts w:ascii="Arial" w:cs="Arial" w:eastAsia="Arial" w:hAnsi="Arial"/>
                <w:sz w:val="18"/>
                <w:szCs w:val="18"/>
                <w:color w:val="auto"/>
              </w:rPr>
              <w:t>NEP Holder</w:t>
            </w: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160" w:type="dxa"/>
            <w:vAlign w:val="bottom"/>
          </w:tcPr>
          <w:p>
            <w:pPr>
              <w:ind w:left="1840"/>
              <w:spacing w:after="0"/>
              <w:rPr>
                <w:sz w:val="20"/>
                <w:szCs w:val="20"/>
                <w:color w:val="auto"/>
              </w:rPr>
            </w:pPr>
            <w:r>
              <w:rPr>
                <w:rFonts w:ascii="Arial" w:cs="Arial" w:eastAsia="Arial" w:hAnsi="Arial"/>
                <w:sz w:val="18"/>
                <w:szCs w:val="18"/>
                <w:color w:val="auto"/>
              </w:rPr>
              <w:t>32</w:t>
            </w:r>
          </w:p>
        </w:tc>
        <w:tc>
          <w:tcPr>
            <w:tcW w:w="5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86" w:name="page187"/>
    <w:bookmarkEnd w:id="18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 JOINDER</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undersigned is executing and delivering this Joinder pursuant to the Registration Rights Agreement dated as of [ ], 2020 (as the same may hereafter be amended, the “</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among GoHealth, Inc., a 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and the other person named as parties therein.</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By executing and delivering this Joinder to the Corporation, and upon acceptance hereof by the Corporation upon the execution of a counterpart hereof, the undersigned hereby agrees to become a party to, to be bound by, and to comply with the provisions of the Registration Rights Agreement as a Holder of Registrable Securities in the same manner as if the undersigned were an original signatory to the Registration Rights Agreement, and the undersigned’s shares of Class A Common Stock shall be included as Registrable Securities under the Registration Rights Agreement to the extent provided therein. The Corporation is directed to add the address below the undersigned’s signature on this Joinder to the Schedule of Holders attached to the Registration Rights Agreement.</w:t>
      </w:r>
    </w:p>
    <w:p>
      <w:pPr>
        <w:spacing w:after="0" w:line="192" w:lineRule="exact"/>
        <w:rPr>
          <w:sz w:val="20"/>
          <w:szCs w:val="20"/>
          <w:color w:val="auto"/>
        </w:rPr>
      </w:pPr>
    </w:p>
    <w:p>
      <w:pPr>
        <w:spacing w:after="0"/>
        <w:tabs>
          <w:tab w:leader="none" w:pos="7420" w:val="left"/>
          <w:tab w:leader="none" w:pos="7960" w:val="left"/>
        </w:tabs>
        <w:rPr>
          <w:sz w:val="20"/>
          <w:szCs w:val="20"/>
          <w:color w:val="auto"/>
        </w:rPr>
      </w:pPr>
      <w:r>
        <w:rPr>
          <w:rFonts w:ascii="Arial" w:cs="Arial" w:eastAsia="Arial" w:hAnsi="Arial"/>
          <w:sz w:val="18"/>
          <w:szCs w:val="18"/>
          <w:color w:val="auto"/>
        </w:rPr>
        <w:t>Accordingly, the undersigned has executed and delivered this Joinder as of the day of</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-10160</wp:posOffset>
            </wp:positionV>
            <wp:extent cx="11423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 of Stockholder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20"/>
                <w:szCs w:val="20"/>
                <w:color w:val="auto"/>
              </w:rPr>
            </w:pPr>
            <w:r>
              <w:rPr>
                <w:rFonts w:ascii="Arial" w:cs="Arial" w:eastAsia="Arial" w:hAnsi="Arial"/>
                <w:sz w:val="18"/>
                <w:szCs w:val="18"/>
                <w:color w:val="auto"/>
                <w:w w:val="90"/>
              </w:rPr>
              <w:t>Agreed and Accepted as of</w:t>
            </w:r>
          </w:p>
        </w:tc>
        <w:tc>
          <w:tcPr>
            <w:tcW w:w="1260" w:type="dxa"/>
            <w:vAlign w:val="bottom"/>
            <w:tcBorders>
              <w:bottom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 20</w:t>
            </w:r>
          </w:p>
        </w:tc>
        <w:tc>
          <w:tcPr>
            <w:tcW w:w="260" w:type="dxa"/>
            <w:vAlign w:val="bottom"/>
            <w:tcBorders>
              <w:bottom w:val="single" w:sz="8" w:color="auto"/>
            </w:tcBorders>
          </w:tcPr>
          <w:p>
            <w:pPr>
              <w:spacing w:after="0"/>
              <w:rPr>
                <w:sz w:val="17"/>
                <w:szCs w:val="17"/>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14605</wp:posOffset>
            </wp:positionV>
            <wp:extent cx="24345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0" w:right="4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INCENTIVE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The purpose of the GoHealth, Inc. 2020 Incentive Award Plan (as it may be amended or restated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is to promote the success and enhance the value of GoHealth, Inc. (the “</w:t>
      </w:r>
      <w:r>
        <w:rPr>
          <w:rFonts w:ascii="Arial" w:cs="Arial" w:eastAsia="Arial" w:hAnsi="Arial"/>
          <w:sz w:val="16"/>
          <w:szCs w:val="16"/>
          <w:u w:val="single" w:color="auto"/>
          <w:color w:val="auto"/>
        </w:rPr>
        <w:t>Company</w:t>
      </w:r>
      <w:r>
        <w:rPr>
          <w:rFonts w:ascii="Arial" w:cs="Arial" w:eastAsia="Arial" w:hAnsi="Arial"/>
          <w:sz w:val="16"/>
          <w:szCs w:val="16"/>
          <w:color w:val="auto"/>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103"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Board or a Committee to the extent that the Board’s powers or authority under the Plan have been delegated to such Committee.</w:t>
      </w:r>
    </w:p>
    <w:p>
      <w:pPr>
        <w:spacing w:after="0" w:line="62" w:lineRule="exact"/>
        <w:rPr>
          <w:sz w:val="20"/>
          <w:szCs w:val="20"/>
          <w:color w:val="auto"/>
        </w:rPr>
      </w:pPr>
    </w:p>
    <w:p>
      <w:pPr>
        <w:ind w:right="1340" w:firstLine="440"/>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any Subsidiary; and (b) any domestic eligible entity that is disregarded, under Treasury Regulation Section 301.7701-3, as an entity separate from either (i) the Company or (ii) any Subsidiary.</w:t>
      </w:r>
    </w:p>
    <w:p>
      <w:pPr>
        <w:spacing w:after="0" w:line="62"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76"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4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88" w:name="page189"/>
    <w:bookmarkEnd w:id="188"/>
    <w:p>
      <w:pPr>
        <w:ind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117" w:lineRule="exact"/>
        <w:rPr>
          <w:sz w:val="20"/>
          <w:szCs w:val="20"/>
          <w:color w:val="auto"/>
        </w:rPr>
      </w:pPr>
    </w:p>
    <w:p>
      <w:pPr>
        <w:ind w:firstLine="987"/>
        <w:spacing w:after="0" w:line="290" w:lineRule="auto"/>
        <w:tabs>
          <w:tab w:leader="none" w:pos="123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2.8(c)(i), 2.8(c)(ii) or 2.8(c)(iii); or (iv) in respect of an Award held by a particular Holder, any acquisition by the Holder or any group of persons including the Holder (or any entity controlled by the Holder or any group of persons including the Holder); or</w:t>
      </w:r>
    </w:p>
    <w:p>
      <w:pPr>
        <w:spacing w:after="0" w:line="57" w:lineRule="exact"/>
        <w:rPr>
          <w:rFonts w:ascii="Arial" w:cs="Arial" w:eastAsia="Arial" w:hAnsi="Arial"/>
          <w:sz w:val="16"/>
          <w:szCs w:val="16"/>
          <w:color w:val="auto"/>
        </w:rPr>
      </w:pPr>
    </w:p>
    <w:p>
      <w:pPr>
        <w:ind w:left="1240" w:hanging="253"/>
        <w:spacing w:after="0"/>
        <w:tabs>
          <w:tab w:leader="none" w:pos="12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w:t>
      </w:r>
    </w:p>
    <w:p>
      <w:pPr>
        <w:spacing w:after="0" w:line="117" w:lineRule="exact"/>
        <w:rPr>
          <w:rFonts w:ascii="Arial" w:cs="Arial" w:eastAsia="Arial" w:hAnsi="Arial"/>
          <w:sz w:val="18"/>
          <w:szCs w:val="18"/>
          <w:color w:val="auto"/>
        </w:rPr>
      </w:pPr>
    </w:p>
    <w:p>
      <w:pPr>
        <w:ind w:right="180" w:firstLine="987"/>
        <w:spacing w:after="0" w:line="259" w:lineRule="auto"/>
        <w:tabs>
          <w:tab w:leader="none" w:pos="12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78" w:lineRule="exact"/>
        <w:rPr>
          <w:rFonts w:ascii="Arial" w:cs="Arial" w:eastAsia="Arial" w:hAnsi="Arial"/>
          <w:sz w:val="18"/>
          <w:szCs w:val="18"/>
          <w:color w:val="auto"/>
        </w:rPr>
      </w:pPr>
    </w:p>
    <w:p>
      <w:pPr>
        <w:ind w:right="80" w:firstLine="1428"/>
        <w:spacing w:after="0" w:line="275" w:lineRule="auto"/>
        <w:tabs>
          <w:tab w:leader="none" w:pos="1647" w:val="left"/>
        </w:tabs>
        <w:numPr>
          <w:ilvl w:val="1"/>
          <w:numId w:val="184"/>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u w:val="single" w:color="auto"/>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68" w:lineRule="exact"/>
        <w:rPr>
          <w:rFonts w:ascii="Arial" w:cs="Arial" w:eastAsia="Arial" w:hAnsi="Arial"/>
          <w:sz w:val="17"/>
          <w:szCs w:val="17"/>
          <w:color w:val="auto"/>
        </w:rPr>
      </w:pPr>
    </w:p>
    <w:p>
      <w:pPr>
        <w:jc w:val="both"/>
        <w:ind w:right="60" w:firstLine="1428"/>
        <w:spacing w:after="0" w:line="259" w:lineRule="auto"/>
        <w:tabs>
          <w:tab w:leader="none" w:pos="1697" w:val="left"/>
        </w:tabs>
        <w:numPr>
          <w:ilvl w:val="1"/>
          <w:numId w:val="184"/>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89" w:name="page190"/>
    <w:bookmarkEnd w:id="189"/>
    <w:p>
      <w:pPr>
        <w:ind w:right="360" w:firstLine="1428"/>
        <w:spacing w:after="0" w:line="342" w:lineRule="auto"/>
        <w:tabs>
          <w:tab w:leader="none" w:pos="1747" w:val="left"/>
        </w:tabs>
        <w:numPr>
          <w:ilvl w:val="1"/>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date specified by the Board following approval by the Company’s stockholders of a plan of complete liquidation or dissolution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9"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62"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which may be comprised of one or more Directors and/or executive officers of the Company as appointed by the Board, to the extent permitted in accordance with Applicable Law.</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Class A common stock of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11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consultant or adviser engaged to provide services to the Company or any parent of the Company or Affiliate who qualifies as a consultant or advisor under the applicable rules of the Securities and Exchange Commission for registration of shares on a Form S-8 Registration Statement.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Director Limit</w:t>
      </w:r>
      <w:r>
        <w:rPr>
          <w:rFonts w:ascii="Arial" w:cs="Arial" w:eastAsia="Arial" w:hAnsi="Arial"/>
          <w:sz w:val="18"/>
          <w:szCs w:val="18"/>
          <w:color w:val="auto"/>
        </w:rPr>
        <w:t>” shall have the meaning set forth in Section 4.6.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90" w:name="page191"/>
    <w:bookmarkEnd w:id="190"/>
    <w:p>
      <w:pPr>
        <w:ind w:right="3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day prior to the Public Trading Date.</w:t>
      </w:r>
    </w:p>
    <w:p>
      <w:pPr>
        <w:spacing w:after="0" w:line="117"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 Consultant or a Non-Employee Director, as determined by the Administrator.</w:t>
      </w:r>
    </w:p>
    <w:p>
      <w:pPr>
        <w:spacing w:after="0" w:line="62"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parent of the Company or Affiliate.</w:t>
      </w:r>
    </w:p>
    <w:p>
      <w:pPr>
        <w:spacing w:after="0" w:line="62"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Exchange Program</w:t>
      </w:r>
      <w:r>
        <w:rPr>
          <w:rFonts w:ascii="Arial" w:cs="Arial" w:eastAsia="Arial" w:hAnsi="Arial"/>
          <w:sz w:val="18"/>
          <w:szCs w:val="18"/>
          <w:color w:val="auto"/>
        </w:rPr>
        <w:t>” shall mean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given to such term in Section 12.1(c).</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117" w:lineRule="exact"/>
        <w:rPr>
          <w:sz w:val="20"/>
          <w:szCs w:val="20"/>
          <w:color w:val="auto"/>
        </w:rPr>
      </w:pPr>
    </w:p>
    <w:p>
      <w:pPr>
        <w:ind w:right="120" w:firstLine="987"/>
        <w:spacing w:after="0" w:line="275" w:lineRule="auto"/>
        <w:tabs>
          <w:tab w:leader="none" w:pos="1236"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91" w:name="page192"/>
    <w:bookmarkEnd w:id="191"/>
    <w:p>
      <w:pPr>
        <w:ind w:firstLine="987"/>
        <w:spacing w:after="0" w:line="301" w:lineRule="auto"/>
        <w:tabs>
          <w:tab w:leader="none" w:pos="1246" w:val="left"/>
        </w:tabs>
        <w:numPr>
          <w:ilvl w:val="0"/>
          <w:numId w:val="1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49" w:lineRule="exact"/>
        <w:rPr>
          <w:rFonts w:ascii="Arial" w:cs="Arial" w:eastAsia="Arial" w:hAnsi="Arial"/>
          <w:sz w:val="16"/>
          <w:szCs w:val="16"/>
          <w:color w:val="auto"/>
        </w:rPr>
      </w:pPr>
    </w:p>
    <w:p>
      <w:pPr>
        <w:ind w:right="40" w:firstLine="987"/>
        <w:spacing w:after="0" w:line="308" w:lineRule="auto"/>
        <w:tabs>
          <w:tab w:leader="none" w:pos="1236"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146"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76"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62"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2.8(a) or 2.8(c))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117"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92" w:name="page193"/>
    <w:bookmarkEnd w:id="192"/>
    <w:p>
      <w:pPr>
        <w:ind w:left="4"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2.32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5.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5.4.</w:t>
      </w:r>
    </w:p>
    <w:p>
      <w:pPr>
        <w:spacing w:after="0" w:line="117" w:lineRule="exact"/>
        <w:rPr>
          <w:sz w:val="20"/>
          <w:szCs w:val="20"/>
          <w:color w:val="auto"/>
        </w:rPr>
      </w:pPr>
    </w:p>
    <w:p>
      <w:pPr>
        <w:ind w:left="4" w:right="380" w:firstLine="440"/>
        <w:spacing w:after="0" w:line="263"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76"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meeting-based fees.</w:t>
      </w:r>
    </w:p>
    <w:p>
      <w:pPr>
        <w:spacing w:after="0" w:line="76"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76" w:lineRule="exact"/>
        <w:rPr>
          <w:sz w:val="20"/>
          <w:szCs w:val="20"/>
          <w:color w:val="auto"/>
        </w:rPr>
      </w:pPr>
    </w:p>
    <w:p>
      <w:pPr>
        <w:jc w:val="both"/>
        <w:ind w:left="4" w:right="120" w:firstLine="440"/>
        <w:spacing w:after="0" w:line="287" w:lineRule="auto"/>
        <w:rPr>
          <w:sz w:val="20"/>
          <w:szCs w:val="20"/>
          <w:color w:val="auto"/>
        </w:rPr>
      </w:pPr>
      <w:r>
        <w:rPr>
          <w:rFonts w:ascii="Arial" w:cs="Arial" w:eastAsia="Arial" w:hAnsi="Arial"/>
          <w:sz w:val="16"/>
          <w:szCs w:val="16"/>
          <w:color w:val="auto"/>
        </w:rPr>
        <w:t>2.37 “</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shall mean the criteria (and adjustments) that the Administrator selects for an Award for purposes of establishing the Performance Goal or Performance Goals for a Performance Period. The Performance Criteria that may be used to establish Performance Goals include, but are not limited to, the following: (i) net earnings or losses (either before or after one or more of the following: (A) interest, (B) taxes,</w:t>
      </w:r>
    </w:p>
    <w:p>
      <w:pPr>
        <w:spacing w:after="0" w:line="2" w:lineRule="exact"/>
        <w:rPr>
          <w:sz w:val="20"/>
          <w:szCs w:val="20"/>
          <w:color w:val="auto"/>
        </w:rPr>
      </w:pPr>
    </w:p>
    <w:p>
      <w:pPr>
        <w:ind w:left="4" w:right="80" w:hanging="4"/>
        <w:spacing w:after="0" w:line="268" w:lineRule="auto"/>
        <w:tabs>
          <w:tab w:leader="none" w:pos="28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and (xxiii) individual employee performance, any of which may be measured either in absolute terms or as compared to any incremental increase or decrease or as compared to results of a peer group or other employees or to market performance indicators or indices.</w:t>
      </w:r>
    </w:p>
    <w:p>
      <w:pPr>
        <w:spacing w:after="0" w:line="71" w:lineRule="exact"/>
        <w:rPr>
          <w:sz w:val="20"/>
          <w:szCs w:val="20"/>
          <w:color w:val="auto"/>
        </w:rPr>
      </w:pPr>
    </w:p>
    <w:p>
      <w:pPr>
        <w:ind w:left="4" w:right="740" w:firstLine="440"/>
        <w:spacing w:after="0" w:line="342" w:lineRule="auto"/>
        <w:rPr>
          <w:sz w:val="20"/>
          <w:szCs w:val="20"/>
          <w:color w:val="auto"/>
        </w:rPr>
      </w:pPr>
      <w:r>
        <w:rPr>
          <w:rFonts w:ascii="Arial" w:cs="Arial" w:eastAsia="Arial" w:hAnsi="Arial"/>
          <w:sz w:val="16"/>
          <w:szCs w:val="16"/>
          <w:color w:val="auto"/>
        </w:rPr>
        <w:t>2.38 “</w:t>
      </w:r>
      <w:r>
        <w:rPr>
          <w:rFonts w:ascii="Arial" w:cs="Arial" w:eastAsia="Arial" w:hAnsi="Arial"/>
          <w:sz w:val="16"/>
          <w:szCs w:val="16"/>
          <w:u w:val="single" w:color="auto"/>
          <w:color w:val="auto"/>
        </w:rPr>
        <w:t>Performance Goals</w:t>
      </w:r>
      <w:r>
        <w:rPr>
          <w:rFonts w:ascii="Arial" w:cs="Arial" w:eastAsia="Arial" w:hAnsi="Arial"/>
          <w:sz w:val="16"/>
          <w:szCs w:val="16"/>
          <w:color w:val="auto"/>
        </w:rPr>
        <w:t>” shall mean, for a Performance Period, one or more goals established in writing by the Administrator for the Performance Period based upon one or more Performance Criteria. Depending on the Performance Criteria used to establish such Performance</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93" w:name="page194"/>
    <w:bookmarkEnd w:id="193"/>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Goals, the Performance Goals may be expressed in terms of overall Company performance or the performance of an Affiliate, division, business unit, or an individual. The achievement of each Performance Goal shall be determined with reference to Applicable Accounting Standards or other methodology as determined appropriate by the Administrator.</w:t>
      </w:r>
    </w:p>
    <w:p>
      <w:pPr>
        <w:spacing w:after="0" w:line="7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117"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2.41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38"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Public Trading Date</w:t>
      </w:r>
      <w:r>
        <w:rPr>
          <w:rFonts w:ascii="Arial" w:cs="Arial" w:eastAsia="Arial" w:hAnsi="Arial"/>
          <w:sz w:val="16"/>
          <w:szCs w:val="16"/>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16"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7 that is subject to certain restrictions and may be subject to risk of forfeiture or repurchase.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8.</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SAR Term</w:t>
      </w:r>
      <w:r>
        <w:rPr>
          <w:rFonts w:ascii="Arial" w:cs="Arial" w:eastAsia="Arial" w:hAnsi="Arial"/>
          <w:sz w:val="18"/>
          <w:szCs w:val="18"/>
          <w:color w:val="auto"/>
        </w:rPr>
        <w:t>” shall have the meaning set forth in Section 5.4.</w:t>
      </w:r>
    </w:p>
    <w:p>
      <w:pPr>
        <w:spacing w:after="0" w:line="117"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number of Shares with respect to which such Award shall have been exercised, subject to any limitations the Administrator may impose.</w:t>
      </w:r>
    </w:p>
    <w:p>
      <w:pPr>
        <w:spacing w:after="0" w:line="8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94" w:name="page195"/>
    <w:bookmarkEnd w:id="194"/>
    <w:p>
      <w:pPr>
        <w:ind w:right="2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2.51 “</w:t>
      </w:r>
      <w:r>
        <w:rPr>
          <w:rFonts w:ascii="Arial" w:cs="Arial" w:eastAsia="Arial" w:hAnsi="Arial"/>
          <w:sz w:val="17"/>
          <w:szCs w:val="17"/>
          <w:u w:val="single" w:color="auto"/>
          <w:color w:val="auto"/>
        </w:rPr>
        <w:t>Substitute Award</w:t>
      </w:r>
      <w:r>
        <w:rPr>
          <w:rFonts w:ascii="Arial" w:cs="Arial" w:eastAsia="Arial" w:hAnsi="Arial"/>
          <w:sz w:val="17"/>
          <w:szCs w:val="17"/>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term “Substitute Award” be construed to refer to an award made in connection with the cancellation and repricing of an Option or Stock Appreciation Right.</w:t>
      </w:r>
    </w:p>
    <w:p>
      <w:pPr>
        <w:spacing w:after="0" w:line="63"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2.52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xml:space="preserve">” 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20" w:type="dxa"/>
            <w:vAlign w:val="bottom"/>
            <w:gridSpan w:val="5"/>
          </w:tcPr>
          <w:p>
            <w:pPr>
              <w:jc w:val="center"/>
              <w:ind w:right="1960"/>
              <w:spacing w:after="0"/>
              <w:rPr>
                <w:sz w:val="20"/>
                <w:szCs w:val="20"/>
                <w:color w:val="auto"/>
              </w:rPr>
            </w:pPr>
            <w:r>
              <w:rPr>
                <w:rFonts w:ascii="Arial" w:cs="Arial" w:eastAsia="Arial" w:hAnsi="Arial"/>
                <w:sz w:val="18"/>
                <w:szCs w:val="18"/>
                <w:b w:val="1"/>
                <w:bCs w:val="1"/>
                <w:color w:val="auto"/>
              </w:rPr>
              <w:t>ARTICLE 3.</w:t>
            </w:r>
          </w:p>
        </w:tc>
        <w:tc>
          <w:tcPr>
            <w:tcW w:w="64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60" w:type="dxa"/>
            <w:vAlign w:val="bottom"/>
            <w:gridSpan w:val="6"/>
          </w:tcPr>
          <w:p>
            <w:pPr>
              <w:jc w:val="center"/>
              <w:spacing w:after="0"/>
              <w:rPr>
                <w:sz w:val="20"/>
                <w:szCs w:val="20"/>
                <w:color w:val="auto"/>
              </w:rPr>
            </w:pPr>
            <w:r>
              <w:rPr>
                <w:rFonts w:ascii="Arial" w:cs="Arial" w:eastAsia="Arial" w:hAnsi="Arial"/>
                <w:sz w:val="18"/>
                <w:szCs w:val="18"/>
                <w:b w:val="1"/>
                <w:bCs w:val="1"/>
                <w:color w:val="auto"/>
                <w:w w:val="98"/>
              </w:rPr>
              <w:t>SHARES SUBJECT TO THE PLAN</w:t>
            </w: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91"/>
        </w:trPr>
        <w:tc>
          <w:tcPr>
            <w:tcW w:w="280" w:type="dxa"/>
            <w:vAlign w:val="bottom"/>
          </w:tcPr>
          <w:p>
            <w:pPr>
              <w:spacing w:after="0"/>
              <w:rPr>
                <w:sz w:val="24"/>
                <w:szCs w:val="24"/>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color w:val="auto"/>
              </w:rPr>
              <w:t>3.1 Number of Shares.</w:t>
            </w: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30"/>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00" w:type="dxa"/>
            <w:vAlign w:val="bottom"/>
            <w:gridSpan w:val="12"/>
          </w:tcPr>
          <w:p>
            <w:pPr>
              <w:ind w:left="280"/>
              <w:spacing w:after="0"/>
              <w:rPr>
                <w:sz w:val="20"/>
                <w:szCs w:val="20"/>
                <w:color w:val="auto"/>
              </w:rPr>
            </w:pPr>
            <w:r>
              <w:rPr>
                <w:rFonts w:ascii="Arial" w:cs="Arial" w:eastAsia="Arial" w:hAnsi="Arial"/>
                <w:sz w:val="18"/>
                <w:szCs w:val="18"/>
                <w:color w:val="auto"/>
                <w:w w:val="90"/>
              </w:rPr>
              <w:t>(a) Subject to Sections 3.1(b) and 12.2, Awards may be made under the Plan covering an aggregate number of Shares equal to the sum of:</w:t>
            </w:r>
          </w:p>
        </w:tc>
      </w:tr>
      <w:tr>
        <w:trPr>
          <w:trHeight w:val="190"/>
        </w:trPr>
        <w:tc>
          <w:tcPr>
            <w:tcW w:w="280" w:type="dxa"/>
            <w:vAlign w:val="bottom"/>
          </w:tcPr>
          <w:p>
            <w:pPr>
              <w:spacing w:after="0" w:line="190" w:lineRule="exact"/>
              <w:rPr>
                <w:sz w:val="20"/>
                <w:szCs w:val="20"/>
                <w:color w:val="auto"/>
              </w:rPr>
            </w:pPr>
            <w:r>
              <w:rPr>
                <w:rFonts w:ascii="Arial" w:cs="Arial" w:eastAsia="Arial" w:hAnsi="Arial"/>
                <w:sz w:val="18"/>
                <w:szCs w:val="18"/>
                <w:color w:val="auto"/>
                <w:w w:val="99"/>
              </w:rPr>
              <w:t>(i) [</w:t>
            </w:r>
          </w:p>
        </w:tc>
        <w:tc>
          <w:tcPr>
            <w:tcW w:w="4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20" w:type="dxa"/>
            <w:vAlign w:val="bottom"/>
            <w:gridSpan w:val="11"/>
          </w:tcPr>
          <w:p>
            <w:pPr>
              <w:spacing w:after="0" w:line="190" w:lineRule="exact"/>
              <w:rPr>
                <w:sz w:val="20"/>
                <w:szCs w:val="20"/>
                <w:color w:val="auto"/>
              </w:rPr>
            </w:pPr>
            <w:r>
              <w:rPr>
                <w:rFonts w:ascii="Arial" w:cs="Arial" w:eastAsia="Arial" w:hAnsi="Arial"/>
                <w:sz w:val="18"/>
                <w:szCs w:val="18"/>
                <w:color w:val="auto"/>
                <w:w w:val="90"/>
              </w:rPr>
              <w:t>] and (ii) an annual increase on the first day of each calendar year beginning on January 1, 2021 and ending on and including January 1,</w:t>
            </w:r>
          </w:p>
        </w:tc>
      </w:tr>
      <w:tr>
        <w:trPr>
          <w:trHeight w:val="196"/>
        </w:trPr>
        <w:tc>
          <w:tcPr>
            <w:tcW w:w="2340" w:type="dxa"/>
            <w:vAlign w:val="bottom"/>
            <w:gridSpan w:val="5"/>
          </w:tcPr>
          <w:p>
            <w:pPr>
              <w:spacing w:after="0" w:line="196" w:lineRule="exact"/>
              <w:rPr>
                <w:sz w:val="20"/>
                <w:szCs w:val="20"/>
                <w:color w:val="auto"/>
              </w:rPr>
            </w:pPr>
            <w:r>
              <w:rPr>
                <w:rFonts w:ascii="Arial" w:cs="Arial" w:eastAsia="Arial" w:hAnsi="Arial"/>
                <w:sz w:val="18"/>
                <w:szCs w:val="18"/>
                <w:color w:val="auto"/>
                <w:w w:val="90"/>
              </w:rPr>
              <w:t>2030, equal to the lesser of (A) [</w:t>
            </w:r>
          </w:p>
        </w:tc>
        <w:tc>
          <w:tcPr>
            <w:tcW w:w="540" w:type="dxa"/>
            <w:vAlign w:val="bottom"/>
            <w:tcBorders>
              <w:bottom w:val="single" w:sz="8" w:color="auto"/>
            </w:tcBorders>
          </w:tcPr>
          <w:p>
            <w:pPr>
              <w:spacing w:after="0"/>
              <w:rPr>
                <w:sz w:val="17"/>
                <w:szCs w:val="17"/>
                <w:color w:val="auto"/>
              </w:rPr>
            </w:pPr>
          </w:p>
        </w:tc>
        <w:tc>
          <w:tcPr>
            <w:tcW w:w="8120" w:type="dxa"/>
            <w:vAlign w:val="bottom"/>
            <w:gridSpan w:val="8"/>
          </w:tcPr>
          <w:p>
            <w:pPr>
              <w:spacing w:after="0" w:line="196" w:lineRule="exact"/>
              <w:rPr>
                <w:sz w:val="20"/>
                <w:szCs w:val="20"/>
                <w:color w:val="auto"/>
              </w:rPr>
            </w:pPr>
            <w:r>
              <w:rPr>
                <w:rFonts w:ascii="Arial" w:cs="Arial" w:eastAsia="Arial" w:hAnsi="Arial"/>
                <w:sz w:val="18"/>
                <w:szCs w:val="18"/>
                <w:color w:val="auto"/>
                <w:w w:val="90"/>
              </w:rPr>
              <w:t>]% of the Shares outstanding (on an as-converted basis) on the last day of the immediately preceding fiscal year</w:t>
            </w:r>
          </w:p>
        </w:tc>
      </w:tr>
      <w:tr>
        <w:trPr>
          <w:trHeight w:val="196"/>
        </w:trPr>
        <w:tc>
          <w:tcPr>
            <w:tcW w:w="8040" w:type="dxa"/>
            <w:vAlign w:val="bottom"/>
            <w:gridSpan w:val="12"/>
          </w:tcPr>
          <w:p>
            <w:pPr>
              <w:spacing w:after="0" w:line="196" w:lineRule="exact"/>
              <w:rPr>
                <w:sz w:val="20"/>
                <w:szCs w:val="20"/>
                <w:color w:val="auto"/>
              </w:rPr>
            </w:pPr>
            <w:r>
              <w:rPr>
                <w:rFonts w:ascii="Arial" w:cs="Arial" w:eastAsia="Arial" w:hAnsi="Arial"/>
                <w:sz w:val="18"/>
                <w:szCs w:val="18"/>
                <w:color w:val="auto"/>
                <w:w w:val="97"/>
              </w:rPr>
              <w:t>and (B) such smaller number of Shares as determined by the Board; provided</w:t>
            </w:r>
            <w:r>
              <w:rPr>
                <w:rFonts w:ascii="Arial" w:cs="Arial" w:eastAsia="Arial" w:hAnsi="Arial"/>
                <w:sz w:val="18"/>
                <w:szCs w:val="18"/>
                <w:i w:val="1"/>
                <w:iCs w:val="1"/>
                <w:color w:val="auto"/>
                <w:w w:val="97"/>
              </w:rPr>
              <w:t>,</w:t>
            </w:r>
            <w:r>
              <w:rPr>
                <w:rFonts w:ascii="Arial" w:cs="Arial" w:eastAsia="Arial" w:hAnsi="Arial"/>
                <w:sz w:val="18"/>
                <w:szCs w:val="18"/>
                <w:color w:val="auto"/>
                <w:w w:val="97"/>
              </w:rPr>
              <w:t xml:space="preserve"> however, no more than [</w:t>
            </w:r>
          </w:p>
        </w:tc>
        <w:tc>
          <w:tcPr>
            <w:tcW w:w="2960" w:type="dxa"/>
            <w:vAlign w:val="bottom"/>
            <w:gridSpan w:val="2"/>
          </w:tcPr>
          <w:p>
            <w:pPr>
              <w:ind w:left="640"/>
              <w:spacing w:after="0" w:line="196" w:lineRule="exact"/>
              <w:rPr>
                <w:sz w:val="20"/>
                <w:szCs w:val="20"/>
                <w:color w:val="auto"/>
              </w:rPr>
            </w:pPr>
            <w:r>
              <w:rPr>
                <w:rFonts w:ascii="Arial" w:cs="Arial" w:eastAsia="Arial" w:hAnsi="Arial"/>
                <w:sz w:val="18"/>
                <w:szCs w:val="18"/>
                <w:color w:val="auto"/>
                <w:w w:val="87"/>
              </w:rPr>
              <w:t>] Shares may be issued upon the</w:t>
            </w: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exercise of Incentive Stock Options. Any Shares distributed pursuant to an Award may consist, in whole or in part, of authorized and unissued Common Stock, treasury Common Stock or Common Stock purchased on the open market.</w:t>
      </w:r>
    </w:p>
    <w:p>
      <w:pPr>
        <w:spacing w:after="0" w:line="62" w:lineRule="exact"/>
        <w:rPr>
          <w:sz w:val="20"/>
          <w:szCs w:val="20"/>
          <w:color w:val="auto"/>
        </w:rPr>
      </w:pPr>
    </w:p>
    <w:p>
      <w:pPr>
        <w:ind w:right="580" w:firstLine="987"/>
        <w:spacing w:after="0" w:line="263"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any Shares subject to an Award are forfeited or expire, are converted to shares of another person in connection with a recapitalization, reorganization, merger, consolidation, split-up, spin-off, combination, exchange of shares or other similar event, are surrendered pursuant to an Exchange Program, or such Award is settled for cash (in whole or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95" w:name="page196"/>
    <w:bookmarkEnd w:id="19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(including Shares repurchased by the Company under Section 7.4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71" w:lineRule="exact"/>
        <w:rPr>
          <w:sz w:val="20"/>
          <w:szCs w:val="20"/>
          <w:color w:val="auto"/>
        </w:rPr>
      </w:pPr>
    </w:p>
    <w:p>
      <w:pPr>
        <w:jc w:val="both"/>
        <w:ind w:right="20" w:firstLine="987"/>
        <w:spacing w:after="0" w:line="287" w:lineRule="auto"/>
        <w:tabs>
          <w:tab w:leader="none" w:pos="123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w:t>
      </w:r>
    </w:p>
    <w:p>
      <w:pPr>
        <w:spacing w:after="0" w:line="2" w:lineRule="exact"/>
        <w:rPr>
          <w:rFonts w:ascii="Arial" w:cs="Arial" w:eastAsia="Arial" w:hAnsi="Arial"/>
          <w:sz w:val="16"/>
          <w:szCs w:val="16"/>
          <w:color w:val="auto"/>
        </w:rPr>
      </w:pPr>
    </w:p>
    <w:p>
      <w:pPr>
        <w:ind w:right="6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subject to Applicable Law, be used for Awards under the Plan and shall not reduce the Shares authorized for grant under the Plan (and Shares subject to such Awards shall not be added to the Shares available for Awards under the Plan as provided in Section 3.1(b)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any non-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6" w:name="page197"/>
    <w:bookmarkEnd w:id="196"/>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employee director compensation policy adopted by the Board,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7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spacing w:after="0" w:line="6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80"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Service</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68"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Foreign Holders</w:t>
      </w:r>
      <w:r>
        <w:rPr>
          <w:rFonts w:ascii="Arial" w:cs="Arial" w:eastAsia="Arial" w:hAnsi="Arial"/>
          <w:sz w:val="16"/>
          <w:szCs w:val="16"/>
          <w:color w:val="auto"/>
        </w:rPr>
        <w:t xml:space="preserve">. Notwithstanding any provision of the Plan or applicable Program to the contrary, in order to comply with the laws in countries other than the United States in which the Company and its Affiliates operate or have Employees, Non-Employee Directors or Consultants, or in order to comply with the requirements of any foreign securities exchange or other Applicable Law,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97" w:name="page198"/>
    <w:bookmarkEnd w:id="197"/>
    <w:p>
      <w:pPr>
        <w:ind w:left="4"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4.6 </w:t>
      </w: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 Notwithstanding any provision to the contrary in the Plan or in any non-employee director compensation policy adopted by the Board, the sum of the amount of any cash-based Awards or other fees and the value (determined as of the grant date in accordance with Financial Accounting Standards Board Accounting Standards Codification Topic 718, or any successor thereto) of equity-based Awards granted to a Non-Employee Director as compensation for services as a Non-Employee Director during any calendar year following the Public Trading Date shall not exceed $500,000, increased to $750,000 with respect to the calendar year of a Non-Employee Director’s initial service as a Non-Employee Director (the applicable amount, the “Director Limit”).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9"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w:t>
      </w:r>
    </w:p>
    <w:p>
      <w:pPr>
        <w:spacing w:after="0" w:line="76"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w:t>
      </w:r>
    </w:p>
    <w:p>
      <w:pPr>
        <w:ind w:left="4" w:right="40" w:hanging="4"/>
        <w:spacing w:after="0" w:line="285" w:lineRule="auto"/>
        <w:tabs>
          <w:tab w:leader="none" w:pos="229"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98" w:name="page199"/>
    <w:bookmarkEnd w:id="198"/>
    <w:p>
      <w:pPr>
        <w:ind w:left="4" w:right="420" w:hanging="4"/>
        <w:spacing w:after="0" w:line="263" w:lineRule="auto"/>
        <w:tabs>
          <w:tab w:leader="none" w:pos="259" w:val="left"/>
        </w:tabs>
        <w:numPr>
          <w:ilvl w:val="0"/>
          <w:numId w:val="1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76"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Option and Stock Appreciation Right Exercise Price</w:t>
      </w:r>
      <w:r>
        <w:rPr>
          <w:rFonts w:ascii="Arial" w:cs="Arial" w:eastAsia="Arial" w:hAnsi="Arial"/>
          <w:sz w:val="18"/>
          <w:szCs w:val="18"/>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exercise price of any Substitute Award shall be determined in accordance with the applicable requirements of Section 424 and 409A of the Code.</w:t>
      </w:r>
    </w:p>
    <w:p>
      <w:pPr>
        <w:spacing w:after="0" w:line="88"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(a) ten</w:t>
      </w:r>
    </w:p>
    <w:p>
      <w:pPr>
        <w:ind w:left="4" w:right="20" w:hanging="4"/>
        <w:spacing w:after="0" w:line="269" w:lineRule="auto"/>
        <w:tabs>
          <w:tab w:leader="none" w:pos="349" w:val="left"/>
        </w:tabs>
        <w:numPr>
          <w:ilvl w:val="0"/>
          <w:numId w:val="194"/>
        </w:numPr>
        <w:rPr>
          <w:rFonts w:ascii="Arial" w:cs="Arial" w:eastAsia="Arial" w:hAnsi="Arial"/>
          <w:sz w:val="17"/>
          <w:szCs w:val="17"/>
          <w:color w:val="auto"/>
        </w:rPr>
      </w:pPr>
      <w:r>
        <w:rPr>
          <w:rFonts w:ascii="Arial" w:cs="Arial" w:eastAsia="Arial" w:hAnsi="Arial"/>
          <w:sz w:val="17"/>
          <w:szCs w:val="17"/>
          <w:color w:val="auto"/>
        </w:rPr>
        <w:t>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p>
    <w:p>
      <w:pPr>
        <w:spacing w:after="0" w:line="72"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Option and SAR Vesting</w:t>
      </w:r>
      <w:r>
        <w:rPr>
          <w:rFonts w:ascii="Arial" w:cs="Arial" w:eastAsia="Arial" w:hAnsi="Arial"/>
          <w:sz w:val="17"/>
          <w:szCs w:val="17"/>
          <w:color w:val="auto"/>
        </w:rPr>
        <w:t>.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199" w:name="page200"/>
    <w:bookmarkEnd w:id="199"/>
    <w:p>
      <w:pPr>
        <w:ind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or Stock Appreciation Right. Unless otherwise determined by the Administrator in the Award Agreement, the applicable Program or by action of the Administrator following the grant of the Option or Stock Appreciation Right, (i) 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229"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Exercise and Payment</w:t>
      </w:r>
      <w:r>
        <w:rPr>
          <w:rFonts w:ascii="Arial" w:cs="Arial" w:eastAsia="Arial" w:hAnsi="Arial"/>
          <w:sz w:val="16"/>
          <w:szCs w:val="16"/>
          <w:color w:val="auto"/>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53"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76" w:lineRule="exact"/>
        <w:rPr>
          <w:sz w:val="20"/>
          <w:szCs w:val="20"/>
          <w:color w:val="auto"/>
        </w:rPr>
      </w:pPr>
    </w:p>
    <w:p>
      <w:pPr>
        <w:jc w:val="both"/>
        <w:ind w:right="460" w:firstLine="987"/>
        <w:spacing w:after="0" w:line="263" w:lineRule="auto"/>
        <w:tabs>
          <w:tab w:leader="none" w:pos="123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written notice of exercise in a form the Administrator approves (which may be electronic) complying with the applicable rules established by the Administrator. The notice shall be signed or otherwise acknowledge electronically by the Holder or other person then entitled to exercise the Option or Stock Appreciation Right or such portion thereof;</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Such representations and documents as the Administrator, in its sole discretion, deems necessary or advisable to effect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102" w:lineRule="exact"/>
        <w:rPr>
          <w:rFonts w:ascii="Arial" w:cs="Arial" w:eastAsia="Arial" w:hAnsi="Arial"/>
          <w:sz w:val="16"/>
          <w:szCs w:val="16"/>
          <w:color w:val="auto"/>
        </w:rPr>
      </w:pPr>
    </w:p>
    <w:p>
      <w:pPr>
        <w:ind w:right="360" w:firstLine="987"/>
        <w:spacing w:after="0" w:line="263" w:lineRule="auto"/>
        <w:tabs>
          <w:tab w:leader="none" w:pos="123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75" w:lineRule="exact"/>
        <w:rPr>
          <w:rFonts w:ascii="Arial" w:cs="Arial" w:eastAsia="Arial" w:hAnsi="Arial"/>
          <w:sz w:val="18"/>
          <w:szCs w:val="18"/>
          <w:color w:val="auto"/>
        </w:rPr>
      </w:pPr>
    </w:p>
    <w:p>
      <w:pPr>
        <w:ind w:right="800" w:firstLine="987"/>
        <w:spacing w:after="0" w:line="342" w:lineRule="auto"/>
        <w:tabs>
          <w:tab w:leader="none" w:pos="124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spacing w:after="0" w:line="16"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00" w:name="page201"/>
    <w:bookmarkEnd w:id="200"/>
    <w:p>
      <w:pPr>
        <w:ind w:righ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At the time of grant, the Administrator shall specify the date or dates on which the Restricted Stock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77"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sole discretion of the Administrator, any extraordinary dividends or distributions with respect to the Shares may be subject to the restrictions set forth in Section 7.3. In addition, notwithstanding anything to the contrary herein, with respect to a share of Restricted Stock, dividends which are paid prior to vesting shall only be paid out to the Holder to the extent that the share of Restricted Stock vests.</w:t>
      </w:r>
    </w:p>
    <w:p>
      <w:pPr>
        <w:spacing w:after="0" w:line="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01" w:name="page202"/>
    <w:bookmarkEnd w:id="201"/>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Except as otherwise determined by the Administrator or as otherwise provided in an Award Agreement,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spacing w:after="0" w:line="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 UNITS</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spacing w:after="0" w:line="7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Director,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84"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Maturity and Payment</w:t>
      </w:r>
      <w:r>
        <w:rPr>
          <w:rFonts w:ascii="Arial" w:cs="Arial" w:eastAsia="Arial" w:hAnsi="Arial"/>
          <w:sz w:val="18"/>
          <w:szCs w:val="18"/>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5"/>
          <w:szCs w:val="15"/>
          <w:color w:val="auto"/>
        </w:rPr>
        <w:t>th</w:t>
      </w:r>
      <w:r>
        <w:rPr>
          <w:rFonts w:ascii="Arial" w:cs="Arial" w:eastAsia="Arial" w:hAnsi="Arial"/>
          <w:sz w:val="18"/>
          <w:szCs w:val="18"/>
          <w:color w:val="auto"/>
        </w:rPr>
        <w:t xml:space="preserve"> day of the third month following the end of the calendar year in which the applicable portion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02" w:name="page203"/>
    <w:bookmarkEnd w:id="202"/>
    <w:p>
      <w:pPr>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 vests; and (b)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w:t>
      </w:r>
    </w:p>
    <w:p>
      <w:pPr>
        <w:ind w:right="40"/>
        <w:spacing w:after="0" w:line="255" w:lineRule="auto"/>
        <w:rPr>
          <w:sz w:val="20"/>
          <w:szCs w:val="20"/>
          <w:color w:val="auto"/>
        </w:rPr>
      </w:pPr>
      <w:r>
        <w:rPr>
          <w:rFonts w:ascii="Arial" w:cs="Arial" w:eastAsia="Arial" w:hAnsi="Arial"/>
          <w:sz w:val="18"/>
          <w:szCs w:val="18"/>
          <w:color w:val="auto"/>
        </w:rPr>
        <w:t>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229"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Other Stock or Cash Based Awards</w:t>
      </w:r>
      <w:r>
        <w:rPr>
          <w:rFonts w:ascii="Arial" w:cs="Arial" w:eastAsia="Arial" w:hAnsi="Arial"/>
          <w:sz w:val="17"/>
          <w:szCs w:val="17"/>
          <w:color w:val="auto"/>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70"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OF AWARDS</w:t>
      </w:r>
    </w:p>
    <w:p>
      <w:pPr>
        <w:spacing w:after="0" w:line="229" w:lineRule="exact"/>
        <w:rPr>
          <w:sz w:val="20"/>
          <w:szCs w:val="20"/>
          <w:color w:val="auto"/>
        </w:rPr>
      </w:pPr>
    </w:p>
    <w:p>
      <w:pPr>
        <w:ind w:right="200" w:firstLine="440"/>
        <w:spacing w:after="0" w:line="30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Payment</w:t>
      </w:r>
      <w:r>
        <w:rPr>
          <w:rFonts w:ascii="Arial" w:cs="Arial" w:eastAsia="Arial" w:hAnsi="Arial"/>
          <w:sz w:val="17"/>
          <w:szCs w:val="17"/>
          <w:color w:val="auto"/>
        </w:rPr>
        <w:t>. The Administrator shall determine the method or methods by which payments by any Holder with respect to any Awards granted under the Plan shall be made, including, without limitation: (a) cash, wire transfer of immediately available funds or check, (b)</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03" w:name="page204"/>
    <w:bookmarkEnd w:id="20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Tax Withholding</w:t>
      </w:r>
      <w:r>
        <w:rPr>
          <w:rFonts w:ascii="Arial" w:cs="Arial" w:eastAsia="Arial" w:hAnsi="Arial"/>
          <w:sz w:val="17"/>
          <w:szCs w:val="17"/>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Affiliate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Except as otherwise provided in Sections 10.3(b) and 10.3(c):</w:t>
      </w:r>
    </w:p>
    <w:p>
      <w:pPr>
        <w:spacing w:after="0" w:line="117" w:lineRule="exact"/>
        <w:rPr>
          <w:rFonts w:ascii="Arial" w:cs="Arial" w:eastAsia="Arial" w:hAnsi="Arial"/>
          <w:sz w:val="18"/>
          <w:szCs w:val="18"/>
          <w:color w:val="auto"/>
        </w:rPr>
      </w:pPr>
    </w:p>
    <w:p>
      <w:pPr>
        <w:ind w:right="260" w:firstLine="1428"/>
        <w:spacing w:after="0" w:line="286" w:lineRule="auto"/>
        <w:tabs>
          <w:tab w:leader="none" w:pos="1647" w:val="left"/>
        </w:tabs>
        <w:numPr>
          <w:ilvl w:val="1"/>
          <w:numId w:val="196"/>
        </w:numPr>
        <w:rPr>
          <w:rFonts w:ascii="Arial" w:cs="Arial" w:eastAsia="Arial" w:hAnsi="Arial"/>
          <w:sz w:val="17"/>
          <w:szCs w:val="17"/>
          <w:color w:val="auto"/>
        </w:rPr>
      </w:pPr>
      <w:r>
        <w:rPr>
          <w:rFonts w:ascii="Arial" w:cs="Arial" w:eastAsia="Arial" w:hAnsi="Arial"/>
          <w:sz w:val="17"/>
          <w:szCs w:val="17"/>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04" w:name="page205"/>
    <w:bookmarkEnd w:id="204"/>
    <w:p>
      <w:pPr>
        <w:ind w:left="-20" w:firstLine="1428"/>
        <w:spacing w:after="0" w:line="293" w:lineRule="auto"/>
        <w:tabs>
          <w:tab w:leader="none" w:pos="1677" w:val="left"/>
        </w:tabs>
        <w:numPr>
          <w:ilvl w:val="1"/>
          <w:numId w:val="1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164" w:lineRule="exact"/>
        <w:rPr>
          <w:rFonts w:ascii="Arial" w:cs="Arial" w:eastAsia="Arial" w:hAnsi="Arial"/>
          <w:sz w:val="16"/>
          <w:szCs w:val="16"/>
          <w:color w:val="auto"/>
        </w:rPr>
      </w:pPr>
    </w:p>
    <w:p>
      <w:pPr>
        <w:ind w:left="-20" w:right="220" w:firstLine="1428"/>
        <w:spacing w:after="0" w:line="301" w:lineRule="auto"/>
        <w:tabs>
          <w:tab w:leader="none" w:pos="172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49" w:lineRule="exact"/>
        <w:rPr>
          <w:rFonts w:ascii="Arial" w:cs="Arial" w:eastAsia="Arial" w:hAnsi="Arial"/>
          <w:sz w:val="16"/>
          <w:szCs w:val="16"/>
          <w:color w:val="auto"/>
        </w:rPr>
      </w:pPr>
    </w:p>
    <w:p>
      <w:pPr>
        <w:ind w:left="-20" w:firstLine="987"/>
        <w:spacing w:after="0" w:line="286" w:lineRule="auto"/>
        <w:tabs>
          <w:tab w:leader="none" w:pos="1226" w:val="left"/>
        </w:tabs>
        <w:numPr>
          <w:ilvl w:val="0"/>
          <w:numId w:val="198"/>
        </w:numPr>
        <w:rPr>
          <w:rFonts w:ascii="Arial" w:cs="Arial" w:eastAsia="Arial" w:hAnsi="Arial"/>
          <w:sz w:val="16"/>
          <w:szCs w:val="16"/>
          <w:color w:val="auto"/>
        </w:rPr>
      </w:pPr>
      <w:r>
        <w:rPr>
          <w:rFonts w:ascii="Arial" w:cs="Arial" w:eastAsia="Arial" w:hAnsi="Arial"/>
          <w:sz w:val="16"/>
          <w:szCs w:val="16"/>
          <w:color w:val="auto"/>
        </w:rPr>
        <w:t>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65" w:lineRule="exact"/>
        <w:rPr>
          <w:rFonts w:ascii="Arial" w:cs="Arial" w:eastAsia="Arial" w:hAnsi="Arial"/>
          <w:sz w:val="16"/>
          <w:szCs w:val="16"/>
          <w:color w:val="auto"/>
        </w:rPr>
      </w:pPr>
    </w:p>
    <w:p>
      <w:pPr>
        <w:ind w:left="-20" w:right="40" w:firstLine="987"/>
        <w:spacing w:after="0" w:line="257" w:lineRule="auto"/>
        <w:tabs>
          <w:tab w:leader="none" w:pos="121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460" w:top="274" w:right="479" w:bottom="1440" w:gutter="0" w:footer="0" w:header="0"/>
        </w:sectPr>
      </w:pPr>
    </w:p>
    <w:bookmarkStart w:id="205" w:name="page206"/>
    <w:bookmarkEnd w:id="205"/>
    <w:p>
      <w:pPr>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73" w:lineRule="auto"/>
        <w:tabs>
          <w:tab w:leader="none" w:pos="123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69" w:lineRule="exact"/>
        <w:rPr>
          <w:rFonts w:ascii="Arial" w:cs="Arial" w:eastAsia="Arial" w:hAnsi="Arial"/>
          <w:sz w:val="17"/>
          <w:szCs w:val="17"/>
          <w:color w:val="auto"/>
        </w:rPr>
      </w:pPr>
    </w:p>
    <w:p>
      <w:pPr>
        <w:ind w:right="160" w:firstLine="987"/>
        <w:spacing w:after="0" w:line="259" w:lineRule="auto"/>
        <w:tabs>
          <w:tab w:leader="none" w:pos="124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78" w:lineRule="exact"/>
        <w:rPr>
          <w:rFonts w:ascii="Arial" w:cs="Arial" w:eastAsia="Arial" w:hAnsi="Arial"/>
          <w:sz w:val="18"/>
          <w:szCs w:val="18"/>
          <w:color w:val="auto"/>
        </w:rPr>
      </w:pPr>
    </w:p>
    <w:p>
      <w:pPr>
        <w:ind w:right="140" w:firstLine="987"/>
        <w:spacing w:after="0" w:line="342" w:lineRule="auto"/>
        <w:tabs>
          <w:tab w:leader="none" w:pos="123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5" w:lineRule="exact"/>
        <w:rPr>
          <w:rFonts w:ascii="Arial" w:cs="Arial" w:eastAsia="Arial" w:hAnsi="Arial"/>
          <w:sz w:val="16"/>
          <w:szCs w:val="16"/>
          <w:color w:val="auto"/>
        </w:rPr>
      </w:pPr>
    </w:p>
    <w:p>
      <w:pPr>
        <w:ind w:right="140" w:firstLine="987"/>
        <w:spacing w:after="0" w:line="308" w:lineRule="auto"/>
        <w:tabs>
          <w:tab w:leader="none" w:pos="1246" w:val="left"/>
        </w:tabs>
        <w:numPr>
          <w:ilvl w:val="0"/>
          <w:numId w:val="199"/>
        </w:numPr>
        <w:rPr>
          <w:rFonts w:ascii="Arial" w:cs="Arial" w:eastAsia="Arial" w:hAnsi="Arial"/>
          <w:sz w:val="17"/>
          <w:szCs w:val="17"/>
          <w:color w:val="auto"/>
        </w:rPr>
      </w:pPr>
      <w:r>
        <w:rPr>
          <w:rFonts w:ascii="Arial" w:cs="Arial" w:eastAsia="Arial" w:hAnsi="Arial"/>
          <w:sz w:val="17"/>
          <w:szCs w:val="17"/>
          <w:color w:val="auto"/>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spacing w:after="0" w:line="38" w:lineRule="exact"/>
        <w:rPr>
          <w:rFonts w:ascii="Arial" w:cs="Arial" w:eastAsia="Arial" w:hAnsi="Arial"/>
          <w:sz w:val="17"/>
          <w:szCs w:val="17"/>
          <w:color w:val="auto"/>
        </w:rPr>
      </w:pPr>
    </w:p>
    <w:p>
      <w:pPr>
        <w:ind w:right="40" w:firstLine="987"/>
        <w:spacing w:after="0" w:line="259" w:lineRule="auto"/>
        <w:tabs>
          <w:tab w:leader="none" w:pos="123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78" w:lineRule="exact"/>
        <w:rPr>
          <w:rFonts w:ascii="Arial" w:cs="Arial" w:eastAsia="Arial" w:hAnsi="Arial"/>
          <w:sz w:val="18"/>
          <w:szCs w:val="18"/>
          <w:color w:val="auto"/>
        </w:rPr>
      </w:pPr>
    </w:p>
    <w:p>
      <w:pPr>
        <w:ind w:right="60" w:firstLine="987"/>
        <w:spacing w:after="0" w:line="263" w:lineRule="auto"/>
        <w:tabs>
          <w:tab w:leader="none" w:pos="121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06" w:name="page207"/>
    <w:bookmarkEnd w:id="206"/>
    <w:p>
      <w:pPr>
        <w:ind w:right="2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10.5 </w:t>
      </w:r>
      <w:r>
        <w:rPr>
          <w:rFonts w:ascii="Arial" w:cs="Arial" w:eastAsia="Arial" w:hAnsi="Arial"/>
          <w:sz w:val="16"/>
          <w:szCs w:val="16"/>
          <w:u w:val="single" w:color="auto"/>
          <w:color w:val="auto"/>
        </w:rPr>
        <w:t>Forfeiture and Claw-Back Provisions</w:t>
      </w:r>
      <w:r>
        <w:rPr>
          <w:rFonts w:ascii="Arial" w:cs="Arial" w:eastAsia="Arial" w:hAnsi="Arial"/>
          <w:sz w:val="16"/>
          <w:szCs w:val="16"/>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5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Amendment of Awards</w:t>
      </w:r>
      <w:r>
        <w:rPr>
          <w:rFonts w:ascii="Arial" w:cs="Arial" w:eastAsia="Arial" w:hAnsi="Arial"/>
          <w:sz w:val="18"/>
          <w:szCs w:val="18"/>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10.6, 12.2 or 12.10).</w:t>
      </w:r>
    </w:p>
    <w:p>
      <w:pPr>
        <w:spacing w:after="0" w:line="8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spacing w:after="0" w:line="8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Data Privacy</w:t>
      </w:r>
      <w:r>
        <w:rPr>
          <w:rFonts w:ascii="Arial" w:cs="Arial" w:eastAsia="Arial" w:hAnsi="Arial"/>
          <w:sz w:val="17"/>
          <w:szCs w:val="17"/>
          <w:color w:val="auto"/>
        </w:rPr>
        <w:t>. As a condition of receipt of any Award, each Holder explicitly and unambiguously consents to the collection, use and transfer, in electronic or other form, of personal data as described in this Section 10.8 by and among, as applicable, the Company and its Affiliates for the exclusive purpose of implementing, administering and managing the Holder’s participation in the Plan. The Company and its Affiliates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Affiliates, details of all Awards, in each case, for the purpose of implementing, managing and administering the Plan and Awards (the “</w:t>
      </w:r>
      <w:r>
        <w:rPr>
          <w:rFonts w:ascii="Arial" w:cs="Arial" w:eastAsia="Arial" w:hAnsi="Arial"/>
          <w:sz w:val="17"/>
          <w:szCs w:val="17"/>
          <w:u w:val="single" w:color="auto"/>
          <w:color w:val="auto"/>
        </w:rPr>
        <w:t>Data</w:t>
      </w:r>
      <w:r>
        <w:rPr>
          <w:rFonts w:ascii="Arial" w:cs="Arial" w:eastAsia="Arial" w:hAnsi="Arial"/>
          <w:sz w:val="17"/>
          <w:szCs w:val="17"/>
          <w:color w:val="auto"/>
        </w:rPr>
        <w:t>”). The Company and its Affiliates may transfer the Data amongst themselves as necessary for the purpose of implementation, administration and management of a Holder’s participation in the Plan, and the Company and its Affiliates may each further transfer the Data to any third parties assisting the Company and its Affiliates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07" w:name="page208"/>
    <w:bookmarkEnd w:id="20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managing the Holder’s participation in the Plan, including any requisite transfer of such Data as may be required to a broker or other third party with whom the Company or any of its Affiliates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Administrator</w:t>
      </w:r>
      <w:r>
        <w:rPr>
          <w:rFonts w:ascii="Arial" w:cs="Arial" w:eastAsia="Arial" w:hAnsi="Arial"/>
          <w:sz w:val="16"/>
          <w:szCs w:val="16"/>
          <w:color w:val="auto"/>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 “Administrator” as used in the Plan shall be deemed to refer to the Board and (ii) the Board or Committee may delegate its authority hereunder to the extent permitted by Section 11.6.</w:t>
      </w:r>
    </w:p>
    <w:p>
      <w:pPr>
        <w:spacing w:after="0" w:line="60"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(including Exchange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10.7 or Section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08" w:name="page209"/>
    <w:bookmarkEnd w:id="20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7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Action by the Administrator</w:t>
      </w:r>
      <w:r>
        <w:rPr>
          <w:rFonts w:ascii="Arial" w:cs="Arial" w:eastAsia="Arial" w:hAnsi="Arial"/>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Subject to the Organizational Documents, any specific designation in the Plan and Applicable Law,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103" w:lineRule="exact"/>
        <w:rPr>
          <w:sz w:val="20"/>
          <w:szCs w:val="20"/>
          <w:color w:val="auto"/>
        </w:rPr>
      </w:pPr>
    </w:p>
    <w:p>
      <w:pPr>
        <w:ind w:left="1240" w:hanging="253"/>
        <w:spacing w:after="0"/>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17" w:lineRule="exact"/>
        <w:rPr>
          <w:rFonts w:ascii="Arial" w:cs="Arial" w:eastAsia="Arial" w:hAnsi="Arial"/>
          <w:sz w:val="18"/>
          <w:szCs w:val="18"/>
          <w:color w:val="auto"/>
        </w:rPr>
      </w:pPr>
    </w:p>
    <w:p>
      <w:pPr>
        <w:ind w:right="80" w:firstLine="987"/>
        <w:spacing w:after="0" w:line="277" w:lineRule="auto"/>
        <w:tabs>
          <w:tab w:leader="none" w:pos="124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 (including, without limitation, any Awards granted in tandem with another Award granted pursuant to the Plan);</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17" w:lineRule="exact"/>
        <w:rPr>
          <w:rFonts w:ascii="Arial" w:cs="Arial" w:eastAsia="Arial" w:hAnsi="Arial"/>
          <w:sz w:val="18"/>
          <w:szCs w:val="18"/>
          <w:color w:val="auto"/>
        </w:rPr>
      </w:pPr>
    </w:p>
    <w:p>
      <w:pPr>
        <w:ind w:right="20" w:firstLine="987"/>
        <w:spacing w:after="0" w:line="257" w:lineRule="auto"/>
        <w:tabs>
          <w:tab w:leader="none" w:pos="124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79"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62" w:lineRule="exact"/>
        <w:rPr>
          <w:rFonts w:ascii="Arial" w:cs="Arial" w:eastAsia="Arial" w:hAnsi="Arial"/>
          <w:sz w:val="18"/>
          <w:szCs w:val="18"/>
          <w:color w:val="auto"/>
        </w:rPr>
      </w:pPr>
    </w:p>
    <w:p>
      <w:pPr>
        <w:ind w:left="1220" w:hanging="233"/>
        <w:spacing w:after="0"/>
        <w:tabs>
          <w:tab w:leader="none" w:pos="122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274" w:right="539" w:bottom="1440" w:gutter="0" w:footer="0" w:header="0"/>
        </w:sectPr>
      </w:pPr>
    </w:p>
    <w:bookmarkStart w:id="209" w:name="page210"/>
    <w:bookmarkEnd w:id="209"/>
    <w:p>
      <w:pPr>
        <w:ind w:left="1244" w:hanging="253"/>
        <w:spacing w:after="0"/>
        <w:tabs>
          <w:tab w:leader="none" w:pos="12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Decide all other matters that must be determined in connection with an Award;</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Institute and determine the terms and conditions of an Exchange Program;</w:t>
      </w:r>
    </w:p>
    <w:p>
      <w:pPr>
        <w:spacing w:after="0" w:line="117" w:lineRule="exact"/>
        <w:rPr>
          <w:rFonts w:ascii="Arial" w:cs="Arial" w:eastAsia="Arial" w:hAnsi="Arial"/>
          <w:sz w:val="18"/>
          <w:szCs w:val="18"/>
          <w:color w:val="auto"/>
        </w:rPr>
      </w:pPr>
    </w:p>
    <w:p>
      <w:pPr>
        <w:ind w:left="1204" w:hanging="213"/>
        <w:spacing w:after="0"/>
        <w:tabs>
          <w:tab w:leader="none" w:pos="1204" w:val="left"/>
        </w:tabs>
        <w:numPr>
          <w:ilvl w:val="0"/>
          <w:numId w:val="201"/>
        </w:numPr>
        <w:rPr>
          <w:rFonts w:ascii="Arial" w:cs="Arial" w:eastAsia="Arial" w:hAnsi="Arial"/>
          <w:sz w:val="17"/>
          <w:szCs w:val="17"/>
          <w:color w:val="auto"/>
        </w:rPr>
      </w:pPr>
      <w:r>
        <w:rPr>
          <w:rFonts w:ascii="Arial" w:cs="Arial" w:eastAsia="Arial" w:hAnsi="Arial"/>
          <w:sz w:val="17"/>
          <w:szCs w:val="17"/>
          <w:color w:val="auto"/>
        </w:rPr>
        <w:t>Establish, adopt, or revise any Programs, rules and regulations as it may deem necessary or advisable to administer the Plan;</w:t>
      </w:r>
    </w:p>
    <w:p>
      <w:pPr>
        <w:spacing w:after="0" w:line="128" w:lineRule="exact"/>
        <w:rPr>
          <w:rFonts w:ascii="Arial" w:cs="Arial" w:eastAsia="Arial" w:hAnsi="Arial"/>
          <w:sz w:val="17"/>
          <w:szCs w:val="17"/>
          <w:color w:val="auto"/>
        </w:rPr>
      </w:pPr>
    </w:p>
    <w:p>
      <w:pPr>
        <w:ind w:left="1204" w:hanging="213"/>
        <w:spacing w:after="0"/>
        <w:tabs>
          <w:tab w:leader="none" w:pos="120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pacing w:after="0" w:line="117" w:lineRule="exact"/>
        <w:rPr>
          <w:rFonts w:ascii="Arial" w:cs="Arial" w:eastAsia="Arial" w:hAnsi="Arial"/>
          <w:sz w:val="18"/>
          <w:szCs w:val="18"/>
          <w:color w:val="auto"/>
        </w:rPr>
      </w:pPr>
    </w:p>
    <w:p>
      <w:pPr>
        <w:ind w:left="4" w:right="420" w:firstLine="987"/>
        <w:spacing w:after="0" w:line="277" w:lineRule="auto"/>
        <w:tabs>
          <w:tab w:leader="none" w:pos="125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62" w:lineRule="exact"/>
        <w:rPr>
          <w:sz w:val="20"/>
          <w:szCs w:val="20"/>
          <w:color w:val="auto"/>
        </w:rPr>
      </w:pPr>
    </w:p>
    <w:p>
      <w:pPr>
        <w:ind w:left="4" w:right="460" w:firstLine="440"/>
        <w:spacing w:after="0" w:line="342"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6" w:lineRule="exact"/>
        <w:rPr>
          <w:sz w:val="20"/>
          <w:szCs w:val="20"/>
          <w:color w:val="auto"/>
        </w:rPr>
      </w:pPr>
    </w:p>
    <w:p>
      <w:pPr>
        <w:jc w:val="both"/>
        <w:ind w:left="4" w:right="220" w:firstLine="440"/>
        <w:spacing w:after="0" w:line="287"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be delegated the authority to grant Awards to, or amend Awards held by, the following individuals:</w:t>
      </w:r>
    </w:p>
    <w:p>
      <w:pPr>
        <w:spacing w:after="0" w:line="2" w:lineRule="exact"/>
        <w:rPr>
          <w:sz w:val="20"/>
          <w:szCs w:val="20"/>
          <w:color w:val="auto"/>
        </w:rPr>
      </w:pPr>
    </w:p>
    <w:p>
      <w:pPr>
        <w:ind w:left="4" w:hanging="4"/>
        <w:spacing w:after="0" w:line="269" w:lineRule="auto"/>
        <w:tabs>
          <w:tab w:leader="none" w:pos="249"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individuals who are subject to Section 16 of the Exchange Act, or (b)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72"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Acceleration</w:t>
      </w:r>
      <w:r>
        <w:rPr>
          <w:rFonts w:ascii="Arial" w:cs="Arial" w:eastAsia="Arial" w:hAnsi="Arial"/>
          <w:sz w:val="17"/>
          <w:szCs w:val="17"/>
          <w:color w:val="auto"/>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w:t>
      </w:r>
    </w:p>
    <w:p>
      <w:pPr>
        <w:spacing w:after="0" w:line="200" w:lineRule="exact"/>
        <w:rPr>
          <w:sz w:val="20"/>
          <w:szCs w:val="20"/>
          <w:color w:val="auto"/>
        </w:rPr>
      </w:pP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10" w:name="page211"/>
    <w:bookmarkEnd w:id="21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12.</w:t>
      </w:r>
    </w:p>
    <w:p>
      <w:pPr>
        <w:spacing w:after="0" w:line="225" w:lineRule="exact"/>
        <w:rPr>
          <w:sz w:val="20"/>
          <w:szCs w:val="20"/>
          <w:color w:val="auto"/>
        </w:rPr>
      </w:pPr>
    </w:p>
    <w:p>
      <w:pPr>
        <w:ind w:left="4144"/>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117" w:lineRule="exact"/>
        <w:rPr>
          <w:sz w:val="20"/>
          <w:szCs w:val="20"/>
          <w:color w:val="auto"/>
        </w:rPr>
      </w:pPr>
    </w:p>
    <w:p>
      <w:pPr>
        <w:ind w:left="4" w:right="60" w:firstLine="987"/>
        <w:spacing w:after="0" w:line="259" w:lineRule="auto"/>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12.1(b),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10.7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78" w:lineRule="exact"/>
        <w:rPr>
          <w:rFonts w:ascii="Arial" w:cs="Arial" w:eastAsia="Arial" w:hAnsi="Arial"/>
          <w:sz w:val="18"/>
          <w:szCs w:val="18"/>
          <w:color w:val="auto"/>
        </w:rPr>
      </w:pPr>
    </w:p>
    <w:p>
      <w:pPr>
        <w:jc w:val="both"/>
        <w:ind w:left="4" w:right="120" w:firstLine="987"/>
        <w:spacing w:after="0" w:line="263" w:lineRule="auto"/>
        <w:tabs>
          <w:tab w:leader="none" w:pos="125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Notwithstanding Section 12.1(a), the Board may not, except as provided in Section 12.2, increase the limit imposed in Section 3.1 on the maximum number of Shares which may be issued under the Plan without approval of the Company’s stockholders given within twelve (12) months before or after such increase.</w:t>
      </w:r>
    </w:p>
    <w:p>
      <w:pPr>
        <w:spacing w:after="0" w:line="75" w:lineRule="exact"/>
        <w:rPr>
          <w:rFonts w:ascii="Arial" w:cs="Arial" w:eastAsia="Arial" w:hAnsi="Arial"/>
          <w:sz w:val="18"/>
          <w:szCs w:val="18"/>
          <w:color w:val="auto"/>
        </w:rPr>
      </w:pPr>
    </w:p>
    <w:p>
      <w:pPr>
        <w:ind w:left="4" w:right="100" w:firstLine="987"/>
        <w:spacing w:after="0" w:line="257" w:lineRule="auto"/>
        <w:tabs>
          <w:tab w:leader="none" w:pos="12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5"/>
          <w:szCs w:val="15"/>
          <w:color w:val="auto"/>
        </w:rPr>
        <w:t>th</w:t>
      </w:r>
      <w:r>
        <w:rPr>
          <w:rFonts w:ascii="Arial" w:cs="Arial" w:eastAsia="Arial" w:hAnsi="Arial"/>
          <w:sz w:val="18"/>
          <w:szCs w:val="18"/>
          <w:color w:val="auto"/>
        </w:rPr>
        <w:t>) anniversary of the earlier of (i) the date on which the Plan was adopted by the Board or (ii) the date the Plan was approved by the Company’s stockholders (such anniversary,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Any Awards that are outstanding on the Expiration Date shall remain in force according to the terms of the Plan, the applicable Program and the applicable Award Agreement.</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Changes in Common Stock or Assets of the Company, Acquisition or Liquidation of the Company and Other Corporate Events</w:t>
      </w:r>
      <w:r>
        <w:rPr>
          <w:rFonts w:ascii="Arial" w:cs="Arial" w:eastAsia="Arial" w:hAnsi="Arial"/>
          <w:sz w:val="18"/>
          <w:szCs w:val="18"/>
          <w:color w:val="auto"/>
        </w:rPr>
        <w:t>.</w:t>
      </w:r>
    </w:p>
    <w:p>
      <w:pPr>
        <w:spacing w:after="0" w:line="117" w:lineRule="exact"/>
        <w:rPr>
          <w:sz w:val="20"/>
          <w:szCs w:val="20"/>
          <w:color w:val="auto"/>
        </w:rPr>
      </w:pPr>
    </w:p>
    <w:p>
      <w:pPr>
        <w:jc w:val="both"/>
        <w:ind w:left="4" w:right="240" w:firstLine="987"/>
        <w:spacing w:after="0" w:line="287" w:lineRule="auto"/>
        <w:tabs>
          <w:tab w:leader="none" w:pos="124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w:t>
      </w:r>
    </w:p>
    <w:p>
      <w:pPr>
        <w:spacing w:after="0" w:line="2" w:lineRule="exact"/>
        <w:rPr>
          <w:rFonts w:ascii="Arial" w:cs="Arial" w:eastAsia="Arial" w:hAnsi="Arial"/>
          <w:sz w:val="16"/>
          <w:szCs w:val="16"/>
          <w:color w:val="auto"/>
        </w:rPr>
      </w:pPr>
    </w:p>
    <w:p>
      <w:pPr>
        <w:ind w:left="4" w:hanging="4"/>
        <w:spacing w:after="0" w:line="270" w:lineRule="auto"/>
        <w:tabs>
          <w:tab w:leader="none" w:pos="21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Criteria and Performance Goals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any non-employee director compensation policy adopted by the Board.</w:t>
      </w:r>
    </w:p>
    <w:p>
      <w:pPr>
        <w:spacing w:after="0" w:line="70" w:lineRule="exact"/>
        <w:rPr>
          <w:rFonts w:ascii="Arial" w:cs="Arial" w:eastAsia="Arial" w:hAnsi="Arial"/>
          <w:sz w:val="17"/>
          <w:szCs w:val="17"/>
          <w:color w:val="auto"/>
        </w:rPr>
      </w:pPr>
    </w:p>
    <w:p>
      <w:pPr>
        <w:ind w:left="4" w:right="60" w:firstLine="987"/>
        <w:spacing w:after="0" w:line="272" w:lineRule="auto"/>
        <w:tabs>
          <w:tab w:leader="none" w:pos="125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In the event of any transaction or event described in Section 12.2(a) or any unusual or nonrecurring transactions or events affecting the Company, any Affiliate of the Company, or the financial statements of the Company or any Affiliate,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211" w:name="page212"/>
    <w:bookmarkEnd w:id="211"/>
    <w:p>
      <w:pPr>
        <w:ind w:firstLine="1428"/>
        <w:spacing w:after="0" w:line="257" w:lineRule="auto"/>
        <w:tabs>
          <w:tab w:leader="none" w:pos="1647" w:val="left"/>
        </w:tabs>
        <w:numPr>
          <w:ilvl w:val="1"/>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79" w:lineRule="exact"/>
        <w:rPr>
          <w:rFonts w:ascii="Arial" w:cs="Arial" w:eastAsia="Arial" w:hAnsi="Arial"/>
          <w:sz w:val="18"/>
          <w:szCs w:val="18"/>
          <w:color w:val="auto"/>
        </w:rPr>
      </w:pPr>
    </w:p>
    <w:p>
      <w:pPr>
        <w:jc w:val="both"/>
        <w:ind w:right="20" w:firstLine="1428"/>
        <w:spacing w:after="0" w:line="311" w:lineRule="auto"/>
        <w:tabs>
          <w:tab w:leader="none" w:pos="1697" w:val="left"/>
        </w:tabs>
        <w:numPr>
          <w:ilvl w:val="1"/>
          <w:numId w:val="206"/>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40" w:lineRule="exact"/>
        <w:rPr>
          <w:rFonts w:ascii="Arial" w:cs="Arial" w:eastAsia="Arial" w:hAnsi="Arial"/>
          <w:sz w:val="16"/>
          <w:szCs w:val="16"/>
          <w:color w:val="auto"/>
        </w:rPr>
      </w:pPr>
    </w:p>
    <w:p>
      <w:pPr>
        <w:ind w:right="160" w:firstLine="1428"/>
        <w:spacing w:after="0" w:line="263" w:lineRule="auto"/>
        <w:tabs>
          <w:tab w:leader="none" w:pos="174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75" w:lineRule="exact"/>
        <w:rPr>
          <w:rFonts w:ascii="Arial" w:cs="Arial" w:eastAsia="Arial" w:hAnsi="Arial"/>
          <w:sz w:val="18"/>
          <w:szCs w:val="18"/>
          <w:color w:val="auto"/>
        </w:rPr>
      </w:pPr>
    </w:p>
    <w:p>
      <w:pPr>
        <w:ind w:right="780" w:firstLine="1428"/>
        <w:spacing w:after="0" w:line="277" w:lineRule="auto"/>
        <w:tabs>
          <w:tab w:leader="none" w:pos="173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62" w:lineRule="exact"/>
        <w:rPr>
          <w:rFonts w:ascii="Arial" w:cs="Arial" w:eastAsia="Arial" w:hAnsi="Arial"/>
          <w:sz w:val="18"/>
          <w:szCs w:val="18"/>
          <w:color w:val="auto"/>
        </w:rPr>
      </w:pPr>
    </w:p>
    <w:p>
      <w:pPr>
        <w:ind w:left="1680" w:hanging="252"/>
        <w:spacing w:after="0"/>
        <w:tabs>
          <w:tab w:leader="none" w:pos="16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7" w:lineRule="exact"/>
        <w:rPr>
          <w:rFonts w:ascii="Arial" w:cs="Arial" w:eastAsia="Arial" w:hAnsi="Arial"/>
          <w:sz w:val="18"/>
          <w:szCs w:val="18"/>
          <w:color w:val="auto"/>
        </w:rPr>
      </w:pPr>
    </w:p>
    <w:p>
      <w:pPr>
        <w:ind w:left="1740" w:hanging="312"/>
        <w:spacing w:after="0"/>
        <w:tabs>
          <w:tab w:leader="none" w:pos="174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12.2(a)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12.2(b):</w:t>
      </w:r>
    </w:p>
    <w:p>
      <w:pPr>
        <w:spacing w:after="0" w:line="102" w:lineRule="exact"/>
        <w:rPr>
          <w:rFonts w:ascii="Arial" w:cs="Arial" w:eastAsia="Arial" w:hAnsi="Arial"/>
          <w:sz w:val="16"/>
          <w:szCs w:val="16"/>
          <w:color w:val="auto"/>
        </w:rPr>
      </w:pPr>
    </w:p>
    <w:p>
      <w:pPr>
        <w:ind w:right="100" w:firstLine="1428"/>
        <w:spacing w:after="0" w:line="263" w:lineRule="auto"/>
        <w:tabs>
          <w:tab w:leader="none" w:pos="1647"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75" w:lineRule="exact"/>
        <w:rPr>
          <w:rFonts w:ascii="Arial" w:cs="Arial" w:eastAsia="Arial" w:hAnsi="Arial"/>
          <w:sz w:val="18"/>
          <w:szCs w:val="18"/>
          <w:color w:val="auto"/>
        </w:rPr>
      </w:pPr>
    </w:p>
    <w:p>
      <w:pPr>
        <w:ind w:right="100" w:firstLine="1428"/>
        <w:spacing w:after="0" w:line="311" w:lineRule="auto"/>
        <w:tabs>
          <w:tab w:leader="none" w:pos="169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40" w:top="274" w:right="539" w:bottom="1440" w:gutter="0" w:footer="0" w:header="0"/>
        </w:sectPr>
      </w:pPr>
    </w:p>
    <w:bookmarkStart w:id="212" w:name="page213"/>
    <w:bookmarkEnd w:id="212"/>
    <w:p>
      <w:pPr>
        <w:ind w:left="-20" w:right="20" w:firstLine="987"/>
        <w:spacing w:after="0" w:line="253" w:lineRule="auto"/>
        <w:tabs>
          <w:tab w:leader="none" w:pos="1226"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 (A) such Award (other than any portion subject to performance-based vesting) shall continue in effect or be assumed or an equivalent Award (which may include, without limitation, an Award settled in cash)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In the event an Award continues in effect or is assumed or an equivalent Award substituted, and a Holder incurs a Termination of Service without “cause” (as such term is defined in the sole discretion of the Administrator, or as set forth in the Award Agreement relating to such Award) upon or within twelve (12) months following the Change in Control, then such Holder shall be fully vested in such continued, assumed or substituted Award.</w:t>
      </w:r>
    </w:p>
    <w:p>
      <w:pPr>
        <w:spacing w:after="0" w:line="86" w:lineRule="exact"/>
        <w:rPr>
          <w:rFonts w:ascii="Arial" w:cs="Arial" w:eastAsia="Arial" w:hAnsi="Arial"/>
          <w:sz w:val="18"/>
          <w:szCs w:val="18"/>
          <w:color w:val="auto"/>
        </w:rPr>
      </w:pPr>
    </w:p>
    <w:p>
      <w:pPr>
        <w:ind w:left="-20" w:firstLine="987"/>
        <w:spacing w:after="0" w:line="273" w:lineRule="auto"/>
        <w:tabs>
          <w:tab w:leader="none" w:pos="121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In the event that the successor corporation in a Change in Control refuses to assume or substitute for an Award,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69" w:lineRule="exact"/>
        <w:rPr>
          <w:rFonts w:ascii="Arial" w:cs="Arial" w:eastAsia="Arial" w:hAnsi="Arial"/>
          <w:sz w:val="17"/>
          <w:szCs w:val="17"/>
          <w:color w:val="auto"/>
        </w:rPr>
      </w:pPr>
    </w:p>
    <w:p>
      <w:pPr>
        <w:ind w:left="-20" w:right="20" w:firstLine="987"/>
        <w:spacing w:after="0" w:line="271" w:lineRule="auto"/>
        <w:tabs>
          <w:tab w:leader="none" w:pos="1196"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For the purposes of this Section 12.2,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70" w:lineRule="exact"/>
        <w:rPr>
          <w:rFonts w:ascii="Arial" w:cs="Arial" w:eastAsia="Arial" w:hAnsi="Arial"/>
          <w:sz w:val="17"/>
          <w:szCs w:val="17"/>
          <w:color w:val="auto"/>
        </w:rPr>
      </w:pPr>
    </w:p>
    <w:p>
      <w:pPr>
        <w:ind w:left="-20" w:right="60" w:firstLine="987"/>
        <w:spacing w:after="0" w:line="277" w:lineRule="auto"/>
        <w:tabs>
          <w:tab w:leader="none" w:pos="122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2" w:lineRule="exact"/>
        <w:rPr>
          <w:rFonts w:ascii="Arial" w:cs="Arial" w:eastAsia="Arial" w:hAnsi="Arial"/>
          <w:sz w:val="18"/>
          <w:szCs w:val="18"/>
          <w:color w:val="auto"/>
        </w:rPr>
      </w:pPr>
    </w:p>
    <w:p>
      <w:pPr>
        <w:ind w:left="-20" w:right="160" w:firstLine="987"/>
        <w:spacing w:after="0" w:line="259" w:lineRule="auto"/>
        <w:tabs>
          <w:tab w:leader="none" w:pos="122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60" w:top="274" w:right="459" w:bottom="1440" w:gutter="0" w:footer="0" w:header="0"/>
        </w:sectPr>
      </w:pPr>
    </w:p>
    <w:bookmarkStart w:id="213" w:name="page214"/>
    <w:bookmarkEnd w:id="213"/>
    <w:p>
      <w:pPr>
        <w:ind w:right="60" w:firstLine="987"/>
        <w:spacing w:after="0" w:line="293" w:lineRule="auto"/>
        <w:tabs>
          <w:tab w:leader="none" w:pos="1206" w:val="left"/>
        </w:tabs>
        <w:numPr>
          <w:ilvl w:val="0"/>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56" w:lineRule="exact"/>
        <w:rPr>
          <w:rFonts w:ascii="Arial" w:cs="Arial" w:eastAsia="Arial" w:hAnsi="Arial"/>
          <w:sz w:val="16"/>
          <w:szCs w:val="16"/>
          <w:color w:val="auto"/>
        </w:rPr>
      </w:pPr>
    </w:p>
    <w:p>
      <w:pPr>
        <w:ind w:firstLine="987"/>
        <w:spacing w:after="0" w:line="279" w:lineRule="auto"/>
        <w:tabs>
          <w:tab w:leader="none" w:pos="120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63"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Approval of Plan by Stockholders</w:t>
      </w:r>
      <w:r>
        <w:rPr>
          <w:rFonts w:ascii="Arial" w:cs="Arial" w:eastAsia="Arial" w:hAnsi="Arial"/>
          <w:sz w:val="16"/>
          <w:szCs w:val="16"/>
          <w:color w:val="auto"/>
        </w:rPr>
        <w:t xml:space="preserve">. The Plan shall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Awards shall not be exercisable, shall not vest and the restrictions thereon shall not lapse and no Shares shall be issued pursuant thereto prior to the time when the Plan is approved by the Company’s stockholders;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approval has not been obtained at the end of said twelve (12) month period, all Awards previously granted or awarded under the Plan shall thereupon be canceled and become null and void.</w:t>
      </w:r>
    </w:p>
    <w:p>
      <w:pPr>
        <w:spacing w:after="0" w:line="53"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38"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5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14" w:name="page215"/>
    <w:bookmarkEnd w:id="214"/>
    <w:p>
      <w:pPr>
        <w:ind w:left="4"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12.7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60" w:lineRule="exact"/>
        <w:rPr>
          <w:sz w:val="20"/>
          <w:szCs w:val="20"/>
          <w:color w:val="auto"/>
        </w:rPr>
      </w:pPr>
    </w:p>
    <w:p>
      <w:pPr>
        <w:ind w:left="4" w:right="480" w:firstLine="440"/>
        <w:spacing w:after="0" w:line="263"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76" w:lineRule="exact"/>
        <w:rPr>
          <w:sz w:val="20"/>
          <w:szCs w:val="20"/>
          <w:color w:val="auto"/>
        </w:rPr>
      </w:pPr>
    </w:p>
    <w:p>
      <w:pPr>
        <w:ind w:left="4" w:right="340" w:firstLine="440"/>
        <w:spacing w:after="0" w:line="277"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62" w:lineRule="exact"/>
        <w:rPr>
          <w:sz w:val="20"/>
          <w:szCs w:val="20"/>
          <w:color w:val="auto"/>
        </w:rPr>
      </w:pPr>
    </w:p>
    <w:p>
      <w:pPr>
        <w:ind w:left="4" w:right="20" w:firstLine="440"/>
        <w:spacing w:after="0" w:line="284"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Affiliates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w:t>
      </w:r>
    </w:p>
    <w:p>
      <w:pPr>
        <w:spacing w:after="0" w:line="2" w:lineRule="exact"/>
        <w:rPr>
          <w:sz w:val="20"/>
          <w:szCs w:val="20"/>
          <w:color w:val="auto"/>
        </w:rPr>
      </w:pPr>
    </w:p>
    <w:p>
      <w:pPr>
        <w:ind w:left="4" w:right="260" w:hanging="4"/>
        <w:spacing w:after="0" w:line="295" w:lineRule="auto"/>
        <w:tabs>
          <w:tab w:leader="none" w:pos="21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215" w:name="page216"/>
    <w:bookmarkEnd w:id="21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5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76"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Affiliates.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7560" w:type="dxa"/>
            <w:vAlign w:val="bottom"/>
            <w:gridSpan w:val="6"/>
          </w:tcPr>
          <w:p>
            <w:pPr>
              <w:spacing w:after="0"/>
              <w:rPr>
                <w:sz w:val="20"/>
                <w:szCs w:val="20"/>
                <w:color w:val="auto"/>
              </w:rPr>
            </w:pPr>
            <w:r>
              <w:rPr>
                <w:rFonts w:ascii="Arial" w:cs="Arial" w:eastAsia="Arial" w:hAnsi="Arial"/>
                <w:sz w:val="18"/>
                <w:szCs w:val="18"/>
                <w:color w:val="auto"/>
                <w:w w:val="92"/>
              </w:rPr>
              <w:t>I hereby certify that the foregoing Plan was duly adopted by the Board of Directors of GoHealth, Inc. on</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668"/>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20" w:type="dxa"/>
            <w:vAlign w:val="bottom"/>
            <w:gridSpan w:val="2"/>
          </w:tcPr>
          <w:p>
            <w:pPr>
              <w:jc w:val="right"/>
              <w:ind w:right="95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92"/>
        </w:trPr>
        <w:tc>
          <w:tcPr>
            <w:tcW w:w="7560" w:type="dxa"/>
            <w:vAlign w:val="bottom"/>
            <w:gridSpan w:val="6"/>
          </w:tcPr>
          <w:p>
            <w:pPr>
              <w:spacing w:after="0"/>
              <w:rPr>
                <w:sz w:val="20"/>
                <w:szCs w:val="20"/>
                <w:color w:val="auto"/>
              </w:rPr>
            </w:pPr>
            <w:r>
              <w:rPr>
                <w:rFonts w:ascii="Arial" w:cs="Arial" w:eastAsia="Arial" w:hAnsi="Arial"/>
                <w:sz w:val="18"/>
                <w:szCs w:val="18"/>
                <w:color w:val="auto"/>
              </w:rPr>
              <w:t>I hereby certify that the foregoing Plan was approved by the stockholders of GoHealth, Inc. on</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 2020.</w:t>
            </w:r>
          </w:p>
        </w:tc>
        <w:tc>
          <w:tcPr>
            <w:tcW w:w="500" w:type="dxa"/>
            <w:vAlign w:val="bottom"/>
          </w:tcPr>
          <w:p>
            <w:pPr>
              <w:spacing w:after="0"/>
              <w:rPr>
                <w:sz w:val="24"/>
                <w:szCs w:val="24"/>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w w:val="91"/>
              </w:rPr>
              <w:t>Executed on this</w:t>
            </w:r>
          </w:p>
        </w:tc>
        <w:tc>
          <w:tcPr>
            <w:tcW w:w="36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900" w:type="dxa"/>
            <w:vAlign w:val="bottom"/>
            <w:tcBorders>
              <w:bottom w:val="single" w:sz="8" w:color="auto"/>
            </w:tcBorders>
          </w:tcPr>
          <w:p>
            <w:pPr>
              <w:spacing w:after="0"/>
              <w:rPr>
                <w:sz w:val="24"/>
                <w:szCs w:val="24"/>
                <w:color w:val="auto"/>
              </w:rPr>
            </w:pPr>
          </w:p>
        </w:tc>
        <w:tc>
          <w:tcPr>
            <w:tcW w:w="3820" w:type="dxa"/>
            <w:vAlign w:val="bottom"/>
          </w:tcPr>
          <w:p>
            <w:pPr>
              <w:jc w:val="right"/>
              <w:ind w:right="3230"/>
              <w:spacing w:after="0"/>
              <w:rPr>
                <w:sz w:val="20"/>
                <w:szCs w:val="20"/>
                <w:color w:val="auto"/>
              </w:rPr>
            </w:pPr>
            <w:r>
              <w:rPr>
                <w:rFonts w:ascii="Arial" w:cs="Arial" w:eastAsia="Arial" w:hAnsi="Arial"/>
                <w:sz w:val="18"/>
                <w:szCs w:val="18"/>
                <w:color w:val="auto"/>
                <w:w w:val="87"/>
              </w:rPr>
              <w:t>, 2020.</w:t>
            </w:r>
          </w:p>
        </w:tc>
        <w:tc>
          <w:tcPr>
            <w:tcW w:w="7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308610</wp:posOffset>
            </wp:positionV>
            <wp:extent cx="27946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Corporate Secretary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019"/>
          </w:cols>
          <w:pgMar w:left="440" w:top="257" w:right="1440" w:bottom="1440" w:gutter="0" w:footer="0" w:header="0"/>
        </w:sectPr>
      </w:pPr>
    </w:p>
    <w:bookmarkStart w:id="217" w:name="page218"/>
    <w:bookmarkEnd w:id="217"/>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169545</wp:posOffset>
            </wp:positionV>
            <wp:extent cx="6998970" cy="3556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EMPLOYEE STOCK PURCHASE PLAN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The purpose of this Plan is to assist Eligible Employees of the Company and its Designated Subsidiaries in acquiring a stock ownership interest in the Company.</w:t>
      </w:r>
    </w:p>
    <w:p>
      <w:pPr>
        <w:spacing w:after="0" w:line="170" w:lineRule="exact"/>
        <w:rPr>
          <w:sz w:val="20"/>
          <w:szCs w:val="20"/>
          <w:color w:val="auto"/>
        </w:rPr>
      </w:pPr>
    </w:p>
    <w:p>
      <w:pPr>
        <w:ind w:right="280" w:firstLine="440"/>
        <w:spacing w:after="0" w:line="289" w:lineRule="auto"/>
        <w:rPr>
          <w:sz w:val="20"/>
          <w:szCs w:val="20"/>
          <w:color w:val="auto"/>
        </w:rPr>
      </w:pPr>
      <w:r>
        <w:rPr>
          <w:rFonts w:ascii="Arial" w:cs="Arial" w:eastAsia="Arial" w:hAnsi="Arial"/>
          <w:sz w:val="16"/>
          <w:szCs w:val="16"/>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66"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entity that conducts the general administration of the Plan as provided in Article XI.</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62"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1020"/>
          </w:cols>
          <w:pgMar w:left="440" w:top="121" w:right="439" w:bottom="1440" w:gutter="0" w:footer="0" w:header="0"/>
        </w:sectPr>
      </w:pPr>
    </w:p>
    <w:bookmarkStart w:id="218" w:name="page219"/>
    <w:bookmarkEnd w:id="21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2.5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the regulations issued thereunder.</w:t>
      </w:r>
    </w:p>
    <w:p>
      <w:pPr>
        <w:spacing w:after="0" w:line="117"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 and such other securities of the Company that may be substituted therefore.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GoHealth, Inc., a Delaware corporation, or any successor.</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of an Eligible Employee means, unless otherwise determined by the Administrator, the gross base compensation received by such Eligible Employee as compensation for services to the Company or any Designated Subsidiary.</w:t>
      </w:r>
    </w:p>
    <w:p>
      <w:pPr>
        <w:spacing w:after="0" w:line="62"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i w:val="1"/>
          <w:iCs w:val="1"/>
          <w:color w:val="auto"/>
        </w:rPr>
        <w:t>Designated Subsidiary</w:t>
      </w:r>
      <w:r>
        <w:rPr>
          <w:rFonts w:ascii="Arial" w:cs="Arial" w:eastAsia="Arial" w:hAnsi="Arial"/>
          <w:sz w:val="18"/>
          <w:szCs w:val="18"/>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Effectiv</w:t>
      </w: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means the date the Plan is adopted by the Board.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w:t>
      </w:r>
    </w:p>
    <w:p>
      <w:pPr>
        <w:spacing w:after="0" w:line="117" w:lineRule="exact"/>
        <w:rPr>
          <w:sz w:val="20"/>
          <w:szCs w:val="20"/>
          <w:color w:val="auto"/>
        </w:rPr>
      </w:pPr>
    </w:p>
    <w:p>
      <w:pPr>
        <w:ind w:left="4" w:firstLine="987"/>
        <w:spacing w:after="0" w:line="257" w:lineRule="auto"/>
        <w:tabs>
          <w:tab w:leader="none" w:pos="12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79" w:lineRule="exact"/>
        <w:rPr>
          <w:rFonts w:ascii="Arial" w:cs="Arial" w:eastAsia="Arial" w:hAnsi="Arial"/>
          <w:sz w:val="18"/>
          <w:szCs w:val="18"/>
          <w:color w:val="auto"/>
        </w:rPr>
      </w:pPr>
    </w:p>
    <w:p>
      <w:pPr>
        <w:jc w:val="both"/>
        <w:ind w:left="4" w:right="140" w:firstLine="987"/>
        <w:spacing w:after="0" w:line="287" w:lineRule="auto"/>
        <w:tabs>
          <w:tab w:leader="none" w:pos="125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spacing w:after="0" w:line="2" w:lineRule="exact"/>
        <w:rPr>
          <w:rFonts w:ascii="Arial" w:cs="Arial" w:eastAsia="Arial" w:hAnsi="Arial"/>
          <w:sz w:val="16"/>
          <w:szCs w:val="16"/>
          <w:color w:val="auto"/>
        </w:rPr>
      </w:pPr>
    </w:p>
    <w:p>
      <w:pPr>
        <w:ind w:left="4" w:right="40" w:hanging="4"/>
        <w:spacing w:after="0" w:line="252" w:lineRule="auto"/>
        <w:tabs>
          <w:tab w:leader="none" w:pos="29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exclusion in clauses (i), (ii), (iii), (iv) or (v) shall be applied in an identical manner under each Offering Period to all Employees, in accordance with Treasury Regulation Section 1.423-2(e).</w:t>
      </w:r>
    </w:p>
    <w:p>
      <w:pPr>
        <w:spacing w:after="0" w:line="84" w:lineRule="exact"/>
        <w:rPr>
          <w:rFonts w:ascii="Arial" w:cs="Arial" w:eastAsia="Arial" w:hAnsi="Arial"/>
          <w:sz w:val="18"/>
          <w:szCs w:val="18"/>
          <w:color w:val="auto"/>
        </w:rPr>
      </w:pPr>
    </w:p>
    <w:p>
      <w:pPr>
        <w:jc w:val="both"/>
        <w:ind w:left="4" w:right="60" w:firstLine="987"/>
        <w:spacing w:after="0" w:line="279" w:lineRule="auto"/>
        <w:tabs>
          <w:tab w:leader="none" w:pos="1240" w:val="left"/>
        </w:tabs>
        <w:numPr>
          <w:ilvl w:val="1"/>
          <w:numId w:val="212"/>
        </w:numPr>
        <w:rPr>
          <w:rFonts w:ascii="Arial" w:cs="Arial" w:eastAsia="Arial" w:hAnsi="Arial"/>
          <w:sz w:val="17"/>
          <w:szCs w:val="17"/>
          <w:color w:val="auto"/>
        </w:rPr>
      </w:pPr>
      <w:r>
        <w:rPr>
          <w:rFonts w:ascii="Arial" w:cs="Arial" w:eastAsia="Arial" w:hAnsi="Arial"/>
          <w:sz w:val="17"/>
          <w:szCs w:val="17"/>
          <w:color w:val="auto"/>
        </w:rPr>
        <w:t>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219" w:name="page220"/>
    <w:bookmarkEnd w:id="219"/>
    <w:p>
      <w:pPr>
        <w:ind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2.12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individual who renders services to the Company or any Designated Subsidiary in the status of an employee, and, with respect to the Section 423 Component, a person who is an employee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Trading Day of each Offering Period.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given date, the value of a Share determined as follows:</w:t>
      </w:r>
    </w:p>
    <w:p>
      <w:pPr>
        <w:spacing w:after="0" w:line="117" w:lineRule="exact"/>
        <w:rPr>
          <w:sz w:val="20"/>
          <w:szCs w:val="20"/>
          <w:color w:val="auto"/>
        </w:rPr>
      </w:pPr>
    </w:p>
    <w:p>
      <w:pPr>
        <w:ind w:right="160" w:firstLine="987"/>
        <w:spacing w:after="0" w:line="275" w:lineRule="auto"/>
        <w:tabs>
          <w:tab w:leader="none" w:pos="123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68" w:lineRule="exact"/>
        <w:rPr>
          <w:rFonts w:ascii="Arial" w:cs="Arial" w:eastAsia="Arial" w:hAnsi="Arial"/>
          <w:sz w:val="17"/>
          <w:szCs w:val="17"/>
          <w:color w:val="auto"/>
        </w:rPr>
      </w:pPr>
    </w:p>
    <w:p>
      <w:pPr>
        <w:ind w:firstLine="987"/>
        <w:spacing w:after="0" w:line="301" w:lineRule="auto"/>
        <w:tabs>
          <w:tab w:leader="none" w:pos="1246"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49" w:lineRule="exact"/>
        <w:rPr>
          <w:rFonts w:ascii="Arial" w:cs="Arial" w:eastAsia="Arial" w:hAnsi="Arial"/>
          <w:sz w:val="16"/>
          <w:szCs w:val="16"/>
          <w:color w:val="auto"/>
        </w:rPr>
      </w:pPr>
    </w:p>
    <w:p>
      <w:pPr>
        <w:ind w:right="40" w:firstLine="987"/>
        <w:spacing w:after="0" w:line="308" w:lineRule="auto"/>
        <w:tabs>
          <w:tab w:leader="none" w:pos="1236"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3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i w:val="1"/>
          <w:iCs w:val="1"/>
          <w:color w:val="auto"/>
        </w:rPr>
        <w:t>Non-Section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79"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20" w:name="page221"/>
    <w:bookmarkEnd w:id="2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2.17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has the meaning given to such term in Section 4.1.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has the meaning given to such term in Section 4.1.</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7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has executed a subscription agreement and been granted rights to purchase Shares pursuant to the Plan.</w:t>
      </w:r>
    </w:p>
    <w:p>
      <w:pPr>
        <w:spacing w:after="0" w:line="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Payday</w:t>
      </w:r>
      <w:r>
        <w:rPr>
          <w:rFonts w:ascii="Arial" w:cs="Arial" w:eastAsia="Arial" w:hAnsi="Arial"/>
          <w:sz w:val="18"/>
          <w:szCs w:val="18"/>
          <w:color w:val="auto"/>
        </w:rPr>
        <w:t>” means the regular and recurring established day for payment of Compensation to an Employee of the Company or any Designated Subsidiary.</w:t>
      </w:r>
    </w:p>
    <w:p>
      <w:pPr>
        <w:spacing w:after="0" w:line="6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Employee Stock Purchase Plan, including both the Section 423 Component and Non-Section 423 Component and any other sub-plans or appendices hereto, as amended from time to time.</w:t>
      </w:r>
    </w:p>
    <w:p>
      <w:pPr>
        <w:spacing w:after="0" w:line="6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Trading Day of each Offering Period or such other date as determined by the Administrator and set forth in the Offering Document.</w:t>
      </w:r>
    </w:p>
    <w:p>
      <w:pPr>
        <w:spacing w:after="0" w:line="6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share of Common Stock.</w:t>
      </w:r>
    </w:p>
    <w:p>
      <w:pPr>
        <w:spacing w:after="0" w:line="11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jc w:val="center"/>
        <w:ind w:right="360"/>
        <w:spacing w:after="0" w:line="433" w:lineRule="auto"/>
        <w:rPr>
          <w:sz w:val="20"/>
          <w:szCs w:val="20"/>
          <w:color w:val="auto"/>
        </w:rPr>
      </w:pPr>
      <w:r>
        <w:rPr>
          <w:rFonts w:ascii="Arial" w:cs="Arial" w:eastAsia="Arial" w:hAnsi="Arial"/>
          <w:sz w:val="18"/>
          <w:szCs w:val="18"/>
          <w:color w:val="auto"/>
        </w:rPr>
        <w:t>Section 301.7701-3(a) by reason of the Company or any other Subsidiary that is a corporation being the sole owner of such entity, or (b) such entity 4</w:t>
      </w:r>
    </w:p>
    <w:p>
      <w:pPr>
        <w:sectPr>
          <w:pgSz w:w="11900" w:h="16838" w:orient="portrait"/>
          <w:cols w:equalWidth="0" w:num="1">
            <w:col w:w="11000"/>
          </w:cols>
          <w:pgMar w:left="440" w:top="274" w:right="459" w:bottom="1440" w:gutter="0" w:footer="0" w:header="0"/>
        </w:sectPr>
      </w:pPr>
    </w:p>
    <w:bookmarkStart w:id="221" w:name="page222"/>
    <w:bookmarkEnd w:id="221"/>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national stock exchanges in the United States are open for trading.</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i w:val="1"/>
          <w:iCs w:val="1"/>
          <w:color w:val="auto"/>
        </w:rPr>
        <w:t>Treas. Reg.</w:t>
      </w:r>
      <w:r>
        <w:rPr>
          <w:rFonts w:ascii="Arial" w:cs="Arial" w:eastAsia="Arial" w:hAnsi="Arial"/>
          <w:sz w:val="18"/>
          <w:szCs w:val="18"/>
          <w:color w:val="auto"/>
        </w:rPr>
        <w:t>” means U.S. Department of the Treasury regulations.</w:t>
      </w:r>
    </w:p>
    <w:p>
      <w:pPr>
        <w:spacing w:after="0" w:line="200" w:lineRule="exact"/>
        <w:rPr>
          <w:sz w:val="20"/>
          <w:szCs w:val="20"/>
          <w:color w:val="auto"/>
        </w:rPr>
      </w:pPr>
    </w:p>
    <w:p>
      <w:pPr>
        <w:spacing w:after="0" w:line="23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Number of Shares</w:t>
      </w:r>
      <w:r>
        <w:rPr>
          <w:rFonts w:ascii="Arial" w:cs="Arial" w:eastAsia="Arial" w:hAnsi="Arial"/>
          <w:sz w:val="16"/>
          <w:szCs w:val="16"/>
          <w:color w:val="auto"/>
        </w:rPr>
        <w:t>. Subject to Article VIII, the aggregate number of Shares that may be issued pursuant to rights granted under the Plan shall</w:t>
      </w:r>
    </w:p>
    <w:p>
      <w:pPr>
        <w:spacing w:after="0" w:line="46" w:lineRule="exact"/>
        <w:rPr>
          <w:sz w:val="20"/>
          <w:szCs w:val="20"/>
          <w:color w:val="auto"/>
        </w:rPr>
      </w:pPr>
    </w:p>
    <w:p>
      <w:pPr>
        <w:ind w:left="4" w:right="40"/>
        <w:spacing w:after="0" w:line="281" w:lineRule="auto"/>
        <w:rPr>
          <w:sz w:val="20"/>
          <w:szCs w:val="20"/>
          <w:color w:val="auto"/>
        </w:rPr>
      </w:pPr>
      <w:r>
        <w:rPr>
          <w:rFonts w:ascii="Arial" w:cs="Arial" w:eastAsia="Arial" w:hAnsi="Arial"/>
          <w:sz w:val="16"/>
          <w:szCs w:val="16"/>
          <w:color w:val="auto"/>
        </w:rPr>
        <w:t>be [ ] Shares. In addition to the foregoing, subject to Article VIII, on the first day of each calendar year beginning on January 1, 2021 and ending on and including January 1, 2030, the number of Shares available for issuance under the Plan shall be increased by that number of Shares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-161290</wp:posOffset>
            </wp:positionV>
            <wp:extent cx="3429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4" w:right="40"/>
        <w:spacing w:after="0" w:line="281" w:lineRule="auto"/>
        <w:rPr>
          <w:sz w:val="20"/>
          <w:szCs w:val="20"/>
          <w:color w:val="auto"/>
        </w:rPr>
      </w:pPr>
      <w:r>
        <w:rPr>
          <w:rFonts w:ascii="Arial" w:cs="Arial" w:eastAsia="Arial" w:hAnsi="Arial"/>
          <w:sz w:val="16"/>
          <w:szCs w:val="16"/>
          <w:color w:val="auto"/>
        </w:rPr>
        <w:t>lesser of (a) [ ]% of the Shares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-434975</wp:posOffset>
            </wp:positionV>
            <wp:extent cx="3429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ind w:left="604" w:hanging="604"/>
        <w:spacing w:after="0"/>
        <w:tabs>
          <w:tab w:leader="none" w:pos="60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Shares, subject to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-19050</wp:posOffset>
            </wp:positionV>
            <wp:extent cx="3429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83"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the Plan may consist, in whole or in part, of authorized and unissued Shares, treasury shares or Shares purchased on the open market.</w:t>
      </w:r>
    </w:p>
    <w:p>
      <w:pPr>
        <w:spacing w:after="0" w:line="38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1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 Periods</w:t>
      </w:r>
      <w:r>
        <w:rPr>
          <w:rFonts w:ascii="Arial" w:cs="Arial" w:eastAsia="Arial" w:hAnsi="Arial"/>
          <w:sz w:val="16"/>
          <w:szCs w:val="16"/>
          <w:color w:val="auto"/>
        </w:rPr>
        <w:t>. The Administrator may from time to time grant or provide for the grant of rights to purchase Shares under the Plan to Eligible Employees during one or more periods (each, an “</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selected by the Administrator. The terms and conditions applicable to each Offering Period shall be set forth in an “</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provisions of separate Offerings or Offering Periods under the Plan need not be identical.</w:t>
      </w:r>
    </w:p>
    <w:p>
      <w:pPr>
        <w:spacing w:after="0" w:line="53"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Offering Documents</w:t>
      </w:r>
      <w:r>
        <w:rPr>
          <w:rFonts w:ascii="Arial" w:cs="Arial" w:eastAsia="Arial" w:hAnsi="Arial"/>
          <w:sz w:val="16"/>
          <w:szCs w:val="16"/>
          <w:color w:val="auto"/>
        </w:rPr>
        <w:t>. Each Offering Document with respect to an Offering Period shall specify (through incorporation of the provisions of this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Plan by reference or otherwise):</w:t>
      </w:r>
    </w:p>
    <w:p>
      <w:pPr>
        <w:spacing w:after="0" w:line="103" w:lineRule="exact"/>
        <w:rPr>
          <w:sz w:val="20"/>
          <w:szCs w:val="20"/>
          <w:color w:val="auto"/>
        </w:rPr>
      </w:pPr>
    </w:p>
    <w:p>
      <w:pPr>
        <w:ind w:left="1244" w:hanging="253"/>
        <w:spacing w:after="0"/>
        <w:tabs>
          <w:tab w:leader="none" w:pos="124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twenty-seven months;</w:t>
      </w:r>
    </w:p>
    <w:p>
      <w:pPr>
        <w:spacing w:after="0" w:line="117" w:lineRule="exact"/>
        <w:rPr>
          <w:rFonts w:ascii="Arial" w:cs="Arial" w:eastAsia="Arial" w:hAnsi="Arial"/>
          <w:sz w:val="18"/>
          <w:szCs w:val="18"/>
          <w:color w:val="auto"/>
        </w:rPr>
      </w:pPr>
    </w:p>
    <w:p>
      <w:pPr>
        <w:ind w:left="1244" w:hanging="253"/>
        <w:spacing w:after="0"/>
        <w:tabs>
          <w:tab w:leader="none" w:pos="124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maximum number of Shares that may be purchased by any Eligible Employee during such Offering Period, which, in the absence</w:t>
      </w:r>
    </w:p>
    <w:p>
      <w:pPr>
        <w:spacing w:after="0" w:line="46" w:lineRule="exact"/>
        <w:rPr>
          <w:sz w:val="20"/>
          <w:szCs w:val="20"/>
          <w:color w:val="auto"/>
        </w:rPr>
      </w:pPr>
    </w:p>
    <w:p>
      <w:pPr>
        <w:ind w:left="4"/>
        <w:spacing w:after="0"/>
        <w:tabs>
          <w:tab w:leader="none" w:pos="4604" w:val="left"/>
        </w:tabs>
        <w:rPr>
          <w:sz w:val="20"/>
          <w:szCs w:val="20"/>
          <w:color w:val="auto"/>
        </w:rPr>
      </w:pPr>
      <w:r>
        <w:rPr>
          <w:rFonts w:ascii="Arial" w:cs="Arial" w:eastAsia="Arial" w:hAnsi="Arial"/>
          <w:sz w:val="18"/>
          <w:szCs w:val="18"/>
          <w:color w:val="auto"/>
        </w:rPr>
        <w:t>of a contrary designation by the Administrator, shall be [</w:t>
      </w:r>
      <w:r>
        <w:rPr>
          <w:sz w:val="20"/>
          <w:szCs w:val="20"/>
          <w:color w:val="auto"/>
        </w:rPr>
        <w:tab/>
      </w:r>
      <w:r>
        <w:rPr>
          <w:rFonts w:ascii="Arial" w:cs="Arial" w:eastAsia="Arial" w:hAnsi="Arial"/>
          <w:sz w:val="15"/>
          <w:szCs w:val="15"/>
          <w:color w:val="auto"/>
        </w:rPr>
        <w:t>]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-19050</wp:posOffset>
            </wp:positionV>
            <wp:extent cx="3429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222" w:name="page223"/>
    <w:bookmarkEnd w:id="22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 such other provisions as the Administrator determines are appropriate, subject to the Plan.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AND PARTICIPATION</w:t>
      </w:r>
    </w:p>
    <w:p>
      <w:pPr>
        <w:spacing w:after="0" w:line="211"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311" w:lineRule="auto"/>
        <w:tabs>
          <w:tab w:leader="none" w:pos="123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40" w:lineRule="exact"/>
        <w:rPr>
          <w:rFonts w:ascii="Arial" w:cs="Arial" w:eastAsia="Arial" w:hAnsi="Arial"/>
          <w:sz w:val="16"/>
          <w:szCs w:val="16"/>
          <w:color w:val="auto"/>
        </w:rPr>
      </w:pPr>
    </w:p>
    <w:p>
      <w:pPr>
        <w:ind w:right="40" w:firstLine="987"/>
        <w:spacing w:after="0" w:line="273" w:lineRule="auto"/>
        <w:tabs>
          <w:tab w:leader="none" w:pos="124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Each subscription agreement shall designate a whole percentage or fixed dollar amount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40% in the absence of any such designation) as payroll deductions. The payroll deductions made for each Participant shall be credited to an account for such Participant under the Plan and shall be deposited with the general funds of the Company.</w:t>
      </w:r>
    </w:p>
    <w:p>
      <w:pPr>
        <w:spacing w:after="0" w:line="69" w:lineRule="exact"/>
        <w:rPr>
          <w:rFonts w:ascii="Arial" w:cs="Arial" w:eastAsia="Arial" w:hAnsi="Arial"/>
          <w:sz w:val="17"/>
          <w:szCs w:val="17"/>
          <w:color w:val="auto"/>
        </w:rPr>
      </w:pPr>
    </w:p>
    <w:p>
      <w:pPr>
        <w:ind w:firstLine="987"/>
        <w:spacing w:after="0" w:line="253" w:lineRule="auto"/>
        <w:tabs>
          <w:tab w:leader="none" w:pos="12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(but not increase) his or her payroll deduction elections one time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86" w:lineRule="exact"/>
        <w:rPr>
          <w:rFonts w:ascii="Arial" w:cs="Arial" w:eastAsia="Arial" w:hAnsi="Arial"/>
          <w:sz w:val="18"/>
          <w:szCs w:val="18"/>
          <w:color w:val="auto"/>
        </w:rPr>
      </w:pPr>
    </w:p>
    <w:p>
      <w:pPr>
        <w:ind w:right="260" w:firstLine="987"/>
        <w:spacing w:after="0" w:line="308" w:lineRule="auto"/>
        <w:tabs>
          <w:tab w:leader="none" w:pos="124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38"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23" w:name="page224"/>
    <w:bookmarkEnd w:id="223"/>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w:t>
      </w:r>
    </w:p>
    <w:p>
      <w:pPr>
        <w:spacing w:after="0" w:line="8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7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on Purchase of Shares</w:t>
      </w:r>
      <w:r>
        <w:rPr>
          <w:rFonts w:ascii="Arial" w:cs="Arial" w:eastAsia="Arial" w:hAnsi="Arial"/>
          <w:sz w:val="18"/>
          <w:szCs w:val="18"/>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Suspension of Payroll Deductions</w:t>
      </w:r>
      <w:r>
        <w:rPr>
          <w:rFonts w:ascii="Arial" w:cs="Arial" w:eastAsia="Arial" w:hAnsi="Arial"/>
          <w:sz w:val="17"/>
          <w:szCs w:val="17"/>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6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Foreign Employees</w:t>
      </w:r>
      <w:r>
        <w:rPr>
          <w:rFonts w:ascii="Arial" w:cs="Arial" w:eastAsia="Arial" w:hAnsi="Arial"/>
          <w:sz w:val="17"/>
          <w:szCs w:val="17"/>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11.2(f).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24" w:name="page225"/>
    <w:bookmarkEnd w:id="22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5.8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Treasury Regulation</w:t>
      </w:r>
    </w:p>
    <w:p>
      <w:pPr>
        <w:spacing w:after="0" w:line="23" w:lineRule="exact"/>
        <w:rPr>
          <w:sz w:val="20"/>
          <w:szCs w:val="20"/>
          <w:color w:val="auto"/>
        </w:rPr>
      </w:pPr>
    </w:p>
    <w:p>
      <w:pPr>
        <w:ind w:left="4" w:right="460"/>
        <w:spacing w:after="0" w:line="260" w:lineRule="auto"/>
        <w:rPr>
          <w:sz w:val="20"/>
          <w:szCs w:val="20"/>
          <w:color w:val="auto"/>
        </w:rPr>
      </w:pPr>
      <w:r>
        <w:rPr>
          <w:rFonts w:ascii="Arial" w:cs="Arial" w:eastAsia="Arial" w:hAnsi="Arial"/>
          <w:sz w:val="18"/>
          <w:szCs w:val="18"/>
          <w:color w:val="auto"/>
        </w:rPr>
        <w:t>Section 1.421-1(h)(2) under the Code, a Participant may continue participation in the Plan by making cash payments to the Company on his or her normal Payday equal to the Participant’s authorized payroll deduction.</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GRANT AND EXERCISE OF RIGHTS</w:t>
      </w:r>
    </w:p>
    <w:p>
      <w:pPr>
        <w:spacing w:after="0" w:line="211" w:lineRule="exact"/>
        <w:rPr>
          <w:sz w:val="20"/>
          <w:szCs w:val="20"/>
          <w:color w:val="auto"/>
        </w:rPr>
      </w:pPr>
    </w:p>
    <w:p>
      <w:pPr>
        <w:ind w:left="4" w:right="200" w:firstLine="440"/>
        <w:spacing w:after="0" w:line="28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244" w:hanging="244"/>
        <w:spacing w:after="0"/>
        <w:tabs>
          <w:tab w:leader="none" w:pos="24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such Participant’s payroll deductions accumulated prior to such Purchase Date and retained in the Participant’s account as of the Purchase Date, by</w:t>
      </w:r>
    </w:p>
    <w:p>
      <w:pPr>
        <w:spacing w:after="0" w:line="32" w:lineRule="exact"/>
        <w:rPr>
          <w:rFonts w:ascii="Arial" w:cs="Arial" w:eastAsia="Arial" w:hAnsi="Arial"/>
          <w:sz w:val="16"/>
          <w:szCs w:val="16"/>
          <w:color w:val="auto"/>
        </w:rPr>
      </w:pPr>
    </w:p>
    <w:p>
      <w:pPr>
        <w:ind w:left="264" w:hanging="264"/>
        <w:spacing w:after="0"/>
        <w:tabs>
          <w:tab w:leader="none" w:pos="2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applicable Purchase Price (rounded down to the nearest Share). The right shall expire on the last day of the Offering Period.</w:t>
      </w:r>
    </w:p>
    <w:p>
      <w:pPr>
        <w:spacing w:after="0" w:line="103"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58"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Pro Rata Allocation of Shares</w:t>
      </w:r>
      <w:r>
        <w:rPr>
          <w:rFonts w:ascii="Arial" w:cs="Arial" w:eastAsia="Arial" w:hAnsi="Arial"/>
          <w:sz w:val="16"/>
          <w:szCs w:val="16"/>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left="4" w:right="40" w:hanging="4"/>
        <w:spacing w:after="0" w:line="271" w:lineRule="auto"/>
        <w:tabs>
          <w:tab w:leader="none" w:pos="26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w:t>
      </w:r>
    </w:p>
    <w:p>
      <w:pPr>
        <w:spacing w:after="0" w:line="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Withholding</w:t>
      </w:r>
      <w:r>
        <w:rPr>
          <w:rFonts w:ascii="Arial" w:cs="Arial" w:eastAsia="Arial" w:hAnsi="Arial"/>
          <w:sz w:val="18"/>
          <w:szCs w:val="18"/>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25" w:name="page226"/>
    <w:bookmarkEnd w:id="225"/>
    <w:p>
      <w:pPr>
        <w:ind w:left="4" w:right="1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6.5 </w:t>
      </w:r>
      <w:r>
        <w:rPr>
          <w:rFonts w:ascii="Arial" w:cs="Arial" w:eastAsia="Arial" w:hAnsi="Arial"/>
          <w:sz w:val="17"/>
          <w:szCs w:val="17"/>
          <w:u w:val="single" w:color="auto"/>
          <w:color w:val="auto"/>
        </w:rPr>
        <w:t>Conditions to Issuance of</w:t>
      </w:r>
      <w:r>
        <w:rPr>
          <w:rFonts w:ascii="Arial" w:cs="Arial" w:eastAsia="Arial" w:hAnsi="Arial"/>
          <w:sz w:val="17"/>
          <w:szCs w:val="17"/>
          <w:color w:val="auto"/>
        </w:rPr>
        <w:t xml:space="preserve"> 6.6 </w:t>
      </w:r>
      <w:r>
        <w:rPr>
          <w:rFonts w:ascii="Arial" w:cs="Arial" w:eastAsia="Arial" w:hAnsi="Arial"/>
          <w:sz w:val="17"/>
          <w:szCs w:val="17"/>
          <w:u w:val="single" w:color="auto"/>
          <w:color w:val="auto"/>
        </w:rPr>
        <w:t>Shares</w:t>
      </w:r>
      <w:r>
        <w:rPr>
          <w:rFonts w:ascii="Arial" w:cs="Arial" w:eastAsia="Arial" w:hAnsi="Arial"/>
          <w:sz w:val="17"/>
          <w:szCs w:val="17"/>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39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WITHDRAWAL; CESSATION OF ELIGIBILITY</w:t>
      </w:r>
    </w:p>
    <w:p>
      <w:pPr>
        <w:spacing w:after="0" w:line="211"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87"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76"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Cessation of Eligibility</w:t>
      </w:r>
      <w:r>
        <w:rPr>
          <w:rFonts w:ascii="Arial" w:cs="Arial" w:eastAsia="Arial" w:hAnsi="Arial"/>
          <w:sz w:val="16"/>
          <w:szCs w:val="16"/>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w:t>
      </w:r>
    </w:p>
    <w:p>
      <w:pPr>
        <w:spacing w:after="0" w:line="3" w:lineRule="exact"/>
        <w:rPr>
          <w:sz w:val="20"/>
          <w:szCs w:val="20"/>
          <w:color w:val="auto"/>
        </w:rPr>
      </w:pPr>
    </w:p>
    <w:p>
      <w:pPr>
        <w:ind w:left="4" w:right="540" w:hanging="4"/>
        <w:spacing w:after="0" w:line="277" w:lineRule="auto"/>
        <w:tabs>
          <w:tab w:leader="none" w:pos="26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UPON CHANGES IN SHARES</w:t>
      </w:r>
    </w:p>
    <w:p>
      <w:pPr>
        <w:spacing w:after="0" w:line="21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6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Other Adjustments</w:t>
      </w:r>
      <w:r>
        <w:rPr>
          <w:rFonts w:ascii="Arial" w:cs="Arial" w:eastAsia="Arial" w:hAnsi="Arial"/>
          <w:sz w:val="17"/>
          <w:szCs w:val="17"/>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70" w:lineRule="exact"/>
        <w:rPr>
          <w:sz w:val="20"/>
          <w:szCs w:val="20"/>
          <w:color w:val="auto"/>
        </w:rPr>
      </w:pPr>
    </w:p>
    <w:p>
      <w:pPr>
        <w:jc w:val="both"/>
        <w:ind w:right="100" w:firstLine="987"/>
        <w:spacing w:after="0" w:line="263" w:lineRule="auto"/>
        <w:tabs>
          <w:tab w:leader="none" w:pos="12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75" w:lineRule="exact"/>
        <w:rPr>
          <w:rFonts w:ascii="Arial" w:cs="Arial" w:eastAsia="Arial" w:hAnsi="Arial"/>
          <w:sz w:val="18"/>
          <w:szCs w:val="18"/>
          <w:color w:val="auto"/>
        </w:rPr>
      </w:pPr>
    </w:p>
    <w:p>
      <w:pPr>
        <w:ind w:right="480" w:firstLine="987"/>
        <w:spacing w:after="0" w:line="263" w:lineRule="auto"/>
        <w:tabs>
          <w:tab w:leader="none" w:pos="12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75" w:lineRule="exact"/>
        <w:rPr>
          <w:rFonts w:ascii="Arial" w:cs="Arial" w:eastAsia="Arial" w:hAnsi="Arial"/>
          <w:sz w:val="18"/>
          <w:szCs w:val="18"/>
          <w:color w:val="auto"/>
        </w:rPr>
      </w:pPr>
    </w:p>
    <w:p>
      <w:pPr>
        <w:ind w:right="380" w:firstLine="987"/>
        <w:spacing w:after="0" w:line="277" w:lineRule="auto"/>
        <w:tabs>
          <w:tab w:leader="none" w:pos="123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62" w:lineRule="exact"/>
        <w:rPr>
          <w:rFonts w:ascii="Arial" w:cs="Arial" w:eastAsia="Arial" w:hAnsi="Arial"/>
          <w:sz w:val="18"/>
          <w:szCs w:val="18"/>
          <w:color w:val="auto"/>
        </w:rPr>
      </w:pPr>
    </w:p>
    <w:p>
      <w:pPr>
        <w:ind w:right="40" w:firstLine="987"/>
        <w:spacing w:after="0" w:line="263" w:lineRule="auto"/>
        <w:tabs>
          <w:tab w:leader="none" w:pos="12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227" w:name="page228"/>
    <w:bookmarkEnd w:id="22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 To provide that all outstanding rights shall terminate without being exercised.</w:t>
      </w:r>
    </w:p>
    <w:p>
      <w:pPr>
        <w:spacing w:after="0" w:line="117"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Adjustment Under Certain Circumstances</w:t>
      </w:r>
      <w:r>
        <w:rPr>
          <w:rFonts w:ascii="Arial" w:cs="Arial" w:eastAsia="Arial" w:hAnsi="Arial"/>
          <w:sz w:val="18"/>
          <w:szCs w:val="18"/>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76"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No Other Rights</w:t>
      </w:r>
      <w:r>
        <w:rPr>
          <w:rFonts w:ascii="Arial" w:cs="Arial" w:eastAsia="Arial" w:hAnsi="Arial"/>
          <w:sz w:val="18"/>
          <w:szCs w:val="18"/>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The Administrator may amend, suspend or terminate the Plan at any time and from time to time;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corporations or classes of corporations whose employees may be granted rights under the Plan or (c) as otherwise required under Section 423 of the Code with respect to the Section 423 Component.</w:t>
      </w:r>
    </w:p>
    <w:p>
      <w:pPr>
        <w:spacing w:after="0" w:line="80"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Certain Changes to Plan</w:t>
      </w:r>
      <w:r>
        <w:rPr>
          <w:rFonts w:ascii="Arial" w:cs="Arial" w:eastAsia="Arial" w:hAnsi="Arial"/>
          <w:sz w:val="16"/>
          <w:szCs w:val="16"/>
          <w:color w:val="auto"/>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5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57" w:lineRule="exact"/>
        <w:rPr>
          <w:sz w:val="20"/>
          <w:szCs w:val="20"/>
          <w:color w:val="auto"/>
        </w:rPr>
      </w:pPr>
    </w:p>
    <w:p>
      <w:pPr>
        <w:ind w:left="1240" w:hanging="253"/>
        <w:spacing w:after="0"/>
        <w:tabs>
          <w:tab w:leader="none" w:pos="12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altering the Purchase Price for any Offering Period including an Offering Period underway at the time of the change in Purchase Price;</w:t>
      </w:r>
    </w:p>
    <w:p>
      <w:pPr>
        <w:spacing w:after="0" w:line="140" w:lineRule="exact"/>
        <w:rPr>
          <w:rFonts w:ascii="Arial" w:cs="Arial" w:eastAsia="Arial" w:hAnsi="Arial"/>
          <w:sz w:val="16"/>
          <w:szCs w:val="16"/>
          <w:color w:val="auto"/>
        </w:rPr>
      </w:pPr>
    </w:p>
    <w:p>
      <w:pPr>
        <w:ind w:right="80" w:firstLine="987"/>
        <w:spacing w:after="0" w:line="277" w:lineRule="auto"/>
        <w:tabs>
          <w:tab w:leader="none" w:pos="124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8" w:name="page229"/>
    <w:bookmarkEnd w:id="22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allocating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117"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PLAN</w:t>
      </w:r>
    </w:p>
    <w:p>
      <w:pPr>
        <w:spacing w:after="0" w:line="211" w:lineRule="exact"/>
        <w:rPr>
          <w:sz w:val="20"/>
          <w:szCs w:val="20"/>
          <w:color w:val="auto"/>
        </w:rPr>
      </w:pPr>
    </w:p>
    <w:p>
      <w:pPr>
        <w:ind w:right="320" w:firstLine="440"/>
        <w:spacing w:after="0" w:line="311" w:lineRule="auto"/>
        <w:rPr>
          <w:sz w:val="20"/>
          <w:szCs w:val="20"/>
          <w:color w:val="auto"/>
        </w:rPr>
      </w:pPr>
      <w:r>
        <w:rPr>
          <w:rFonts w:ascii="Arial" w:cs="Arial" w:eastAsia="Arial" w:hAnsi="Arial"/>
          <w:sz w:val="16"/>
          <w:szCs w:val="16"/>
          <w:color w:val="auto"/>
        </w:rPr>
        <w:t>The Plan shall become effective on the Effective Date. The effectiveness of the Plan shall be subject to approval of the Plan by the Company’s stockholders within twelve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The Administrator shall have the power, subject to, and within the limitations of, the express provisions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3" w:lineRule="exact"/>
        <w:rPr>
          <w:sz w:val="20"/>
          <w:szCs w:val="20"/>
          <w:color w:val="auto"/>
        </w:rPr>
      </w:pPr>
    </w:p>
    <w:p>
      <w:pPr>
        <w:ind w:left="1240" w:hanging="253"/>
        <w:spacing w:after="0"/>
        <w:tabs>
          <w:tab w:leader="none" w:pos="12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To determine when and how rights to purchase Shares shall be granted and the provisions of each offering of such rights (which need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be identical).</w:t>
      </w:r>
    </w:p>
    <w:p>
      <w:pPr>
        <w:spacing w:after="0" w:line="102" w:lineRule="exact"/>
        <w:rPr>
          <w:rFonts w:ascii="Arial" w:cs="Arial" w:eastAsia="Arial" w:hAnsi="Arial"/>
          <w:sz w:val="16"/>
          <w:szCs w:val="16"/>
          <w:color w:val="auto"/>
        </w:rPr>
      </w:pPr>
    </w:p>
    <w:p>
      <w:pPr>
        <w:ind w:right="140" w:firstLine="987"/>
        <w:spacing w:after="0" w:line="277" w:lineRule="auto"/>
        <w:tabs>
          <w:tab w:leader="none" w:pos="12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stockholders of the Company.</w:t>
      </w:r>
    </w:p>
    <w:p>
      <w:pPr>
        <w:spacing w:after="0" w:line="62" w:lineRule="exact"/>
        <w:rPr>
          <w:rFonts w:ascii="Arial" w:cs="Arial" w:eastAsia="Arial" w:hAnsi="Arial"/>
          <w:sz w:val="18"/>
          <w:szCs w:val="18"/>
          <w:color w:val="auto"/>
        </w:rPr>
      </w:pPr>
    </w:p>
    <w:p>
      <w:pPr>
        <w:ind w:right="220" w:firstLine="987"/>
        <w:spacing w:after="0" w:line="277" w:lineRule="auto"/>
        <w:tabs>
          <w:tab w:leader="none" w:pos="123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impose a mandatory holding period pursuant to which Employees may not dispose of or transfer Shares purchased under the Plan for a period of time determined by the Administrator in its discretion.</w:t>
      </w:r>
    </w:p>
    <w:p>
      <w:pPr>
        <w:spacing w:after="0" w:line="62" w:lineRule="exact"/>
        <w:rPr>
          <w:rFonts w:ascii="Arial" w:cs="Arial" w:eastAsia="Arial" w:hAnsi="Arial"/>
          <w:sz w:val="18"/>
          <w:szCs w:val="18"/>
          <w:color w:val="auto"/>
        </w:rPr>
      </w:pPr>
    </w:p>
    <w:p>
      <w:pPr>
        <w:ind w:right="240" w:firstLine="987"/>
        <w:spacing w:after="0" w:line="263" w:lineRule="auto"/>
        <w:tabs>
          <w:tab w:leader="none" w:pos="124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amend, suspend or terminate the Plan as provided in Article IX.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9" w:name="page230"/>
    <w:bookmarkEnd w:id="229"/>
    <w:p>
      <w:pPr>
        <w:ind w:right="340" w:firstLine="987"/>
        <w:spacing w:after="0" w:line="263" w:lineRule="auto"/>
        <w:tabs>
          <w:tab w:leader="none" w:pos="1216"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75" w:lineRule="exact"/>
        <w:rPr>
          <w:rFonts w:ascii="Arial" w:cs="Arial" w:eastAsia="Arial" w:hAnsi="Arial"/>
          <w:sz w:val="18"/>
          <w:szCs w:val="18"/>
          <w:color w:val="auto"/>
        </w:rPr>
      </w:pPr>
    </w:p>
    <w:p>
      <w:pPr>
        <w:ind w:firstLine="987"/>
        <w:spacing w:after="0" w:line="259" w:lineRule="auto"/>
        <w:tabs>
          <w:tab w:leader="none" w:pos="1246"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pacing w:after="0" w:line="79"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40" w:firstLine="440"/>
        <w:spacing w:after="0" w:line="27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63"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Rights as a Stockholder</w:t>
      </w:r>
      <w:r>
        <w:rPr>
          <w:rFonts w:ascii="Arial" w:cs="Arial" w:eastAsia="Arial" w:hAnsi="Arial"/>
          <w:sz w:val="17"/>
          <w:szCs w:val="17"/>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contributions of a Participant under the Plan.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3" w:lineRule="auto"/>
        <w:tabs>
          <w:tab w:leader="none" w:pos="123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56" w:lineRule="exact"/>
        <w:rPr>
          <w:rFonts w:ascii="Arial" w:cs="Arial" w:eastAsia="Arial" w:hAnsi="Arial"/>
          <w:sz w:val="16"/>
          <w:szCs w:val="16"/>
          <w:color w:val="auto"/>
        </w:rPr>
      </w:pPr>
    </w:p>
    <w:p>
      <w:pPr>
        <w:ind w:right="260" w:firstLine="987"/>
        <w:spacing w:after="0" w:line="263" w:lineRule="auto"/>
        <w:tabs>
          <w:tab w:leader="none" w:pos="1246"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0" w:name="page231"/>
    <w:bookmarkEnd w:id="23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7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7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Equal Rights and Privileges</w:t>
      </w:r>
      <w:r>
        <w:rPr>
          <w:rFonts w:ascii="Arial" w:cs="Arial" w:eastAsia="Arial" w:hAnsi="Arial"/>
          <w:sz w:val="17"/>
          <w:szCs w:val="17"/>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62"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62"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No Employment Rights</w:t>
      </w:r>
      <w:r>
        <w:rPr>
          <w:rFonts w:ascii="Arial" w:cs="Arial" w:eastAsia="Arial" w:hAnsi="Arial"/>
          <w:sz w:val="17"/>
          <w:szCs w:val="17"/>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57"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Notice of Disposition of Shares</w:t>
      </w:r>
      <w:r>
        <w:rPr>
          <w:rFonts w:ascii="Arial" w:cs="Arial" w:eastAsia="Arial" w:hAnsi="Arial"/>
          <w:sz w:val="17"/>
          <w:szCs w:val="17"/>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68"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6"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00" w:type="dxa"/>
            <w:vAlign w:val="bottom"/>
          </w:tcPr>
          <w:p>
            <w:pPr>
              <w:ind w:left="2160"/>
              <w:spacing w:after="0"/>
              <w:rPr>
                <w:sz w:val="20"/>
                <w:szCs w:val="20"/>
                <w:color w:val="auto"/>
              </w:rPr>
            </w:pPr>
            <w:r>
              <w:rPr>
                <w:rFonts w:ascii="Arial" w:cs="Arial" w:eastAsia="Arial" w:hAnsi="Arial"/>
                <w:sz w:val="18"/>
                <w:szCs w:val="18"/>
                <w:b w:val="1"/>
                <w:bCs w:val="1"/>
                <w:color w:val="auto"/>
                <w:w w:val="91"/>
              </w:rPr>
              <w:t>Exhibit 10.8</w:t>
            </w:r>
          </w:p>
        </w:tc>
      </w:tr>
      <w:tr>
        <w:trPr>
          <w:trHeight w:val="392"/>
        </w:trPr>
        <w:tc>
          <w:tcPr>
            <w:tcW w:w="3100" w:type="dxa"/>
            <w:vAlign w:val="bottom"/>
          </w:tcPr>
          <w:p>
            <w:pPr>
              <w:spacing w:after="0"/>
              <w:rPr>
                <w:sz w:val="24"/>
                <w:szCs w:val="24"/>
                <w:color w:val="auto"/>
              </w:rPr>
            </w:pPr>
          </w:p>
        </w:tc>
        <w:tc>
          <w:tcPr>
            <w:tcW w:w="48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INDEMNIFICATION AND ADVANCEMENT AGREEMENT</w:t>
            </w:r>
          </w:p>
        </w:tc>
        <w:tc>
          <w:tcPr>
            <w:tcW w:w="3100" w:type="dxa"/>
            <w:vAlign w:val="bottom"/>
          </w:tcPr>
          <w:p>
            <w:pPr>
              <w:spacing w:after="0"/>
              <w:rPr>
                <w:sz w:val="24"/>
                <w:szCs w:val="24"/>
                <w:color w:val="auto"/>
              </w:rPr>
            </w:pPr>
          </w:p>
        </w:tc>
      </w:tr>
      <w:tr>
        <w:trPr>
          <w:trHeight w:val="412"/>
        </w:trPr>
        <w:tc>
          <w:tcPr>
            <w:tcW w:w="6300" w:type="dxa"/>
            <w:vAlign w:val="bottom"/>
            <w:gridSpan w:val="4"/>
          </w:tcPr>
          <w:p>
            <w:pPr>
              <w:ind w:left="440"/>
              <w:spacing w:after="0"/>
              <w:rPr>
                <w:sz w:val="20"/>
                <w:szCs w:val="20"/>
                <w:color w:val="auto"/>
              </w:rPr>
            </w:pPr>
            <w:r>
              <w:rPr>
                <w:rFonts w:ascii="Arial" w:cs="Arial" w:eastAsia="Arial" w:hAnsi="Arial"/>
                <w:sz w:val="18"/>
                <w:szCs w:val="18"/>
                <w:color w:val="auto"/>
                <w:w w:val="92"/>
              </w:rPr>
              <w:t>This Indemnification and Advancement Agreement (“Agreement”) is made as of</w:t>
            </w:r>
          </w:p>
        </w:tc>
        <w:tc>
          <w:tcPr>
            <w:tcW w:w="1080" w:type="dxa"/>
            <w:vAlign w:val="bottom"/>
            <w:tcBorders>
              <w:bottom w:val="single" w:sz="8" w:color="auto"/>
            </w:tcBorders>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 2020 by and between GoHealth, Inc., a</w:t>
            </w:r>
          </w:p>
        </w:tc>
      </w:tr>
      <w:tr>
        <w:trPr>
          <w:trHeight w:val="196"/>
        </w:trPr>
        <w:tc>
          <w:tcPr>
            <w:tcW w:w="3240" w:type="dxa"/>
            <w:vAlign w:val="bottom"/>
            <w:gridSpan w:val="2"/>
          </w:tcPr>
          <w:p>
            <w:pPr>
              <w:spacing w:after="0" w:line="196" w:lineRule="exact"/>
              <w:rPr>
                <w:sz w:val="20"/>
                <w:szCs w:val="20"/>
                <w:color w:val="auto"/>
              </w:rPr>
            </w:pPr>
            <w:r>
              <w:rPr>
                <w:rFonts w:ascii="Arial" w:cs="Arial" w:eastAsia="Arial" w:hAnsi="Arial"/>
                <w:sz w:val="18"/>
                <w:szCs w:val="18"/>
                <w:color w:val="auto"/>
                <w:w w:val="92"/>
              </w:rPr>
              <w:t>Delaware corporation (the “Company”), and</w:t>
            </w:r>
          </w:p>
        </w:tc>
        <w:tc>
          <w:tcPr>
            <w:tcW w:w="1080" w:type="dxa"/>
            <w:vAlign w:val="bottom"/>
            <w:tcBorders>
              <w:bottom w:val="single" w:sz="8" w:color="auto"/>
            </w:tcBorders>
          </w:tcPr>
          <w:p>
            <w:pPr>
              <w:spacing w:after="0"/>
              <w:rPr>
                <w:sz w:val="17"/>
                <w:szCs w:val="17"/>
                <w:color w:val="auto"/>
              </w:rPr>
            </w:pPr>
          </w:p>
        </w:tc>
        <w:tc>
          <w:tcPr>
            <w:tcW w:w="6700" w:type="dxa"/>
            <w:vAlign w:val="bottom"/>
            <w:gridSpan w:val="4"/>
          </w:tcPr>
          <w:p>
            <w:pPr>
              <w:spacing w:after="0" w:line="196" w:lineRule="exact"/>
              <w:rPr>
                <w:sz w:val="20"/>
                <w:szCs w:val="20"/>
                <w:color w:val="auto"/>
              </w:rPr>
            </w:pPr>
            <w:r>
              <w:rPr>
                <w:rFonts w:ascii="Arial" w:cs="Arial" w:eastAsia="Arial" w:hAnsi="Arial"/>
                <w:sz w:val="18"/>
                <w:szCs w:val="18"/>
                <w:color w:val="auto"/>
                <w:w w:val="97"/>
              </w:rPr>
              <w:t>, a member of the Board of Directors or an officer of the Company (“Indemnitee”). This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Agreement supersedes and replaces any and all previous Agreements between the Company and Indemnitee covering indemnification and advancement.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120" w:firstLine="440"/>
        <w:spacing w:after="0" w:line="259" w:lineRule="auto"/>
        <w:rPr>
          <w:sz w:val="20"/>
          <w:szCs w:val="20"/>
          <w:color w:val="auto"/>
        </w:rPr>
      </w:pPr>
      <w:r>
        <w:rPr>
          <w:rFonts w:ascii="Arial" w:cs="Arial" w:eastAsia="Arial" w:hAnsi="Arial"/>
          <w:sz w:val="18"/>
          <w:szCs w:val="18"/>
          <w:color w:val="auto"/>
        </w:rPr>
        <w:t>WHEREAS, the Board of Directors of the Company (the “Board”) believes that highly competent persons have become more reluctant to serve publicly-held corporations as directors, officers, or in other capacities unless they are provided with adequate protection through insurance or adequate indemnification and advancement of expenses against inordinate risks of claims and actions against them arising out of their service to and activities on behalf of the corporation;</w:t>
      </w:r>
    </w:p>
    <w:p>
      <w:pPr>
        <w:spacing w:after="0" w:line="187"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WHEREAS, the Board has determined that, in order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bylaws and certificate of incorporation of the Company (each as may be amended from time to time, the “Bylaws” and “Certificate of Incorporation”, respectively) require indemnification of the officers and directors of the Company. Indemnitee may also be entitled to indemnification pursuant to the General Corporation Law of the State of Delaware (the “DGCL”). The Bylaws,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 and advancement of expenses;</w:t>
      </w:r>
    </w:p>
    <w:p>
      <w:pPr>
        <w:spacing w:after="0" w:line="172"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WHEREAS, the uncertainties relating to such insurance, to indemnification, and to advancement of expenses may increase the difficulty of attracting and retaining such persons;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84"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WHEREAS, it is reasonable, prudent and necessary for the Company contractually to obligate itself to indemnify, and to advance expenses on behalf of, such persons to the fullest extent permitted by Applicable Law (as defined below) so that they will serve or continue to serve the Company free from undue concern that they will not be so indemnified;</w:t>
      </w:r>
    </w:p>
    <w:p>
      <w:pPr>
        <w:sectPr>
          <w:pgSz w:w="11900" w:h="16838" w:orient="portrait"/>
          <w:cols w:equalWidth="0" w:num="1">
            <w:col w:w="11020"/>
          </w:cols>
          <w:pgMar w:left="440" w:top="121" w:right="439" w:bottom="1440" w:gutter="0" w:footer="0" w:header="0"/>
        </w:sectPr>
      </w:pPr>
    </w:p>
    <w:bookmarkStart w:id="232" w:name="page233"/>
    <w:bookmarkEnd w:id="232"/>
    <w:p>
      <w:pPr>
        <w:ind w:right="62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WHEREAS, this Agreement is a supplement to and in furtherance of the Bylaws, Certificate of Incorporation and any resolutions adopted pursuant thereto, and is not a substitute therefor, nor diminishes or abrogates any rights of Indemnitee thereunder; and</w:t>
      </w:r>
    </w:p>
    <w:p>
      <w:pPr>
        <w:spacing w:after="0" w:line="14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WHEREAS, Indemnitee does not regard the protection available under the Bylaws, Certificate of Incorporation, DGCL and insurance as adequate in the present circumstances, and may not be willing to serve or continue to serve as an officer or director without adequate additional protection, and the Company desires Indemnitee to serve or continue to serve in such capacity. Indemnitee is willing to serve, continue to serve and to take on additional service for or on behalf of the Company on the condition that Indemnitee be so indemnified and be advanced expenses.</w:t>
      </w:r>
    </w:p>
    <w:p>
      <w:pPr>
        <w:spacing w:after="0" w:line="17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w:t>
      </w:r>
    </w:p>
    <w:p>
      <w:pPr>
        <w:spacing w:after="0" w:line="225" w:lineRule="exact"/>
        <w:rPr>
          <w:sz w:val="20"/>
          <w:szCs w:val="20"/>
          <w:color w:val="auto"/>
        </w:rPr>
      </w:pPr>
    </w:p>
    <w:p>
      <w:pPr>
        <w:ind w:right="120" w:firstLine="771"/>
        <w:spacing w:after="0" w:line="259" w:lineRule="auto"/>
        <w:rPr>
          <w:sz w:val="20"/>
          <w:szCs w:val="20"/>
          <w:color w:val="auto"/>
        </w:rPr>
      </w:pPr>
      <w:r>
        <w:rPr>
          <w:rFonts w:ascii="Arial" w:cs="Arial" w:eastAsia="Arial" w:hAnsi="Arial"/>
          <w:sz w:val="18"/>
          <w:szCs w:val="18"/>
          <w:u w:val="single" w:color="auto"/>
          <w:color w:val="auto"/>
        </w:rPr>
        <w:t>Services to the Company.</w:t>
      </w:r>
      <w:r>
        <w:rPr>
          <w:rFonts w:ascii="Arial" w:cs="Arial" w:eastAsia="Arial" w:hAnsi="Arial"/>
          <w:sz w:val="18"/>
          <w:szCs w:val="18"/>
          <w:color w:val="auto"/>
        </w:rPr>
        <w:t xml:space="preserve"> Indemnitee agrees to serve as a director or officer of the Company. Indemnitee may at any time and for any reason resign from such position (subject to any other contractual obligation or any obligation imposed by operation of law). This Agreement does not create any obligation on the Company to continue Indemnitee in such position and is not an employment contract between the Company (or any of its subsidiaries or any Enterprise) and Indemnitee.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w:t>
      </w:r>
    </w:p>
    <w:p>
      <w:pPr>
        <w:spacing w:after="0" w:line="225" w:lineRule="exact"/>
        <w:rPr>
          <w:sz w:val="20"/>
          <w:szCs w:val="20"/>
          <w:color w:val="auto"/>
        </w:rPr>
      </w:pPr>
    </w:p>
    <w:p>
      <w:pPr>
        <w:ind w:right="40" w:firstLine="987"/>
        <w:spacing w:after="0" w:line="277" w:lineRule="auto"/>
        <w:tabs>
          <w:tab w:leader="none" w:pos="137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“Agent” means any person who is authorized by the Company or an Enterprise to act for or represent the interests of the Company or an Enterprise, respectively.</w:t>
      </w:r>
    </w:p>
    <w:p>
      <w:pPr>
        <w:spacing w:after="0" w:line="170" w:lineRule="exact"/>
        <w:rPr>
          <w:rFonts w:ascii="Arial" w:cs="Arial" w:eastAsia="Arial" w:hAnsi="Arial"/>
          <w:sz w:val="18"/>
          <w:szCs w:val="18"/>
          <w:color w:val="auto"/>
        </w:rPr>
      </w:pPr>
    </w:p>
    <w:p>
      <w:pPr>
        <w:ind w:right="280" w:firstLine="987"/>
        <w:spacing w:after="0" w:line="263" w:lineRule="auto"/>
        <w:tabs>
          <w:tab w:leader="none" w:pos="1381"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“Applicable Law” means applicable law, including as it presently exists or may hereafter be amended, but, in the case of any such amendment, only to the extent that such amendment permits the Company to provide broader indemnification rights than such law permitted the Company to provide prior to such amendment.</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“Change in Control” occurs upon the earliest to occur after the date of this Agreement of any of the following events:</w:t>
      </w:r>
    </w:p>
    <w:p>
      <w:pPr>
        <w:spacing w:after="0" w:line="225" w:lineRule="exact"/>
        <w:rPr>
          <w:rFonts w:ascii="Arial" w:cs="Arial" w:eastAsia="Arial" w:hAnsi="Arial"/>
          <w:sz w:val="18"/>
          <w:szCs w:val="18"/>
          <w:color w:val="auto"/>
        </w:rPr>
      </w:pPr>
    </w:p>
    <w:p>
      <w:pPr>
        <w:ind w:right="20" w:firstLine="1428"/>
        <w:spacing w:after="0" w:line="279" w:lineRule="auto"/>
        <w:tabs>
          <w:tab w:leader="none" w:pos="1697" w:val="left"/>
        </w:tabs>
        <w:numPr>
          <w:ilvl w:val="1"/>
          <w:numId w:val="225"/>
        </w:numPr>
        <w:rPr>
          <w:rFonts w:ascii="Arial" w:cs="Arial" w:eastAsia="Arial" w:hAnsi="Arial"/>
          <w:sz w:val="17"/>
          <w:szCs w:val="17"/>
          <w:color w:val="auto"/>
        </w:rPr>
      </w:pPr>
      <w:r>
        <w:rPr>
          <w:rFonts w:ascii="Arial" w:cs="Arial" w:eastAsia="Arial" w:hAnsi="Arial"/>
          <w:sz w:val="17"/>
          <w:szCs w:val="17"/>
          <w:color w:val="auto"/>
        </w:rPr>
        <w:t>Acquisition of Stock by Third Party. Any Person (as defined below) is or becomes the Beneficial Owner (as defined below),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w:t>
      </w:r>
    </w:p>
    <w:p>
      <w:pPr>
        <w:spacing w:after="0" w:line="171" w:lineRule="exact"/>
        <w:rPr>
          <w:rFonts w:ascii="Arial" w:cs="Arial" w:eastAsia="Arial" w:hAnsi="Arial"/>
          <w:sz w:val="17"/>
          <w:szCs w:val="17"/>
          <w:color w:val="auto"/>
        </w:rPr>
      </w:pPr>
    </w:p>
    <w:p>
      <w:pPr>
        <w:ind w:right="80" w:firstLine="1428"/>
        <w:spacing w:after="0" w:line="279" w:lineRule="auto"/>
        <w:tabs>
          <w:tab w:leader="none" w:pos="1757" w:val="left"/>
        </w:tabs>
        <w:numPr>
          <w:ilvl w:val="1"/>
          <w:numId w:val="225"/>
        </w:numPr>
        <w:rPr>
          <w:rFonts w:ascii="Arial" w:cs="Arial" w:eastAsia="Arial" w:hAnsi="Arial"/>
          <w:sz w:val="17"/>
          <w:szCs w:val="17"/>
          <w:color w:val="auto"/>
        </w:rPr>
      </w:pPr>
      <w:r>
        <w:rPr>
          <w:rFonts w:ascii="Arial" w:cs="Arial" w:eastAsia="Arial" w:hAnsi="Arial"/>
          <w:sz w:val="17"/>
          <w:szCs w:val="17"/>
          <w:color w:val="auto"/>
        </w:rPr>
        <w:t>Change in Board of Directors.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33" w:name="page234"/>
    <w:bookmarkEnd w:id="23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70" w:lineRule="exact"/>
        <w:rPr>
          <w:sz w:val="20"/>
          <w:szCs w:val="20"/>
          <w:color w:val="auto"/>
        </w:rPr>
      </w:pPr>
    </w:p>
    <w:p>
      <w:pPr>
        <w:ind w:right="40" w:firstLine="1428"/>
        <w:spacing w:after="0" w:line="275" w:lineRule="auto"/>
        <w:tabs>
          <w:tab w:leader="none" w:pos="1807" w:val="left"/>
        </w:tabs>
        <w:numPr>
          <w:ilvl w:val="0"/>
          <w:numId w:val="226"/>
        </w:numPr>
        <w:rPr>
          <w:rFonts w:ascii="Arial" w:cs="Arial" w:eastAsia="Arial" w:hAnsi="Arial"/>
          <w:sz w:val="17"/>
          <w:szCs w:val="17"/>
          <w:color w:val="auto"/>
        </w:rPr>
      </w:pPr>
      <w:r>
        <w:rPr>
          <w:rFonts w:ascii="Arial" w:cs="Arial" w:eastAsia="Arial" w:hAnsi="Arial"/>
          <w:sz w:val="17"/>
          <w:szCs w:val="17"/>
          <w:color w:val="auto"/>
        </w:rPr>
        <w:t>Corporate Transactions.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76" w:lineRule="exact"/>
        <w:rPr>
          <w:rFonts w:ascii="Arial" w:cs="Arial" w:eastAsia="Arial" w:hAnsi="Arial"/>
          <w:sz w:val="17"/>
          <w:szCs w:val="17"/>
          <w:color w:val="auto"/>
        </w:rPr>
      </w:pPr>
    </w:p>
    <w:p>
      <w:pPr>
        <w:ind w:right="220" w:firstLine="1428"/>
        <w:spacing w:after="0" w:line="277" w:lineRule="auto"/>
        <w:tabs>
          <w:tab w:leader="none" w:pos="178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Liquidation. The approval by the stockholders of the Company of a complete liquidation or dissolution of the Company or an agreement for the sale or disposition by the Company of all or substantially all of the Company’s assets; and</w:t>
      </w:r>
    </w:p>
    <w:p>
      <w:pPr>
        <w:spacing w:after="0" w:line="170" w:lineRule="exact"/>
        <w:rPr>
          <w:rFonts w:ascii="Arial" w:cs="Arial" w:eastAsia="Arial" w:hAnsi="Arial"/>
          <w:sz w:val="18"/>
          <w:szCs w:val="18"/>
          <w:color w:val="auto"/>
        </w:rPr>
      </w:pPr>
    </w:p>
    <w:p>
      <w:pPr>
        <w:ind w:right="200" w:firstLine="1428"/>
        <w:spacing w:after="0" w:line="263" w:lineRule="auto"/>
        <w:tabs>
          <w:tab w:leader="none" w:pos="173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Other Events.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83" w:lineRule="exact"/>
        <w:rPr>
          <w:rFonts w:ascii="Arial" w:cs="Arial" w:eastAsia="Arial" w:hAnsi="Arial"/>
          <w:sz w:val="18"/>
          <w:szCs w:val="18"/>
          <w:color w:val="auto"/>
        </w:rPr>
      </w:pPr>
    </w:p>
    <w:p>
      <w:pPr>
        <w:ind w:left="1800" w:hanging="372"/>
        <w:spacing w:after="0"/>
        <w:tabs>
          <w:tab w:leader="none" w:pos="18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purposes of this Section 2(c), the following terms have the following meanings:</w:t>
      </w:r>
    </w:p>
    <w:p>
      <w:pPr>
        <w:spacing w:after="0" w:line="117" w:lineRule="exact"/>
        <w:rPr>
          <w:sz w:val="20"/>
          <w:szCs w:val="20"/>
          <w:color w:val="auto"/>
        </w:rPr>
      </w:pPr>
    </w:p>
    <w:p>
      <w:pPr>
        <w:ind w:left="2680" w:hanging="261"/>
        <w:spacing w:after="0"/>
        <w:tabs>
          <w:tab w:leader="none" w:pos="26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w:t>
      </w:r>
    </w:p>
    <w:p>
      <w:pPr>
        <w:spacing w:after="0" w:line="117" w:lineRule="exact"/>
        <w:rPr>
          <w:sz w:val="20"/>
          <w:szCs w:val="20"/>
          <w:color w:val="auto"/>
        </w:rPr>
      </w:pPr>
    </w:p>
    <w:p>
      <w:pPr>
        <w:ind w:left="2420" w:right="140" w:hanging="1"/>
        <w:spacing w:after="0" w:line="279" w:lineRule="auto"/>
        <w:tabs>
          <w:tab w:leader="none" w:pos="269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“Person” has the meaning as set forth in Sections 13(d) and 14(d) of the Exchange Act; provided, however, that Person excludes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63" w:lineRule="exact"/>
        <w:rPr>
          <w:sz w:val="20"/>
          <w:szCs w:val="20"/>
          <w:color w:val="auto"/>
        </w:rPr>
      </w:pPr>
    </w:p>
    <w:p>
      <w:pPr>
        <w:ind w:left="2420" w:hanging="1"/>
        <w:spacing w:after="0" w:line="263" w:lineRule="auto"/>
        <w:tabs>
          <w:tab w:leader="none" w:pos="269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“Beneficial Owner” has the meaning given to such term in Rule 13d-3 under the Exchange Act; provided, however, that Beneficial Owner excludes any Person otherwise becoming a Beneficial Owner by reason of the stockholders of the Company approving a merger of the Company with another entity.</w:t>
      </w:r>
    </w:p>
    <w:p>
      <w:pPr>
        <w:spacing w:after="0" w:line="183" w:lineRule="exact"/>
        <w:rPr>
          <w:rFonts w:ascii="Arial" w:cs="Arial" w:eastAsia="Arial" w:hAnsi="Arial"/>
          <w:sz w:val="18"/>
          <w:szCs w:val="18"/>
          <w:color w:val="auto"/>
        </w:rPr>
      </w:pPr>
    </w:p>
    <w:p>
      <w:pPr>
        <w:ind w:right="260" w:firstLine="987"/>
        <w:spacing w:after="0" w:line="277" w:lineRule="auto"/>
        <w:tabs>
          <w:tab w:leader="none" w:pos="1426" w:val="left"/>
        </w:tabs>
        <w:numPr>
          <w:ilvl w:val="0"/>
          <w:numId w:val="229"/>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acting as a director, officer, employee, fiduciary, or Agent of the Company or an Enterprise.</w:t>
      </w:r>
    </w:p>
    <w:p>
      <w:pPr>
        <w:spacing w:after="0" w:line="170" w:lineRule="exact"/>
        <w:rPr>
          <w:rFonts w:ascii="Arial" w:cs="Arial" w:eastAsia="Arial" w:hAnsi="Arial"/>
          <w:sz w:val="18"/>
          <w:szCs w:val="18"/>
          <w:color w:val="auto"/>
        </w:rPr>
      </w:pPr>
    </w:p>
    <w:p>
      <w:pPr>
        <w:ind w:right="500" w:firstLine="987"/>
        <w:spacing w:after="0" w:line="277" w:lineRule="auto"/>
        <w:tabs>
          <w:tab w:leader="none" w:pos="137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“Disinterested Director” means a director of the Company who is not and was not a party to the Proceeding in respect of which indemnification is sought by Indemnitee.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34" w:name="page235"/>
    <w:bookmarkEnd w:id="234"/>
    <w:p>
      <w:pPr>
        <w:ind w:left="-20" w:right="120" w:firstLine="987"/>
        <w:spacing w:after="0" w:line="277" w:lineRule="auto"/>
        <w:tabs>
          <w:tab w:leader="none" w:pos="1331"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“Enterprise” means any other corporation, limited liability company, partnership, joint venture, trust, employee benefit plan or other entity for which Indemnitee is or was serving at the request of the Company as a director, officer, employee, or Agent.</w:t>
      </w:r>
    </w:p>
    <w:p>
      <w:pPr>
        <w:spacing w:after="0" w:line="170" w:lineRule="exact"/>
        <w:rPr>
          <w:rFonts w:ascii="Arial" w:cs="Arial" w:eastAsia="Arial" w:hAnsi="Arial"/>
          <w:sz w:val="18"/>
          <w:szCs w:val="18"/>
          <w:color w:val="auto"/>
        </w:rPr>
      </w:pPr>
    </w:p>
    <w:p>
      <w:pPr>
        <w:ind w:left="-20" w:firstLine="987"/>
        <w:spacing w:after="0" w:line="289" w:lineRule="auto"/>
        <w:tabs>
          <w:tab w:leader="none" w:pos="1361"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“Expenses” includes all reasonable attorneys’ fees, retainers, court costs, transcript costs, fees of experts and other professionals,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its equivalent, and (ii) for purposes of Section 14(d) only, Expenses incurred by Indemnitee in connection with the interpretation, enforcement or defense of Indemnitee’s rights under this Agreement, by litigation or otherwise. Expenses, however, do not include amounts paid in settlement by Indemnitee or the amount of judgments or fines against Indemnitee.</w:t>
      </w:r>
    </w:p>
    <w:p>
      <w:pPr>
        <w:spacing w:after="0" w:line="166" w:lineRule="exact"/>
        <w:rPr>
          <w:rFonts w:ascii="Arial" w:cs="Arial" w:eastAsia="Arial" w:hAnsi="Arial"/>
          <w:sz w:val="16"/>
          <w:szCs w:val="16"/>
          <w:color w:val="auto"/>
        </w:rPr>
      </w:pPr>
    </w:p>
    <w:p>
      <w:pPr>
        <w:ind w:left="-20" w:right="60" w:firstLine="987"/>
        <w:spacing w:after="0" w:line="273" w:lineRule="auto"/>
        <w:tabs>
          <w:tab w:leader="none" w:pos="1361"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“Independent Counsel” means a law firm, or a member of a law firm, that is experienced in matters of corporation law and neither presently is, nor in the past five years has been, retained to represent: (i) the Company or Indemnitee in any matter material to either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does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7" w:lineRule="exact"/>
        <w:rPr>
          <w:rFonts w:ascii="Arial" w:cs="Arial" w:eastAsia="Arial" w:hAnsi="Arial"/>
          <w:sz w:val="17"/>
          <w:szCs w:val="17"/>
          <w:color w:val="auto"/>
        </w:rPr>
      </w:pPr>
    </w:p>
    <w:p>
      <w:pPr>
        <w:ind w:left="-20" w:right="80" w:firstLine="987"/>
        <w:spacing w:after="0" w:line="253" w:lineRule="auto"/>
        <w:tabs>
          <w:tab w:leader="none" w:pos="1318"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term “Proceeding” includes any threatened, pending or completed action, suit, claim, counterclaim, cross claim, arbitration, mediation, alternate dispute resolution mechanism, investigation, inquiry, administrative hearing or any other actual, threatened or completed proceeding, whether brought in the right of the Company or otherwise and whether of a civil, criminal, administrative, legislative, or investigative (formal or informal) nature, including any appeal therefrom, in which Indemnitee was, is or will be involved as a party, potential party, non-party witness or otherwise by reason of Indemnitee’s Corporate Status or by reason of any action taken by Indemnitee (or a failure to take action by Indemnitee) or of any action (or failure to act) on Indemnitee’s part while acting pursuant to Indemnitee’s Corporate Status, in each case whether or not serving in such capacity at the time any liability or Expense is incurred for which indemnification, reimbursement, or advancement of Expenses can be provided under this Agreement. A Proceeding also includes a situation the Indemnitee believes in good faith may lead to or culminate in the institution of a Proceeding.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235" w:name="page236"/>
    <w:bookmarkEnd w:id="235"/>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w:t>
      </w:r>
    </w:p>
    <w:p>
      <w:pPr>
        <w:spacing w:after="0" w:line="225" w:lineRule="exact"/>
        <w:rPr>
          <w:sz w:val="20"/>
          <w:szCs w:val="20"/>
          <w:color w:val="auto"/>
        </w:rPr>
      </w:pPr>
    </w:p>
    <w:p>
      <w:pPr>
        <w:ind w:right="60" w:firstLine="771"/>
        <w:spacing w:after="0" w:line="271" w:lineRule="auto"/>
        <w:rPr>
          <w:sz w:val="20"/>
          <w:szCs w:val="20"/>
          <w:color w:val="auto"/>
        </w:rPr>
      </w:pP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xml:space="preserve"> The Company will indemnify Indemnitee in accordance with the provisions of this Section 3 if Indemnitee is, or is threatened to be made, a party to or a participant in any Proceeding, other than a Proceeding by or in the right of the Company to procure a judgment in its favor. Pursuant to this Section 3, the Company will indemnify Indemnitee to the fullest extent permitted by Applicable Law against all Expenses, judgments, fines and amounts paid in settlement (including all interest, assessments and other charges paid or payable in connection with or in respect of such Expenses, judgments,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in the case of a criminal Proceeding had no reasonable cause to believe that Indemnitee’s conduct was unlawful.</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ind w:right="140" w:firstLine="771"/>
        <w:spacing w:after="0" w:line="289" w:lineRule="auto"/>
        <w:rPr>
          <w:sz w:val="20"/>
          <w:szCs w:val="20"/>
          <w:color w:val="auto"/>
        </w:rPr>
      </w:pP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xml:space="preserve"> The Company will indemnify Indemnitee in accordance with the provisions of this Section 4 if Indemnitee is, or is threatened to be made, a party to or a participant in any Proceeding by or in the right of the Company to procure a judgment in its favor. Pursuant to this Section 4, the Company will indemnify Indemnitee to the fullest extent permitted by Applicable Law against all Expenses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The Company will not indemnify Indemnitee for Expenses under this Section 4 related to any claim, issue or matter in a Proceeding for which Indemnitee has been finally adjudged by a court to be liable to the Company, unless, and only to the extent that, the Delaware Court of Chancery (the “Delaware Court”) or any court in which the Proceeding was brought determines upon application by Indemnitee that, despite the adjudication of liability but in view of all the circumstances of the case, Indemnitee is fairly and reasonably entitled to indemnification.</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ind w:firstLine="771"/>
        <w:spacing w:after="0" w:line="291" w:lineRule="auto"/>
        <w:rPr>
          <w:sz w:val="20"/>
          <w:szCs w:val="20"/>
          <w:color w:val="auto"/>
        </w:rPr>
      </w:pP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xml:space="preserve"> To the fullest extent permitted by Applicable Law, the Company will indemnify Indemnitee against all Expenses actually and reasonably incurred by Indemnitee in connection with any Proceeding to the extent that Indemnitee is successful, on the merits or otherwise. If Indemnitee is not wholly successful in such Proceeding but is successful, on the merits or otherwise, as to one or more but less than all claims, issues or matters in such Proceeding, the Company will indemnify Indemnitee against all Expenses actually and reasonably incurred by Indemnitee or on Indemnitee’s behalf in connection with or related to each successfully resolved claim, issue or matter to the fullest extent permitted by law. For purposes of this Section 5 and without limitation, the termination of any claim, issue or matter in such a Proceeding by dismissal, with or without prejudice, will be deemed to be a successful result as to such claim, issue or matter.</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6.</w:t>
      </w:r>
    </w:p>
    <w:p>
      <w:pPr>
        <w:spacing w:after="0" w:line="225" w:lineRule="exact"/>
        <w:rPr>
          <w:sz w:val="20"/>
          <w:szCs w:val="20"/>
          <w:color w:val="auto"/>
        </w:rPr>
      </w:pPr>
    </w:p>
    <w:p>
      <w:pPr>
        <w:ind w:right="120" w:firstLine="771"/>
        <w:spacing w:after="0" w:line="286" w:lineRule="auto"/>
        <w:rPr>
          <w:sz w:val="20"/>
          <w:szCs w:val="20"/>
          <w:color w:val="auto"/>
        </w:rPr>
      </w:pPr>
      <w:r>
        <w:rPr>
          <w:rFonts w:ascii="Arial" w:cs="Arial" w:eastAsia="Arial" w:hAnsi="Arial"/>
          <w:sz w:val="17"/>
          <w:szCs w:val="17"/>
          <w:u w:val="single" w:color="auto"/>
          <w:color w:val="auto"/>
        </w:rPr>
        <w:t>Indemnification For Expenses of a Witness.</w:t>
      </w:r>
      <w:r>
        <w:rPr>
          <w:rFonts w:ascii="Arial" w:cs="Arial" w:eastAsia="Arial" w:hAnsi="Arial"/>
          <w:sz w:val="17"/>
          <w:szCs w:val="17"/>
          <w:color w:val="auto"/>
        </w:rPr>
        <w:t xml:space="preserve"> To the fullest extent permitted by Applicable Law, the Company will indemnify Indemnitee against all Expenses actually and reasonably incurred by Indemnitee or on Indemnitee’s behalf in connection with any Proceeding to which Indemnitee is not a party but to which Indemnitee is a witness, deponent, interviewee, or otherwise asked to participate.</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7.</w:t>
      </w:r>
    </w:p>
    <w:p>
      <w:pPr>
        <w:spacing w:after="0" w:line="225" w:lineRule="exact"/>
        <w:rPr>
          <w:sz w:val="20"/>
          <w:szCs w:val="20"/>
          <w:color w:val="auto"/>
        </w:rPr>
      </w:pPr>
    </w:p>
    <w:p>
      <w:pPr>
        <w:ind w:right="20" w:firstLine="771"/>
        <w:spacing w:after="0" w:line="263" w:lineRule="auto"/>
        <w:rPr>
          <w:sz w:val="20"/>
          <w:szCs w:val="20"/>
          <w:color w:val="auto"/>
        </w:rPr>
      </w:pPr>
      <w:r>
        <w:rPr>
          <w:rFonts w:ascii="Arial" w:cs="Arial" w:eastAsia="Arial" w:hAnsi="Arial"/>
          <w:sz w:val="18"/>
          <w:szCs w:val="18"/>
          <w:u w:val="single" w:color="auto"/>
          <w:color w:val="auto"/>
        </w:rPr>
        <w:t>Partial Indemnification.</w:t>
      </w:r>
      <w:r>
        <w:rPr>
          <w:rFonts w:ascii="Arial" w:cs="Arial" w:eastAsia="Arial" w:hAnsi="Arial"/>
          <w:sz w:val="18"/>
          <w:szCs w:val="18"/>
          <w:color w:val="auto"/>
        </w:rPr>
        <w:t xml:space="preserve"> If Indemnitee is entitled under any provision of this Agreement to indemnification by the Company for some or a portion of Expenses, but not, however, for the total amount thereof, the Company will indemnify Indemnitee for the portion thereof to which Indemnitee is entitled.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36" w:name="page237"/>
    <w:bookmarkEnd w:id="236"/>
    <w:p>
      <w:pPr>
        <w:ind w:left="7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w:t>
      </w:r>
    </w:p>
    <w:p>
      <w:pPr>
        <w:spacing w:after="0" w:line="225" w:lineRule="exact"/>
        <w:rPr>
          <w:sz w:val="20"/>
          <w:szCs w:val="20"/>
          <w:color w:val="auto"/>
        </w:rPr>
      </w:pPr>
    </w:p>
    <w:p>
      <w:pPr>
        <w:ind w:left="4" w:right="160" w:firstLine="771"/>
        <w:spacing w:after="0" w:line="263" w:lineRule="auto"/>
        <w:rPr>
          <w:sz w:val="20"/>
          <w:szCs w:val="20"/>
          <w:color w:val="auto"/>
        </w:rPr>
      </w:pPr>
      <w:r>
        <w:rPr>
          <w:rFonts w:ascii="Arial" w:cs="Arial" w:eastAsia="Arial" w:hAnsi="Arial"/>
          <w:sz w:val="18"/>
          <w:szCs w:val="18"/>
          <w:u w:val="single" w:color="auto"/>
          <w:color w:val="auto"/>
        </w:rPr>
        <w:t>Additional Indemnification.</w:t>
      </w:r>
      <w:r>
        <w:rPr>
          <w:rFonts w:ascii="Arial" w:cs="Arial" w:eastAsia="Arial" w:hAnsi="Arial"/>
          <w:sz w:val="18"/>
          <w:szCs w:val="18"/>
          <w:color w:val="auto"/>
        </w:rPr>
        <w:t xml:space="preserve"> Notwithstanding any limitation in Sections 3, 4, or 5, the Company will indemnify Indemnitee to the fullest extent permitted by Applicable Law if Indemnitee is a party to or threatened to be made a party to any Proceeding (including a Proceeding by or in the right of the Company to procure a judgment in its favor).</w:t>
      </w:r>
    </w:p>
    <w:p>
      <w:pPr>
        <w:spacing w:after="0" w:line="184" w:lineRule="exact"/>
        <w:rPr>
          <w:sz w:val="20"/>
          <w:szCs w:val="20"/>
          <w:color w:val="auto"/>
        </w:rPr>
      </w:pPr>
    </w:p>
    <w:p>
      <w:pPr>
        <w:ind w:left="764"/>
        <w:spacing w:after="0"/>
        <w:rPr>
          <w:sz w:val="20"/>
          <w:szCs w:val="20"/>
          <w:color w:val="auto"/>
        </w:rPr>
      </w:pPr>
      <w:r>
        <w:rPr>
          <w:rFonts w:ascii="Arial" w:cs="Arial" w:eastAsia="Arial" w:hAnsi="Arial"/>
          <w:sz w:val="18"/>
          <w:szCs w:val="18"/>
          <w:color w:val="auto"/>
        </w:rPr>
        <w:t>Section 9.</w:t>
      </w:r>
    </w:p>
    <w:p>
      <w:pPr>
        <w:spacing w:after="0" w:line="225" w:lineRule="exact"/>
        <w:rPr>
          <w:sz w:val="20"/>
          <w:szCs w:val="20"/>
          <w:color w:val="auto"/>
        </w:rPr>
      </w:pPr>
    </w:p>
    <w:p>
      <w:pPr>
        <w:ind w:left="4" w:right="1060" w:firstLine="771"/>
        <w:spacing w:after="0" w:line="277" w:lineRule="auto"/>
        <w:rPr>
          <w:sz w:val="20"/>
          <w:szCs w:val="20"/>
          <w:color w:val="auto"/>
        </w:rPr>
      </w:pP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Notwithstanding any provision in this Agreement, the Company is not obligated under this Agreement to make any indemnification payment to Indemnitee in connection with any Proceeding:</w:t>
      </w:r>
    </w:p>
    <w:p>
      <w:pPr>
        <w:spacing w:after="0" w:line="170" w:lineRule="exact"/>
        <w:rPr>
          <w:sz w:val="20"/>
          <w:szCs w:val="20"/>
          <w:color w:val="auto"/>
        </w:rPr>
      </w:pPr>
    </w:p>
    <w:p>
      <w:pPr>
        <w:ind w:left="4" w:right="260" w:firstLine="987"/>
        <w:spacing w:after="0" w:line="263" w:lineRule="auto"/>
        <w:tabs>
          <w:tab w:leader="none" w:pos="1375"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Indemnitee under any insurance policy or other indemnity provision, except to the extent provided in Section 15(b) and except with respect to any excess beyond the amount paid under any insurance policy or other indemnity provision; or</w:t>
      </w:r>
    </w:p>
    <w:p>
      <w:pPr>
        <w:spacing w:after="0" w:line="183" w:lineRule="exact"/>
        <w:rPr>
          <w:rFonts w:ascii="Arial" w:cs="Arial" w:eastAsia="Arial" w:hAnsi="Arial"/>
          <w:sz w:val="18"/>
          <w:szCs w:val="18"/>
          <w:color w:val="auto"/>
        </w:rPr>
      </w:pPr>
    </w:p>
    <w:p>
      <w:pPr>
        <w:ind w:left="4" w:right="80" w:firstLine="987"/>
        <w:spacing w:after="0" w:line="291" w:lineRule="auto"/>
        <w:tabs>
          <w:tab w:leader="none" w:pos="1385" w:val="left"/>
        </w:tabs>
        <w:numPr>
          <w:ilvl w:val="1"/>
          <w:numId w:val="231"/>
        </w:numPr>
        <w:rPr>
          <w:rFonts w:ascii="Arial" w:cs="Arial" w:eastAsia="Arial" w:hAnsi="Arial"/>
          <w:sz w:val="16"/>
          <w:szCs w:val="16"/>
          <w:color w:val="auto"/>
        </w:rPr>
      </w:pPr>
      <w:r>
        <w:rPr>
          <w:rFonts w:ascii="Arial" w:cs="Arial" w:eastAsia="Arial" w:hAnsi="Arial"/>
          <w:sz w:val="16"/>
          <w:szCs w:val="16"/>
          <w:color w:val="auto"/>
        </w:rPr>
        <w:t>for (i) an accounting of profits made from the purchase and sale (or sale and purchase) by Indemnitee of securities of the Company within the meaning of Section 15(b) of the Exchange Act (as defined in Section 2(b) hereof) or similar provisions of state statutory law or common law,</w:t>
      </w:r>
    </w:p>
    <w:p>
      <w:pPr>
        <w:ind w:left="4" w:hanging="4"/>
        <w:spacing w:after="0" w:line="269" w:lineRule="auto"/>
        <w:tabs>
          <w:tab w:leader="none" w:pos="269" w:val="left"/>
        </w:tabs>
        <w:numPr>
          <w:ilvl w:val="0"/>
          <w:numId w:val="232"/>
        </w:numPr>
        <w:rPr>
          <w:rFonts w:ascii="Arial" w:cs="Arial" w:eastAsia="Arial" w:hAnsi="Arial"/>
          <w:sz w:val="17"/>
          <w:szCs w:val="17"/>
          <w:color w:val="auto"/>
        </w:rPr>
      </w:pPr>
      <w:r>
        <w:rPr>
          <w:rFonts w:ascii="Arial" w:cs="Arial" w:eastAsia="Arial" w:hAnsi="Arial"/>
          <w:sz w:val="17"/>
          <w:szCs w:val="17"/>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“Sarbanes-Oxley Act”), or the payment to the Company of profits arising from the purchase and sale by Indemnitee of securities in violation of Section 306 of the Sarbanes-Oxley Act) or (iii) 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 or</w:t>
      </w:r>
    </w:p>
    <w:p>
      <w:pPr>
        <w:spacing w:after="0" w:line="180" w:lineRule="exact"/>
        <w:rPr>
          <w:rFonts w:ascii="Arial" w:cs="Arial" w:eastAsia="Arial" w:hAnsi="Arial"/>
          <w:sz w:val="17"/>
          <w:szCs w:val="17"/>
          <w:color w:val="auto"/>
        </w:rPr>
      </w:pPr>
    </w:p>
    <w:p>
      <w:pPr>
        <w:ind w:left="4" w:right="40" w:firstLine="987"/>
        <w:spacing w:after="0" w:line="257" w:lineRule="auto"/>
        <w:tabs>
          <w:tab w:leader="none" w:pos="137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initiated by Indemnitee, including any Proceeding (or any part of any Proceeding) initiated by Indemnitee against the Company or its directors, officers, employees or other indemnitees, unless (i) the Proceeding or part of any Proceeding is to enforce Indemnitee’s rights to indemnification or advancement, of Expenses, including a Proceeding (or any part of any Proceeding) initiated pursuant to Section 14 of this Agreement, (ii) the Board authorized the Proceeding (or any part of any Proceeding) or (iii) the Company provides the indemnification, in its sole discretion, pursuant to the powers vested in the Company under Applicable Law.</w:t>
      </w:r>
    </w:p>
    <w:p>
      <w:pPr>
        <w:spacing w:after="0" w:line="188" w:lineRule="exact"/>
        <w:rPr>
          <w:sz w:val="20"/>
          <w:szCs w:val="20"/>
          <w:color w:val="auto"/>
        </w:rPr>
      </w:pPr>
    </w:p>
    <w:p>
      <w:pPr>
        <w:ind w:left="764"/>
        <w:spacing w:after="0"/>
        <w:rPr>
          <w:sz w:val="20"/>
          <w:szCs w:val="20"/>
          <w:color w:val="auto"/>
        </w:rPr>
      </w:pPr>
      <w:r>
        <w:rPr>
          <w:rFonts w:ascii="Arial" w:cs="Arial" w:eastAsia="Arial" w:hAnsi="Arial"/>
          <w:sz w:val="18"/>
          <w:szCs w:val="18"/>
          <w:color w:val="auto"/>
        </w:rPr>
        <w:t>Section 10.</w:t>
      </w:r>
    </w:p>
    <w:p>
      <w:pPr>
        <w:spacing w:after="0" w:line="225" w:lineRule="exact"/>
        <w:rPr>
          <w:sz w:val="20"/>
          <w:szCs w:val="20"/>
          <w:color w:val="auto"/>
        </w:rPr>
      </w:pPr>
    </w:p>
    <w:p>
      <w:pPr>
        <w:ind w:left="764"/>
        <w:spacing w:after="0"/>
        <w:rPr>
          <w:sz w:val="20"/>
          <w:szCs w:val="20"/>
          <w:color w:val="auto"/>
        </w:rPr>
      </w:pPr>
      <w:r>
        <w:rPr>
          <w:rFonts w:ascii="Arial" w:cs="Arial" w:eastAsia="Arial" w:hAnsi="Arial"/>
          <w:sz w:val="18"/>
          <w:szCs w:val="18"/>
          <w:u w:val="single" w:color="auto"/>
          <w:color w:val="auto"/>
        </w:rPr>
        <w:t>Advances of Expenses.</w:t>
      </w:r>
    </w:p>
    <w:p>
      <w:pPr>
        <w:spacing w:after="0" w:line="225" w:lineRule="exact"/>
        <w:rPr>
          <w:sz w:val="20"/>
          <w:szCs w:val="20"/>
          <w:color w:val="auto"/>
        </w:rPr>
      </w:pPr>
    </w:p>
    <w:p>
      <w:pPr>
        <w:ind w:left="4" w:right="120" w:firstLine="987"/>
        <w:spacing w:after="0" w:line="279" w:lineRule="auto"/>
        <w:tabs>
          <w:tab w:leader="none" w:pos="137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Company will advance, to the fullest extent not prohibited by Applicable Law, the Expenses incurred by Indemnitee in connection with any Proceeding (or any part of any Proceeding) not initiated by Indemnitee or any Proceeding (or any part of any Proceeding) initiated by Indemnitee if (i) the Proceeding or part of any Proceeding is to enforce Indemnitee’s rights to obtain indemnification or advancement of Expenses from the Company or Enterprise, including a proceeding initiated pursuant to Section 14 or (ii) the Board authorized the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37" w:name="page238"/>
    <w:bookmarkEnd w:id="237"/>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Proceeding (or any part of any Proceeding) prior to its initiation. The Company will advance the Expenses within thirty (30) days after the receipt by the Company of a written statement or statements requesting such advances from time to time, whether prior to or after final disposition of any Proceeding.</w:t>
      </w:r>
    </w:p>
    <w:p>
      <w:pPr>
        <w:spacing w:after="0" w:line="124" w:lineRule="exact"/>
        <w:rPr>
          <w:sz w:val="20"/>
          <w:szCs w:val="20"/>
          <w:color w:val="auto"/>
        </w:rPr>
      </w:pPr>
    </w:p>
    <w:p>
      <w:pPr>
        <w:ind w:right="180" w:firstLine="987"/>
        <w:spacing w:after="0" w:line="257" w:lineRule="auto"/>
        <w:tabs>
          <w:tab w:leader="none" w:pos="13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Advances will be unsecured and interest free. Indemnitee undertakes to repay the amounts advanced (without interest) to the extent that it is ultimately determined that Indemnitee is not entitled to be indemnified by the Company. Thus Indemnitee qualifies for advances upon the execution and delivery of this Agreement to the Company. No other form of undertaking is required other than the execution of this Agreement. The Company will make advances without regard to Indemnitee’s ability to repay the Expenses and without regard to Indemnitee’s ultimate entitlement to indemnification under the other provisions of this Agreement.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Procedure for Notification of Claim for Indemnification or Advancement.</w:t>
      </w:r>
    </w:p>
    <w:p>
      <w:pPr>
        <w:spacing w:after="0" w:line="225" w:lineRule="exact"/>
        <w:rPr>
          <w:sz w:val="20"/>
          <w:szCs w:val="20"/>
          <w:color w:val="auto"/>
        </w:rPr>
      </w:pPr>
    </w:p>
    <w:p>
      <w:pPr>
        <w:ind w:firstLine="987"/>
        <w:spacing w:after="0" w:line="271" w:lineRule="auto"/>
        <w:tabs>
          <w:tab w:leader="none" w:pos="137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Indemnitee will notify the Company in writing of any Proceeding with respect to which Indemnitee intends to seek indemnification or advancement of Expenses hereunder as soon as reasonably practicable following the receipt by Indemnitee of written notice thereof. Indemnitee will include in the written notification to the Company a description of the nature of the Proceeding and the facts underlying the Proceeding and provide such documentation and information as is reasonably available to Indemnitee and is reasonably necessary to determine whether and to what extent Indemnitee is entitled to indemnification following the final disposition of such Proceeding. Indemnitee’s failure to notify the Company will not relieve the Company from any obligation it may have to Indemnitee under this Agreement, and any delay in so notifying the Company will not constitute a waiver by Indemnitee of any rights under this Agreement. The Secretary of the Company will, promptly upon receipt of such a request for indemnification or advancement, advise the Board in writing that Indemnitee has requested indemnification or advancement.</w:t>
      </w:r>
    </w:p>
    <w:p>
      <w:pPr>
        <w:spacing w:after="0" w:line="178" w:lineRule="exact"/>
        <w:rPr>
          <w:rFonts w:ascii="Arial" w:cs="Arial" w:eastAsia="Arial" w:hAnsi="Arial"/>
          <w:sz w:val="17"/>
          <w:szCs w:val="17"/>
          <w:color w:val="auto"/>
        </w:rPr>
      </w:pPr>
    </w:p>
    <w:p>
      <w:pPr>
        <w:ind w:left="1380" w:hanging="393"/>
        <w:spacing w:after="0"/>
        <w:tabs>
          <w:tab w:leader="none" w:pos="13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12.</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Procedure Upon Application for Indemnification.</w:t>
      </w:r>
    </w:p>
    <w:p>
      <w:pPr>
        <w:spacing w:after="0" w:line="225" w:lineRule="exact"/>
        <w:rPr>
          <w:sz w:val="20"/>
          <w:szCs w:val="20"/>
          <w:color w:val="auto"/>
        </w:rPr>
      </w:pPr>
    </w:p>
    <w:p>
      <w:pPr>
        <w:ind w:left="1360" w:hanging="373"/>
        <w:spacing w:after="0"/>
        <w:tabs>
          <w:tab w:leader="none" w:pos="13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Unless a Change in Control has occurred, the determination of Indemnitee’s entitlement to indemnification will be made:</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by a majority vote of the Disinterested Directors, even though less than a quorum of the Board;</w:t>
      </w:r>
    </w:p>
    <w:p>
      <w:pPr>
        <w:spacing w:after="0" w:line="225" w:lineRule="exact"/>
        <w:rPr>
          <w:rFonts w:ascii="Arial" w:cs="Arial" w:eastAsia="Arial" w:hAnsi="Arial"/>
          <w:sz w:val="18"/>
          <w:szCs w:val="18"/>
          <w:color w:val="auto"/>
        </w:rPr>
      </w:pPr>
    </w:p>
    <w:p>
      <w:pPr>
        <w:ind w:left="1760" w:hanging="332"/>
        <w:spacing w:after="0"/>
        <w:tabs>
          <w:tab w:leader="none" w:pos="176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by a committee of Disinterested Directors designated by a majority vote of the Disinterested Directors, even though less than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quorum of the Board;</w:t>
      </w:r>
    </w:p>
    <w:p>
      <w:pPr>
        <w:spacing w:after="0" w:line="210" w:lineRule="exact"/>
        <w:rPr>
          <w:rFonts w:ascii="Arial" w:cs="Arial" w:eastAsia="Arial" w:hAnsi="Arial"/>
          <w:sz w:val="16"/>
          <w:szCs w:val="16"/>
          <w:color w:val="auto"/>
        </w:rPr>
      </w:pPr>
    </w:p>
    <w:p>
      <w:pPr>
        <w:ind w:right="600" w:firstLine="1428"/>
        <w:spacing w:after="0" w:line="277" w:lineRule="auto"/>
        <w:tabs>
          <w:tab w:leader="none" w:pos="1852"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there are no such Disinterested Directors or, if such Disinterested Directors so direct, by written opinion provided by Independent Counsel selected by the Board; or</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if so directed by the Board, by the stockholders of the Company.</w:t>
      </w:r>
    </w:p>
    <w:p>
      <w:pPr>
        <w:spacing w:after="0" w:line="225" w:lineRule="exact"/>
        <w:rPr>
          <w:rFonts w:ascii="Arial" w:cs="Arial" w:eastAsia="Arial" w:hAnsi="Arial"/>
          <w:sz w:val="18"/>
          <w:szCs w:val="18"/>
          <w:color w:val="auto"/>
        </w:rPr>
      </w:pPr>
    </w:p>
    <w:p>
      <w:pPr>
        <w:ind w:right="540" w:firstLine="987"/>
        <w:spacing w:after="0" w:line="342" w:lineRule="auto"/>
        <w:tabs>
          <w:tab w:leader="none" w:pos="1381"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If a Change in Control has occurred, the determination of Indemnitee’s entitlement to indemnification will be made by written opinion provided by Independent Counsel selected by Indemnitee (unless Indemnitee requests such selection be made by the Board)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38" w:name="page239"/>
    <w:bookmarkEnd w:id="238"/>
    <w:p>
      <w:pPr>
        <w:ind w:left="4" w:firstLine="987"/>
        <w:spacing w:after="0" w:line="287" w:lineRule="auto"/>
        <w:tabs>
          <w:tab w:leader="none" w:pos="1420" w:val="left"/>
        </w:tabs>
        <w:numPr>
          <w:ilvl w:val="1"/>
          <w:numId w:val="2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party selecting Independent Counsel pursuant to subsection (a)(iii) or (b) of this Section 12 will provide written notice of the selection to the other party. The notified party may, within ten (10) days after receiving written notice of the selection of Independent Counsel, deliver to the selecting party a written objection to such selection;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2 of this Agreement, and the objection will set forth with particularity the factual basis of such assertion. Absent a proper and timely objection, the person so selected will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thirty (30) days after the later of submission by Indemnitee of a written request for indemnification pursuant to Section 11(a) hereof and the final disposition of the Proceeding, Independent Counsel has not been selected or, if selected, any objection to has not been resolved, either the Company or Indemnitee may petition the Delaware Court for the appointment as Independent Counsel of a person selected by such court or by such other person as such court designates. Upon the due commencement of any judicial proceeding or arbitration pursuant to Section 14(a) of this Agreement, Independent Counsel will be discharged and relieved of any further responsibility in such capacity (subject to the applicable standards of professional conduct then prevailing).</w:t>
      </w:r>
    </w:p>
    <w:p>
      <w:pPr>
        <w:spacing w:after="0" w:line="167" w:lineRule="exact"/>
        <w:rPr>
          <w:rFonts w:ascii="Arial" w:cs="Arial" w:eastAsia="Arial" w:hAnsi="Arial"/>
          <w:sz w:val="16"/>
          <w:szCs w:val="16"/>
          <w:color w:val="auto"/>
        </w:rPr>
      </w:pPr>
    </w:p>
    <w:p>
      <w:pPr>
        <w:ind w:left="4" w:right="20" w:firstLine="987"/>
        <w:spacing w:after="0" w:line="271" w:lineRule="auto"/>
        <w:tabs>
          <w:tab w:leader="none" w:pos="1385"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Indemnitee will cooperate with the person, persons or entity making the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The Company will advance and pay any Expenses incurred by Indemnitee in so cooperating with the person, persons or entity making the indemnification determination irrespective of the determination as to Indemnitee’s entitlement to indemnification and the Company hereby indemnifies and agrees to hold Indemnitee harmless therefrom. The Company promptly will advise Indemnitee in writing of the determination that Indemnitee is or is not entitled to indemnification, including a description of any reason or basis for which indemnification has been denied and providing a copy of any written opinion provided to the Board by Independent Counsel.</w:t>
      </w:r>
    </w:p>
    <w:p>
      <w:pPr>
        <w:spacing w:after="0" w:line="178" w:lineRule="exact"/>
        <w:rPr>
          <w:rFonts w:ascii="Arial" w:cs="Arial" w:eastAsia="Arial" w:hAnsi="Arial"/>
          <w:sz w:val="17"/>
          <w:szCs w:val="17"/>
          <w:color w:val="auto"/>
        </w:rPr>
      </w:pPr>
    </w:p>
    <w:p>
      <w:pPr>
        <w:ind w:left="1364" w:hanging="373"/>
        <w:spacing w:after="0"/>
        <w:tabs>
          <w:tab w:leader="none" w:pos="1364" w:val="left"/>
        </w:tabs>
        <w:numPr>
          <w:ilvl w:val="1"/>
          <w:numId w:val="237"/>
        </w:numPr>
        <w:rPr>
          <w:rFonts w:ascii="Arial" w:cs="Arial" w:eastAsia="Arial" w:hAnsi="Arial"/>
          <w:sz w:val="17"/>
          <w:szCs w:val="17"/>
          <w:color w:val="auto"/>
        </w:rPr>
      </w:pPr>
      <w:r>
        <w:rPr>
          <w:rFonts w:ascii="Arial" w:cs="Arial" w:eastAsia="Arial" w:hAnsi="Arial"/>
          <w:sz w:val="17"/>
          <w:szCs w:val="17"/>
          <w:color w:val="auto"/>
        </w:rPr>
        <w:t>If it is determined that Indemnitee is entitled to indemnification, the Company will make payment to Indemnitee within sixty</w:t>
      </w:r>
    </w:p>
    <w:p>
      <w:pPr>
        <w:spacing w:after="0" w:line="34" w:lineRule="exact"/>
        <w:rPr>
          <w:rFonts w:ascii="Arial" w:cs="Arial" w:eastAsia="Arial" w:hAnsi="Arial"/>
          <w:sz w:val="17"/>
          <w:szCs w:val="17"/>
          <w:color w:val="auto"/>
        </w:rPr>
      </w:pPr>
    </w:p>
    <w:p>
      <w:pPr>
        <w:ind w:left="344" w:hanging="344"/>
        <w:spacing w:after="0"/>
        <w:tabs>
          <w:tab w:leader="none" w:pos="3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days after such determination.</w:t>
      </w:r>
    </w:p>
    <w:p>
      <w:pPr>
        <w:spacing w:after="0" w:line="21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Section 13.</w:t>
      </w:r>
    </w:p>
    <w:p>
      <w:pPr>
        <w:spacing w:after="0" w:line="225" w:lineRule="exact"/>
        <w:rPr>
          <w:sz w:val="20"/>
          <w:szCs w:val="20"/>
          <w:color w:val="auto"/>
        </w:rPr>
      </w:pPr>
    </w:p>
    <w:p>
      <w:pPr>
        <w:ind w:left="764"/>
        <w:spacing w:after="0"/>
        <w:rPr>
          <w:sz w:val="20"/>
          <w:szCs w:val="20"/>
          <w:color w:val="auto"/>
        </w:rPr>
      </w:pPr>
      <w:r>
        <w:rPr>
          <w:rFonts w:ascii="Arial" w:cs="Arial" w:eastAsia="Arial" w:hAnsi="Arial"/>
          <w:sz w:val="18"/>
          <w:szCs w:val="18"/>
          <w:u w:val="single" w:color="auto"/>
          <w:color w:val="auto"/>
        </w:rPr>
        <w:t>Presumptions and Effect of Certain Proceedings.</w:t>
      </w:r>
    </w:p>
    <w:p>
      <w:pPr>
        <w:spacing w:after="0" w:line="225" w:lineRule="exact"/>
        <w:rPr>
          <w:sz w:val="20"/>
          <w:szCs w:val="20"/>
          <w:color w:val="auto"/>
        </w:rPr>
      </w:pPr>
    </w:p>
    <w:p>
      <w:pPr>
        <w:ind w:left="4" w:right="80" w:firstLine="987"/>
        <w:spacing w:after="0" w:line="257" w:lineRule="auto"/>
        <w:tabs>
          <w:tab w:leader="none" w:pos="137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will, to the fullest extent not prohibited by law, presume Indemnitee is entitled to indemnification under this Agreement if Indemnitee has submitted a request for indemnification in accordance with Section 11(a) of this Agreement, and the Company will, to the fullest extent not prohibited by law, have the burden of proof to overcome that presumption. Neither the failure of the Company (including by its directors or Independent Counsel) to have made a determination prior to the commencement of any action</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239" w:name="page240"/>
    <w:bookmarkEnd w:id="239"/>
    <w:p>
      <w:pPr>
        <w:ind w:left="4" w:right="2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will be a defense to the action or create a presumption that Indemnitee has not met the applicable standard of conduct.</w:t>
      </w:r>
    </w:p>
    <w:p>
      <w:pPr>
        <w:spacing w:after="0" w:line="149" w:lineRule="exact"/>
        <w:rPr>
          <w:sz w:val="20"/>
          <w:szCs w:val="20"/>
          <w:color w:val="auto"/>
        </w:rPr>
      </w:pPr>
    </w:p>
    <w:p>
      <w:pPr>
        <w:ind w:left="1384" w:hanging="393"/>
        <w:spacing w:after="0"/>
        <w:tabs>
          <w:tab w:leader="none" w:pos="1384" w:val="left"/>
        </w:tabs>
        <w:numPr>
          <w:ilvl w:val="1"/>
          <w:numId w:val="240"/>
        </w:numPr>
        <w:rPr>
          <w:rFonts w:ascii="Arial" w:cs="Arial" w:eastAsia="Arial" w:hAnsi="Arial"/>
          <w:sz w:val="17"/>
          <w:szCs w:val="17"/>
          <w:color w:val="auto"/>
        </w:rPr>
      </w:pPr>
      <w:r>
        <w:rPr>
          <w:rFonts w:ascii="Arial" w:cs="Arial" w:eastAsia="Arial" w:hAnsi="Arial"/>
          <w:sz w:val="17"/>
          <w:szCs w:val="17"/>
          <w:color w:val="auto"/>
        </w:rPr>
        <w:t>If the determination of the Indemnitee’s entitlement to indemnification has not been made pursuant to Section 12 within sixty</w:t>
      </w:r>
    </w:p>
    <w:p>
      <w:pPr>
        <w:spacing w:after="0" w:line="34" w:lineRule="exact"/>
        <w:rPr>
          <w:rFonts w:ascii="Arial" w:cs="Arial" w:eastAsia="Arial" w:hAnsi="Arial"/>
          <w:sz w:val="17"/>
          <w:szCs w:val="17"/>
          <w:color w:val="auto"/>
        </w:rPr>
      </w:pPr>
    </w:p>
    <w:p>
      <w:pPr>
        <w:ind w:left="4" w:hanging="4"/>
        <w:spacing w:after="0" w:line="286" w:lineRule="auto"/>
        <w:tabs>
          <w:tab w:leader="none" w:pos="34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days after the later of (i) receipt by the Company of Indemnitee’s request for indemnification pursuant to Section 11(a) and (ii) the final disposition of the Proceeding for which Indemnitee requested Indemnification (the “Determination Period”), the requisite determination of entitlement to indemnification will, to the fullest extent not prohibited by law, be deemed to have been made and Indemnitee will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The Determination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 and provided, further, the Determination Period may be extended an additional fifteen (15) days if the determination of entitlement to indemnification is to be made by the stockholders pursuant to Section 12(a)(iv) of this Agreement.</w:t>
      </w:r>
    </w:p>
    <w:p>
      <w:pPr>
        <w:spacing w:after="0" w:line="172" w:lineRule="exact"/>
        <w:rPr>
          <w:rFonts w:ascii="Arial" w:cs="Arial" w:eastAsia="Arial" w:hAnsi="Arial"/>
          <w:sz w:val="16"/>
          <w:szCs w:val="16"/>
          <w:color w:val="auto"/>
        </w:rPr>
      </w:pPr>
    </w:p>
    <w:p>
      <w:pPr>
        <w:ind w:left="4" w:right="40" w:firstLine="987"/>
        <w:spacing w:after="0" w:line="257" w:lineRule="auto"/>
        <w:tabs>
          <w:tab w:leader="none" w:pos="137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will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7" w:lineRule="exact"/>
        <w:rPr>
          <w:rFonts w:ascii="Arial" w:cs="Arial" w:eastAsia="Arial" w:hAnsi="Arial"/>
          <w:sz w:val="18"/>
          <w:szCs w:val="18"/>
          <w:color w:val="auto"/>
        </w:rPr>
      </w:pPr>
    </w:p>
    <w:p>
      <w:pPr>
        <w:ind w:left="4" w:right="60" w:firstLine="987"/>
        <w:spacing w:after="0" w:line="289" w:lineRule="auto"/>
        <w:tabs>
          <w:tab w:leader="none" w:pos="1385" w:val="left"/>
        </w:tabs>
        <w:numPr>
          <w:ilvl w:val="1"/>
          <w:numId w:val="241"/>
        </w:numPr>
        <w:rPr>
          <w:rFonts w:ascii="Arial" w:cs="Arial" w:eastAsia="Arial" w:hAnsi="Arial"/>
          <w:sz w:val="16"/>
          <w:szCs w:val="16"/>
          <w:color w:val="auto"/>
        </w:rPr>
      </w:pPr>
      <w:r>
        <w:rPr>
          <w:rFonts w:ascii="Arial" w:cs="Arial" w:eastAsia="Arial" w:hAnsi="Arial"/>
          <w:sz w:val="16"/>
          <w:szCs w:val="16"/>
          <w:color w:val="auto"/>
        </w:rPr>
        <w:t>For purposes of any determination of good faith, Indemnitee will be deemed to have acted in good faith if Indemnitee acted based on the records or books of account of the Company, its subsidiaries, or an Enterprise, including financial statements, or on information supplied to Indemnitee by the directors or officers of the Company, its subsidiaries, or an Enterprise in the course of their duties, or on the advice of legal counsel for the Company, its subsidiaries, or an Enterprise or on information or records given or reports made to the Company, its subsidiaries or an Enterprise by an independent certified public accountant or by an appraiser, financial advisor or other expert selected with reasonable care by or on behalf of the Company, its subsidiaries, or an Enterprise. Further, Indemnitee will be deemed to have acted in a manner “not opposed to the best interests of the Company,” as referred to in this Agreement if Indemnitee acted in good faith and in a manner Indemnitee reasonably believed to be in the best interests of the participants and beneficiaries of an employee benefit plan. The provisions of this Section 13(d) is not exclusive and does not limit in any way the other circumstances in which the Indemnitee may be deemed to have met the applicable standard of conduct set forth in this Agreement.</w:t>
      </w:r>
    </w:p>
    <w:p>
      <w:pPr>
        <w:spacing w:after="0" w:line="166" w:lineRule="exact"/>
        <w:rPr>
          <w:rFonts w:ascii="Arial" w:cs="Arial" w:eastAsia="Arial" w:hAnsi="Arial"/>
          <w:sz w:val="16"/>
          <w:szCs w:val="16"/>
          <w:color w:val="auto"/>
        </w:rPr>
      </w:pPr>
    </w:p>
    <w:p>
      <w:pPr>
        <w:ind w:left="4" w:right="120" w:firstLine="987"/>
        <w:spacing w:after="0" w:line="342" w:lineRule="auto"/>
        <w:tabs>
          <w:tab w:leader="none" w:pos="1372" w:val="left"/>
        </w:tabs>
        <w:numPr>
          <w:ilvl w:val="1"/>
          <w:numId w:val="241"/>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director, officer, trustee, partner, managing member, fiduciary, agent or employee of the Enterprise may not be imputed to Indemnitee for purposes of determining Indemnitee’s right to indemnification under this Agreement.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40" w:name="page241"/>
    <w:bookmarkEnd w:id="240"/>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14.</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Remedies of Indemnitee.</w:t>
      </w:r>
    </w:p>
    <w:p>
      <w:pPr>
        <w:spacing w:after="0" w:line="225" w:lineRule="exact"/>
        <w:rPr>
          <w:sz w:val="20"/>
          <w:szCs w:val="20"/>
          <w:color w:val="auto"/>
        </w:rPr>
      </w:pPr>
    </w:p>
    <w:p>
      <w:pPr>
        <w:ind w:firstLine="987"/>
        <w:spacing w:after="0" w:line="286" w:lineRule="auto"/>
        <w:tabs>
          <w:tab w:leader="none" w:pos="1371"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Indemnitee may commence litigation against the Company in the Delaware Court to obtain indemnification or advancement of Expenses provided by this Agreement in the event that (i) a determination is made pursuant to Section 12 of this Agreement that Indemnitee is not entitled to indemnification under this Agreement, (ii) the Company does not advance the full amount of Expenses pursuant to Section 10 of this Agreement, (iii) the determination of entitlement to indemnification is not made pursuant to Section 12 of this Agreement within the Determination Period, (iv) the Company does not indemnify Indemnitee pursuant to Section 5 or 6 or the second to last sentence of Section 12(d) of this Agreement within sixty (60) days after receipt by the Company of a written request therefor, (v) the Company does not indemnify Indemnitee pursuant to Section 3, 4, 7, or 8 of this Agreement within sixty (60)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Alternatively, the Indemnitee or the Company, at their option, may seek an award in arbitration to be conducted by a single arbitrator pursuant to the Commercial Arbitration Rules of the American Arbitration Association. Indemnitee must commence such Proceeding seeking an adjudication or an award in arbitration within one hundred and eighty (180) days following the date on which Indemnitee first has the right to commence such Proceeding pursuant to this Section 14(a);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does not apply in respect of a Proceeding brought by Indemnitee to enforce Indemnitee’s rights under Section 5 of this Agreement. The Company will not oppose Indemnitee’s right to seek any such adjudication or award in arbitration and the Indemnitee will not oppose the Company’s right to seek any such adjudication or award in arbitration.</w:t>
      </w:r>
    </w:p>
    <w:p>
      <w:pPr>
        <w:spacing w:after="0" w:line="167" w:lineRule="exact"/>
        <w:rPr>
          <w:rFonts w:ascii="Arial" w:cs="Arial" w:eastAsia="Arial" w:hAnsi="Arial"/>
          <w:sz w:val="16"/>
          <w:szCs w:val="16"/>
          <w:color w:val="auto"/>
        </w:rPr>
      </w:pPr>
    </w:p>
    <w:p>
      <w:pPr>
        <w:ind w:right="80" w:firstLine="987"/>
        <w:spacing w:after="0" w:line="275" w:lineRule="auto"/>
        <w:tabs>
          <w:tab w:leader="none" w:pos="138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If a determination is made pursuant to Section 12 of this Agreement that Indemnitee is not entitled to indemnification, any judicial proceeding or arbitration commenced pursuant to this Section 14 will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may not be prejudiced by reason of that adverse determination. In any judicial proceeding or arbitration commenced pursuant to this Section 14 the Company will have the burden of proving Indemnitee is not entitled to indemnification or advancement of Expenses, as the case may be, and will not introduce evidence of the determination made pursuant to Section 12 of this Agreement.</w:t>
      </w:r>
    </w:p>
    <w:p>
      <w:pPr>
        <w:spacing w:after="0" w:line="176" w:lineRule="exact"/>
        <w:rPr>
          <w:rFonts w:ascii="Arial" w:cs="Arial" w:eastAsia="Arial" w:hAnsi="Arial"/>
          <w:sz w:val="17"/>
          <w:szCs w:val="17"/>
          <w:color w:val="auto"/>
        </w:rPr>
      </w:pPr>
    </w:p>
    <w:p>
      <w:pPr>
        <w:ind w:right="80" w:firstLine="987"/>
        <w:spacing w:after="0" w:line="259" w:lineRule="auto"/>
        <w:tabs>
          <w:tab w:leader="none" w:pos="137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If a determination is made pursuant to Section 12 of this Agreement that Indemnitee is entitled to indemnification, the Company will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86" w:lineRule="exact"/>
        <w:rPr>
          <w:rFonts w:ascii="Arial" w:cs="Arial" w:eastAsia="Arial" w:hAnsi="Arial"/>
          <w:sz w:val="18"/>
          <w:szCs w:val="18"/>
          <w:color w:val="auto"/>
        </w:rPr>
      </w:pPr>
    </w:p>
    <w:p>
      <w:pPr>
        <w:ind w:right="600" w:firstLine="987"/>
        <w:spacing w:after="0" w:line="277" w:lineRule="auto"/>
        <w:tabs>
          <w:tab w:leader="none" w:pos="13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Company is, to the fullest extent not prohibited by law, precluded from asserting in any judicial proceeding or arbitration commenced pursuant to this Section 14 that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1" w:name="page242"/>
    <w:bookmarkEnd w:id="24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procedures and presumptions of this Agreement are not valid, binding and enforceable and will stipulate in any such court or before any such arbitrator that the Company is bound by all the provisions of this Agreement.</w:t>
      </w:r>
    </w:p>
    <w:p>
      <w:pPr>
        <w:spacing w:after="0" w:line="170" w:lineRule="exact"/>
        <w:rPr>
          <w:sz w:val="20"/>
          <w:szCs w:val="20"/>
          <w:color w:val="auto"/>
        </w:rPr>
      </w:pPr>
    </w:p>
    <w:p>
      <w:pPr>
        <w:ind w:firstLine="987"/>
        <w:spacing w:after="0" w:line="271" w:lineRule="auto"/>
        <w:tabs>
          <w:tab w:leader="none" w:pos="1371"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It is the intent of the Company that, to the fullest extent permitted by law,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 The Company, to the fullest extent permitted by law, will (within thirty (30) days after receipt by the Company of a written request therefor) advance to Indemnitee such Expenses which are incurred by Indemnitee in connection with any action concerning this Agreement, Indemnitee’s right to indemnification or advancement of Expenses from the Company, or concerning any directors’ and officers’ liability insurance policies maintained by the Company, and will indemnify Indemnitee against any and all such Expenses unless the court determines that each of the Indemnitee’s claims in such action were made in bad faith or were frivolous or are prohibited by law.</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15.</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Non-exclusivity; Survival of Rights; Insurance; Subrogation.</w:t>
      </w:r>
    </w:p>
    <w:p>
      <w:pPr>
        <w:spacing w:after="0" w:line="225" w:lineRule="exact"/>
        <w:rPr>
          <w:sz w:val="20"/>
          <w:szCs w:val="20"/>
          <w:color w:val="auto"/>
        </w:rPr>
      </w:pPr>
    </w:p>
    <w:p>
      <w:pPr>
        <w:ind w:firstLine="987"/>
        <w:spacing w:after="0" w:line="288" w:lineRule="auto"/>
        <w:tabs>
          <w:tab w:leader="none" w:pos="136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indemnification and advancement of Expenses provided by this Agreement are not exclusive of any other rights to which Indemnitee may at any time be entitled under Applicable Law, the Certificate of Incorporation, the Bylaws, any agreement, a vote of stockholders or a resolution of directors, or otherwise. The indemnification and advancement of Expenses provided by this Agreement may not be limited or restricted by any amendment, alteration or repeal of this Agreement in any way with respect to any action taken or omitted by Indemnitee in Indemnitee’s Corporate Status occurring prior to any amendment, alteration or repeal of this Agreement. To the extent that a change in Delaware law, whether by statute or judicial decision, permits greater indemnification or advancement of Expenses than would be afforded currently under the Bylaws, Certificate of Incorporation, or this Agreement, it is the intent of the parties hereto that Indemnitee enjoy by this Agreement the greater benefits so afforded by such change. No right or remedy herein conferred is intended to be exclusive of any other right or remedy, and every other right and remedy is cumulative and in addition to every other right and remedy given hereunder or now or hereafter existing at law or in equity or otherwise. The assertion or employment of any right or remedy hereunder, or otherwise, will not prevent the concurrent assertion or employment of any other right or remedy.</w:t>
      </w:r>
    </w:p>
    <w:p>
      <w:pPr>
        <w:spacing w:after="0" w:line="168" w:lineRule="exact"/>
        <w:rPr>
          <w:rFonts w:ascii="Arial" w:cs="Arial" w:eastAsia="Arial" w:hAnsi="Arial"/>
          <w:sz w:val="16"/>
          <w:szCs w:val="16"/>
          <w:color w:val="auto"/>
        </w:rPr>
      </w:pPr>
    </w:p>
    <w:p>
      <w:pPr>
        <w:ind w:firstLine="987"/>
        <w:spacing w:after="0" w:line="257" w:lineRule="auto"/>
        <w:tabs>
          <w:tab w:leader="none" w:pos="137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Company hereby acknowledges that Indemnitee may have certain rights to indemnification, advancement of Expenses and/or insurance provided by one or more other Persons with whom or which Indemnitee may be associated. The relationship between the Company and such other Persons, other than an Enterprise, with respect to the Indemnitee’s rights to indemnification, advancement of Expenses, and insurance is described by this subsection, subject to the provisions of subsection (d) of this Section 15 with respect to a Proceeding concerning Indemnitee’s Corporate Status with an Enterprise.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242" w:name="page243"/>
    <w:bookmarkEnd w:id="242"/>
    <w:p>
      <w:pPr>
        <w:ind w:left="713" w:hanging="272"/>
        <w:spacing w:after="0"/>
        <w:tabs>
          <w:tab w:leader="none" w:pos="713"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hereby acknowledges and agrees:</w:t>
      </w:r>
    </w:p>
    <w:p>
      <w:pPr>
        <w:spacing w:after="0" w:line="225" w:lineRule="exact"/>
        <w:rPr>
          <w:rFonts w:ascii="Arial" w:cs="Arial" w:eastAsia="Arial" w:hAnsi="Arial"/>
          <w:sz w:val="18"/>
          <w:szCs w:val="18"/>
          <w:color w:val="auto"/>
        </w:rPr>
      </w:pPr>
    </w:p>
    <w:p>
      <w:pPr>
        <w:ind w:left="-987" w:right="680" w:firstLine="1979"/>
        <w:spacing w:after="0" w:line="277" w:lineRule="auto"/>
        <w:tabs>
          <w:tab w:leader="none" w:pos="132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Company is the indemnitor of first resort with respect to any request for indemnification or advancement of Expenses made pursuant to this Agreement concerning any Proceeding;</w:t>
      </w:r>
    </w:p>
    <w:p>
      <w:pPr>
        <w:spacing w:after="0" w:line="170" w:lineRule="exact"/>
        <w:rPr>
          <w:rFonts w:ascii="Arial" w:cs="Arial" w:eastAsia="Arial" w:hAnsi="Arial"/>
          <w:sz w:val="18"/>
          <w:szCs w:val="18"/>
          <w:color w:val="auto"/>
        </w:rPr>
      </w:pPr>
    </w:p>
    <w:p>
      <w:pPr>
        <w:ind w:left="-987" w:firstLine="1979"/>
        <w:spacing w:after="0" w:line="308" w:lineRule="auto"/>
        <w:tabs>
          <w:tab w:leader="none" w:pos="137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the Company is primarily liable for all indemnification and indemnification or advancement of Expenses obligations for any Proceeding, whether created by law, organizational or constituent documents, contract (including this Agreement) or otherwise;</w:t>
      </w:r>
    </w:p>
    <w:p>
      <w:pPr>
        <w:spacing w:after="0" w:line="146" w:lineRule="exact"/>
        <w:rPr>
          <w:rFonts w:ascii="Arial" w:cs="Arial" w:eastAsia="Arial" w:hAnsi="Arial"/>
          <w:sz w:val="17"/>
          <w:szCs w:val="17"/>
          <w:color w:val="auto"/>
        </w:rPr>
      </w:pPr>
    </w:p>
    <w:p>
      <w:pPr>
        <w:ind w:left="-987" w:right="60" w:firstLine="1979"/>
        <w:spacing w:after="0" w:line="308" w:lineRule="auto"/>
        <w:tabs>
          <w:tab w:leader="none" w:pos="1325" w:val="left"/>
        </w:tabs>
        <w:numPr>
          <w:ilvl w:val="1"/>
          <w:numId w:val="245"/>
        </w:numPr>
        <w:rPr>
          <w:rFonts w:ascii="Arial" w:cs="Arial" w:eastAsia="Arial" w:hAnsi="Arial"/>
          <w:sz w:val="17"/>
          <w:szCs w:val="17"/>
          <w:color w:val="auto"/>
        </w:rPr>
      </w:pPr>
      <w:r>
        <w:rPr>
          <w:rFonts w:ascii="Arial" w:cs="Arial" w:eastAsia="Arial" w:hAnsi="Arial"/>
          <w:sz w:val="17"/>
          <w:szCs w:val="17"/>
          <w:color w:val="auto"/>
        </w:rPr>
        <w:t>any obligation of any other Persons with whom or which Indemnitee may be associated to indemnify Indemnitee and/or advance Expenses to Indemnitee in respect of any proceeding are secondary to the obligations of the Company’s obligations; and</w:t>
      </w:r>
    </w:p>
    <w:p>
      <w:pPr>
        <w:spacing w:after="0" w:line="146" w:lineRule="exact"/>
        <w:rPr>
          <w:rFonts w:ascii="Arial" w:cs="Arial" w:eastAsia="Arial" w:hAnsi="Arial"/>
          <w:sz w:val="17"/>
          <w:szCs w:val="17"/>
          <w:color w:val="auto"/>
        </w:rPr>
      </w:pPr>
    </w:p>
    <w:p>
      <w:pPr>
        <w:ind w:left="-987" w:right="120" w:firstLine="1979"/>
        <w:spacing w:after="0" w:line="263" w:lineRule="auto"/>
        <w:tabs>
          <w:tab w:leader="none" w:pos="1325"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Company will indemnify Indemnitee and advance Expenses to Indemnitee hereunder to the fullest extent provided herein without regard to any rights Indemnitee may have against any other Person with whom or which Indemnitee may be associated or insurer of any such Person.</w:t>
      </w:r>
    </w:p>
    <w:p>
      <w:pPr>
        <w:spacing w:after="0" w:line="183" w:lineRule="exact"/>
        <w:rPr>
          <w:rFonts w:ascii="Arial" w:cs="Arial" w:eastAsia="Arial" w:hAnsi="Arial"/>
          <w:sz w:val="18"/>
          <w:szCs w:val="18"/>
          <w:color w:val="auto"/>
        </w:rPr>
      </w:pPr>
    </w:p>
    <w:p>
      <w:pPr>
        <w:ind w:left="-987" w:right="60" w:firstLine="1428"/>
        <w:spacing w:after="0" w:line="255" w:lineRule="auto"/>
        <w:tabs>
          <w:tab w:leader="none" w:pos="766"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irrevocably waives, relinquishes and releases (A) any other Person with whom or which Indemnitee may be associated from any claim of contribution, subrogation, reimbursement, exoneration or indemnification, or any other recovery of any kind in respect of amounts paid by the Company to Indemnitee pursuant to this Agreement and (B) any right to participate in any claim or remedy of Indemnitee against any Person, whether or not such claim, remedy or right arises in equity or under contract, statute or common law, including, without limitation, the right to take or receive from any Person, directly or indirectly, in cash or other property or by set-off or in any other manner, payment or security on account of such claim, remedy or right.</w:t>
      </w:r>
    </w:p>
    <w:p>
      <w:pPr>
        <w:spacing w:after="0" w:line="192" w:lineRule="exact"/>
        <w:rPr>
          <w:rFonts w:ascii="Arial" w:cs="Arial" w:eastAsia="Arial" w:hAnsi="Arial"/>
          <w:sz w:val="18"/>
          <w:szCs w:val="18"/>
          <w:color w:val="auto"/>
        </w:rPr>
      </w:pPr>
    </w:p>
    <w:p>
      <w:pPr>
        <w:ind w:left="-987" w:right="20" w:firstLine="1428"/>
        <w:spacing w:after="0" w:line="275" w:lineRule="auto"/>
        <w:tabs>
          <w:tab w:leader="none" w:pos="82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the event any other Person with whom or which Indemnitee may be associated or their insurers advances or extinguishes any liability or loss for Indemnitee, the payor has a right of subrogation against the Company or its insurers for all amounts so paid which would otherwise be payable by the Company or its insurers under this Agreement. In no event will payment by any other Person with whom or which Indemnitee may be associated or their insurers affect the obligations of the Company hereunder or shift primary liability for the Company’s obligation to indemnify or advance of Expenses to any other Person with whom or which Indemnitee may be associated.</w:t>
      </w:r>
    </w:p>
    <w:p>
      <w:pPr>
        <w:spacing w:after="0" w:line="176" w:lineRule="exact"/>
        <w:rPr>
          <w:rFonts w:ascii="Arial" w:cs="Arial" w:eastAsia="Arial" w:hAnsi="Arial"/>
          <w:sz w:val="17"/>
          <w:szCs w:val="17"/>
          <w:color w:val="auto"/>
        </w:rPr>
      </w:pPr>
    </w:p>
    <w:p>
      <w:pPr>
        <w:ind w:left="-987" w:right="100" w:firstLine="1428"/>
        <w:spacing w:after="0" w:line="286" w:lineRule="auto"/>
        <w:tabs>
          <w:tab w:leader="none" w:pos="78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Any indemnification or advancement of Expenses provided by any other Person with whom or which Indemnitee may be associated is specifically in excess over the Company’s obligation to indemnify and advance Expenses or any valid and collectible insurance (including but not limited to any malpractice insurance or professional errors and omissions insurance) provided by the Company.</w:t>
      </w:r>
    </w:p>
    <w:p>
      <w:pPr>
        <w:spacing w:after="0" w:line="165" w:lineRule="exact"/>
        <w:rPr>
          <w:sz w:val="20"/>
          <w:szCs w:val="20"/>
          <w:color w:val="auto"/>
        </w:rPr>
      </w:pPr>
    </w:p>
    <w:p>
      <w:pPr>
        <w:ind w:left="4373" w:right="4380" w:hanging="4373"/>
        <w:spacing w:after="0" w:line="449" w:lineRule="auto"/>
        <w:tabs>
          <w:tab w:leader="none" w:pos="382"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To the extent that the Company maintains an insurance policy or policies -12-</w:t>
      </w:r>
    </w:p>
    <w:p>
      <w:pPr>
        <w:sectPr>
          <w:pgSz w:w="11900" w:h="16838" w:orient="portrait"/>
          <w:cols w:equalWidth="0" w:num="1">
            <w:col w:w="10013"/>
          </w:cols>
          <w:pgMar w:left="1427" w:top="274" w:right="459" w:bottom="1440" w:gutter="0" w:footer="0" w:header="0"/>
        </w:sectPr>
      </w:pPr>
    </w:p>
    <w:bookmarkStart w:id="243" w:name="page244"/>
    <w:bookmarkEnd w:id="243"/>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providing liability insurance for directors, officers, employees, or agents of the Company, the Company will obtain a policy or policies covering Indemnitee to the maximum extent of the coverage available for any such director, officer, employee or agent under such policy or policies, including coverage in the event the Company does not or cannot, for any reason, indemnify or advance Expenses to Indemnitee as required by this Agreement. If, at the time of the receipt of a notice of a claim pursuant to this Agreement, the Company has director and officer liability insurance in effect, the Company will give prompt notice of such claim or of the commencement of a Proceeding, as the case may be, to the insurers in accordance with the procedures set forth in the respective policies. The Company will thereafter take all reasonably necessary or desirable action to cause such insurers to pay, on behalf of the Indemnitee, all amounts payable as a result of such Proceeding in accordance with the terms of such policies. Indemnitee agrees to assist the Company efforts to cause the insurers to pay such amounts and will comply with the terms of such policies, including selection of approved panel counsel, if required.</w:t>
      </w:r>
    </w:p>
    <w:p>
      <w:pPr>
        <w:spacing w:after="0" w:line="181" w:lineRule="exact"/>
        <w:rPr>
          <w:sz w:val="20"/>
          <w:szCs w:val="20"/>
          <w:color w:val="auto"/>
        </w:rPr>
      </w:pPr>
    </w:p>
    <w:p>
      <w:pPr>
        <w:ind w:firstLine="987"/>
        <w:spacing w:after="0" w:line="291" w:lineRule="auto"/>
        <w:tabs>
          <w:tab w:leader="none" w:pos="137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Company’s obligation to indemnify or advance Expenses hereunder to Indemnitee for any Proceeding concerning Indemnitee’s Corporate Status with an Enterprise will be reduced by any amount Indemnitee has actually received as indemnification or advancement of Expenses from such Enterprise. The Company and Indemnitee intend that any such Enterprise (and its insurers) be the indemnitor of first resort with respect to indemnification and advancement of Expenses for any Proceeding related to or arising from Indemnitee’s Corporate Status with such Enterprise. The Company’s obligation to indemnify and advance Expenses to Indemnitee is secondary to the obligations the Enterprise or its insurers owe to Indemnitee. Indemnitee agrees to take all reasonably necessary and desirable action to obtain from an Enterprise indemnification and advancement of Expenses for any Proceeding related to or arising from Indemnitee’s Corporate Status with such Enterprise.</w:t>
      </w:r>
    </w:p>
    <w:p>
      <w:pPr>
        <w:spacing w:after="0" w:line="166" w:lineRule="exact"/>
        <w:rPr>
          <w:rFonts w:ascii="Arial" w:cs="Arial" w:eastAsia="Arial" w:hAnsi="Arial"/>
          <w:sz w:val="16"/>
          <w:szCs w:val="16"/>
          <w:color w:val="auto"/>
        </w:rPr>
      </w:pPr>
    </w:p>
    <w:p>
      <w:pPr>
        <w:ind w:right="140" w:firstLine="987"/>
        <w:spacing w:after="0" w:line="259" w:lineRule="auto"/>
        <w:tabs>
          <w:tab w:leader="none" w:pos="137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 the event of any payment made by the Company under this Agreement, the Company will be subrogated to the extent of such payment to all of the rights of recovery of Indemnitee from any Enterprise or insurance carrier. Indemnitee will execute all papers required and take all action necessary to secure such rights, including execution of such documents as are necessary to enable the Company to bring suit to enforce such rights.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16.</w:t>
      </w:r>
    </w:p>
    <w:p>
      <w:pPr>
        <w:spacing w:after="0" w:line="225" w:lineRule="exact"/>
        <w:rPr>
          <w:sz w:val="20"/>
          <w:szCs w:val="20"/>
          <w:color w:val="auto"/>
        </w:rPr>
      </w:pPr>
    </w:p>
    <w:p>
      <w:pPr>
        <w:ind w:firstLine="771"/>
        <w:spacing w:after="0" w:line="271" w:lineRule="auto"/>
        <w:rPr>
          <w:sz w:val="20"/>
          <w:szCs w:val="20"/>
          <w:color w:val="auto"/>
        </w:rPr>
      </w:pPr>
      <w:r>
        <w:rPr>
          <w:rFonts w:ascii="Arial" w:cs="Arial" w:eastAsia="Arial" w:hAnsi="Arial"/>
          <w:sz w:val="17"/>
          <w:szCs w:val="17"/>
          <w:u w:val="single" w:color="auto"/>
          <w:color w:val="auto"/>
        </w:rPr>
        <w:t>Duration of Agreement.</w:t>
      </w:r>
      <w:r>
        <w:rPr>
          <w:rFonts w:ascii="Arial" w:cs="Arial" w:eastAsia="Arial" w:hAnsi="Arial"/>
          <w:sz w:val="17"/>
          <w:szCs w:val="17"/>
          <w:color w:val="auto"/>
        </w:rPr>
        <w:t xml:space="preserve"> This Agreement continues until and terminates upon the later of: (a) ten (10) years after the date that Indemnitee ceases to have a Corporate Status or (b) one (1) year after the final termination of any Proceeding then pending in respect of which Indemnitee is granted rights of indemnification or advancement of Expenses hereunder and of any Proceeding commenced by Indemnitee pursuant to Section 14 of this Agreement relating thereto. The indemnification and advancement of Expenses rights provided by or granted pursuant to this Agreement are binding upon and be enforceable by the parties hereto and their respective successors and assigns (including any direct or indirect successor by purchase, merger, consolidation or otherwise to all or substantially all of the business or assets of the Company), continue as to an Indemnitee who has ceased to be a director, officer, employee or agent of the Company or of any other Enterprise, and inure to the benefit of Indemnitee and Indemnitee’s spouse, assigns, heirs, devisees, executors and administrators and other legal representatives.</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17.</w:t>
      </w:r>
    </w:p>
    <w:p>
      <w:pPr>
        <w:spacing w:after="0" w:line="225" w:lineRule="exact"/>
        <w:rPr>
          <w:sz w:val="20"/>
          <w:szCs w:val="20"/>
          <w:color w:val="auto"/>
        </w:rPr>
      </w:pPr>
    </w:p>
    <w:p>
      <w:pPr>
        <w:ind w:right="40" w:firstLine="771"/>
        <w:spacing w:after="0" w:line="308" w:lineRule="auto"/>
        <w:rPr>
          <w:sz w:val="20"/>
          <w:szCs w:val="20"/>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or provisions of this Agreement is held to be invalid, illegal or unenforceable for any reason whatsoever: (a) the validity, legality and enforceability of the remaining provisions of this Agreement (including without limitation, each portion of 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4" w:name="page245"/>
    <w:bookmarkEnd w:id="244"/>
    <w:p>
      <w:pPr>
        <w:jc w:val="both"/>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of this Agreement containing any such provision held to be invalid, illegal or unenforceable, that is not itself invalid, illegal or unenforceable) will not in any way be affected or impaired thereby and remain enforceable to the fullest extent permitted by law; (b) such provision or provisions will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will be construed so as to give effect to the intent manifested thereby.</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18.</w:t>
      </w:r>
    </w:p>
    <w:p>
      <w:pPr>
        <w:spacing w:after="0" w:line="225" w:lineRule="exact"/>
        <w:rPr>
          <w:sz w:val="20"/>
          <w:szCs w:val="20"/>
          <w:color w:val="auto"/>
        </w:rPr>
      </w:pPr>
    </w:p>
    <w:p>
      <w:pPr>
        <w:ind w:right="340" w:firstLine="771"/>
        <w:spacing w:after="0" w:line="279" w:lineRule="auto"/>
        <w:rPr>
          <w:sz w:val="20"/>
          <w:szCs w:val="20"/>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Any ambiguity in the terms of this Agreement will be resolved in favor of Indemnitee and in a manner to provide the maximum indemnification and advancement of Expenses permitted by law. The Company and Indemnitee intend that this Agreement provide to the fullest extent permitted by law for indemnification and advancement in excess of that expressly provided, without limitation, by the Certificate of Incorporation, the Bylaws, vote of the Company stockholders or disinterested directors, or Applicable Law.</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19.</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Enforcement.</w:t>
      </w:r>
    </w:p>
    <w:p>
      <w:pPr>
        <w:spacing w:after="0" w:line="225" w:lineRule="exact"/>
        <w:rPr>
          <w:sz w:val="20"/>
          <w:szCs w:val="20"/>
          <w:color w:val="auto"/>
        </w:rPr>
      </w:pPr>
    </w:p>
    <w:p>
      <w:pPr>
        <w:ind w:right="180" w:firstLine="987"/>
        <w:spacing w:after="0" w:line="263" w:lineRule="auto"/>
        <w:tabs>
          <w:tab w:leader="none" w:pos="136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or continuing to serve as a director or officer of the Company.</w:t>
      </w:r>
    </w:p>
    <w:p>
      <w:pPr>
        <w:spacing w:after="0" w:line="183" w:lineRule="exact"/>
        <w:rPr>
          <w:rFonts w:ascii="Arial" w:cs="Arial" w:eastAsia="Arial" w:hAnsi="Arial"/>
          <w:sz w:val="18"/>
          <w:szCs w:val="18"/>
          <w:color w:val="auto"/>
        </w:rPr>
      </w:pPr>
    </w:p>
    <w:p>
      <w:pPr>
        <w:ind w:right="140" w:firstLine="987"/>
        <w:spacing w:after="0" w:line="259" w:lineRule="auto"/>
        <w:tabs>
          <w:tab w:leader="none" w:pos="137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Certificate of Incorporation, the Bylaws and Applicable Law, and is not a substitute therefor, nor to diminish or abrogate any rights of Indemnitee thereunder.</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20.</w:t>
      </w:r>
    </w:p>
    <w:p>
      <w:pPr>
        <w:spacing w:after="0" w:line="225" w:lineRule="exact"/>
        <w:rPr>
          <w:sz w:val="20"/>
          <w:szCs w:val="20"/>
          <w:color w:val="auto"/>
        </w:rPr>
      </w:pPr>
    </w:p>
    <w:p>
      <w:pPr>
        <w:jc w:val="both"/>
        <w:ind w:right="120" w:firstLine="771"/>
        <w:spacing w:after="0" w:line="263" w:lineRule="auto"/>
        <w:rPr>
          <w:sz w:val="20"/>
          <w:szCs w:val="20"/>
          <w:color w:val="auto"/>
        </w:rPr>
      </w:pPr>
      <w:r>
        <w:rPr>
          <w:rFonts w:ascii="Arial" w:cs="Arial" w:eastAsia="Arial" w:hAnsi="Arial"/>
          <w:sz w:val="18"/>
          <w:szCs w:val="18"/>
          <w:u w:val="single" w:color="auto"/>
          <w:color w:val="auto"/>
        </w:rPr>
        <w:t>Modification and Waiver.</w:t>
      </w:r>
      <w:r>
        <w:rPr>
          <w:rFonts w:ascii="Arial" w:cs="Arial" w:eastAsia="Arial" w:hAnsi="Arial"/>
          <w:sz w:val="18"/>
          <w:szCs w:val="18"/>
          <w:color w:val="auto"/>
        </w:rPr>
        <w:t xml:space="preserve"> No supplement, modification or amendment of this Agreement is binding unless executed in writing by the parties hereto. No waiver of any of the provisions of this Agreement will be deemed or constitutes a waiver of any other provisions of this Agreement nor will any waiver constitute a continuing waiver.</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21.</w:t>
      </w:r>
    </w:p>
    <w:p>
      <w:pPr>
        <w:spacing w:after="0" w:line="225" w:lineRule="exact"/>
        <w:rPr>
          <w:sz w:val="20"/>
          <w:szCs w:val="20"/>
          <w:color w:val="auto"/>
        </w:rPr>
      </w:pPr>
    </w:p>
    <w:p>
      <w:pPr>
        <w:ind w:firstLine="771"/>
        <w:spacing w:after="0" w:line="259" w:lineRule="auto"/>
        <w:rPr>
          <w:sz w:val="20"/>
          <w:szCs w:val="20"/>
          <w:color w:val="auto"/>
        </w:rPr>
      </w:pPr>
      <w:r>
        <w:rPr>
          <w:rFonts w:ascii="Arial" w:cs="Arial" w:eastAsia="Arial" w:hAnsi="Arial"/>
          <w:sz w:val="18"/>
          <w:szCs w:val="18"/>
          <w:u w:val="single" w:color="auto"/>
          <w:color w:val="auto"/>
        </w:rPr>
        <w:t>Notice by Indemnitee.</w:t>
      </w:r>
      <w:r>
        <w:rPr>
          <w:rFonts w:ascii="Arial" w:cs="Arial" w:eastAsia="Arial" w:hAnsi="Arial"/>
          <w:sz w:val="18"/>
          <w:szCs w:val="18"/>
          <w:color w:val="auto"/>
        </w:rPr>
        <w:t xml:space="preserve"> Indemnitee agrees promptly to notify the Company in writing upon being served with any summons, citation, subpoena, complaint, indictment, information or other document relating to any Proceeding or matter which may be subject to indemnification or advancement of Expenses covered hereunder. The failure of Indemnitee to so notify the Company does not relieve the Company of any obligation which it may have to the Indemnitee under this Agreement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45" w:name="page246"/>
    <w:bookmarkEnd w:id="245"/>
    <w:p>
      <w:pPr>
        <w:ind w:left="7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22.</w:t>
      </w:r>
    </w:p>
    <w:p>
      <w:pPr>
        <w:spacing w:after="0" w:line="225" w:lineRule="exact"/>
        <w:rPr>
          <w:sz w:val="20"/>
          <w:szCs w:val="20"/>
          <w:color w:val="auto"/>
        </w:rPr>
      </w:pPr>
    </w:p>
    <w:p>
      <w:pPr>
        <w:ind w:right="140" w:firstLine="771"/>
        <w:spacing w:after="0" w:line="263" w:lineRule="auto"/>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requests, demands and other communications under this Agreement will be in writing and will be deemed to have been duly given if (a) delivered by hand to the other party, (b) sent by reputable overnight courier to the other party or (c) sent by facsimile transmission or electronic mail, with receipt of oral confirmation that such communication has been received:</w:t>
      </w:r>
    </w:p>
    <w:p>
      <w:pPr>
        <w:spacing w:after="0" w:line="184"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Indemnitee, at the address indicated on the signature page of this Agreement, or such other address as Indemnitee provides to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1380" w:hanging="393"/>
        <w:spacing w:after="0"/>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GoHealth, Inc.</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Chicago, Illinois 60654</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Chief Legal Officer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####@gohealth.com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23.</w:t>
      </w:r>
    </w:p>
    <w:p>
      <w:pPr>
        <w:spacing w:after="0" w:line="225" w:lineRule="exact"/>
        <w:rPr>
          <w:sz w:val="20"/>
          <w:szCs w:val="20"/>
          <w:color w:val="auto"/>
        </w:rPr>
      </w:pPr>
    </w:p>
    <w:p>
      <w:pPr>
        <w:ind w:right="40" w:firstLine="771"/>
        <w:spacing w:after="0" w:line="254" w:lineRule="auto"/>
        <w:rPr>
          <w:sz w:val="20"/>
          <w:szCs w:val="20"/>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To the fullest extent permissible under Applicable Law, if the indemnification provided for in this Agreement is unavailable to Indemnitee for any reason whatsoever, the Company, in lieu of indemnifying Indemnitee, will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24.</w:t>
      </w:r>
    </w:p>
    <w:p>
      <w:pPr>
        <w:spacing w:after="0" w:line="225" w:lineRule="exact"/>
        <w:rPr>
          <w:sz w:val="20"/>
          <w:szCs w:val="20"/>
          <w:color w:val="auto"/>
        </w:rPr>
      </w:pPr>
    </w:p>
    <w:p>
      <w:pPr>
        <w:ind w:right="120" w:firstLine="771"/>
        <w:spacing w:after="0" w:line="271" w:lineRule="auto"/>
        <w:rPr>
          <w:sz w:val="20"/>
          <w:szCs w:val="20"/>
          <w:color w:val="auto"/>
        </w:rPr>
      </w:pPr>
      <w:r>
        <w:rPr>
          <w:rFonts w:ascii="Arial" w:cs="Arial" w:eastAsia="Arial" w:hAnsi="Arial"/>
          <w:sz w:val="17"/>
          <w:szCs w:val="17"/>
          <w:u w:val="single" w:color="auto"/>
          <w:color w:val="auto"/>
        </w:rPr>
        <w:t>Applicable Law and Consent to Jurisdiction.</w:t>
      </w:r>
      <w:r>
        <w:rPr>
          <w:rFonts w:ascii="Arial" w:cs="Arial" w:eastAsia="Arial" w:hAnsi="Arial"/>
          <w:sz w:val="17"/>
          <w:szCs w:val="17"/>
          <w:color w:val="auto"/>
        </w:rPr>
        <w:t xml:space="preserve"> This Agreement and the legal relations among the parties are governed by, and 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may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waive any objection to the laying of venue of any such action or Proceeding in the Delaware Court, and (iv) waive, and agree not to plead or to make, any claim that any such action or Proceeding brought in the Delaware Court has been brought in an improper or inconvenient forum.</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25.</w:t>
      </w:r>
    </w:p>
    <w:p>
      <w:pPr>
        <w:spacing w:after="0" w:line="225" w:lineRule="exact"/>
        <w:rPr>
          <w:sz w:val="20"/>
          <w:szCs w:val="20"/>
          <w:color w:val="auto"/>
        </w:rPr>
      </w:pPr>
    </w:p>
    <w:p>
      <w:pPr>
        <w:jc w:val="both"/>
        <w:ind w:right="20" w:firstLine="771"/>
        <w:spacing w:after="0" w:line="263" w:lineRule="auto"/>
        <w:rPr>
          <w:sz w:val="20"/>
          <w:szCs w:val="20"/>
          <w:color w:val="auto"/>
        </w:rPr>
      </w:pPr>
      <w:r>
        <w:rPr>
          <w:rFonts w:ascii="Arial" w:cs="Arial" w:eastAsia="Arial" w:hAnsi="Arial"/>
          <w:sz w:val="18"/>
          <w:szCs w:val="18"/>
          <w:u w:val="single" w:color="auto"/>
          <w:color w:val="auto"/>
        </w:rPr>
        <w:t>Identical Counterparts.</w:t>
      </w:r>
      <w:r>
        <w:rPr>
          <w:rFonts w:ascii="Arial" w:cs="Arial" w:eastAsia="Arial" w:hAnsi="Arial"/>
          <w:sz w:val="18"/>
          <w:szCs w:val="18"/>
          <w:color w:val="auto"/>
        </w:rPr>
        <w:t xml:space="preserve"> This Agreement may be executed in one or more counterparts, each of which will for all purposes be deemed to be an original but all of which together constitutes one and the same Agreement. Only one such counterpart signed by the party against whom enforceability is sought needs to be produced to evidence the existence of this Agreement.</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Section 26.</w:t>
      </w:r>
    </w:p>
    <w:p>
      <w:pPr>
        <w:spacing w:after="0" w:line="225" w:lineRule="exact"/>
        <w:rPr>
          <w:sz w:val="20"/>
          <w:szCs w:val="20"/>
          <w:color w:val="auto"/>
        </w:rPr>
      </w:pPr>
    </w:p>
    <w:p>
      <w:pPr>
        <w:ind w:right="580" w:firstLine="771"/>
        <w:spacing w:after="0" w:line="277" w:lineRule="auto"/>
        <w:rPr>
          <w:sz w:val="20"/>
          <w:szCs w:val="20"/>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headings of this Agreement are inserted for convenience only and do not constitute part of this Agreement or affect the construction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6" w:name="page247"/>
    <w:bookmarkEnd w:id="2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have caused this Agreement to be signed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GOHEALTH, INC.</w:t>
            </w:r>
          </w:p>
        </w:tc>
        <w:tc>
          <w:tcPr>
            <w:tcW w:w="7160" w:type="dxa"/>
            <w:vAlign w:val="bottom"/>
            <w:gridSpan w:val="2"/>
          </w:tcPr>
          <w:p>
            <w:pPr>
              <w:ind w:left="4160"/>
              <w:spacing w:after="0"/>
              <w:rPr>
                <w:sz w:val="20"/>
                <w:szCs w:val="20"/>
                <w:color w:val="auto"/>
              </w:rPr>
            </w:pPr>
            <w:r>
              <w:rPr>
                <w:rFonts w:ascii="Arial" w:cs="Arial" w:eastAsia="Arial" w:hAnsi="Arial"/>
                <w:sz w:val="18"/>
                <w:szCs w:val="18"/>
                <w:color w:val="auto"/>
              </w:rPr>
              <w:t>INDEMNITEE</w:t>
            </w:r>
          </w:p>
        </w:tc>
      </w:tr>
      <w:tr>
        <w:trPr>
          <w:trHeight w:val="392"/>
        </w:trPr>
        <w:tc>
          <w:tcPr>
            <w:tcW w:w="260" w:type="dxa"/>
            <w:vAlign w:val="bottom"/>
          </w:tcPr>
          <w:p>
            <w:pPr>
              <w:spacing w:after="0"/>
              <w:rPr>
                <w:sz w:val="20"/>
                <w:szCs w:val="20"/>
                <w:color w:val="auto"/>
              </w:rPr>
            </w:pPr>
            <w:r>
              <w:rPr>
                <w:rFonts w:ascii="Arial" w:cs="Arial" w:eastAsia="Arial" w:hAnsi="Arial"/>
                <w:sz w:val="18"/>
                <w:szCs w:val="18"/>
                <w:color w:val="auto"/>
                <w:w w:val="92"/>
              </w:rPr>
              <w:t>By:</w:t>
            </w:r>
          </w:p>
        </w:tc>
        <w:tc>
          <w:tcPr>
            <w:tcW w:w="2740" w:type="dxa"/>
            <w:vAlign w:val="bottom"/>
          </w:tcPr>
          <w:p>
            <w:pPr>
              <w:spacing w:after="0"/>
              <w:rPr>
                <w:sz w:val="24"/>
                <w:szCs w:val="24"/>
                <w:color w:val="auto"/>
              </w:rPr>
            </w:pPr>
          </w:p>
        </w:tc>
        <w:tc>
          <w:tcPr>
            <w:tcW w:w="7160" w:type="dxa"/>
            <w:vAlign w:val="bottom"/>
            <w:gridSpan w:val="2"/>
          </w:tcPr>
          <w:p>
            <w:pPr>
              <w:ind w:left="4160"/>
              <w:spacing w:after="0"/>
              <w:rPr>
                <w:sz w:val="20"/>
                <w:szCs w:val="20"/>
                <w:color w:val="auto"/>
              </w:rPr>
            </w:pPr>
            <w:r>
              <w:rPr>
                <w:rFonts w:ascii="Arial" w:cs="Arial" w:eastAsia="Arial" w:hAnsi="Arial"/>
                <w:sz w:val="18"/>
                <w:szCs w:val="18"/>
                <w:color w:val="auto"/>
              </w:rPr>
              <w:t>By:</w:t>
            </w:r>
          </w:p>
        </w:tc>
      </w:tr>
      <w:tr>
        <w:trPr>
          <w:trHeight w:val="20"/>
        </w:trPr>
        <w:tc>
          <w:tcPr>
            <w:tcW w:w="2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Name:</w:t>
            </w:r>
          </w:p>
        </w:tc>
        <w:tc>
          <w:tcPr>
            <w:tcW w:w="7160" w:type="dxa"/>
            <w:vAlign w:val="bottom"/>
            <w:gridSpan w:val="2"/>
          </w:tcPr>
          <w:p>
            <w:pPr>
              <w:ind w:left="4160"/>
              <w:spacing w:after="0"/>
              <w:rPr>
                <w:sz w:val="20"/>
                <w:szCs w:val="20"/>
                <w:color w:val="auto"/>
              </w:rPr>
            </w:pPr>
            <w:r>
              <w:rPr>
                <w:rFonts w:ascii="Arial" w:cs="Arial" w:eastAsia="Arial" w:hAnsi="Arial"/>
                <w:sz w:val="18"/>
                <w:szCs w:val="18"/>
                <w:color w:val="auto"/>
              </w:rPr>
              <w:t>Name:</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Office:</w:t>
            </w:r>
          </w:p>
        </w:tc>
        <w:tc>
          <w:tcPr>
            <w:tcW w:w="7160" w:type="dxa"/>
            <w:vAlign w:val="bottom"/>
            <w:gridSpan w:val="2"/>
          </w:tcPr>
          <w:p>
            <w:pPr>
              <w:ind w:left="4160"/>
              <w:spacing w:after="0"/>
              <w:rPr>
                <w:sz w:val="20"/>
                <w:szCs w:val="20"/>
                <w:color w:val="auto"/>
              </w:rPr>
            </w:pPr>
            <w:r>
              <w:rPr>
                <w:rFonts w:ascii="Arial" w:cs="Arial" w:eastAsia="Arial" w:hAnsi="Arial"/>
                <w:sz w:val="18"/>
                <w:szCs w:val="18"/>
                <w:color w:val="auto"/>
              </w:rPr>
              <w:t>Address:</w:t>
            </w:r>
          </w:p>
        </w:tc>
      </w:tr>
    </w:tbl>
    <w:p>
      <w:pPr>
        <w:sectPr>
          <w:pgSz w:w="11900" w:h="16838" w:orient="portrait"/>
          <w:cols w:equalWidth="0" w:num="1">
            <w:col w:w="10160"/>
          </w:cols>
          <w:pgMar w:left="440" w:top="274" w:right="129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BLIZZARD PARENT, LLC</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PROFITS UNIT PLAN</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u w:val="single" w:color="auto"/>
          <w:color w:val="auto"/>
        </w:rPr>
        <w:t>Purpose</w:t>
      </w:r>
    </w:p>
    <w:p>
      <w:pPr>
        <w:spacing w:after="0" w:line="211" w:lineRule="exact"/>
        <w:rPr>
          <w:sz w:val="20"/>
          <w:szCs w:val="20"/>
          <w:color w:val="auto"/>
        </w:rPr>
      </w:pPr>
    </w:p>
    <w:p>
      <w:pPr>
        <w:ind w:right="340" w:firstLine="423"/>
        <w:spacing w:after="0" w:line="277" w:lineRule="auto"/>
        <w:rPr>
          <w:sz w:val="20"/>
          <w:szCs w:val="20"/>
          <w:color w:val="auto"/>
        </w:rPr>
      </w:pPr>
      <w:r>
        <w:rPr>
          <w:rFonts w:ascii="Arial" w:cs="Arial" w:eastAsia="Arial" w:hAnsi="Arial"/>
          <w:sz w:val="18"/>
          <w:szCs w:val="18"/>
          <w:color w:val="auto"/>
        </w:rPr>
        <w:t>Blizzard Parent, LLC has established this Plan to foster and promote its long-term financial success. Capitalized terms have the meaning given in Article VIII.</w:t>
      </w:r>
    </w:p>
    <w:p>
      <w:pPr>
        <w:spacing w:after="0" w:line="17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8"/>
          <w:szCs w:val="18"/>
          <w:u w:val="single" w:color="auto"/>
          <w:color w:val="auto"/>
        </w:rPr>
        <w:t>Powers of the Administrator</w:t>
      </w:r>
    </w:p>
    <w:p>
      <w:pPr>
        <w:spacing w:after="0" w:line="211" w:lineRule="exact"/>
        <w:rPr>
          <w:sz w:val="20"/>
          <w:szCs w:val="20"/>
          <w:color w:val="auto"/>
        </w:rPr>
      </w:pPr>
    </w:p>
    <w:p>
      <w:pPr>
        <w:ind w:right="20" w:firstLine="423"/>
        <w:spacing w:after="0" w:line="287"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Power to Grant Awards</w:t>
      </w:r>
      <w:r>
        <w:rPr>
          <w:rFonts w:ascii="Arial" w:cs="Arial" w:eastAsia="Arial" w:hAnsi="Arial"/>
          <w:sz w:val="16"/>
          <w:szCs w:val="16"/>
          <w:color w:val="auto"/>
        </w:rPr>
        <w:t xml:space="preserve">. The Administrator may select Eligible Persons to participate in the Plan. The Administrator shall determine the terms of each Award, consistent with the Plan. Notwithstanding anything to the contrary herein, after the Closing Date, the Administrator shall consult with, and consider in good faith, the opinions expressed by each of the President and the CEO of the Company with respect to the (i) Participants to whom Awards will be granted under the Plan and (ii) the number of Profits Units or Common Units, as applicable, subject to each Award (the “Consultation Requirement”). Subject to Article IV, a maximum of 97,918,115.8 Profits Units will be available for issuance under the Plan (which figure shall be adjusted pursuant to Section 1.2(b) of the Rollover Agreements upon completion of the purchase price adjustment process contemplated by Section 3.5(a) through (e) of the Merger Agreement). Upon the grant of any Award, this maximum number shall be reduced by the maximum number of Profits Units that are issued or may be issued pursuant to such Award; </w:t>
      </w:r>
      <w:r>
        <w:rPr>
          <w:rFonts w:ascii="Arial" w:cs="Arial" w:eastAsia="Arial" w:hAnsi="Arial"/>
          <w:sz w:val="16"/>
          <w:szCs w:val="16"/>
          <w:u w:val="single" w:color="auto"/>
          <w:color w:val="auto"/>
        </w:rPr>
        <w:t>provided</w:t>
      </w:r>
      <w:r>
        <w:rPr>
          <w:rFonts w:ascii="Arial" w:cs="Arial" w:eastAsia="Arial" w:hAnsi="Arial"/>
          <w:sz w:val="16"/>
          <w:szCs w:val="16"/>
          <w:color w:val="auto"/>
        </w:rPr>
        <w:t>, that grants of Awards to non-employee directors of the Company and to advisors to the CBP Member and its Affiliates shall not reduce the number of Awards available for grant under this Section 2.1. If any Award or portion thereof that has reduced the number of Profits Units available for grant under the Plan is for any reason forfeited, canceled, expired or otherwise terminated, the Profits Units subject to such forfeited, canceled, expired or otherwise terminated Award, or portion thereof, shall again be available for grant under the Plan.</w:t>
      </w:r>
    </w:p>
    <w:p>
      <w:pPr>
        <w:sectPr>
          <w:pgSz w:w="11900" w:h="16838" w:orient="portrait"/>
          <w:cols w:equalWidth="0" w:num="1">
            <w:col w:w="10580"/>
          </w:cols>
          <w:pgMar w:left="880" w:top="121" w:right="439" w:bottom="1440" w:gutter="0" w:footer="0" w:header="0"/>
        </w:sectPr>
      </w:pPr>
    </w:p>
    <w:bookmarkStart w:id="248" w:name="page249"/>
    <w:bookmarkEnd w:id="248"/>
    <w:p>
      <w:pPr>
        <w:ind w:firstLine="42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2.2 </w:t>
      </w:r>
      <w:r>
        <w:rPr>
          <w:rFonts w:ascii="Arial" w:cs="Arial" w:eastAsia="Arial" w:hAnsi="Arial"/>
          <w:sz w:val="16"/>
          <w:szCs w:val="16"/>
          <w:u w:val="single" w:color="auto"/>
          <w:color w:val="auto"/>
        </w:rPr>
        <w:t>Administration</w:t>
      </w:r>
      <w:r>
        <w:rPr>
          <w:rFonts w:ascii="Arial" w:cs="Arial" w:eastAsia="Arial" w:hAnsi="Arial"/>
          <w:sz w:val="16"/>
          <w:szCs w:val="16"/>
          <w:color w:val="auto"/>
        </w:rPr>
        <w:t>. Subject to the Consultation Requirement, the Administrator shall, subject to the provisions of this Plan, the Award Agreements and the Company Operating Agreement, have the power and authority to prescribe, amend and rescind rules and procedures governing the administration of the Plan, including, but not limited to the full power and authority to (</w:t>
      </w:r>
      <w:r>
        <w:rPr>
          <w:rFonts w:ascii="Arial" w:cs="Arial" w:eastAsia="Arial" w:hAnsi="Arial"/>
          <w:sz w:val="16"/>
          <w:szCs w:val="16"/>
          <w:u w:val="single" w:color="auto"/>
          <w:color w:val="auto"/>
        </w:rPr>
        <w:t>a</w:t>
      </w:r>
      <w:r>
        <w:rPr>
          <w:rFonts w:ascii="Arial" w:cs="Arial" w:eastAsia="Arial" w:hAnsi="Arial"/>
          <w:sz w:val="16"/>
          <w:szCs w:val="16"/>
          <w:color w:val="auto"/>
        </w:rPr>
        <w:t>) interpret the terms of the Plan, the terms of any Awards made under the Plan, and any rules and procedures established by the Administrator governing any Awards, (</w:t>
      </w:r>
      <w:r>
        <w:rPr>
          <w:rFonts w:ascii="Arial" w:cs="Arial" w:eastAsia="Arial" w:hAnsi="Arial"/>
          <w:sz w:val="16"/>
          <w:szCs w:val="16"/>
          <w:u w:val="single" w:color="auto"/>
          <w:color w:val="auto"/>
        </w:rPr>
        <w:t>b</w:t>
      </w:r>
      <w:r>
        <w:rPr>
          <w:rFonts w:ascii="Arial" w:cs="Arial" w:eastAsia="Arial" w:hAnsi="Arial"/>
          <w:sz w:val="16"/>
          <w:szCs w:val="16"/>
          <w:color w:val="auto"/>
        </w:rPr>
        <w:t>) determine the rights of any Person under the Plan, or the meaning of requirements imposed by the terms of the Plan or an Award, or any rule or procedure established by the Administrator, (</w:t>
      </w:r>
      <w:r>
        <w:rPr>
          <w:rFonts w:ascii="Arial" w:cs="Arial" w:eastAsia="Arial" w:hAnsi="Arial"/>
          <w:sz w:val="16"/>
          <w:szCs w:val="16"/>
          <w:u w:val="single" w:color="auto"/>
          <w:color w:val="auto"/>
        </w:rPr>
        <w:t>c</w:t>
      </w:r>
      <w:r>
        <w:rPr>
          <w:rFonts w:ascii="Arial" w:cs="Arial" w:eastAsia="Arial" w:hAnsi="Arial"/>
          <w:sz w:val="16"/>
          <w:szCs w:val="16"/>
          <w:color w:val="auto"/>
        </w:rPr>
        <w:t>) select the Participants to whom Awards will be granted under the Plan, (</w:t>
      </w:r>
      <w:r>
        <w:rPr>
          <w:rFonts w:ascii="Arial" w:cs="Arial" w:eastAsia="Arial" w:hAnsi="Arial"/>
          <w:sz w:val="16"/>
          <w:szCs w:val="16"/>
          <w:u w:val="single" w:color="auto"/>
          <w:color w:val="auto"/>
        </w:rPr>
        <w:t>d</w:t>
      </w:r>
      <w:r>
        <w:rPr>
          <w:rFonts w:ascii="Arial" w:cs="Arial" w:eastAsia="Arial" w:hAnsi="Arial"/>
          <w:sz w:val="16"/>
          <w:szCs w:val="16"/>
          <w:color w:val="auto"/>
        </w:rPr>
        <w:t>) establish any vesting or other terms and conditions applicable to an Award, (</w:t>
      </w:r>
      <w:r>
        <w:rPr>
          <w:rFonts w:ascii="Arial" w:cs="Arial" w:eastAsia="Arial" w:hAnsi="Arial"/>
          <w:sz w:val="16"/>
          <w:szCs w:val="16"/>
          <w:u w:val="single" w:color="auto"/>
          <w:color w:val="auto"/>
        </w:rPr>
        <w:t>e</w:t>
      </w:r>
      <w:r>
        <w:rPr>
          <w:rFonts w:ascii="Arial" w:cs="Arial" w:eastAsia="Arial" w:hAnsi="Arial"/>
          <w:sz w:val="16"/>
          <w:szCs w:val="16"/>
          <w:color w:val="auto"/>
        </w:rPr>
        <w:t>) impose such limitations, restrictions and conditions upon, or in connection with, such Awards as it shall deem appropriate,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adopt, amend, and rescind administrative guidelines and other rules and regulations relating to the Plan, ( </w:t>
      </w:r>
      <w:r>
        <w:rPr>
          <w:rFonts w:ascii="Arial" w:cs="Arial" w:eastAsia="Arial" w:hAnsi="Arial"/>
          <w:sz w:val="16"/>
          <w:szCs w:val="16"/>
          <w:u w:val="single" w:color="auto"/>
          <w:color w:val="auto"/>
        </w:rPr>
        <w:t>g</w:t>
      </w:r>
      <w:r>
        <w:rPr>
          <w:rFonts w:ascii="Arial" w:cs="Arial" w:eastAsia="Arial" w:hAnsi="Arial"/>
          <w:sz w:val="16"/>
          <w:szCs w:val="16"/>
          <w:color w:val="auto"/>
        </w:rPr>
        <w:t>) correct any defect or omission or reconcile any inconsistency in the Plan, in any Award Agreement or between the Plan, any Award Agreement and/or the Company Operating Agreement, (h) provide for conditions and assurances it deems necessary or advisable to protect the interest of the Company and (</w:t>
      </w:r>
      <w:r>
        <w:rPr>
          <w:rFonts w:ascii="Arial" w:cs="Arial" w:eastAsia="Arial" w:hAnsi="Arial"/>
          <w:sz w:val="16"/>
          <w:szCs w:val="16"/>
          <w:u w:val="single" w:color="auto"/>
          <w:color w:val="auto"/>
        </w:rPr>
        <w:t>i</w:t>
      </w:r>
      <w:r>
        <w:rPr>
          <w:rFonts w:ascii="Arial" w:cs="Arial" w:eastAsia="Arial" w:hAnsi="Arial"/>
          <w:sz w:val="16"/>
          <w:szCs w:val="16"/>
          <w:color w:val="auto"/>
        </w:rPr>
        <w:t>) make all other determinations and take all other actions necessary or advisable for the implementation and administration of the Plan and Awards, subject to the Company Operating Agreement and such limitations as may be imposed by the Code or other applicable law. Each action of the Administrator including each interpretation or other determination of the Administrator with respect to the Plan or any Awards made under the Plan shall be final, binding and conclusive on all Persons.</w:t>
      </w:r>
    </w:p>
    <w:p>
      <w:pPr>
        <w:spacing w:after="0" w:line="63" w:lineRule="exact"/>
        <w:rPr>
          <w:sz w:val="20"/>
          <w:szCs w:val="20"/>
          <w:color w:val="auto"/>
        </w:rPr>
      </w:pPr>
    </w:p>
    <w:p>
      <w:pPr>
        <w:ind w:right="120" w:firstLine="423"/>
        <w:spacing w:after="0" w:line="279"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Delegation by the Administrator</w:t>
      </w:r>
      <w:r>
        <w:rPr>
          <w:rFonts w:ascii="Arial" w:cs="Arial" w:eastAsia="Arial" w:hAnsi="Arial"/>
          <w:sz w:val="17"/>
          <w:szCs w:val="17"/>
          <w:color w:val="auto"/>
        </w:rPr>
        <w:t>. Any of the powers, duties and responsibilities of the Administrator specified in this Plan may be delegated to be performed by any duly constituted subcommittee thereof or by members of senior management of the Company or its Subsidiaries, and any determination, interpretation or other action taken by such subcommittee or by members of management consistent with such delegation shall have the same effect hereunder as if made or taken by the Administrator.</w:t>
      </w:r>
    </w:p>
    <w:p>
      <w:pPr>
        <w:spacing w:after="0" w:line="1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0"/>
          </w:cols>
          <w:pgMar w:left="880" w:top="274" w:right="499" w:bottom="1440" w:gutter="0" w:footer="0" w:header="0"/>
        </w:sectPr>
      </w:pPr>
    </w:p>
    <w:bookmarkStart w:id="249" w:name="page250"/>
    <w:bookmarkEnd w:id="249"/>
    <w:p>
      <w:pPr>
        <w:jc w:val="center"/>
        <w:ind w:righ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III</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8"/>
          <w:szCs w:val="18"/>
          <w:u w:val="single" w:color="auto"/>
          <w:color w:val="auto"/>
        </w:rPr>
        <w:t>Grants of Profits Units</w:t>
      </w:r>
    </w:p>
    <w:p>
      <w:pPr>
        <w:spacing w:after="0" w:line="211" w:lineRule="exact"/>
        <w:rPr>
          <w:sz w:val="20"/>
          <w:szCs w:val="20"/>
          <w:color w:val="auto"/>
        </w:rPr>
      </w:pPr>
    </w:p>
    <w:p>
      <w:pPr>
        <w:ind w:firstLine="423"/>
        <w:spacing w:after="0" w:line="26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Grant of Profits Units</w:t>
      </w:r>
      <w:r>
        <w:rPr>
          <w:rFonts w:ascii="Arial" w:cs="Arial" w:eastAsia="Arial" w:hAnsi="Arial"/>
          <w:sz w:val="17"/>
          <w:szCs w:val="17"/>
          <w:color w:val="auto"/>
        </w:rPr>
        <w:t>. The Administrator may grant Profits Units of the Company to Eligible Persons or to Management LLC (corresponding to Eligible Persons who hold Profits Units of Management LLC as provided herein) at such time or times as it shall determine. Each Profits Unit granted to a Participant or to Management LLC (corresponding to a Participant who holds Profits Units in Management LLC) shall be evidenced by an Award Agreement that shall specify the number of Profits Units granted and such other terms as the Administrator shall determine (including, but not limited to, terms relating to the effect of Competitive Activity by a Participant). All grants of Profits Units shall be made in accordance with, and the terms of the Profits Units shall be subject to, the Company Operating Agreement and, if applicable, the Management LLC Agreement, in each case as in effect from time to time, and the Award Agreement evidencing such Profits Units. As a condition to any such grant, the Participant shall enter into such joinders to the Company Operating Agreement and/or the Management LLC Agreement as the Administrator shall require. Unless otherwise permitted by the Administrator, as a condition to the grant of Profits Units, a Participant shall make an election under section 83(b) of the Code with respect to such Profits Units. If determined in good faith by the Administrator to be necessary or appropriate, any acquisition of Profits Units of the Company by any Participant may be effected by the acquisition of an equal number of Profits Units of Management LLC, and in such case both the Participant and Management LLC shall enter into an Award Agreement with Company.</w:t>
      </w:r>
    </w:p>
    <w:p>
      <w:pPr>
        <w:spacing w:after="0" w:line="78" w:lineRule="exact"/>
        <w:rPr>
          <w:sz w:val="20"/>
          <w:szCs w:val="20"/>
          <w:color w:val="auto"/>
        </w:rPr>
      </w:pPr>
    </w:p>
    <w:p>
      <w:pPr>
        <w:jc w:val="both"/>
        <w:ind w:right="20" w:firstLine="423"/>
        <w:spacing w:after="0" w:line="263"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Status as Company Profits Interests</w:t>
      </w:r>
      <w:r>
        <w:rPr>
          <w:rFonts w:ascii="Arial" w:cs="Arial" w:eastAsia="Arial" w:hAnsi="Arial"/>
          <w:sz w:val="18"/>
          <w:szCs w:val="18"/>
          <w:color w:val="auto"/>
        </w:rPr>
        <w:t>. Unless otherwise determined by the Administrator on or before the Grant Date, each Profits Unit is intended to be a partnership profits interest for U.S. federal income tax purposes, and, if and to the extent necessary to effect such status, a Hurdle Amount shall be assigned to the Profits Unit in addition to the Benchmark Amount.</w:t>
      </w:r>
    </w:p>
    <w:p>
      <w:pPr>
        <w:spacing w:after="0" w:line="76" w:lineRule="exact"/>
        <w:rPr>
          <w:sz w:val="20"/>
          <w:szCs w:val="20"/>
          <w:color w:val="auto"/>
        </w:rPr>
      </w:pPr>
    </w:p>
    <w:p>
      <w:pPr>
        <w:ind w:right="80" w:firstLine="423"/>
        <w:spacing w:after="0" w:line="257"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Vesting of Profits Units; Transfer</w:t>
      </w:r>
      <w:r>
        <w:rPr>
          <w:rFonts w:ascii="Arial" w:cs="Arial" w:eastAsia="Arial" w:hAnsi="Arial"/>
          <w:sz w:val="18"/>
          <w:szCs w:val="18"/>
          <w:color w:val="auto"/>
        </w:rPr>
        <w:t>. Profits Units shall become vested in accordance with such vesting schedule and/or upon the attainment of such performance criteria as shall be specified by the Administrator on or before the Grant Date and set forth in the Award Agreement. The Administrator may accelerate the vesting of any Profits Unit, all Profits Units or any class of Profits Units at any time and from time to time. Profits Units (whether or not vested) may not be sold, transferred, pledged, assigned or otherwise alienated or hypothecated, in each case directly or indirectly, other than as permitted by the Administrator.</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4" w:right="479" w:bottom="1440" w:gutter="0" w:footer="0" w:header="0"/>
        </w:sectPr>
      </w:pPr>
    </w:p>
    <w:bookmarkStart w:id="250" w:name="page251"/>
    <w:bookmarkEnd w:id="250"/>
    <w:p>
      <w:pPr>
        <w:ind w:right="20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3.4 </w:t>
      </w:r>
      <w:r>
        <w:rPr>
          <w:rFonts w:ascii="Arial" w:cs="Arial" w:eastAsia="Arial" w:hAnsi="Arial"/>
          <w:sz w:val="18"/>
          <w:szCs w:val="18"/>
          <w:u w:val="single" w:color="auto"/>
          <w:color w:val="auto"/>
        </w:rPr>
        <w:t>Effect of Termination of Employment</w:t>
      </w:r>
      <w:r>
        <w:rPr>
          <w:rFonts w:ascii="Arial" w:cs="Arial" w:eastAsia="Arial" w:hAnsi="Arial"/>
          <w:sz w:val="18"/>
          <w:szCs w:val="18"/>
          <w:color w:val="auto"/>
        </w:rPr>
        <w:t>. The effect of a termination of employment of a Participant to whom Profits Units have been granted by the Company and its Subsidiaries shall be as specified by the Administrator on or before the Grant Date and set forth in the Award Agreement.</w:t>
      </w:r>
    </w:p>
    <w:p>
      <w:pPr>
        <w:spacing w:after="0" w:line="76" w:lineRule="exact"/>
        <w:rPr>
          <w:sz w:val="20"/>
          <w:szCs w:val="20"/>
          <w:color w:val="auto"/>
        </w:rPr>
      </w:pPr>
    </w:p>
    <w:p>
      <w:pPr>
        <w:ind w:firstLine="423"/>
        <w:spacing w:after="0" w:line="26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Related Purchases of Common Units</w:t>
      </w:r>
      <w:r>
        <w:rPr>
          <w:rFonts w:ascii="Arial" w:cs="Arial" w:eastAsia="Arial" w:hAnsi="Arial"/>
          <w:sz w:val="17"/>
          <w:szCs w:val="17"/>
          <w:color w:val="auto"/>
        </w:rPr>
        <w:t>. Whether in connection with the grant of Profits Interests or otherwise, the Administrator may permit a Participant to purchase such number of Common Units as the Administrator shall determine. The terms and conditions of any such purchase, including but not limited to the purchase price to be paid therefor and any applicable vesting, forfeiture and repurchase provisions, shall be as set forth in the Award Agreement applicable thereto. Common Units issued under the Plan shall be subject to the terms and conditions of the Company Operating Agreement and, if applicable, the Management LLC Agreement, in each case as in effect from time to time, and the applicable Award Agreement. As a condition to any such purchase, the Participant shall enter into such joinders to the Company Operating Agreement and/or the Management LLC Agreement as the Administrator shall require. If determined in good faith by the Administrator to be necessary or appropriate, any purchase of Common Units of the Company by any Participant may be effected by the acquisition of an equal number of Common Units of Management LLC. The sale and issuance of Common Units pursuant to this Section 3.5 shall not reduce the number of Profits Units available for grant under Section 2.1.</w:t>
      </w:r>
    </w:p>
    <w:p>
      <w:pPr>
        <w:spacing w:after="0" w:line="18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u w:val="single" w:color="auto"/>
          <w:color w:val="auto"/>
        </w:rPr>
        <w:t>Adjustment upon Change in Capitalization</w:t>
      </w:r>
    </w:p>
    <w:p>
      <w:pPr>
        <w:spacing w:after="0" w:line="211" w:lineRule="exact"/>
        <w:rPr>
          <w:sz w:val="20"/>
          <w:szCs w:val="20"/>
          <w:color w:val="auto"/>
        </w:rPr>
      </w:pPr>
    </w:p>
    <w:p>
      <w:pPr>
        <w:ind w:right="20" w:firstLine="423"/>
        <w:spacing w:after="0" w:line="270"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Company Operating Agreement, if and to the extent necessary or appropriate to reflect any extraordinary dividend, split or combination or any recapitalization, merger, consolidation, exchange of equity interests, spin-off, liquidation or dissolution of the Company or other similar transaction affecting the equity interests of the Company, including an IPO and any reorganization transactions that occur in connection with an IPO, the Administrator shall have discretion to adjust the number of Profits Units available for issuance under the Plan and the number and terms of outstanding Profits Units, and/or make such substitution, revision or other provisions or take such other actions with respect to any outstanding Award of Profits Units or the holder or holders thereof, in each case as it reasonably determines to be equitable in order to prevent inappropriate dilution or enlargement of the benefits or potential benefits intended to be made available under the Plan. Without limiting the generality of the foregoing sentence, in the event of any such transaction, the Administrator shall have the power to make such changes in the number and type of equity</w:t>
      </w:r>
    </w:p>
    <w:p>
      <w:pPr>
        <w:spacing w:after="0" w:line="11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20"/>
          </w:cols>
          <w:pgMar w:left="880" w:top="274" w:right="499" w:bottom="1440" w:gutter="0" w:footer="0" w:header="0"/>
        </w:sectPr>
      </w:pPr>
    </w:p>
    <w:bookmarkStart w:id="251" w:name="page252"/>
    <w:bookmarkEnd w:id="251"/>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interests covered by outstanding Awards, the Hurdle Amount applicable thereto, the vesting terms applicable thereto, and the securities, cash or other property to be received in respect to such Awards. After any adjustment made pursuant to this Article IV, the number of Profits Units or other equity interests subject to each outstanding Award shall be rounded down to the nearest whole number. Notwithstanding anything to the contrary in this Plan, no adjustment shall be made or required to be made in connection with the issuance of any Earnout Consideration (including the issuance of Common Units or Senior Preferred Earnout Units), the issuance of any Senior Preferred Earnout Dividends, or the issuance of any Units in connection with a Special Funding Event (each as defined within the Company Operating Agreement). The adjustments made pursuant to this Article IV shall be made in the sole discretion of the Administrator.</w:t>
      </w:r>
    </w:p>
    <w:p>
      <w:pPr>
        <w:spacing w:after="0" w:line="69" w:lineRule="exact"/>
        <w:rPr>
          <w:sz w:val="20"/>
          <w:szCs w:val="20"/>
          <w:color w:val="auto"/>
        </w:rPr>
      </w:pPr>
    </w:p>
    <w:p>
      <w:pPr>
        <w:ind w:firstLine="423"/>
        <w:spacing w:after="0" w:line="301"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IPO Restructuring</w:t>
      </w:r>
      <w:r>
        <w:rPr>
          <w:rFonts w:ascii="Arial" w:cs="Arial" w:eastAsia="Arial" w:hAnsi="Arial"/>
          <w:sz w:val="16"/>
          <w:szCs w:val="16"/>
          <w:color w:val="auto"/>
        </w:rPr>
        <w:t>. The Administrator may make such modifications to the Plan and to outstanding Awards as it determines in its sole discretion to be necessary or appropriate in connection with an IPO Restructuring or otherwise to the extent that the Awards will relate to stock of the public company following an IPO, in each case as it reasonably determines to be equitable in order to prevent inappropriate dilution or enlargement of the benefits or potential benefits intended to be made available under the Plan (excluding tax treatment and option value).</w:t>
      </w:r>
    </w:p>
    <w:p>
      <w:pPr>
        <w:spacing w:after="0" w:line="15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u w:val="single" w:color="auto"/>
          <w:color w:val="auto"/>
        </w:rPr>
        <w:t>Right of Repurchase of Units</w:t>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Repurchase Rights of the Company and the CBP Member</w:t>
      </w:r>
      <w:r>
        <w:rPr>
          <w:rFonts w:ascii="Arial" w:cs="Arial" w:eastAsia="Arial" w:hAnsi="Arial"/>
          <w:sz w:val="18"/>
          <w:szCs w:val="18"/>
          <w:color w:val="auto"/>
        </w:rPr>
        <w:t>. If</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w:t>
      </w:r>
      <w:r>
        <w:rPr>
          <w:rFonts w:ascii="Arial" w:cs="Arial" w:eastAsia="Arial" w:hAnsi="Arial"/>
          <w:sz w:val="17"/>
          <w:szCs w:val="17"/>
          <w:color w:val="auto"/>
        </w:rPr>
        <w:t>) a Participant’s employment with the Company terminates for any reason or (</w:t>
      </w:r>
      <w:r>
        <w:rPr>
          <w:rFonts w:ascii="Arial" w:cs="Arial" w:eastAsia="Arial" w:hAnsi="Arial"/>
          <w:sz w:val="17"/>
          <w:szCs w:val="17"/>
          <w:u w:val="single" w:color="auto"/>
          <w:color w:val="auto"/>
        </w:rPr>
        <w:t>ii</w:t>
      </w:r>
      <w:r>
        <w:rPr>
          <w:rFonts w:ascii="Arial" w:cs="Arial" w:eastAsia="Arial" w:hAnsi="Arial"/>
          <w:sz w:val="17"/>
          <w:szCs w:val="17"/>
          <w:color w:val="auto"/>
        </w:rPr>
        <w:t>) the Administrator determines that a Participant is engaging or has engaged in Competitive Activity during employment or during the period during which such Competitive Activity is prohibited under any applicable agreement, the Company and/or the CBP Member may elect to purchase all or a portion of the Common Units and vested Profits Units of the Company held (x) by such Participant directly, and/or (y) by Management LLC that correspond to the Common Units and vested Profits Units of Management LLC held by the Participant, in each case, by written notice by the CBP Member to Management LLC and/or the Participant (as applicable) delivered on or before the later of (</w:t>
      </w:r>
      <w:r>
        <w:rPr>
          <w:rFonts w:ascii="Arial" w:cs="Arial" w:eastAsia="Arial" w:hAnsi="Arial"/>
          <w:sz w:val="17"/>
          <w:szCs w:val="17"/>
          <w:u w:val="single" w:color="auto"/>
          <w:color w:val="auto"/>
        </w:rPr>
        <w:t>A</w:t>
      </w:r>
      <w:r>
        <w:rPr>
          <w:rFonts w:ascii="Arial" w:cs="Arial" w:eastAsia="Arial" w:hAnsi="Arial"/>
          <w:sz w:val="17"/>
          <w:szCs w:val="17"/>
          <w:color w:val="auto"/>
        </w:rPr>
        <w:t>) the ninetieth (90</w:t>
      </w:r>
      <w:r>
        <w:rPr>
          <w:rFonts w:ascii="Arial" w:cs="Arial" w:eastAsia="Arial" w:hAnsi="Arial"/>
          <w:sz w:val="14"/>
          <w:szCs w:val="14"/>
          <w:color w:val="auto"/>
        </w:rPr>
        <w:t>th</w:t>
      </w:r>
      <w:r>
        <w:rPr>
          <w:rFonts w:ascii="Arial" w:cs="Arial" w:eastAsia="Arial" w:hAnsi="Arial"/>
          <w:sz w:val="17"/>
          <w:szCs w:val="17"/>
          <w:color w:val="auto"/>
        </w:rPr>
        <w:t>) day after the Determination Date and (B) the ninetieth (90</w:t>
      </w:r>
      <w:r>
        <w:rPr>
          <w:rFonts w:ascii="Arial" w:cs="Arial" w:eastAsia="Arial" w:hAnsi="Arial"/>
          <w:sz w:val="14"/>
          <w:szCs w:val="14"/>
          <w:color w:val="auto"/>
        </w:rPr>
        <w:t>th</w:t>
      </w:r>
      <w:r>
        <w:rPr>
          <w:rFonts w:ascii="Arial" w:cs="Arial" w:eastAsia="Arial" w:hAnsi="Arial"/>
          <w:sz w:val="17"/>
          <w:szCs w:val="17"/>
          <w:color w:val="auto"/>
        </w:rPr>
        <w:t>) day after the date on which the Participant’s employment terminates. If the Company does not purchase all of the Units during such period as provided herein (subject to delay as provided in Section 5.6, if applicable), the CBP Member may elect, within the thirty (30) day period following the applicable ninety (90) day period, to purchase all or any</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252" w:name="page253"/>
    <w:bookmarkEnd w:id="252"/>
    <w:p>
      <w:pPr>
        <w:ind w:left="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portion of the Common Units and vested Profits Units of the Company that the Company has not purchased. If the Units are held by Management LLC, then to effect such repurchase, Management LLC shall either (</w:t>
      </w:r>
      <w:r>
        <w:rPr>
          <w:rFonts w:ascii="Arial" w:cs="Arial" w:eastAsia="Arial" w:hAnsi="Arial"/>
          <w:sz w:val="16"/>
          <w:szCs w:val="16"/>
          <w:u w:val="single" w:color="auto"/>
          <w:color w:val="auto"/>
        </w:rPr>
        <w:t>x</w:t>
      </w:r>
      <w:r>
        <w:rPr>
          <w:rFonts w:ascii="Arial" w:cs="Arial" w:eastAsia="Arial" w:hAnsi="Arial"/>
          <w:sz w:val="16"/>
          <w:szCs w:val="16"/>
          <w:color w:val="auto"/>
        </w:rPr>
        <w:t>) have the right to elect, and shall elect, to repurchase the same number of Common Units and Profits Units of Management LLC held by the Participant that correspond to the Units repurchased by the Company or the CBP Member, and at the same repurchase price, or (</w:t>
      </w:r>
      <w:r>
        <w:rPr>
          <w:rFonts w:ascii="Arial" w:cs="Arial" w:eastAsia="Arial" w:hAnsi="Arial"/>
          <w:sz w:val="16"/>
          <w:szCs w:val="16"/>
          <w:u w:val="single" w:color="auto"/>
          <w:color w:val="auto"/>
        </w:rPr>
        <w:t>y</w:t>
      </w:r>
      <w:r>
        <w:rPr>
          <w:rFonts w:ascii="Arial" w:cs="Arial" w:eastAsia="Arial" w:hAnsi="Arial"/>
          <w:sz w:val="16"/>
          <w:szCs w:val="16"/>
          <w:color w:val="auto"/>
        </w:rPr>
        <w:t>) redeem the portion of the Participant’s Common Units and Profits Units of Management LLC attributable to the Common Units and Profits Units of the Company that the Company and/or the CBP Member have elected to repurchase under this Article V in exchange for an in-kind distribution of the corresponding Common Units and Profits Units of the Company, in which case the repurchase rights of the Company and the CBP Member under this Article V shall be exercised directly against the Participant.</w:t>
      </w:r>
    </w:p>
    <w:p>
      <w:pPr>
        <w:spacing w:after="0" w:line="58" w:lineRule="exact"/>
        <w:rPr>
          <w:sz w:val="20"/>
          <w:szCs w:val="20"/>
          <w:color w:val="auto"/>
        </w:rPr>
      </w:pPr>
    </w:p>
    <w:p>
      <w:pPr>
        <w:ind w:left="4" w:right="240" w:firstLine="423"/>
        <w:spacing w:after="0" w:line="28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Competitive Activity</w:t>
      </w:r>
      <w:r>
        <w:rPr>
          <w:rFonts w:ascii="Arial" w:cs="Arial" w:eastAsia="Arial" w:hAnsi="Arial"/>
          <w:sz w:val="16"/>
          <w:szCs w:val="16"/>
          <w:color w:val="auto"/>
        </w:rPr>
        <w:t>. Prior to the application of clause (ii) of Section 5.1 to a Participant, the Company shall provide the Participant with written notice of the action that is alleged to constitute Competitive Activity within thirty (30) days of becoming aware of such action (the date notice is provided, the “</w:t>
      </w:r>
      <w:r>
        <w:rPr>
          <w:rFonts w:ascii="Arial" w:cs="Arial" w:eastAsia="Arial" w:hAnsi="Arial"/>
          <w:sz w:val="16"/>
          <w:szCs w:val="16"/>
          <w:u w:val="single" w:color="auto"/>
          <w:color w:val="auto"/>
        </w:rPr>
        <w:t>Competitive Activity Notice Date</w:t>
      </w:r>
      <w:r>
        <w:rPr>
          <w:rFonts w:ascii="Arial" w:cs="Arial" w:eastAsia="Arial" w:hAnsi="Arial"/>
          <w:sz w:val="16"/>
          <w:szCs w:val="16"/>
          <w:color w:val="auto"/>
        </w:rPr>
        <w:t>”) and thirty (30) days to cure such action, if the Administrator determines that such action is reasonably susceptible of being cured. In the event the Participant fails to cure such action within such thirty</w:t>
      </w:r>
    </w:p>
    <w:p>
      <w:pPr>
        <w:spacing w:after="0" w:line="1" w:lineRule="exact"/>
        <w:rPr>
          <w:sz w:val="20"/>
          <w:szCs w:val="20"/>
          <w:color w:val="auto"/>
        </w:rPr>
      </w:pPr>
    </w:p>
    <w:p>
      <w:pPr>
        <w:ind w:left="4" w:hanging="4"/>
        <w:spacing w:after="0" w:line="253" w:lineRule="auto"/>
        <w:tabs>
          <w:tab w:leader="none" w:pos="34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day period, or if Administrator determines that such action is not reasonably susceptible of being cured, then in addition to the rights provided in Section 5.1, the Company may cause any or all of the Participant’s Profits Units, whether vested or unvested, to be forfeited without any payment to the Participant. In the event that whether an alleged action constitutes Competitive Active is not reasonably determinable without additional investigation, the time periods set forth in this Section 5.2 shall be tolled pending the Administrator’s completion of a reasonable investigation of such action.</w:t>
      </w:r>
    </w:p>
    <w:p>
      <w:pPr>
        <w:spacing w:after="0" w:line="83" w:lineRule="exact"/>
        <w:rPr>
          <w:sz w:val="20"/>
          <w:szCs w:val="20"/>
          <w:color w:val="auto"/>
        </w:rPr>
      </w:pPr>
    </w:p>
    <w:p>
      <w:pPr>
        <w:ind w:left="4" w:right="860" w:firstLine="423"/>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Repurchase Price</w:t>
      </w:r>
      <w:r>
        <w:rPr>
          <w:rFonts w:ascii="Arial" w:cs="Arial" w:eastAsia="Arial" w:hAnsi="Arial"/>
          <w:sz w:val="18"/>
          <w:szCs w:val="18"/>
          <w:color w:val="auto"/>
        </w:rPr>
        <w:t>. The purchase price per Unit pursuant to this Article V shall equal the “</w:t>
      </w:r>
      <w:r>
        <w:rPr>
          <w:rFonts w:ascii="Arial" w:cs="Arial" w:eastAsia="Arial" w:hAnsi="Arial"/>
          <w:sz w:val="18"/>
          <w:szCs w:val="18"/>
          <w:u w:val="single" w:color="auto"/>
          <w:color w:val="auto"/>
        </w:rPr>
        <w:t>Repurchase Price</w:t>
      </w:r>
      <w:r>
        <w:rPr>
          <w:rFonts w:ascii="Arial" w:cs="Arial" w:eastAsia="Arial" w:hAnsi="Arial"/>
          <w:sz w:val="18"/>
          <w:szCs w:val="18"/>
          <w:color w:val="auto"/>
        </w:rPr>
        <w:t>” as of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 determined pursuant to clause (a), (b) or (c), as applicable:</w:t>
      </w:r>
    </w:p>
    <w:p>
      <w:pPr>
        <w:spacing w:after="0" w:line="62" w:lineRule="exact"/>
        <w:rPr>
          <w:sz w:val="20"/>
          <w:szCs w:val="20"/>
          <w:color w:val="auto"/>
        </w:rPr>
      </w:pPr>
    </w:p>
    <w:p>
      <w:pPr>
        <w:ind w:left="544" w:right="140" w:firstLine="408"/>
        <w:spacing w:after="0" w:line="257" w:lineRule="auto"/>
        <w:tabs>
          <w:tab w:leader="none" w:pos="118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employment of a Participant terminates for any reason (whether initiated by the Company or the Participant) other than by the Company for Cause, (</w:t>
      </w:r>
      <w:r>
        <w:rPr>
          <w:rFonts w:ascii="Arial" w:cs="Arial" w:eastAsia="Arial" w:hAnsi="Arial"/>
          <w:sz w:val="18"/>
          <w:szCs w:val="18"/>
          <w:u w:val="single" w:color="auto"/>
          <w:color w:val="auto"/>
        </w:rPr>
        <w:t>I</w:t>
      </w:r>
      <w:r>
        <w:rPr>
          <w:rFonts w:ascii="Arial" w:cs="Arial" w:eastAsia="Arial" w:hAnsi="Arial"/>
          <w:sz w:val="18"/>
          <w:szCs w:val="18"/>
          <w:color w:val="auto"/>
        </w:rPr>
        <w:t>) the Determination Date shall mean the later of (</w:t>
      </w:r>
      <w:r>
        <w:rPr>
          <w:rFonts w:ascii="Arial" w:cs="Arial" w:eastAsia="Arial" w:hAnsi="Arial"/>
          <w:sz w:val="18"/>
          <w:szCs w:val="18"/>
          <w:u w:val="single" w:color="auto"/>
          <w:color w:val="auto"/>
        </w:rPr>
        <w:t>x</w:t>
      </w:r>
      <w:r>
        <w:rPr>
          <w:rFonts w:ascii="Arial" w:cs="Arial" w:eastAsia="Arial" w:hAnsi="Arial"/>
          <w:sz w:val="18"/>
          <w:szCs w:val="18"/>
          <w:color w:val="auto"/>
        </w:rPr>
        <w:t>) the effective date of the Participant’s termination of employment and (</w:t>
      </w:r>
      <w:r>
        <w:rPr>
          <w:rFonts w:ascii="Arial" w:cs="Arial" w:eastAsia="Arial" w:hAnsi="Arial"/>
          <w:sz w:val="18"/>
          <w:szCs w:val="18"/>
          <w:u w:val="single" w:color="auto"/>
          <w:color w:val="auto"/>
        </w:rPr>
        <w:t>y</w:t>
      </w:r>
      <w:r>
        <w:rPr>
          <w:rFonts w:ascii="Arial" w:cs="Arial" w:eastAsia="Arial" w:hAnsi="Arial"/>
          <w:sz w:val="18"/>
          <w:szCs w:val="18"/>
          <w:color w:val="auto"/>
        </w:rPr>
        <w:t>) six months and one day from the date of the Participant’s acquisition of the Units, (</w:t>
      </w:r>
      <w:r>
        <w:rPr>
          <w:rFonts w:ascii="Arial" w:cs="Arial" w:eastAsia="Arial" w:hAnsi="Arial"/>
          <w:sz w:val="18"/>
          <w:szCs w:val="18"/>
          <w:u w:val="single" w:color="auto"/>
          <w:color w:val="auto"/>
        </w:rPr>
        <w:t>II</w:t>
      </w:r>
      <w:r>
        <w:rPr>
          <w:rFonts w:ascii="Arial" w:cs="Arial" w:eastAsia="Arial" w:hAnsi="Arial"/>
          <w:sz w:val="18"/>
          <w:szCs w:val="18"/>
          <w:color w:val="auto"/>
        </w:rPr>
        <w:t>) the Repurchase Price per Common Unit shall equal the Common Unit Repurchase Price of such Unit as of the Determination Date and (</w:t>
      </w:r>
      <w:r>
        <w:rPr>
          <w:rFonts w:ascii="Arial" w:cs="Arial" w:eastAsia="Arial" w:hAnsi="Arial"/>
          <w:sz w:val="18"/>
          <w:szCs w:val="18"/>
          <w:u w:val="single" w:color="auto"/>
          <w:color w:val="auto"/>
        </w:rPr>
        <w:t>III</w:t>
      </w:r>
      <w:r>
        <w:rPr>
          <w:rFonts w:ascii="Arial" w:cs="Arial" w:eastAsia="Arial" w:hAnsi="Arial"/>
          <w:sz w:val="18"/>
          <w:szCs w:val="18"/>
          <w:color w:val="auto"/>
        </w:rPr>
        <w:t>) the Repurchase Price per Profits Unit shall equal the Profits Unit</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253" w:name="page254"/>
    <w:bookmarkEnd w:id="253"/>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Repurchase Price of such Unit as of the Determination Date. For purposes of this Section 5.3, the Company may, at its discretion, treat Units that are acquired less than six months and one day prior to the effective date of the Participant’s termination of employment (such Units, the “</w:t>
      </w:r>
      <w:r>
        <w:rPr>
          <w:rFonts w:ascii="Arial" w:cs="Arial" w:eastAsia="Arial" w:hAnsi="Arial"/>
          <w:sz w:val="18"/>
          <w:szCs w:val="18"/>
          <w:u w:val="single" w:color="auto"/>
          <w:color w:val="auto"/>
        </w:rPr>
        <w:t>Immature Units</w:t>
      </w:r>
      <w:r>
        <w:rPr>
          <w:rFonts w:ascii="Arial" w:cs="Arial" w:eastAsia="Arial" w:hAnsi="Arial"/>
          <w:sz w:val="18"/>
          <w:szCs w:val="18"/>
          <w:color w:val="auto"/>
        </w:rPr>
        <w:t>”) as having separate Determination Dates from the Determination Date applicable to Units that are not Immature Units.</w:t>
      </w:r>
    </w:p>
    <w:p>
      <w:pPr>
        <w:spacing w:after="0" w:line="79" w:lineRule="exact"/>
        <w:rPr>
          <w:sz w:val="20"/>
          <w:szCs w:val="20"/>
          <w:color w:val="auto"/>
        </w:rPr>
      </w:pPr>
    </w:p>
    <w:p>
      <w:pPr>
        <w:ind w:right="40" w:firstLine="408"/>
        <w:spacing w:after="0" w:line="293" w:lineRule="auto"/>
        <w:tabs>
          <w:tab w:leader="none" w:pos="656" w:val="left"/>
        </w:tabs>
        <w:numPr>
          <w:ilvl w:val="0"/>
          <w:numId w:val="252"/>
        </w:numPr>
        <w:rPr>
          <w:rFonts w:ascii="Arial" w:cs="Arial" w:eastAsia="Arial" w:hAnsi="Arial"/>
          <w:sz w:val="16"/>
          <w:szCs w:val="16"/>
          <w:color w:val="auto"/>
        </w:rPr>
      </w:pPr>
      <w:r>
        <w:rPr>
          <w:rFonts w:ascii="Arial" w:cs="Arial" w:eastAsia="Arial" w:hAnsi="Arial"/>
          <w:sz w:val="16"/>
          <w:szCs w:val="16"/>
          <w:color w:val="auto"/>
        </w:rPr>
        <w:t>If the employment of a Participant is terminated by the Company for Cause, (</w:t>
      </w:r>
      <w:r>
        <w:rPr>
          <w:rFonts w:ascii="Arial" w:cs="Arial" w:eastAsia="Arial" w:hAnsi="Arial"/>
          <w:sz w:val="16"/>
          <w:szCs w:val="16"/>
          <w:u w:val="single" w:color="auto"/>
          <w:color w:val="auto"/>
        </w:rPr>
        <w:t>I</w:t>
      </w:r>
      <w:r>
        <w:rPr>
          <w:rFonts w:ascii="Arial" w:cs="Arial" w:eastAsia="Arial" w:hAnsi="Arial"/>
          <w:sz w:val="16"/>
          <w:szCs w:val="16"/>
          <w:color w:val="auto"/>
        </w:rPr>
        <w:t>) the Determination Date shall be the effective date of the Participant’s termination of employment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Repurchase Price per Common Unit shall equal the </w:t>
      </w:r>
      <w:r>
        <w:rPr>
          <w:rFonts w:ascii="Arial" w:cs="Arial" w:eastAsia="Arial" w:hAnsi="Arial"/>
          <w:sz w:val="16"/>
          <w:szCs w:val="16"/>
          <w:u w:val="single" w:color="auto"/>
          <w:color w:val="auto"/>
        </w:rPr>
        <w:t>lesser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i</w:t>
      </w:r>
      <w:r>
        <w:rPr>
          <w:rFonts w:ascii="Arial" w:cs="Arial" w:eastAsia="Arial" w:hAnsi="Arial"/>
          <w:sz w:val="16"/>
          <w:szCs w:val="16"/>
          <w:color w:val="auto"/>
        </w:rPr>
        <w:t>) the Common Unit Repurchase Price of such Unit as of the Determination Date and (</w:t>
      </w:r>
      <w:r>
        <w:rPr>
          <w:rFonts w:ascii="Arial" w:cs="Arial" w:eastAsia="Arial" w:hAnsi="Arial"/>
          <w:sz w:val="16"/>
          <w:szCs w:val="16"/>
          <w:u w:val="single" w:color="auto"/>
          <w:color w:val="auto"/>
        </w:rPr>
        <w:t>ii</w:t>
      </w:r>
      <w:r>
        <w:rPr>
          <w:rFonts w:ascii="Arial" w:cs="Arial" w:eastAsia="Arial" w:hAnsi="Arial"/>
          <w:sz w:val="16"/>
          <w:szCs w:val="16"/>
          <w:color w:val="auto"/>
        </w:rPr>
        <w:t>) the excess, if any, of (</w:t>
      </w:r>
      <w:r>
        <w:rPr>
          <w:rFonts w:ascii="Arial" w:cs="Arial" w:eastAsia="Arial" w:hAnsi="Arial"/>
          <w:sz w:val="16"/>
          <w:szCs w:val="16"/>
          <w:u w:val="single" w:color="auto"/>
          <w:color w:val="auto"/>
        </w:rPr>
        <w:t>a</w:t>
      </w:r>
      <w:r>
        <w:rPr>
          <w:rFonts w:ascii="Arial" w:cs="Arial" w:eastAsia="Arial" w:hAnsi="Arial"/>
          <w:sz w:val="16"/>
          <w:szCs w:val="16"/>
          <w:color w:val="auto"/>
        </w:rPr>
        <w:t>) the price at which the Participant acquired such Common Unit over (</w:t>
      </w:r>
      <w:r>
        <w:rPr>
          <w:rFonts w:ascii="Arial" w:cs="Arial" w:eastAsia="Arial" w:hAnsi="Arial"/>
          <w:sz w:val="16"/>
          <w:szCs w:val="16"/>
          <w:u w:val="single" w:color="auto"/>
          <w:color w:val="auto"/>
        </w:rPr>
        <w:t>b</w:t>
      </w:r>
      <w:r>
        <w:rPr>
          <w:rFonts w:ascii="Arial" w:cs="Arial" w:eastAsia="Arial" w:hAnsi="Arial"/>
          <w:sz w:val="16"/>
          <w:szCs w:val="16"/>
          <w:color w:val="auto"/>
        </w:rPr>
        <w:t>) the aggregate amount of any distributions made prior to the Determination Date to the Participant in respect of such Common Units. For avoidance of doubt, in the event of a termination by the Company for Cause, no repurchase of Profits Units will occur (and therefore no Repurchase Price is necessary) because all Profits Units would be forfeited without consideration.</w:t>
      </w:r>
    </w:p>
    <w:p>
      <w:pPr>
        <w:spacing w:after="0" w:line="56" w:lineRule="exact"/>
        <w:rPr>
          <w:rFonts w:ascii="Arial" w:cs="Arial" w:eastAsia="Arial" w:hAnsi="Arial"/>
          <w:sz w:val="16"/>
          <w:szCs w:val="16"/>
          <w:color w:val="auto"/>
        </w:rPr>
      </w:pPr>
    </w:p>
    <w:p>
      <w:pPr>
        <w:ind w:firstLine="408"/>
        <w:spacing w:after="0" w:line="268" w:lineRule="auto"/>
        <w:tabs>
          <w:tab w:leader="none" w:pos="64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the repurchase occurs by reason of a Participant having engaged in Competitive Activity, (</w:t>
      </w:r>
      <w:r>
        <w:rPr>
          <w:rFonts w:ascii="Arial" w:cs="Arial" w:eastAsia="Arial" w:hAnsi="Arial"/>
          <w:sz w:val="17"/>
          <w:szCs w:val="17"/>
          <w:u w:val="single" w:color="auto"/>
          <w:color w:val="auto"/>
        </w:rPr>
        <w:t>I</w:t>
      </w:r>
      <w:r>
        <w:rPr>
          <w:rFonts w:ascii="Arial" w:cs="Arial" w:eastAsia="Arial" w:hAnsi="Arial"/>
          <w:sz w:val="17"/>
          <w:szCs w:val="17"/>
          <w:color w:val="auto"/>
        </w:rPr>
        <w:t>) the Determination Date shall be the Competitive Activity Notice Date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 Repurchase Price per Common Unit shall equal the </w:t>
      </w:r>
      <w:r>
        <w:rPr>
          <w:rFonts w:ascii="Arial" w:cs="Arial" w:eastAsia="Arial" w:hAnsi="Arial"/>
          <w:sz w:val="17"/>
          <w:szCs w:val="17"/>
          <w:u w:val="single" w:color="auto"/>
          <w:color w:val="auto"/>
        </w:rPr>
        <w:t>lesser</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i</w:t>
      </w:r>
      <w:r>
        <w:rPr>
          <w:rFonts w:ascii="Arial" w:cs="Arial" w:eastAsia="Arial" w:hAnsi="Arial"/>
          <w:sz w:val="17"/>
          <w:szCs w:val="17"/>
          <w:color w:val="auto"/>
        </w:rPr>
        <w:t>) the Common Unit Repurchase Price of such Unit as of the Determination Date and (</w:t>
      </w:r>
      <w:r>
        <w:rPr>
          <w:rFonts w:ascii="Arial" w:cs="Arial" w:eastAsia="Arial" w:hAnsi="Arial"/>
          <w:sz w:val="17"/>
          <w:szCs w:val="17"/>
          <w:u w:val="single" w:color="auto"/>
          <w:color w:val="auto"/>
        </w:rPr>
        <w:t>ii</w:t>
      </w:r>
      <w:r>
        <w:rPr>
          <w:rFonts w:ascii="Arial" w:cs="Arial" w:eastAsia="Arial" w:hAnsi="Arial"/>
          <w:sz w:val="17"/>
          <w:szCs w:val="17"/>
          <w:color w:val="auto"/>
        </w:rPr>
        <w:t>) the excess, if any, of (</w:t>
      </w:r>
      <w:r>
        <w:rPr>
          <w:rFonts w:ascii="Arial" w:cs="Arial" w:eastAsia="Arial" w:hAnsi="Arial"/>
          <w:sz w:val="17"/>
          <w:szCs w:val="17"/>
          <w:u w:val="single" w:color="auto"/>
          <w:color w:val="auto"/>
        </w:rPr>
        <w:t>a</w:t>
      </w:r>
      <w:r>
        <w:rPr>
          <w:rFonts w:ascii="Arial" w:cs="Arial" w:eastAsia="Arial" w:hAnsi="Arial"/>
          <w:sz w:val="17"/>
          <w:szCs w:val="17"/>
          <w:color w:val="auto"/>
        </w:rPr>
        <w:t>) the price at which the Participant acquired such Common Unit over (</w:t>
      </w:r>
      <w:r>
        <w:rPr>
          <w:rFonts w:ascii="Arial" w:cs="Arial" w:eastAsia="Arial" w:hAnsi="Arial"/>
          <w:sz w:val="17"/>
          <w:szCs w:val="17"/>
          <w:u w:val="single" w:color="auto"/>
          <w:color w:val="auto"/>
        </w:rPr>
        <w:t>b</w:t>
      </w:r>
      <w:r>
        <w:rPr>
          <w:rFonts w:ascii="Arial" w:cs="Arial" w:eastAsia="Arial" w:hAnsi="Arial"/>
          <w:sz w:val="17"/>
          <w:szCs w:val="17"/>
          <w:color w:val="auto"/>
        </w:rPr>
        <w:t>) the aggregate amount of any distributions made by the Company prior to the Determination Date to the Participant in respect of such Common Units. If the Participant has disposed of any Units for cash or other consideration prior to the repurchase date (including, but not limited to, to the Company or the CBP Member pursuant to this Article V), the Company shall have the right to recoup from the Participant an amount of cash in respect of the Units disposed of equal to the excess, if any, of (</w:t>
      </w:r>
      <w:r>
        <w:rPr>
          <w:rFonts w:ascii="Arial" w:cs="Arial" w:eastAsia="Arial" w:hAnsi="Arial"/>
          <w:sz w:val="17"/>
          <w:szCs w:val="17"/>
          <w:u w:val="single" w:color="auto"/>
          <w:color w:val="auto"/>
        </w:rPr>
        <w:t>A</w:t>
      </w:r>
      <w:r>
        <w:rPr>
          <w:rFonts w:ascii="Arial" w:cs="Arial" w:eastAsia="Arial" w:hAnsi="Arial"/>
          <w:sz w:val="17"/>
          <w:szCs w:val="17"/>
          <w:color w:val="auto"/>
        </w:rPr>
        <w:t>) the aggregate amount of cash and the aggregate value of all securities or other property actually received by the Participant in connection with all of such dispositions over (</w:t>
      </w:r>
      <w:r>
        <w:rPr>
          <w:rFonts w:ascii="Arial" w:cs="Arial" w:eastAsia="Arial" w:hAnsi="Arial"/>
          <w:sz w:val="17"/>
          <w:szCs w:val="17"/>
          <w:u w:val="single" w:color="auto"/>
          <w:color w:val="auto"/>
        </w:rPr>
        <w:t>B</w:t>
      </w:r>
      <w:r>
        <w:rPr>
          <w:rFonts w:ascii="Arial" w:cs="Arial" w:eastAsia="Arial" w:hAnsi="Arial"/>
          <w:sz w:val="17"/>
          <w:szCs w:val="17"/>
          <w:color w:val="auto"/>
        </w:rPr>
        <w:t>) the aggregate amount of cash that would have been received by the Participant in respect of the disposed Units pursuant to the first sentence of this clause (c) if the disposed Units had been owned by the Participant on the Determination Date (such right of recoupment, the “</w:t>
      </w:r>
      <w:r>
        <w:rPr>
          <w:rFonts w:ascii="Arial" w:cs="Arial" w:eastAsia="Arial" w:hAnsi="Arial"/>
          <w:sz w:val="17"/>
          <w:szCs w:val="17"/>
          <w:u w:val="single" w:color="auto"/>
          <w:color w:val="auto"/>
        </w:rPr>
        <w:t>Sold Unit Clawback</w:t>
      </w:r>
      <w:r>
        <w:rPr>
          <w:rFonts w:ascii="Arial" w:cs="Arial" w:eastAsia="Arial" w:hAnsi="Arial"/>
          <w:sz w:val="17"/>
          <w:szCs w:val="17"/>
          <w:color w:val="auto"/>
        </w:rPr>
        <w:t>”). Any amount to be repaid by the Participant pursuant to this clause (c) shall not be subject to further reduction for taxes paid by the Participant on the amounts received for the Units disposed of, if and to the extent that the Administrator reasonably determines that the taxes paid by the Participant will be able to be recouped by the Participant in any manner in the same or a subsequent tax year.</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20" w:top="274" w:right="459" w:bottom="1440" w:gutter="0" w:footer="0" w:header="0"/>
        </w:sectPr>
      </w:pPr>
    </w:p>
    <w:bookmarkStart w:id="254" w:name="page255"/>
    <w:bookmarkEnd w:id="254"/>
    <w:p>
      <w:pPr>
        <w:ind w:left="540" w:right="40" w:firstLine="408"/>
        <w:spacing w:after="0" w:line="271" w:lineRule="auto"/>
        <w:tabs>
          <w:tab w:leader="none" w:pos="1196" w:val="left"/>
        </w:tabs>
        <w:numPr>
          <w:ilvl w:val="0"/>
          <w:numId w:val="2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purposes of this Article V, (</w:t>
      </w:r>
      <w:r>
        <w:rPr>
          <w:rFonts w:ascii="Arial" w:cs="Arial" w:eastAsia="Arial" w:hAnsi="Arial"/>
          <w:sz w:val="17"/>
          <w:szCs w:val="17"/>
          <w:u w:val="single" w:color="auto"/>
          <w:color w:val="auto"/>
        </w:rPr>
        <w:t>I</w:t>
      </w:r>
      <w:r>
        <w:rPr>
          <w:rFonts w:ascii="Arial" w:cs="Arial" w:eastAsia="Arial" w:hAnsi="Arial"/>
          <w:sz w:val="17"/>
          <w:szCs w:val="17"/>
          <w:color w:val="auto"/>
        </w:rPr>
        <w:t>) the “</w:t>
      </w:r>
      <w:r>
        <w:rPr>
          <w:rFonts w:ascii="Arial" w:cs="Arial" w:eastAsia="Arial" w:hAnsi="Arial"/>
          <w:sz w:val="17"/>
          <w:szCs w:val="17"/>
          <w:u w:val="single" w:color="auto"/>
          <w:color w:val="auto"/>
        </w:rPr>
        <w:t>Common Unit Repurchase Price</w:t>
      </w:r>
      <w:r>
        <w:rPr>
          <w:rFonts w:ascii="Arial" w:cs="Arial" w:eastAsia="Arial" w:hAnsi="Arial"/>
          <w:sz w:val="17"/>
          <w:szCs w:val="17"/>
          <w:color w:val="auto"/>
        </w:rPr>
        <w:t>” shall equal the Fair Market Value of a Common Unit as of the Determination Date, and (</w:t>
      </w:r>
      <w:r>
        <w:rPr>
          <w:rFonts w:ascii="Arial" w:cs="Arial" w:eastAsia="Arial" w:hAnsi="Arial"/>
          <w:sz w:val="17"/>
          <w:szCs w:val="17"/>
          <w:u w:val="single" w:color="auto"/>
          <w:color w:val="auto"/>
        </w:rPr>
        <w:t>II</w:t>
      </w:r>
      <w:r>
        <w:rPr>
          <w:rFonts w:ascii="Arial" w:cs="Arial" w:eastAsia="Arial" w:hAnsi="Arial"/>
          <w:sz w:val="17"/>
          <w:szCs w:val="17"/>
          <w:color w:val="auto"/>
        </w:rPr>
        <w:t>) the “</w:t>
      </w:r>
      <w:r>
        <w:rPr>
          <w:rFonts w:ascii="Arial" w:cs="Arial" w:eastAsia="Arial" w:hAnsi="Arial"/>
          <w:sz w:val="17"/>
          <w:szCs w:val="17"/>
          <w:u w:val="single" w:color="auto"/>
          <w:color w:val="auto"/>
        </w:rPr>
        <w:t>Profits Unit Repurchase Price</w:t>
      </w:r>
      <w:r>
        <w:rPr>
          <w:rFonts w:ascii="Arial" w:cs="Arial" w:eastAsia="Arial" w:hAnsi="Arial"/>
          <w:sz w:val="17"/>
          <w:szCs w:val="17"/>
          <w:color w:val="auto"/>
        </w:rPr>
        <w:t>” of a Profits Unit shall equal the Fair Market Value of such Profits Unit assuming the occurrence of an Exit Sale (as defined in the Company Operating Agreement) on the Determination Date, based on the fair market value of the Company on the Determination Date, and a full distribution of proceeds from such Exit Sale in accordance with the terms of Company Operating Agreement and, for the avoidance of doubt, after taking into account the Benchmark Amount and any Hurdle Amount applicable to such Profits Unit. For avoidance of doubt, if the Profits Unit Repurchase Price of a Profits Unit is not greater than zero as of the Determination Date, then the Profits Unit shall be forfeited to the Company without any payment to the Participant and without further action required by any Person.</w:t>
      </w:r>
    </w:p>
    <w:p>
      <w:pPr>
        <w:spacing w:after="0" w:line="70" w:lineRule="exact"/>
        <w:rPr>
          <w:sz w:val="20"/>
          <w:szCs w:val="20"/>
          <w:color w:val="auto"/>
        </w:rPr>
      </w:pPr>
    </w:p>
    <w:p>
      <w:pPr>
        <w:ind w:firstLine="423"/>
        <w:spacing w:after="0" w:line="285"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Closing of Purchase; Payment of Repurchase Price</w:t>
      </w:r>
      <w:r>
        <w:rPr>
          <w:rFonts w:ascii="Arial" w:cs="Arial" w:eastAsia="Arial" w:hAnsi="Arial"/>
          <w:sz w:val="16"/>
          <w:szCs w:val="16"/>
          <w:color w:val="auto"/>
        </w:rPr>
        <w:t>. Subject to Section 5.6, the closing of a purchase pursuant to this Article V shall take place at the principal office of the Company on a business day selected by the Company or the CBP Member (as applicable) no later than the one hundred twentieth (120</w:t>
      </w:r>
      <w:r>
        <w:rPr>
          <w:rFonts w:ascii="Arial" w:cs="Arial" w:eastAsia="Arial" w:hAnsi="Arial"/>
          <w:sz w:val="13"/>
          <w:szCs w:val="13"/>
          <w:color w:val="auto"/>
        </w:rPr>
        <w:t>th</w:t>
      </w:r>
      <w:r>
        <w:rPr>
          <w:rFonts w:ascii="Arial" w:cs="Arial" w:eastAsia="Arial" w:hAnsi="Arial"/>
          <w:sz w:val="16"/>
          <w:szCs w:val="16"/>
          <w:color w:val="auto"/>
        </w:rPr>
        <w:t>) day following the date on which notice of repurchase is given pursuant to Section 5.1. Subject to the periods specified in the immediately preceding sentence, the closing date, once scheduled, may be adjourned or accelerated by the Company or the CBP Member (as applicable) in its discretion. At the closing, (</w:t>
      </w:r>
      <w:r>
        <w:rPr>
          <w:rFonts w:ascii="Arial" w:cs="Arial" w:eastAsia="Arial" w:hAnsi="Arial"/>
          <w:sz w:val="16"/>
          <w:szCs w:val="16"/>
          <w:u w:val="single" w:color="auto"/>
          <w:color w:val="auto"/>
        </w:rPr>
        <w:t>i</w:t>
      </w:r>
      <w:r>
        <w:rPr>
          <w:rFonts w:ascii="Arial" w:cs="Arial" w:eastAsia="Arial" w:hAnsi="Arial"/>
          <w:sz w:val="16"/>
          <w:szCs w:val="16"/>
          <w:color w:val="auto"/>
        </w:rPr>
        <w:t>) the Company or the CBP Member, as the case may be, shall, subject to Sections</w:t>
      </w:r>
    </w:p>
    <w:p>
      <w:pPr>
        <w:spacing w:after="0" w:line="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5.5 and 5.6, pay the Repurchase Price to the Participant and (</w:t>
      </w:r>
      <w:r>
        <w:rPr>
          <w:rFonts w:ascii="Arial" w:cs="Arial" w:eastAsia="Arial" w:hAnsi="Arial"/>
          <w:sz w:val="16"/>
          <w:szCs w:val="16"/>
          <w:u w:val="single" w:color="auto"/>
          <w:color w:val="auto"/>
        </w:rPr>
        <w:t>ii</w:t>
      </w:r>
      <w:r>
        <w:rPr>
          <w:rFonts w:ascii="Arial" w:cs="Arial" w:eastAsia="Arial" w:hAnsi="Arial"/>
          <w:sz w:val="16"/>
          <w:szCs w:val="16"/>
          <w:color w:val="auto"/>
        </w:rPr>
        <w:t>) if the Participant actually holds any certificates or other instruments representing Units acquired, the Participant shall deliver to the Company such certificates or other instruments, appropriately endorsed by the Participant or directing that the Units be so transferred to the purchaser thereof, as the Company or Management LLC may reasonably require. Prior to the closing, at the request of the Company, the Participant (or, if applicable, the Participant’s estate or legal representative) and Management LLC shall execute and deliver a unit repurchase agreement evidencing the purchase pursuant to this Article V in form delivered to the Participant and Management LLC by the Company consistent with the provisions of this Article V and containing customary representations, warranties and releases relating to such purchase. By accepting a grant of Profits Units and entering into a Subscription Agreement, each Participant and Management LLC hereby appoint the Company as their true and lawful attorney-in-fact, with full power of substitution, and authorize the Company to take such actions as the Company may deem necessary or appropriate to effect the sale and transfer of the Units pursuant to this Article V on the closing date, including but not limited to executing any powers of attorney or stock power or stock repurchase agreement.</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255" w:name="page256"/>
    <w:bookmarkEnd w:id="255"/>
    <w:p>
      <w:pPr>
        <w:ind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5.5 </w:t>
      </w:r>
      <w:r>
        <w:rPr>
          <w:rFonts w:ascii="Arial" w:cs="Arial" w:eastAsia="Arial" w:hAnsi="Arial"/>
          <w:sz w:val="18"/>
          <w:szCs w:val="18"/>
          <w:u w:val="single" w:color="auto"/>
          <w:color w:val="auto"/>
        </w:rPr>
        <w:t>Application of the Repurchase Price to Certain Loans or Other Obligations</w:t>
      </w:r>
      <w:r>
        <w:rPr>
          <w:rFonts w:ascii="Arial" w:cs="Arial" w:eastAsia="Arial" w:hAnsi="Arial"/>
          <w:sz w:val="18"/>
          <w:szCs w:val="18"/>
          <w:color w:val="auto"/>
        </w:rPr>
        <w:t>. The Company and the CBP Member shall be entitled to apply any amounts otherwise payable pursuant to this Article V to discharge any indebtedness of a Participant to the Company or any of the Subsidiaries or indebtedness that is guaranteed by the Company or any of the Subsidiaries or to offset any such amounts against any other obligations of a Participant to the Company or any of the Subsidiaries.</w:t>
      </w:r>
    </w:p>
    <w:p>
      <w:pPr>
        <w:spacing w:after="0" w:line="79" w:lineRule="exact"/>
        <w:rPr>
          <w:sz w:val="20"/>
          <w:szCs w:val="20"/>
          <w:color w:val="auto"/>
        </w:rPr>
      </w:pPr>
    </w:p>
    <w:p>
      <w:pPr>
        <w:ind w:right="20" w:firstLine="423"/>
        <w:spacing w:after="0" w:line="268"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Certain Restrictions on Repurchases; Delay of Payment of Repurchase Price</w:t>
      </w:r>
      <w:r>
        <w:rPr>
          <w:rFonts w:ascii="Arial" w:cs="Arial" w:eastAsia="Arial" w:hAnsi="Arial"/>
          <w:sz w:val="17"/>
          <w:szCs w:val="17"/>
          <w:color w:val="auto"/>
        </w:rPr>
        <w:t>. Notwithstanding any other provision of any Subscription Agreement or this Article V, if the Company intends to effect a repurchase pursuant to this Article V and (</w:t>
      </w:r>
      <w:r>
        <w:rPr>
          <w:rFonts w:ascii="Arial" w:cs="Arial" w:eastAsia="Arial" w:hAnsi="Arial"/>
          <w:sz w:val="17"/>
          <w:szCs w:val="17"/>
          <w:u w:val="single" w:color="auto"/>
          <w:color w:val="auto"/>
        </w:rPr>
        <w:t>i</w:t>
      </w:r>
      <w:r>
        <w:rPr>
          <w:rFonts w:ascii="Arial" w:cs="Arial" w:eastAsia="Arial" w:hAnsi="Arial"/>
          <w:sz w:val="17"/>
          <w:szCs w:val="17"/>
          <w:color w:val="auto"/>
        </w:rPr>
        <w:t>) such repurchase (or the payment of a dividend by a Subsidiary to the Company to fund such repurchase) would result in a violation of the terms or provisions of, or result in a default or an event of default under any of the Financing Agreements, (</w:t>
      </w:r>
      <w:r>
        <w:rPr>
          <w:rFonts w:ascii="Arial" w:cs="Arial" w:eastAsia="Arial" w:hAnsi="Arial"/>
          <w:sz w:val="17"/>
          <w:szCs w:val="17"/>
          <w:u w:val="single" w:color="auto"/>
          <w:color w:val="auto"/>
        </w:rPr>
        <w:t>ii</w:t>
      </w:r>
      <w:r>
        <w:rPr>
          <w:rFonts w:ascii="Arial" w:cs="Arial" w:eastAsia="Arial" w:hAnsi="Arial"/>
          <w:sz w:val="17"/>
          <w:szCs w:val="17"/>
          <w:color w:val="auto"/>
        </w:rPr>
        <w:t>) such repurchase would violate any of the terms or provisions of the Company Operating Agreement, the Management LLC Agreement or applicable law, (</w:t>
      </w:r>
      <w:r>
        <w:rPr>
          <w:rFonts w:ascii="Arial" w:cs="Arial" w:eastAsia="Arial" w:hAnsi="Arial"/>
          <w:sz w:val="17"/>
          <w:szCs w:val="17"/>
          <w:u w:val="single" w:color="auto"/>
          <w:color w:val="auto"/>
        </w:rPr>
        <w:t>iii</w:t>
      </w:r>
      <w:r>
        <w:rPr>
          <w:rFonts w:ascii="Arial" w:cs="Arial" w:eastAsia="Arial" w:hAnsi="Arial"/>
          <w:sz w:val="17"/>
          <w:szCs w:val="17"/>
          <w:color w:val="auto"/>
        </w:rPr>
        <w:t>) the Company has no funds legally available to make such payment under applicable law or (</w:t>
      </w:r>
      <w:r>
        <w:rPr>
          <w:rFonts w:ascii="Arial" w:cs="Arial" w:eastAsia="Arial" w:hAnsi="Arial"/>
          <w:sz w:val="17"/>
          <w:szCs w:val="17"/>
          <w:u w:val="single" w:color="auto"/>
          <w:color w:val="auto"/>
        </w:rPr>
        <w:t>iv</w:t>
      </w:r>
      <w:r>
        <w:rPr>
          <w:rFonts w:ascii="Arial" w:cs="Arial" w:eastAsia="Arial" w:hAnsi="Arial"/>
          <w:sz w:val="17"/>
          <w:szCs w:val="17"/>
          <w:color w:val="auto"/>
        </w:rPr>
        <w:t>) such repurchase would otherwise violate applicable law, then (</w:t>
      </w:r>
      <w:r>
        <w:rPr>
          <w:rFonts w:ascii="Arial" w:cs="Arial" w:eastAsia="Arial" w:hAnsi="Arial"/>
          <w:sz w:val="17"/>
          <w:szCs w:val="17"/>
          <w:u w:val="single" w:color="auto"/>
          <w:color w:val="auto"/>
        </w:rPr>
        <w:t>x</w:t>
      </w:r>
      <w:r>
        <w:rPr>
          <w:rFonts w:ascii="Arial" w:cs="Arial" w:eastAsia="Arial" w:hAnsi="Arial"/>
          <w:sz w:val="17"/>
          <w:szCs w:val="17"/>
          <w:color w:val="auto"/>
        </w:rPr>
        <w:t>) the payment of the applicable Repurchase Price (and the corresponding required repurchase actions with respect to Management LLC) shall be postponed and will take place at the first opportunity thereafter when the Company has funds legally available to make such payment and when such payment will not result in any default, event of default or violation under any of the Financing Agreements or in a violation of any term or provision of the Company Operating Agreement, the Management LLC Agreement or applicable law, (</w:t>
      </w:r>
      <w:r>
        <w:rPr>
          <w:rFonts w:ascii="Arial" w:cs="Arial" w:eastAsia="Arial" w:hAnsi="Arial"/>
          <w:sz w:val="17"/>
          <w:szCs w:val="17"/>
          <w:u w:val="single" w:color="auto"/>
          <w:color w:val="auto"/>
        </w:rPr>
        <w:t>y</w:t>
      </w:r>
      <w:r>
        <w:rPr>
          <w:rFonts w:ascii="Arial" w:cs="Arial" w:eastAsia="Arial" w:hAnsi="Arial"/>
          <w:sz w:val="17"/>
          <w:szCs w:val="17"/>
          <w:color w:val="auto"/>
        </w:rPr>
        <w:t>) such repurchase obligation shall rank against other similar repurchase obligations with respect to Units according to priority in time of the effective date of the event giving rise to such repurchase and (</w:t>
      </w:r>
      <w:r>
        <w:rPr>
          <w:rFonts w:ascii="Arial" w:cs="Arial" w:eastAsia="Arial" w:hAnsi="Arial"/>
          <w:sz w:val="17"/>
          <w:szCs w:val="17"/>
          <w:u w:val="single" w:color="auto"/>
          <w:color w:val="auto"/>
        </w:rPr>
        <w:t>z</w:t>
      </w:r>
      <w:r>
        <w:rPr>
          <w:rFonts w:ascii="Arial" w:cs="Arial" w:eastAsia="Arial" w:hAnsi="Arial"/>
          <w:sz w:val="17"/>
          <w:szCs w:val="17"/>
          <w:color w:val="auto"/>
        </w:rPr>
        <w:t>) the Repurchase Price, except in the case of a termination for Cause or a repurchase by reason of a Participant’s Competitive Activity, shall be increased by an amount equal to interest on such Repurchase Price for the period during which payment is delayed at an annual rate equal to the applicable federal rate published pursuant to the Code for the month in which such postponement first occurs. The delay set forth in this Section 5.6 shall not be applicable in the event of a repurchase by the CBP Member.</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256" w:name="page257"/>
    <w:bookmarkEnd w:id="256"/>
    <w:p>
      <w:pPr>
        <w:ind w:right="100" w:firstLine="42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5.7 </w:t>
      </w:r>
      <w:r>
        <w:rPr>
          <w:rFonts w:ascii="Arial" w:cs="Arial" w:eastAsia="Arial" w:hAnsi="Arial"/>
          <w:sz w:val="17"/>
          <w:szCs w:val="17"/>
          <w:u w:val="single" w:color="auto"/>
          <w:color w:val="auto"/>
        </w:rPr>
        <w:t>Right to Retain Units</w:t>
      </w:r>
      <w:r>
        <w:rPr>
          <w:rFonts w:ascii="Arial" w:cs="Arial" w:eastAsia="Arial" w:hAnsi="Arial"/>
          <w:sz w:val="17"/>
          <w:szCs w:val="17"/>
          <w:color w:val="auto"/>
        </w:rPr>
        <w:t>. If the options of the Company and the CBP Member to purchase the Units pursuant to this Article V are not exercised within the applicable time periods specified herein with respect to all of the Units, the Participant and Management LLC shall be entitled to retain the remaining Units, although those Units shall remain subject to all of the other provisions of the applicable Subscription Agreement, the Company Operating Agreement and the Management LLC Agreement, as applicable.</w:t>
      </w:r>
    </w:p>
    <w:p>
      <w:pPr>
        <w:spacing w:after="0" w:line="63" w:lineRule="exact"/>
        <w:rPr>
          <w:sz w:val="20"/>
          <w:szCs w:val="20"/>
          <w:color w:val="auto"/>
        </w:rPr>
      </w:pPr>
    </w:p>
    <w:p>
      <w:pPr>
        <w:ind w:right="720" w:firstLine="423"/>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Notice of Termination; Etc</w:t>
      </w:r>
      <w:r>
        <w:rPr>
          <w:rFonts w:ascii="Arial" w:cs="Arial" w:eastAsia="Arial" w:hAnsi="Arial"/>
          <w:sz w:val="18"/>
          <w:szCs w:val="18"/>
          <w:color w:val="auto"/>
        </w:rPr>
        <w:t>. Prior to an IPO, the Company shall give prompt written notice to the CBP Member of any termination of a Participant’s employment with the Company or any determination of Competitive Activity by a Participant and of the Administrator’s decision whether or not to purchase Units pursuant to the Article V.</w:t>
      </w:r>
    </w:p>
    <w:p>
      <w:pPr>
        <w:spacing w:after="0" w:line="76" w:lineRule="exact"/>
        <w:rPr>
          <w:sz w:val="20"/>
          <w:szCs w:val="20"/>
          <w:color w:val="auto"/>
        </w:rPr>
      </w:pPr>
    </w:p>
    <w:p>
      <w:pPr>
        <w:jc w:val="both"/>
        <w:ind w:right="100" w:firstLine="423"/>
        <w:spacing w:after="0" w:line="263"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Allocation of Purchase Rights</w:t>
      </w:r>
      <w:r>
        <w:rPr>
          <w:rFonts w:ascii="Arial" w:cs="Arial" w:eastAsia="Arial" w:hAnsi="Arial"/>
          <w:sz w:val="18"/>
          <w:szCs w:val="18"/>
          <w:color w:val="auto"/>
        </w:rPr>
        <w:t>. By receiving an award of Profits Units, each Participant acknowledges and agrees that the CBP Member may allocate the purchase rights under this Article V, as among itself and its Affiliates, in such manner as it, in its sole discretion, may determine from time to time.</w:t>
      </w:r>
    </w:p>
    <w:p>
      <w:pPr>
        <w:spacing w:after="0" w:line="18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8"/>
          <w:szCs w:val="18"/>
          <w:u w:val="single" w:color="auto"/>
          <w:color w:val="auto"/>
        </w:rPr>
        <w:t>Authority to Vary Terms or Establish Local Jurisdiction Plans</w:t>
      </w:r>
    </w:p>
    <w:p>
      <w:pPr>
        <w:spacing w:after="0" w:line="211" w:lineRule="exact"/>
        <w:rPr>
          <w:sz w:val="20"/>
          <w:szCs w:val="20"/>
          <w:color w:val="auto"/>
        </w:rPr>
      </w:pPr>
    </w:p>
    <w:p>
      <w:pPr>
        <w:ind w:firstLine="423"/>
        <w:spacing w:after="0" w:line="293" w:lineRule="auto"/>
        <w:rPr>
          <w:sz w:val="20"/>
          <w:szCs w:val="20"/>
          <w:color w:val="auto"/>
        </w:rPr>
      </w:pPr>
      <w:r>
        <w:rPr>
          <w:rFonts w:ascii="Arial" w:cs="Arial" w:eastAsia="Arial" w:hAnsi="Arial"/>
          <w:sz w:val="16"/>
          <w:szCs w:val="16"/>
          <w:color w:val="auto"/>
        </w:rPr>
        <w:t xml:space="preserve">The Administrator may vary the terms of Awards under the Plan, or establish sub-plans under the Plan to authorize the grant of awards that have additional or different terms or features from those otherwise provided for in the Plan, if and to the extent the Administrator determines necessary or appropriate to permit the grant of awards that are best suited to further the purposes of the Plan and to comply with applicable securities laws in a particular jurisdiction or provide terms appropriately suited for Participants in such jurisdiction in light of the tax laws of such jurisdiction while being as consistent as otherwise possible with the terms of Awards under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Article V shall not be deemed to authorize any increase in the number of Profits Units set forth in Section 2.1 as available for issuance under the Plan.</w:t>
      </w:r>
    </w:p>
    <w:p>
      <w:pPr>
        <w:spacing w:after="0" w:line="16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40"/>
        <w:spacing w:after="0"/>
        <w:rPr>
          <w:sz w:val="20"/>
          <w:szCs w:val="20"/>
          <w:color w:val="auto"/>
        </w:rPr>
      </w:pPr>
      <w:r>
        <w:rPr>
          <w:rFonts w:ascii="Arial" w:cs="Arial" w:eastAsia="Arial" w:hAnsi="Arial"/>
          <w:sz w:val="18"/>
          <w:szCs w:val="18"/>
          <w:u w:val="single" w:color="auto"/>
          <w:color w:val="auto"/>
        </w:rPr>
        <w:t>Amendment, Modification, and Termination of the Plan</w:t>
      </w:r>
    </w:p>
    <w:p>
      <w:pPr>
        <w:spacing w:after="0" w:line="211" w:lineRule="exact"/>
        <w:rPr>
          <w:sz w:val="20"/>
          <w:szCs w:val="20"/>
          <w:color w:val="auto"/>
        </w:rPr>
      </w:pPr>
    </w:p>
    <w:p>
      <w:pPr>
        <w:ind w:right="100" w:firstLine="423"/>
        <w:spacing w:after="0" w:line="257" w:lineRule="auto"/>
        <w:rPr>
          <w:sz w:val="20"/>
          <w:szCs w:val="20"/>
          <w:color w:val="auto"/>
        </w:rPr>
      </w:pPr>
      <w:r>
        <w:rPr>
          <w:rFonts w:ascii="Arial" w:cs="Arial" w:eastAsia="Arial" w:hAnsi="Arial"/>
          <w:sz w:val="18"/>
          <w:szCs w:val="18"/>
          <w:color w:val="auto"/>
        </w:rPr>
        <w:t xml:space="preserve">The Administrator may terminate or suspend the Plan at any time, and may amend or modify the Plan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that no change that materially and adversely economically affects any Participant disproportionately as compared to all other Participants shall be effective without such Participant’s written consent. Approval of the Plan by holders of equity interests in the Company or of any such amendment, modification, termination or suspension shall be obtained to the extent mandated by applicable law, or if otherwise required or deemed appropriate by the Administrator.</w:t>
      </w:r>
    </w:p>
    <w:p>
      <w:pPr>
        <w:spacing w:after="0" w:line="12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880" w:top="274" w:right="539" w:bottom="1440" w:gutter="0" w:footer="0" w:header="0"/>
        </w:sectPr>
      </w:pPr>
    </w:p>
    <w:bookmarkStart w:id="257" w:name="page258"/>
    <w:bookmarkEnd w:id="257"/>
    <w:p>
      <w:pPr>
        <w:ind w:left="4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Definitions</w:t>
      </w:r>
      <w:r>
        <w:rPr>
          <w:rFonts w:ascii="Arial" w:cs="Arial" w:eastAsia="Arial" w:hAnsi="Arial"/>
          <w:sz w:val="18"/>
          <w:szCs w:val="18"/>
          <w:color w:val="auto"/>
        </w:rPr>
        <w:t>. Whenever used herein, the following terms shall have the respective meanings set forth below: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grant of any Profits Units issued on or following the Effective Date pursuant to the terms of the Plan.</w:t>
      </w:r>
    </w:p>
    <w:p>
      <w:pPr>
        <w:spacing w:after="0" w:line="117" w:lineRule="exact"/>
        <w:rPr>
          <w:sz w:val="20"/>
          <w:szCs w:val="20"/>
          <w:color w:val="auto"/>
        </w:rPr>
      </w:pPr>
    </w:p>
    <w:p>
      <w:pPr>
        <w:ind w:right="20" w:firstLine="4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Agreement</w:t>
      </w:r>
      <w:r>
        <w:rPr>
          <w:rFonts w:ascii="Arial" w:cs="Arial" w:eastAsia="Arial" w:hAnsi="Arial"/>
          <w:sz w:val="18"/>
          <w:szCs w:val="18"/>
          <w:color w:val="auto"/>
        </w:rPr>
        <w:t>” means the agreement entered into between or among the Company, Management LLC (if applicable) and a Participant embodying and evidencing the terms of any acquisition of Common Units of the Company and/or any corresponding equity interests in Management LLC and, if applicable, any grant of Profits Units of the Company and/or any corresponding equity interests in Management LLC made pursuant to the Plan and in the form approved by the Administrator from time to time for such purpose. The Award Agreements shall constitute the “Subscription Agreements” under the Company Operating Agreement.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Amount</w:t>
      </w:r>
      <w:r>
        <w:rPr>
          <w:rFonts w:ascii="Arial" w:cs="Arial" w:eastAsia="Arial" w:hAnsi="Arial"/>
          <w:sz w:val="18"/>
          <w:szCs w:val="18"/>
          <w:color w:val="auto"/>
        </w:rPr>
        <w:t>” has the meaning set forth in the Company Operating Agreement.</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Compensation Committee of the Company, as constituted from time to time pursuant to the Company Operating Agreement.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CBP Member</w:t>
      </w:r>
      <w:r>
        <w:rPr>
          <w:rFonts w:ascii="Arial" w:cs="Arial" w:eastAsia="Arial" w:hAnsi="Arial"/>
          <w:sz w:val="18"/>
          <w:szCs w:val="18"/>
          <w:color w:val="auto"/>
        </w:rPr>
        <w:t>” means Blizzard Aggregator, LLC, a Delaware limited liability company.</w:t>
      </w:r>
    </w:p>
    <w:p>
      <w:pPr>
        <w:spacing w:after="0" w:line="117" w:lineRule="exact"/>
        <w:rPr>
          <w:sz w:val="20"/>
          <w:szCs w:val="20"/>
          <w:color w:val="auto"/>
        </w:rPr>
      </w:pPr>
    </w:p>
    <w:p>
      <w:pPr>
        <w:ind w:right="6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as to any Participant, have the meaning set forth in the employment or services agreement to which the Participant is a party with the Company or an Affiliate, or, in the absence of such an employment or services agreement, shall have the meaning set forth in the Company Operating Agreement.</w:t>
      </w:r>
    </w:p>
    <w:p>
      <w:pPr>
        <w:spacing w:after="0" w:line="359"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0"/>
          </w:cols>
          <w:pgMar w:left="880" w:top="274" w:right="539" w:bottom="1440" w:gutter="0" w:footer="0" w:header="0"/>
        </w:sectPr>
      </w:pPr>
    </w:p>
    <w:bookmarkStart w:id="258" w:name="page259"/>
    <w:bookmarkEnd w:id="25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 as amended, and any successor thereto.</w:t>
      </w:r>
    </w:p>
    <w:p>
      <w:pPr>
        <w:spacing w:after="0" w:line="117" w:lineRule="exact"/>
        <w:rPr>
          <w:sz w:val="20"/>
          <w:szCs w:val="20"/>
          <w:color w:val="auto"/>
        </w:rPr>
      </w:pPr>
    </w:p>
    <w:p>
      <w:pPr>
        <w:ind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means, as required by context, a Class B Common Unit of the Company (as defined in the Company Operating Agreement) and/or a common unit of Management LLC that relates to such Class B Common Unit of the Company, and in each case, if applicable, any securities which may be issued after the Effective Date in respect of, or in exchange for, a Common Unit (which are sometimes referred to herein as “successor equity interests”).</w:t>
      </w:r>
    </w:p>
    <w:p>
      <w:pPr>
        <w:spacing w:after="0" w:line="79" w:lineRule="exact"/>
        <w:rPr>
          <w:sz w:val="20"/>
          <w:szCs w:val="20"/>
          <w:color w:val="auto"/>
        </w:rPr>
      </w:pPr>
    </w:p>
    <w:p>
      <w:pPr>
        <w:ind w:right="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Blizzard Parent, LLC, a Delaware limited liability company, and any successor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the status of a Participant’s employment with the “Company,” such term shall include whichever of the Company and its Subsidiaries and Affiliates is the employer of the Participant.</w:t>
      </w:r>
    </w:p>
    <w:p>
      <w:pPr>
        <w:spacing w:after="0" w:line="76"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Operating Agreement</w:t>
      </w:r>
      <w:r>
        <w:rPr>
          <w:rFonts w:ascii="Arial" w:cs="Arial" w:eastAsia="Arial" w:hAnsi="Arial"/>
          <w:sz w:val="18"/>
          <w:szCs w:val="18"/>
          <w:color w:val="auto"/>
        </w:rPr>
        <w:t>” means the Amended and Restated Limited Liability Company Agreement of the Company, dated as of the Closing Date, as amended from time to time.</w:t>
      </w:r>
    </w:p>
    <w:p>
      <w:pPr>
        <w:spacing w:after="0" w:line="62" w:lineRule="exact"/>
        <w:rPr>
          <w:sz w:val="20"/>
          <w:szCs w:val="20"/>
          <w:color w:val="auto"/>
        </w:rPr>
      </w:pPr>
    </w:p>
    <w:p>
      <w:pPr>
        <w:ind w:firstLine="42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Activity</w:t>
      </w:r>
      <w:r>
        <w:rPr>
          <w:rFonts w:ascii="Arial" w:cs="Arial" w:eastAsia="Arial" w:hAnsi="Arial"/>
          <w:sz w:val="18"/>
          <w:szCs w:val="18"/>
          <w:color w:val="auto"/>
        </w:rPr>
        <w:t>” with respect to a Participant means that the Participant, directly or indirectly, has engaged in a material breach of the provisions of any agreement to which the Participant and the Company or any of its Affiliates are parties (including but not limited to any Award Agreement) that prohibits or otherwise limits or conditions actions of the Participant related to competition with the business of the Company or any of its Subsidiaries; interference with key business relationships of the Company or any of its Subsidiaries; solicitation of customers or employees of the Company or any of its Subsidiaries; disclosure of confidential information of the Company; ownership of intellectual property of the Company or any of its Subsidiaries; and disparagement of the Company or any of its Subsidiaries and any of the directors or executive officers of any such Person.</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 Repurchase Price</w:t>
      </w:r>
      <w:r>
        <w:rPr>
          <w:rFonts w:ascii="Arial" w:cs="Arial" w:eastAsia="Arial" w:hAnsi="Arial"/>
          <w:sz w:val="18"/>
          <w:szCs w:val="18"/>
          <w:color w:val="auto"/>
        </w:rPr>
        <w:t>” has the meaning given in Article V.</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Activity Notice Date</w:t>
      </w:r>
      <w:r>
        <w:rPr>
          <w:rFonts w:ascii="Arial" w:cs="Arial" w:eastAsia="Arial" w:hAnsi="Arial"/>
          <w:sz w:val="18"/>
          <w:szCs w:val="18"/>
          <w:color w:val="auto"/>
        </w:rPr>
        <w:t>” has the meaning given in Section 5.2.</w:t>
      </w:r>
    </w:p>
    <w:p>
      <w:pPr>
        <w:spacing w:after="0" w:line="200" w:lineRule="exact"/>
        <w:rPr>
          <w:sz w:val="20"/>
          <w:szCs w:val="20"/>
          <w:color w:val="auto"/>
        </w:rPr>
      </w:pPr>
    </w:p>
    <w:p>
      <w:pPr>
        <w:spacing w:after="0" w:line="2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259" w:name="page260"/>
    <w:bookmarkEnd w:id="259"/>
    <w:p>
      <w:pPr>
        <w:ind w:right="6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Disability</w:t>
      </w:r>
      <w:r>
        <w:rPr>
          <w:rFonts w:ascii="Arial" w:cs="Arial" w:eastAsia="Arial" w:hAnsi="Arial"/>
          <w:sz w:val="18"/>
          <w:szCs w:val="18"/>
          <w:color w:val="auto"/>
        </w:rPr>
        <w:t>” means, unless otherwise provided in an Award Agreement, a Participant’s long-term disability within the meaning of the long-term disability insurance plan or program of the Company or any Subsidiary then covering the Participant, or in the absence of such a plan or program, as determined in good faith by the Administrator.</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has the meaning given in Article V.</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in Section 9.9.</w:t>
      </w:r>
    </w:p>
    <w:p>
      <w:pPr>
        <w:spacing w:after="0" w:line="117" w:lineRule="exact"/>
        <w:rPr>
          <w:sz w:val="20"/>
          <w:szCs w:val="20"/>
          <w:color w:val="auto"/>
        </w:rPr>
      </w:pPr>
    </w:p>
    <w:p>
      <w:pPr>
        <w:ind w:right="78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Person</w:t>
      </w:r>
      <w:r>
        <w:rPr>
          <w:rFonts w:ascii="Arial" w:cs="Arial" w:eastAsia="Arial" w:hAnsi="Arial"/>
          <w:sz w:val="18"/>
          <w:szCs w:val="18"/>
          <w:color w:val="auto"/>
        </w:rPr>
        <w:t>” means any executive, officer or other employee of, non-employee director of, or independent contractor to, the Administrator, the Company or any Subsidiary or Affiliate of the Company.</w:t>
      </w:r>
    </w:p>
    <w:p>
      <w:pPr>
        <w:spacing w:after="0" w:line="62" w:lineRule="exact"/>
        <w:rPr>
          <w:sz w:val="20"/>
          <w:szCs w:val="20"/>
          <w:color w:val="auto"/>
        </w:rPr>
      </w:pPr>
    </w:p>
    <w:p>
      <w:pPr>
        <w:ind w:right="42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with respect to a Unit means the fair market value of such Unit under the Company Operating Agreement, as determined in good faith by the Administrator giving due regard to any relevant valuation indicia with respect to the Company, including, if applicable, any valuation obtained under Section 409A of the Code.</w:t>
      </w:r>
    </w:p>
    <w:p>
      <w:pPr>
        <w:spacing w:after="0" w:line="76" w:lineRule="exact"/>
        <w:rPr>
          <w:sz w:val="20"/>
          <w:szCs w:val="20"/>
          <w:color w:val="auto"/>
        </w:rPr>
      </w:pPr>
    </w:p>
    <w:p>
      <w:pPr>
        <w:ind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Agreements</w:t>
      </w:r>
      <w:r>
        <w:rPr>
          <w:rFonts w:ascii="Arial" w:cs="Arial" w:eastAsia="Arial" w:hAnsi="Arial"/>
          <w:sz w:val="18"/>
          <w:szCs w:val="18"/>
          <w:color w:val="auto"/>
        </w:rPr>
        <w:t>” means any guaranty, financing or security agreement or document entered into by the Company or any Subsidiary from time to time.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with respect to any Award, the date as of which such Award is granted pursuant to the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Hurdle Amount</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Immature Units</w:t>
      </w:r>
      <w:r>
        <w:rPr>
          <w:rFonts w:ascii="Arial" w:cs="Arial" w:eastAsia="Arial" w:hAnsi="Arial"/>
          <w:sz w:val="18"/>
          <w:szCs w:val="18"/>
          <w:color w:val="auto"/>
        </w:rPr>
        <w:t>” has the meaning given in Section 5.3(a).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Restructuring</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firstLine="4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Management LLC</w:t>
      </w:r>
      <w:r>
        <w:rPr>
          <w:rFonts w:ascii="Arial" w:cs="Arial" w:eastAsia="Arial" w:hAnsi="Arial"/>
          <w:sz w:val="17"/>
          <w:szCs w:val="17"/>
          <w:color w:val="auto"/>
        </w:rPr>
        <w:t xml:space="preserve"> ” means Blizzard Management Feeder, LLC, a Delaware limited liability company, and any successor thereto. To the extent necessary for any purpose, this Plan shall also be deemed to be the equity incentive plan of Management LLC with respect to the Common Units and Profits Units issued by Management LLC to Eligible Persons (other than Management LLC).</w:t>
      </w:r>
    </w:p>
    <w:p>
      <w:pPr>
        <w:spacing w:after="0" w:line="34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480"/>
          </w:cols>
          <w:pgMar w:left="880" w:top="274" w:right="539" w:bottom="1440" w:gutter="0" w:footer="0" w:header="0"/>
        </w:sectPr>
      </w:pPr>
    </w:p>
    <w:bookmarkStart w:id="260" w:name="page261"/>
    <w:bookmarkEnd w:id="260"/>
    <w:p>
      <w:pPr>
        <w:ind w:firstLine="42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Management LLC Agreement</w:t>
      </w:r>
      <w:r>
        <w:rPr>
          <w:rFonts w:ascii="Arial" w:cs="Arial" w:eastAsia="Arial" w:hAnsi="Arial"/>
          <w:sz w:val="18"/>
          <w:szCs w:val="18"/>
          <w:color w:val="auto"/>
        </w:rPr>
        <w:t xml:space="preserve"> ” means the Limited Liability Company Agreement of Management LLC, dated as of the Closing Date and as amended from time to time.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Eligible Person who is granted an Award (including indirectly by virtue of Management LLC).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Blizzard Parent, LLC Profits Unit Plan, as amended from time to time.</w:t>
      </w:r>
    </w:p>
    <w:p>
      <w:pPr>
        <w:spacing w:after="0" w:line="117" w:lineRule="exact"/>
        <w:rPr>
          <w:sz w:val="20"/>
          <w:szCs w:val="20"/>
          <w:color w:val="auto"/>
        </w:rPr>
      </w:pPr>
    </w:p>
    <w:p>
      <w:pPr>
        <w:ind w:right="80" w:firstLine="42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Profits Unit</w:t>
      </w:r>
      <w:r>
        <w:rPr>
          <w:rFonts w:ascii="Arial" w:cs="Arial" w:eastAsia="Arial" w:hAnsi="Arial"/>
          <w:sz w:val="17"/>
          <w:szCs w:val="17"/>
          <w:color w:val="auto"/>
        </w:rPr>
        <w:t>” means, as required by context, a Profits Unit of the Company (as defined in the Company Operating Agreement) granted hereunder and/or a corresponding partnership profits interest in Management LLC that relates to such Profits Unit of the Company, in each case subject to the terms of the Plan and in each case, if applicable, any securities which may be issued after the Effective Date in respect of, or in exchange for, a Profits Unit (which are sometimes referred to herein as “successor equity interests”).</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 Unit Repurchase Price</w:t>
      </w:r>
      <w:r>
        <w:rPr>
          <w:rFonts w:ascii="Arial" w:cs="Arial" w:eastAsia="Arial" w:hAnsi="Arial"/>
          <w:sz w:val="18"/>
          <w:szCs w:val="18"/>
          <w:color w:val="auto"/>
        </w:rPr>
        <w:t>” has the meaning given in Article V.</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Price</w:t>
      </w:r>
      <w:r>
        <w:rPr>
          <w:rFonts w:ascii="Arial" w:cs="Arial" w:eastAsia="Arial" w:hAnsi="Arial"/>
          <w:sz w:val="18"/>
          <w:szCs w:val="18"/>
          <w:color w:val="auto"/>
        </w:rPr>
        <w:t>” has the meaning given in Article V.</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Agreement</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Sold Unit Clawback</w:t>
      </w:r>
      <w:r>
        <w:rPr>
          <w:rFonts w:ascii="Arial" w:cs="Arial" w:eastAsia="Arial" w:hAnsi="Arial"/>
          <w:sz w:val="18"/>
          <w:szCs w:val="18"/>
          <w:color w:val="auto"/>
        </w:rPr>
        <w:t>” has the meaning given in Section 5.3(c).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given in the Company Operating Agreement.</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20"/>
          </w:cols>
          <w:pgMar w:left="880" w:top="274" w:right="599" w:bottom="1440" w:gutter="0" w:footer="0" w:header="0"/>
        </w:sectPr>
      </w:pPr>
    </w:p>
    <w:bookmarkStart w:id="261" w:name="page262"/>
    <w:bookmarkEnd w:id="26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Units</w:t>
      </w:r>
      <w:r>
        <w:rPr>
          <w:rFonts w:ascii="Arial" w:cs="Arial" w:eastAsia="Arial" w:hAnsi="Arial"/>
          <w:sz w:val="18"/>
          <w:szCs w:val="18"/>
          <w:color w:val="auto"/>
        </w:rPr>
        <w:t>” means Common Units (including successor equity interests) and Profits Units (including successor equity interests).</w:t>
      </w:r>
    </w:p>
    <w:p>
      <w:pPr>
        <w:spacing w:after="0" w:line="117" w:lineRule="exact"/>
        <w:rPr>
          <w:sz w:val="20"/>
          <w:szCs w:val="20"/>
          <w:color w:val="auto"/>
        </w:rPr>
      </w:pPr>
    </w:p>
    <w:p>
      <w:pPr>
        <w:ind w:firstLine="42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Vesting Commencement Date</w:t>
      </w:r>
      <w:r>
        <w:rPr>
          <w:rFonts w:ascii="Arial" w:cs="Arial" w:eastAsia="Arial" w:hAnsi="Arial"/>
          <w:sz w:val="17"/>
          <w:szCs w:val="17"/>
          <w:color w:val="auto"/>
        </w:rPr>
        <w:t>” means the date on which the vesting period of an Award granted hereunder begins, as set forth in the Award Agreement (which may be earlier than or later than the Grant Date); or, if no such date is set forth therein, the Grant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117" w:lineRule="exact"/>
        <w:rPr>
          <w:sz w:val="20"/>
          <w:szCs w:val="20"/>
          <w:color w:val="auto"/>
        </w:rPr>
      </w:pPr>
    </w:p>
    <w:p>
      <w:pPr>
        <w:ind w:right="140" w:firstLine="419"/>
        <w:spacing w:after="0" w:line="277" w:lineRule="auto"/>
        <w:tabs>
          <w:tab w:leader="none" w:pos="667"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Except when otherwise indicated by the context, words in the masculine gender used in the Plan shall include the feminine gender, the singular shall include the plural, and the plural shall include the singular.</w:t>
      </w:r>
    </w:p>
    <w:p>
      <w:pPr>
        <w:spacing w:after="0" w:line="62" w:lineRule="exact"/>
        <w:rPr>
          <w:rFonts w:ascii="Arial" w:cs="Arial" w:eastAsia="Arial" w:hAnsi="Arial"/>
          <w:sz w:val="18"/>
          <w:szCs w:val="18"/>
          <w:color w:val="auto"/>
        </w:rPr>
      </w:pPr>
    </w:p>
    <w:p>
      <w:pPr>
        <w:ind w:right="40" w:firstLine="419"/>
        <w:spacing w:after="0" w:line="257" w:lineRule="auto"/>
        <w:tabs>
          <w:tab w:leader="none" w:pos="67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Use of the term “Employ”</w:t>
      </w:r>
      <w:r>
        <w:rPr>
          <w:rFonts w:ascii="Arial" w:cs="Arial" w:eastAsia="Arial" w:hAnsi="Arial"/>
          <w:sz w:val="18"/>
          <w:szCs w:val="18"/>
          <w:color w:val="auto"/>
        </w:rPr>
        <w:t>. The phrase “employee”, “employment with the Company” and corollary terms used herein and in an Award Agreement (</w:t>
      </w:r>
      <w:r>
        <w:rPr>
          <w:rFonts w:ascii="Arial" w:cs="Arial" w:eastAsia="Arial" w:hAnsi="Arial"/>
          <w:sz w:val="18"/>
          <w:szCs w:val="18"/>
          <w:u w:val="single" w:color="auto"/>
          <w:color w:val="auto"/>
        </w:rPr>
        <w:t>x</w:t>
      </w:r>
      <w:r>
        <w:rPr>
          <w:rFonts w:ascii="Arial" w:cs="Arial" w:eastAsia="Arial" w:hAnsi="Arial"/>
          <w:sz w:val="18"/>
          <w:szCs w:val="18"/>
          <w:color w:val="auto"/>
        </w:rPr>
        <w:t>) with respect to an employee shall be construed to refer to the employment with the Company and/or the Subsidiaries or Affiliates of the Company that actually employ the employee, and (</w:t>
      </w:r>
      <w:r>
        <w:rPr>
          <w:rFonts w:ascii="Arial" w:cs="Arial" w:eastAsia="Arial" w:hAnsi="Arial"/>
          <w:sz w:val="18"/>
          <w:szCs w:val="18"/>
          <w:u w:val="single" w:color="auto"/>
          <w:color w:val="auto"/>
        </w:rPr>
        <w:t>y</w:t>
      </w:r>
      <w:r>
        <w:rPr>
          <w:rFonts w:ascii="Arial" w:cs="Arial" w:eastAsia="Arial" w:hAnsi="Arial"/>
          <w:sz w:val="18"/>
          <w:szCs w:val="18"/>
          <w:color w:val="auto"/>
        </w:rPr>
        <w:t>) with respect to a director or independent contractor shall be construed to refer to whichever of the Company and/or the Subsidiaries or Affiliates of the Company to which the director or independent contractor actually provides services.</w:t>
      </w:r>
    </w:p>
    <w:p>
      <w:pPr>
        <w:spacing w:after="0" w:line="79" w:lineRule="exact"/>
        <w:rPr>
          <w:rFonts w:ascii="Arial" w:cs="Arial" w:eastAsia="Arial" w:hAnsi="Arial"/>
          <w:sz w:val="18"/>
          <w:szCs w:val="18"/>
          <w:color w:val="auto"/>
        </w:rPr>
      </w:pPr>
    </w:p>
    <w:p>
      <w:pPr>
        <w:ind w:firstLine="419"/>
        <w:spacing w:after="0" w:line="342" w:lineRule="auto"/>
        <w:tabs>
          <w:tab w:leader="none" w:pos="667"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It shall be condition of each Award under the Plan that the date of termination of a Participant’s employment shall be determined without regard to any statutory or deemed or express contractual notice period, unless otherwise required by law.</w:t>
      </w:r>
    </w:p>
    <w:p>
      <w:pPr>
        <w:spacing w:after="0" w:line="15" w:lineRule="exact"/>
        <w:rPr>
          <w:rFonts w:ascii="Arial" w:cs="Arial" w:eastAsia="Arial" w:hAnsi="Arial"/>
          <w:sz w:val="16"/>
          <w:szCs w:val="16"/>
          <w:color w:val="auto"/>
        </w:rPr>
      </w:pPr>
    </w:p>
    <w:p>
      <w:pPr>
        <w:ind w:right="60" w:firstLine="419"/>
        <w:spacing w:after="0" w:line="259" w:lineRule="auto"/>
        <w:tabs>
          <w:tab w:leader="none" w:pos="67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“Participant” Status</w:t>
      </w:r>
      <w:r>
        <w:rPr>
          <w:rFonts w:ascii="Arial" w:cs="Arial" w:eastAsia="Arial" w:hAnsi="Arial"/>
          <w:sz w:val="18"/>
          <w:szCs w:val="18"/>
          <w:color w:val="auto"/>
        </w:rPr>
        <w:t>. For purposes of this Plan, an Eligible Person who holds equity interests in Management LLC that correspond to Common Units or Profits Units granted by the Company to Management LLC shall be deemed a Participant for the substantive provisions of this Plan (including those relating to termination of employment and Competitive Activity) notwithstanding that such Eligible Person may not hold Common Units of the Company or Profits Units of the Company directly.</w:t>
      </w:r>
    </w:p>
    <w:p>
      <w:pPr>
        <w:spacing w:after="0" w:line="78" w:lineRule="exact"/>
        <w:rPr>
          <w:rFonts w:ascii="Arial" w:cs="Arial" w:eastAsia="Arial" w:hAnsi="Arial"/>
          <w:sz w:val="18"/>
          <w:szCs w:val="18"/>
          <w:color w:val="auto"/>
        </w:rPr>
      </w:pPr>
    </w:p>
    <w:p>
      <w:pPr>
        <w:jc w:val="both"/>
        <w:ind w:right="120" w:firstLine="419"/>
        <w:spacing w:after="0" w:line="263" w:lineRule="auto"/>
        <w:tabs>
          <w:tab w:leader="none" w:pos="667"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Overriding Effect of the Company Agreement and Award or Other Agreements</w:t>
      </w:r>
      <w:r>
        <w:rPr>
          <w:rFonts w:ascii="Arial" w:cs="Arial" w:eastAsia="Arial" w:hAnsi="Arial"/>
          <w:sz w:val="18"/>
          <w:szCs w:val="18"/>
          <w:color w:val="auto"/>
        </w:rPr>
        <w:t>. If there is any inconsistency between any express term of the Plan or any Award Agreement, on the one hand, and any express term of the Company Operating Agreement, on the other hand, the terms of the Company Operating Agreement shall govern.</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20"/>
          </w:cols>
          <w:pgMar w:left="880" w:top="274" w:right="499" w:bottom="1440" w:gutter="0" w:footer="0" w:header="0"/>
        </w:sectPr>
      </w:pPr>
    </w:p>
    <w:bookmarkStart w:id="262" w:name="page263"/>
    <w:bookmarkEnd w:id="262"/>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Miscellaneous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Nontransferability of Awards; Holdback Agreement.</w:t>
      </w:r>
    </w:p>
    <w:p>
      <w:pPr>
        <w:spacing w:after="0" w:line="117" w:lineRule="exact"/>
        <w:rPr>
          <w:sz w:val="20"/>
          <w:szCs w:val="20"/>
          <w:color w:val="auto"/>
        </w:rPr>
      </w:pPr>
    </w:p>
    <w:p>
      <w:pPr>
        <w:ind w:right="80" w:firstLine="436"/>
        <w:spacing w:after="0" w:line="293" w:lineRule="auto"/>
        <w:tabs>
          <w:tab w:leader="none" w:pos="68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Except as otherwise provided herein, in an Award Agreement, in the Company Operating Agreement or as the Administrator may permit on such terms as it shall determine, no Awards granted under the Plan may be sold, transferred, pledged, assigned, hedged, encumbered or otherwise alienated or hypothecated, other than by will or by the laws of descent and distribution. All rights with respect to Awards granted to a Participant under the Plan shall be exercisable during the Participant’s lifetime by such Participant only (or, in the event of the Participant’s Disability, such Participant’s legal representative). Following a Participant’s death, all rights with respect to Awards that were outstanding at the time of such Participant’s death and have not terminated shall be exercised by his designated beneficiary or by his estate in the absence of a designated beneficiary</w:t>
      </w:r>
    </w:p>
    <w:p>
      <w:pPr>
        <w:spacing w:after="0" w:line="56" w:lineRule="exact"/>
        <w:rPr>
          <w:rFonts w:ascii="Arial" w:cs="Arial" w:eastAsia="Arial" w:hAnsi="Arial"/>
          <w:sz w:val="16"/>
          <w:szCs w:val="16"/>
          <w:color w:val="auto"/>
        </w:rPr>
      </w:pPr>
    </w:p>
    <w:p>
      <w:pPr>
        <w:ind w:firstLine="436"/>
        <w:spacing w:after="0" w:line="269" w:lineRule="auto"/>
        <w:tabs>
          <w:tab w:leader="none" w:pos="695" w:val="left"/>
        </w:tabs>
        <w:numPr>
          <w:ilvl w:val="0"/>
          <w:numId w:val="255"/>
        </w:numPr>
        <w:rPr>
          <w:rFonts w:ascii="Arial" w:cs="Arial" w:eastAsia="Arial" w:hAnsi="Arial"/>
          <w:sz w:val="17"/>
          <w:szCs w:val="17"/>
          <w:color w:val="auto"/>
        </w:rPr>
      </w:pPr>
      <w:r>
        <w:rPr>
          <w:rFonts w:ascii="Arial" w:cs="Arial" w:eastAsia="Arial" w:hAnsi="Arial"/>
          <w:sz w:val="17"/>
          <w:szCs w:val="17"/>
          <w:u w:val="single" w:color="auto"/>
          <w:color w:val="auto"/>
        </w:rPr>
        <w:t>Holdback Agreements</w:t>
      </w:r>
      <w:r>
        <w:rPr>
          <w:rFonts w:ascii="Arial" w:cs="Arial" w:eastAsia="Arial" w:hAnsi="Arial"/>
          <w:sz w:val="17"/>
          <w:szCs w:val="17"/>
          <w:color w:val="auto"/>
        </w:rPr>
        <w:t>. If the Company or any Subsidiary or Affiliate (or a successor thereto, including in connection with an IPO Restructuring) files a registration statement under the Securities Act with respect to an underwritten public offering of Units (including successor equity interests), no Participant shall effect any public sale (including a sale under Rule 144 under the Securities Act or other similar provision of applicable law) or distribution of any Units (including successor equity interests), other than as part of such underwritten public offering, during the 20 days prior to and the 180 days after the effective date of such registration statement (or such other period as may be generally applicable to or agreed by the Company’s senior-most executives in consultation with the managing underwriter(s), if any, of such offering). If the Company files a prospectus in connection with a takedown from a shelf registration statement, no Participant shall effect any public sale (including a sale under Rule 144 under the Securities Act or other similar provision of applicable law in consultation with the managing underwriter(s), if any, of such offering) or distribution of any Units (including successor equity interests), other than as part of such offering, for 20 days prior to and 90 days after the date the prospectus supplement is filed with the Securities and Exchange Commission (or such other period as may be generally applicable to or agreed by the Company’s senior-most executives).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63" w:name="page264"/>
    <w:bookmarkEnd w:id="263"/>
    <w:p>
      <w:pPr>
        <w:ind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9.2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the Subsidiary employing a Participant shall have the power to withhold up to the maximum statutory requirement, or to require such Participant to remit to the Company or such Subsidiary, an amount sufficient to satisfy all U.S. federal, state, local and any non-U.S. withholding tax and other governmental tax, charge or fee requirements in respect of any Award granted under the Plan (excluding, where applicable, the employer portion of any employment, social or similar taxes).</w:t>
      </w:r>
    </w:p>
    <w:p>
      <w:pPr>
        <w:spacing w:after="0" w:line="18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Pursuant to such rules and procedures as the Administrator may from time to time establish, a Participant may name a beneficiary or beneficiaries (who may be named contingently or successively) by whom any right under the Plan is to be exercised in case of such Participant’s death. Each designation will revoke all prior designations by the same Participant, shall be in a form reasonably prescribed by the Administrator, and will be effective only when filed by the Participant in writing with the Administrator during his lifetime.</w:t>
      </w:r>
    </w:p>
    <w:p>
      <w:pPr>
        <w:spacing w:after="0" w:line="15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No Guarantee of Employment or Participation; No Right to Awards of Equal Amount or Terms; No Guarantee of Tax Treatment</w:t>
      </w:r>
      <w:r>
        <w:rPr>
          <w:rFonts w:ascii="Arial" w:cs="Arial" w:eastAsia="Arial" w:hAnsi="Arial"/>
          <w:sz w:val="16"/>
          <w:szCs w:val="16"/>
          <w:color w:val="auto"/>
        </w:rPr>
        <w:t>. Nothing in the Plan or in any Award Agreement shall interfere with or limit in any way the right of the Company or any Subsidiary to terminate any Participant’s employment or retention at any time, or confer upon any Participant any right to continue in the employ or retention of the Company or any Subsidiary. No Person shall have a right to be selected as a Participant or, having been so selected, to receive any other or future Awards. There is no obligation for uniformity of treatment of Participants regarding the number of Profits Units awarded or the manner in which Awards are made. The terms and conditions made under the Plan need not be the same with respect to each Participant. Neither the Administrator nor the Company make any guarantees to any person regarding the tax treatment of any Award or payments or distributions made with respect to any Award. Neither the Administrator nor the Company have any duty or obligation to minimize the tax consequences of any Award to any Participant, including but not limited to tax consequences that may result from changes to applicable law and none of the Administrator, the Company, any Subsidiaries or Affiliates of the Company, or any of their employees or representatives, shall have any liability to any person with respect to such tax consequences.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4" w:name="page265"/>
    <w:bookmarkEnd w:id="264"/>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9.5 </w:t>
      </w:r>
      <w:r>
        <w:rPr>
          <w:rFonts w:ascii="Arial" w:cs="Arial" w:eastAsia="Arial" w:hAnsi="Arial"/>
          <w:sz w:val="18"/>
          <w:szCs w:val="18"/>
          <w:u w:val="single" w:color="auto"/>
          <w:color w:val="auto"/>
        </w:rPr>
        <w:t>No Limitation on Compensation; No Impact on Benefits</w:t>
      </w:r>
      <w:r>
        <w:rPr>
          <w:rFonts w:ascii="Arial" w:cs="Arial" w:eastAsia="Arial" w:hAnsi="Arial"/>
          <w:sz w:val="18"/>
          <w:szCs w:val="18"/>
          <w:color w:val="auto"/>
        </w:rPr>
        <w:t>. Nothing in the Plan shall be construed to limit the right of the Company or any Subsidiary to establish other plans or to pay compensation to its employees, in cash or property, in a manner that is not expressly authorized under the Plan. Except as may otherwise be specifically and unequivocally stated under any employee benefit plan, policy or program, no amount payable in respect of any Award shall be treated as compensation for purposes of calculating a Participant’s rights under any such plan, policy or program. The selection of an Eligible Person as a Participant shall neither entitle such Eligible Person to, nor disqualify such Eligible Person from, participation in any other award or incentive plan.</w:t>
      </w:r>
    </w:p>
    <w:p>
      <w:pPr>
        <w:spacing w:after="0" w:line="192"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 xml:space="preserve">Section 9.6 </w:t>
      </w:r>
      <w:r>
        <w:rPr>
          <w:rFonts w:ascii="Arial" w:cs="Arial" w:eastAsia="Arial" w:hAnsi="Arial"/>
          <w:sz w:val="17"/>
          <w:szCs w:val="17"/>
          <w:u w:val="single" w:color="auto"/>
          <w:color w:val="auto"/>
        </w:rPr>
        <w:t>Requirements of Law</w:t>
      </w:r>
      <w:r>
        <w:rPr>
          <w:rFonts w:ascii="Arial" w:cs="Arial" w:eastAsia="Arial" w:hAnsi="Arial"/>
          <w:sz w:val="17"/>
          <w:szCs w:val="17"/>
          <w:color w:val="auto"/>
        </w:rPr>
        <w:t>. The granting of Awards and the issuance of Units pursuant to the Plan shall be subject to all applicable laws, rules and regulations, and to such approvals by any governmental agencies or national securities exchanges as may be required. No Awards shall be granted under the Plan, and no Units shall be sold or issued under the Plan, if such grant, sale or issuance would result in a violation of applicable law, including U.S. federal securities laws and any applicable state or non-U.S. securities laws.</w:t>
      </w:r>
    </w:p>
    <w:p>
      <w:pPr>
        <w:spacing w:after="0" w:line="17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Freedom of Action</w:t>
      </w:r>
      <w:r>
        <w:rPr>
          <w:rFonts w:ascii="Arial" w:cs="Arial" w:eastAsia="Arial" w:hAnsi="Arial"/>
          <w:sz w:val="17"/>
          <w:szCs w:val="17"/>
          <w:color w:val="auto"/>
        </w:rPr>
        <w:t>. Nothing in the Plan or any Award Agreement evidencing an Award shall be construed as limiting or preventing the Company or any Subsidiary from taking any action that it deems appropriate or in its best interest (as determined in its sole and absolute discretion), including without limitation any adjustment, recapitalization, reorganization or other change in the Company’s or any Subsidiary’s capital structure or its business, any merger or consolidation of the Company or any Subsidiary, any issue of debt or equity securities, the dissolution or liquidation of the Company or any Subsidiary or any sale, lease, exchange or other disposition of all or any part of its assets or business or any other corporate act or proceeding. No Participant (or person claiming by or through a Participant) shall have any right relating to the diminishment in the value of any Award as a result of any such action. This Section 9.7 shall not be construed to enlarge the rights of the Company or the Administrator hereunder with respect to the interpretation or administration of the Plan or any Award Agreements.</w:t>
      </w:r>
    </w:p>
    <w:p>
      <w:pPr>
        <w:spacing w:after="0" w:line="178"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Unfunded Plan; Plan Not Subject to ERISA</w:t>
      </w:r>
      <w:r>
        <w:rPr>
          <w:rFonts w:ascii="Arial" w:cs="Arial" w:eastAsia="Arial" w:hAnsi="Arial"/>
          <w:sz w:val="17"/>
          <w:szCs w:val="17"/>
          <w:color w:val="auto"/>
        </w:rPr>
        <w:t>. The Plan is an unfunded plan and Participants shall have the status of unsecured creditors of the Company. The Plan is not intended to be subject to the Employee Retirement Income and Security Act of 1974, as amended.</w:t>
      </w:r>
    </w:p>
    <w:p>
      <w:pPr>
        <w:spacing w:after="0" w:line="14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Term of Plan</w:t>
      </w:r>
      <w:r>
        <w:rPr>
          <w:rFonts w:ascii="Arial" w:cs="Arial" w:eastAsia="Arial" w:hAnsi="Arial"/>
          <w:sz w:val="18"/>
          <w:szCs w:val="18"/>
          <w:color w:val="auto"/>
        </w:rPr>
        <w:t>. The Plan shall be effective as of the Closing Date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and shall continue in effect, unless sooner terminated pursuant to Article VII, until the tenth anniversary of such date. The provisions of the Plan shall continue thereafter to govern all outstanding Awards (which Awards, for clarity, shall not be terminated).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65" w:name="page266"/>
    <w:bookmarkEnd w:id="26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9.10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governed by and construed in accordance with the law of the State of Delaware regardless of the application of rules of conflict of law that would apply the laws of any other jurisdiction.</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The Plan and the Award Agreements entered into pursuant to the Plan are intended to be exempt from the requirements of Section 409A of the Code and shall be construed and interpreted in accordance with such intent, and no such construction or interpretation of the Plan or an Award Agreement shall be treated as an amendment or modification of the Plan under Article VII. In no event shall any provision of the Plan be construed as an indemnification of a Participant by the Company in the event that the additional taxes under Section 409A of the Code apply to Awards granted hereunder.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10.10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Common Unit and Profits Unit Agreement</w:t>
      </w:r>
    </w:p>
    <w:p>
      <w:pPr>
        <w:spacing w:after="0" w:line="22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This Executive Common Unit and Profits Unit Agreement, dated as of the date set forth on the page immediately following the signature page hereof, is entered into by and among Blizzard Parent,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Blizzard Management Feeder, LLC, a Delaware limited liability company (“</w:t>
      </w:r>
      <w:r>
        <w:rPr>
          <w:rFonts w:ascii="Arial" w:cs="Arial" w:eastAsia="Arial" w:hAnsi="Arial"/>
          <w:sz w:val="16"/>
          <w:szCs w:val="16"/>
          <w:u w:val="single" w:color="auto"/>
          <w:color w:val="auto"/>
        </w:rPr>
        <w:t>Management LLC</w:t>
      </w:r>
      <w:r>
        <w:rPr>
          <w:rFonts w:ascii="Arial" w:cs="Arial" w:eastAsia="Arial" w:hAnsi="Arial"/>
          <w:sz w:val="16"/>
          <w:szCs w:val="16"/>
          <w:color w:val="auto"/>
        </w:rPr>
        <w:t>”), and the Executive whose name appears on the signature page hereof (the “</w:t>
      </w:r>
      <w:r>
        <w:rPr>
          <w:rFonts w:ascii="Arial" w:cs="Arial" w:eastAsia="Arial" w:hAnsi="Arial"/>
          <w:sz w:val="16"/>
          <w:szCs w:val="16"/>
          <w:u w:val="single" w:color="auto"/>
          <w:color w:val="auto"/>
        </w:rPr>
        <w:t>Executive</w:t>
      </w:r>
      <w:r>
        <w:rPr>
          <w:rFonts w:ascii="Arial" w:cs="Arial" w:eastAsia="Arial" w:hAnsi="Arial"/>
          <w:sz w:val="16"/>
          <w:szCs w:val="16"/>
          <w:color w:val="auto"/>
        </w:rPr>
        <w:t>”), pursuant to, and subject to the terms of, the Blizzard Parent, LLC Profits Unit Plan. The meaning of each capitalized term may be found in Section 8.</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Management LLC and the Executive hereby agree as follows:</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Grant of Profits Units</w:t>
      </w:r>
    </w:p>
    <w:p>
      <w:pPr>
        <w:spacing w:after="0" w:line="117" w:lineRule="exact"/>
        <w:rPr>
          <w:sz w:val="20"/>
          <w:szCs w:val="20"/>
          <w:color w:val="auto"/>
        </w:rPr>
      </w:pPr>
    </w:p>
    <w:p>
      <w:pPr>
        <w:ind w:left="440" w:right="20" w:firstLine="419"/>
        <w:spacing w:after="0" w:line="284" w:lineRule="auto"/>
        <w:tabs>
          <w:tab w:leader="none" w:pos="1107" w:val="left"/>
        </w:tabs>
        <w:numPr>
          <w:ilvl w:val="0"/>
          <w:numId w:val="256"/>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Subject to all the terms of this Agreement, the Company has elected to indirectly grant to the Executive the number of Profits Units of the Company specified on the page immediately following the signature page hereof, to be held indirectly as provided herein. This grant of Profits Units is being made, and the terms of the Profits Units are subject to, this Agreement, the Profits Unit Plan, the Company Operating Agreement and the Management LLC Agreement. Such grant shall be effected by (</w:t>
      </w:r>
      <w:r>
        <w:rPr>
          <w:rFonts w:ascii="Arial" w:cs="Arial" w:eastAsia="Arial" w:hAnsi="Arial"/>
          <w:sz w:val="16"/>
          <w:szCs w:val="16"/>
          <w:u w:val="single" w:color="auto"/>
          <w:color w:val="auto"/>
        </w:rPr>
        <w:t>x</w:t>
      </w:r>
      <w:r>
        <w:rPr>
          <w:rFonts w:ascii="Arial" w:cs="Arial" w:eastAsia="Arial" w:hAnsi="Arial"/>
          <w:sz w:val="16"/>
          <w:szCs w:val="16"/>
          <w:color w:val="auto"/>
        </w:rPr>
        <w:t>) the grant by Management LLC of Profits Units of Management LLC equal to the number of Profits Units of the Company set forth on the page immediately following the signature page hereof, and (</w:t>
      </w:r>
      <w:r>
        <w:rPr>
          <w:rFonts w:ascii="Arial" w:cs="Arial" w:eastAsia="Arial" w:hAnsi="Arial"/>
          <w:sz w:val="16"/>
          <w:szCs w:val="16"/>
          <w:u w:val="single" w:color="auto"/>
          <w:color w:val="auto"/>
        </w:rPr>
        <w:t>y</w:t>
      </w:r>
      <w:r>
        <w:rPr>
          <w:rFonts w:ascii="Arial" w:cs="Arial" w:eastAsia="Arial" w:hAnsi="Arial"/>
          <w:sz w:val="16"/>
          <w:szCs w:val="16"/>
          <w:color w:val="auto"/>
        </w:rPr>
        <w:t>) the grant, concurrently therewith, by the Company to Management LLC of the Profits Units referred to in the first sentence of this</w:t>
      </w:r>
    </w:p>
    <w:p>
      <w:pPr>
        <w:spacing w:after="0" w:line="4"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Section 1(a).</w:t>
      </w:r>
    </w:p>
    <w:p>
      <w:pPr>
        <w:spacing w:after="0" w:line="102" w:lineRule="exact"/>
        <w:rPr>
          <w:rFonts w:ascii="Arial" w:cs="Arial" w:eastAsia="Arial" w:hAnsi="Arial"/>
          <w:sz w:val="16"/>
          <w:szCs w:val="16"/>
          <w:color w:val="auto"/>
        </w:rPr>
      </w:pPr>
    </w:p>
    <w:p>
      <w:pPr>
        <w:ind w:left="440" w:right="20" w:firstLine="419"/>
        <w:spacing w:after="0" w:line="263" w:lineRule="auto"/>
        <w:tabs>
          <w:tab w:leader="none" w:pos="1118"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83(b) Election</w:t>
      </w:r>
      <w:r>
        <w:rPr>
          <w:rFonts w:ascii="Arial" w:cs="Arial" w:eastAsia="Arial" w:hAnsi="Arial"/>
          <w:sz w:val="18"/>
          <w:szCs w:val="18"/>
          <w:color w:val="auto"/>
        </w:rPr>
        <w:t xml:space="preserve">. As a condition to the grant of Profits Units of Management LLC, the Executive shall complete and return to the Company the election under Section 83(b) of the Code with respect to such Profits Units in the form attached hereto as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on or prior to the due date specified therefor.</w:t>
      </w:r>
    </w:p>
    <w:p>
      <w:pPr>
        <w:spacing w:after="0" w:line="75" w:lineRule="exact"/>
        <w:rPr>
          <w:rFonts w:ascii="Arial" w:cs="Arial" w:eastAsia="Arial" w:hAnsi="Arial"/>
          <w:sz w:val="18"/>
          <w:szCs w:val="18"/>
          <w:color w:val="auto"/>
        </w:rPr>
      </w:pPr>
    </w:p>
    <w:p>
      <w:pPr>
        <w:ind w:left="440" w:right="140" w:firstLine="419"/>
        <w:spacing w:after="0" w:line="263" w:lineRule="auto"/>
        <w:tabs>
          <w:tab w:leader="none" w:pos="1107"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Hurdle Amount</w:t>
      </w:r>
      <w:r>
        <w:rPr>
          <w:rFonts w:ascii="Arial" w:cs="Arial" w:eastAsia="Arial" w:hAnsi="Arial"/>
          <w:sz w:val="18"/>
          <w:szCs w:val="18"/>
          <w:color w:val="auto"/>
        </w:rPr>
        <w:t>. To the extent necessary for a Profits Unit to be a partnership profits interest for U.S. federal tax purposes, such Profits Unit shall have a Hurdle Amount maintained in the records of the Company, which shall be in addition to the Benchmark Amount as specified in the Company Operating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267" w:name="page268"/>
    <w:bookmarkEnd w:id="26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 </w:t>
      </w:r>
      <w:r>
        <w:rPr>
          <w:rFonts w:ascii="Arial" w:cs="Arial" w:eastAsia="Arial" w:hAnsi="Arial"/>
          <w:sz w:val="18"/>
          <w:szCs w:val="18"/>
          <w:u w:val="single" w:color="auto"/>
          <w:color w:val="auto"/>
        </w:rPr>
        <w:t>The Closing as to the Grant of Profits Units</w:t>
      </w:r>
    </w:p>
    <w:p>
      <w:pPr>
        <w:spacing w:after="0" w:line="117" w:lineRule="exact"/>
        <w:rPr>
          <w:sz w:val="20"/>
          <w:szCs w:val="20"/>
          <w:color w:val="auto"/>
        </w:rPr>
      </w:pPr>
    </w:p>
    <w:p>
      <w:pPr>
        <w:ind w:right="200" w:firstLine="419"/>
        <w:spacing w:after="0" w:line="263" w:lineRule="auto"/>
        <w:tabs>
          <w:tab w:leader="none" w:pos="667"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Time and Place</w:t>
      </w:r>
      <w:r>
        <w:rPr>
          <w:rFonts w:ascii="Arial" w:cs="Arial" w:eastAsia="Arial" w:hAnsi="Arial"/>
          <w:sz w:val="18"/>
          <w:szCs w:val="18"/>
          <w:color w:val="auto"/>
        </w:rPr>
        <w:t>. The grant of the Profits Units pursuant to Section 1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a time and place selected by the Company on or within five (5) business days following the date on which the Closing requirements of the Executive and Management LLC set forth in Sections 2(b) and 2(c) have been completed.</w:t>
      </w:r>
    </w:p>
    <w:p>
      <w:pPr>
        <w:spacing w:after="0" w:line="75" w:lineRule="exact"/>
        <w:rPr>
          <w:rFonts w:ascii="Arial" w:cs="Arial" w:eastAsia="Arial" w:hAnsi="Arial"/>
          <w:sz w:val="18"/>
          <w:szCs w:val="18"/>
          <w:color w:val="auto"/>
        </w:rPr>
      </w:pPr>
    </w:p>
    <w:p>
      <w:pPr>
        <w:ind w:right="100" w:firstLine="419"/>
        <w:spacing w:after="0" w:line="257" w:lineRule="auto"/>
        <w:tabs>
          <w:tab w:leader="none" w:pos="678"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Delivery by the Executive</w:t>
      </w:r>
      <w:r>
        <w:rPr>
          <w:rFonts w:ascii="Arial" w:cs="Arial" w:eastAsia="Arial" w:hAnsi="Arial"/>
          <w:sz w:val="18"/>
          <w:szCs w:val="18"/>
          <w:color w:val="auto"/>
        </w:rPr>
        <w:t>. At or prior to the Closing, the Executive shall deliver (</w:t>
      </w:r>
      <w:r>
        <w:rPr>
          <w:rFonts w:ascii="Arial" w:cs="Arial" w:eastAsia="Arial" w:hAnsi="Arial"/>
          <w:sz w:val="18"/>
          <w:szCs w:val="18"/>
          <w:u w:val="single" w:color="auto"/>
          <w:color w:val="auto"/>
        </w:rPr>
        <w:t>1</w:t>
      </w:r>
      <w:r>
        <w:rPr>
          <w:rFonts w:ascii="Arial" w:cs="Arial" w:eastAsia="Arial" w:hAnsi="Arial"/>
          <w:sz w:val="18"/>
          <w:szCs w:val="18"/>
          <w:color w:val="auto"/>
        </w:rPr>
        <w:t>) to the Company, a counterpart signature to this Agreement, (</w:t>
      </w:r>
      <w:r>
        <w:rPr>
          <w:rFonts w:ascii="Arial" w:cs="Arial" w:eastAsia="Arial" w:hAnsi="Arial"/>
          <w:sz w:val="18"/>
          <w:szCs w:val="18"/>
          <w:u w:val="single" w:color="auto"/>
          <w:color w:val="auto"/>
        </w:rPr>
        <w:t>2</w:t>
      </w:r>
      <w:r>
        <w:rPr>
          <w:rFonts w:ascii="Arial" w:cs="Arial" w:eastAsia="Arial" w:hAnsi="Arial"/>
          <w:sz w:val="18"/>
          <w:szCs w:val="18"/>
          <w:color w:val="auto"/>
        </w:rPr>
        <w:t xml:space="preserve">) to the Company and Management LLC, a completed accredited investor questionnaire in the form attached hereto as </w:t>
      </w:r>
      <w:r>
        <w:rPr>
          <w:rFonts w:ascii="Arial" w:cs="Arial" w:eastAsia="Arial" w:hAnsi="Arial"/>
          <w:sz w:val="18"/>
          <w:szCs w:val="18"/>
          <w:u w:val="single" w:color="auto"/>
          <w:color w:val="auto"/>
        </w:rPr>
        <w:t>Appendix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w:t>
      </w:r>
      <w:r>
        <w:rPr>
          <w:rFonts w:ascii="Arial" w:cs="Arial" w:eastAsia="Arial" w:hAnsi="Arial"/>
          <w:sz w:val="18"/>
          <w:szCs w:val="18"/>
          <w:color w:val="auto"/>
        </w:rPr>
        <w:t xml:space="preserve">) to Management LLC, a joinder to the Management LLC Agreement in the form attached hereto as </w:t>
      </w:r>
      <w:r>
        <w:rPr>
          <w:rFonts w:ascii="Arial" w:cs="Arial" w:eastAsia="Arial" w:hAnsi="Arial"/>
          <w:sz w:val="18"/>
          <w:szCs w:val="18"/>
          <w:u w:val="single" w:color="auto"/>
          <w:color w:val="auto"/>
        </w:rPr>
        <w:t>Appendix B</w:t>
      </w:r>
      <w:r>
        <w:rPr>
          <w:rFonts w:ascii="Arial" w:cs="Arial" w:eastAsia="Arial" w:hAnsi="Arial"/>
          <w:sz w:val="18"/>
          <w:szCs w:val="18"/>
          <w:color w:val="auto"/>
        </w:rPr>
        <w:t>. If requested by the Company or Management LLC, the Executive shall at the Closing also deliver to the Company and Management LLC a customary spousal waiver.</w:t>
      </w:r>
    </w:p>
    <w:p>
      <w:pPr>
        <w:spacing w:after="0" w:line="79" w:lineRule="exact"/>
        <w:rPr>
          <w:rFonts w:ascii="Arial" w:cs="Arial" w:eastAsia="Arial" w:hAnsi="Arial"/>
          <w:sz w:val="18"/>
          <w:szCs w:val="18"/>
          <w:color w:val="auto"/>
        </w:rPr>
      </w:pPr>
    </w:p>
    <w:p>
      <w:pPr>
        <w:ind w:left="660" w:hanging="241"/>
        <w:spacing w:after="0"/>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Delivery by the Company and Management LLC</w:t>
      </w:r>
      <w:r>
        <w:rPr>
          <w:rFonts w:ascii="Arial" w:cs="Arial" w:eastAsia="Arial" w:hAnsi="Arial"/>
          <w:sz w:val="17"/>
          <w:szCs w:val="17"/>
          <w:color w:val="auto"/>
        </w:rPr>
        <w:t>. At or prior to the Closing, the Company shall (1) deliver to the Executive the</w:t>
      </w:r>
    </w:p>
    <w:p>
      <w:pPr>
        <w:spacing w:after="0" w:line="34" w:lineRule="exact"/>
        <w:rPr>
          <w:rFonts w:ascii="Arial" w:cs="Arial" w:eastAsia="Arial" w:hAnsi="Arial"/>
          <w:sz w:val="17"/>
          <w:szCs w:val="17"/>
          <w:color w:val="auto"/>
        </w:rPr>
      </w:pPr>
    </w:p>
    <w:p>
      <w:pPr>
        <w:ind w:right="60"/>
        <w:spacing w:after="0" w:line="255" w:lineRule="auto"/>
        <w:rPr>
          <w:rFonts w:ascii="Arial" w:cs="Arial" w:eastAsia="Arial" w:hAnsi="Arial"/>
          <w:sz w:val="17"/>
          <w:szCs w:val="17"/>
          <w:color w:val="auto"/>
        </w:rPr>
      </w:pPr>
      <w:r>
        <w:rPr>
          <w:rFonts w:ascii="Arial" w:cs="Arial" w:eastAsia="Arial" w:hAnsi="Arial"/>
          <w:sz w:val="18"/>
          <w:szCs w:val="18"/>
          <w:color w:val="auto"/>
        </w:rPr>
        <w:t>Management LLC Agreement and the Company Operating Agreement and (2) evidence Management LLC’s ownership of the Profits Units of the Company in its customary manner, and Management LLC shall evidence the Executive’s ownership of the Profits Units of Management LLC in its customary manner.</w:t>
      </w:r>
    </w:p>
    <w:p>
      <w:pPr>
        <w:spacing w:after="0" w:line="81" w:lineRule="exact"/>
        <w:rPr>
          <w:rFonts w:ascii="Arial" w:cs="Arial" w:eastAsia="Arial" w:hAnsi="Arial"/>
          <w:sz w:val="17"/>
          <w:szCs w:val="17"/>
          <w:color w:val="auto"/>
        </w:rPr>
      </w:pPr>
    </w:p>
    <w:p>
      <w:pPr>
        <w:ind w:right="140" w:firstLine="419"/>
        <w:spacing w:after="0" w:line="272" w:lineRule="auto"/>
        <w:tabs>
          <w:tab w:leader="none" w:pos="678"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Status as an “Other Member”</w:t>
      </w:r>
      <w:r>
        <w:rPr>
          <w:rFonts w:ascii="Arial" w:cs="Arial" w:eastAsia="Arial" w:hAnsi="Arial"/>
          <w:sz w:val="17"/>
          <w:szCs w:val="17"/>
          <w:color w:val="auto"/>
        </w:rPr>
        <w:t>. Notwithstanding that the Executive is not directly acquiring Profits Units of the Company, the Executive hereby acknowledges and agrees that the Executive, as a member of Management LLC, shall have the same rights and be subject to the same obligations as an “Other Member” under the Company Operating Agreement as if the Executive directly held Profits Units of the Company, in addition to any rights and obligations of the Executive under the Management LLC Agreement. For clarity and the avoidance of doubt, the issuance of Profits Units to Management LLC, rather than directly to Executive, shall not enlarge, diminish or otherwise alter the rights and obligations of the individual that would apply if Executive directly held Profits Units of the Company and, if requested by the Company, shall enter into any reasonable arrangement to implement the foregoing.</w:t>
      </w:r>
    </w:p>
    <w:p>
      <w:pPr>
        <w:spacing w:after="0" w:line="69" w:lineRule="exact"/>
        <w:rPr>
          <w:rFonts w:ascii="Arial" w:cs="Arial" w:eastAsia="Arial" w:hAnsi="Arial"/>
          <w:sz w:val="17"/>
          <w:szCs w:val="17"/>
          <w:color w:val="auto"/>
        </w:rPr>
      </w:pPr>
    </w:p>
    <w:p>
      <w:pPr>
        <w:ind w:firstLine="419"/>
        <w:spacing w:after="0" w:line="272" w:lineRule="auto"/>
        <w:tabs>
          <w:tab w:leader="none" w:pos="667" w:val="left"/>
        </w:tabs>
        <w:numPr>
          <w:ilvl w:val="0"/>
          <w:numId w:val="257"/>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xml:space="preserve">. The Executive, in consideration of the grant of the Profits Units pursuant to Section 1 and the receipt of certain confidential information and trade secrets of the Company and its Affiliates, agrees to be bound by the covenants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Agreement. These covenants shall be in addition to, and shall not supersede, the covenants set forth in any other agreement to which the Executive and the Company or an Affiliate of the Company are or hereafter become parties. In agreeing and accepting these covenants, the Executive acknowledges having reviewed them and agrees that these covenants are reasonable in time and scope and do not pose an undue hardship on the Executive. The Executive further acknowledges and agrees that the Company would not have entered into this Agreement and issued Units under this Agreement if the Executive did not agree to these covenants.</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268" w:name="page269"/>
    <w:bookmarkEnd w:id="268"/>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 </w:t>
      </w:r>
      <w:r>
        <w:rPr>
          <w:rFonts w:ascii="Arial" w:cs="Arial" w:eastAsia="Arial" w:hAnsi="Arial"/>
          <w:sz w:val="18"/>
          <w:szCs w:val="18"/>
          <w:u w:val="single" w:color="auto"/>
          <w:color w:val="auto"/>
        </w:rPr>
        <w:t>Vesting and Forfeiture of Profits Units; Effect of Termination of Employment of Profits Units</w:t>
      </w:r>
    </w:p>
    <w:p>
      <w:pPr>
        <w:spacing w:after="0" w:line="117" w:lineRule="exact"/>
        <w:rPr>
          <w:sz w:val="20"/>
          <w:szCs w:val="20"/>
          <w:color w:val="auto"/>
        </w:rPr>
      </w:pPr>
    </w:p>
    <w:p>
      <w:pPr>
        <w:ind w:firstLine="419"/>
        <w:spacing w:after="0" w:line="254" w:lineRule="auto"/>
        <w:tabs>
          <w:tab w:leader="none" w:pos="667"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Service Vesting</w:t>
      </w:r>
      <w:r>
        <w:rPr>
          <w:rFonts w:ascii="Arial" w:cs="Arial" w:eastAsia="Arial" w:hAnsi="Arial"/>
          <w:sz w:val="18"/>
          <w:szCs w:val="18"/>
          <w:color w:val="auto"/>
        </w:rPr>
        <w:t>. Except as otherwise provided in Section 3(c) or Section 3(d) of this Agreement or as agreed in writing between the Company and the Executive, the Service Units of the Company and the corresponding Profits Units of Management LLC, each in an amount specified on the page immediately following the signature page hereof, shall each become vested in five (5) equal annual installments on each of the first (1</w:t>
      </w:r>
      <w:r>
        <w:rPr>
          <w:rFonts w:ascii="Arial" w:cs="Arial" w:eastAsia="Arial" w:hAnsi="Arial"/>
          <w:sz w:val="15"/>
          <w:szCs w:val="15"/>
          <w:color w:val="auto"/>
        </w:rPr>
        <w:t>st</w:t>
      </w:r>
      <w:r>
        <w:rPr>
          <w:rFonts w:ascii="Arial" w:cs="Arial" w:eastAsia="Arial" w:hAnsi="Arial"/>
          <w:sz w:val="18"/>
          <w:szCs w:val="18"/>
          <w:color w:val="auto"/>
        </w:rPr>
        <w:t>) through fifth (5</w:t>
      </w:r>
      <w:r>
        <w:rPr>
          <w:rFonts w:ascii="Arial" w:cs="Arial" w:eastAsia="Arial" w:hAnsi="Arial"/>
          <w:sz w:val="15"/>
          <w:szCs w:val="15"/>
          <w:color w:val="auto"/>
        </w:rPr>
        <w:t>th</w:t>
      </w:r>
      <w:r>
        <w:rPr>
          <w:rFonts w:ascii="Arial" w:cs="Arial" w:eastAsia="Arial" w:hAnsi="Arial"/>
          <w:sz w:val="18"/>
          <w:szCs w:val="18"/>
          <w:color w:val="auto"/>
        </w:rPr>
        <w:t xml:space="preserve">) anniversaries of the Vesting Commencement Date, subject to the continuous employment of the Executive with the Company until the applicable vesting date;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of a Centerbridge Exit, subject to the Executive’s continued employment with the Company until the Centerbridge Exit, any Service Units which are then unvested and outstanding shall automatically become vested upon the occurrence of the Centerbridge Exit.</w:t>
      </w:r>
    </w:p>
    <w:p>
      <w:pPr>
        <w:spacing w:after="0" w:line="86" w:lineRule="exact"/>
        <w:rPr>
          <w:rFonts w:ascii="Arial" w:cs="Arial" w:eastAsia="Arial" w:hAnsi="Arial"/>
          <w:sz w:val="18"/>
          <w:szCs w:val="18"/>
          <w:color w:val="auto"/>
        </w:rPr>
      </w:pPr>
    </w:p>
    <w:p>
      <w:pPr>
        <w:jc w:val="both"/>
        <w:ind w:right="60" w:firstLine="419"/>
        <w:spacing w:after="0" w:line="301" w:lineRule="auto"/>
        <w:tabs>
          <w:tab w:leader="none" w:pos="678"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Performance Vesting</w:t>
      </w:r>
      <w:r>
        <w:rPr>
          <w:rFonts w:ascii="Arial" w:cs="Arial" w:eastAsia="Arial" w:hAnsi="Arial"/>
          <w:sz w:val="16"/>
          <w:szCs w:val="16"/>
          <w:color w:val="auto"/>
        </w:rPr>
        <w:t>. Except as otherwise provided in Section 3(c) or Section 3(d) of this Agreement or as agreed in writing between the Company and the Executive, the Performance Units of the Company and the corresponding Profits Units of Management LLC, each in an amount specified on the page immediately following the signature page hereof, shall be subject to vesting based on the following criteria, and, in the case of each of clauses (i) through (iv), subject to the continuous employment of the Executive through the applicable vesting date:</w:t>
      </w:r>
    </w:p>
    <w:p>
      <w:pPr>
        <w:spacing w:after="0" w:line="49" w:lineRule="exact"/>
        <w:rPr>
          <w:rFonts w:ascii="Arial" w:cs="Arial" w:eastAsia="Arial" w:hAnsi="Arial"/>
          <w:sz w:val="16"/>
          <w:szCs w:val="16"/>
          <w:color w:val="auto"/>
        </w:rPr>
      </w:pPr>
    </w:p>
    <w:p>
      <w:pPr>
        <w:ind w:left="1160" w:hanging="212"/>
        <w:spacing w:after="0"/>
        <w:tabs>
          <w:tab w:leader="none" w:pos="1160" w:val="left"/>
        </w:tabs>
        <w:numPr>
          <w:ilvl w:val="1"/>
          <w:numId w:val="258"/>
        </w:numPr>
        <w:rPr>
          <w:rFonts w:ascii="Arial" w:cs="Arial" w:eastAsia="Arial" w:hAnsi="Arial"/>
          <w:sz w:val="17"/>
          <w:szCs w:val="17"/>
          <w:color w:val="auto"/>
        </w:rPr>
      </w:pPr>
      <w:r>
        <w:rPr>
          <w:rFonts w:ascii="Arial" w:cs="Arial" w:eastAsia="Arial" w:hAnsi="Arial"/>
          <w:sz w:val="17"/>
          <w:szCs w:val="17"/>
          <w:color w:val="auto"/>
        </w:rPr>
        <w:t>No portion (0%) of the Performance Units shall become vested unless and until the Centerbridge MOIC is at least two (2);</w:t>
      </w:r>
    </w:p>
    <w:p>
      <w:pPr>
        <w:spacing w:after="0" w:line="128" w:lineRule="exact"/>
        <w:rPr>
          <w:rFonts w:ascii="Arial" w:cs="Arial" w:eastAsia="Arial" w:hAnsi="Arial"/>
          <w:sz w:val="17"/>
          <w:szCs w:val="17"/>
          <w:color w:val="auto"/>
        </w:rPr>
      </w:pPr>
    </w:p>
    <w:p>
      <w:pPr>
        <w:ind w:left="540" w:right="280" w:firstLine="408"/>
        <w:spacing w:after="0" w:line="277" w:lineRule="auto"/>
        <w:tabs>
          <w:tab w:leader="none" w:pos="120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One-third (33.33%) of the Performance Units shall become vested from and after the date on which the Centerbridge MOIC is two (2) or greater but less than two and one-half (2.5);</w:t>
      </w:r>
    </w:p>
    <w:p>
      <w:pPr>
        <w:spacing w:after="0" w:line="62" w:lineRule="exact"/>
        <w:rPr>
          <w:rFonts w:ascii="Arial" w:cs="Arial" w:eastAsia="Arial" w:hAnsi="Arial"/>
          <w:sz w:val="18"/>
          <w:szCs w:val="18"/>
          <w:color w:val="auto"/>
        </w:rPr>
      </w:pPr>
    </w:p>
    <w:p>
      <w:pPr>
        <w:ind w:left="540" w:right="180" w:firstLine="408"/>
        <w:spacing w:after="0" w:line="277" w:lineRule="auto"/>
        <w:tabs>
          <w:tab w:leader="none" w:pos="125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An additional one-third (33.33%) of Performance Units shall become vested from and after the date on which the Centerbridge MOIC is two and one-half (2.5) or greater but less than three (3); and</w:t>
      </w:r>
    </w:p>
    <w:p>
      <w:pPr>
        <w:spacing w:after="0" w:line="62" w:lineRule="exact"/>
        <w:rPr>
          <w:rFonts w:ascii="Arial" w:cs="Arial" w:eastAsia="Arial" w:hAnsi="Arial"/>
          <w:sz w:val="18"/>
          <w:szCs w:val="18"/>
          <w:color w:val="auto"/>
        </w:rPr>
      </w:pPr>
    </w:p>
    <w:p>
      <w:pPr>
        <w:ind w:left="540" w:right="260" w:firstLine="408"/>
        <w:spacing w:after="0" w:line="277" w:lineRule="auto"/>
        <w:tabs>
          <w:tab w:leader="none" w:pos="1246"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final one-third (33.33%) of the Performance Units shall become vested from and after the date on which the Centerbridge MOIC is three (3) or greater.</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269" w:name="page270"/>
    <w:bookmarkEnd w:id="269"/>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no Performance Units will vest unless and until the CBP Member receives a cumulative internal rate of return of eight percent (8%) per annum as calculated in good faith by the Administrator, in connection with its investment in the Company.</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the Centerbridge MOIC is at least two (2) and less than three (3), then vesting between the express thresholds above will be determined by the Administrator by linear interpolation.</w:t>
      </w:r>
    </w:p>
    <w:p>
      <w:pPr>
        <w:spacing w:after="0" w:line="62" w:lineRule="exact"/>
        <w:rPr>
          <w:sz w:val="20"/>
          <w:szCs w:val="20"/>
          <w:color w:val="auto"/>
        </w:rPr>
      </w:pPr>
    </w:p>
    <w:p>
      <w:pPr>
        <w:ind w:left="660" w:hanging="241"/>
        <w:spacing w:after="0"/>
        <w:tabs>
          <w:tab w:leader="none" w:pos="66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General Principles Applicable to Vesting of the Profits Units</w:t>
      </w:r>
    </w:p>
    <w:p>
      <w:pPr>
        <w:spacing w:after="0" w:line="117" w:lineRule="exact"/>
        <w:rPr>
          <w:rFonts w:ascii="Arial" w:cs="Arial" w:eastAsia="Arial" w:hAnsi="Arial"/>
          <w:sz w:val="18"/>
          <w:szCs w:val="18"/>
          <w:color w:val="auto"/>
        </w:rPr>
      </w:pPr>
    </w:p>
    <w:p>
      <w:pPr>
        <w:ind w:left="540" w:right="140" w:firstLine="408"/>
        <w:spacing w:after="0" w:line="277" w:lineRule="auto"/>
        <w:tabs>
          <w:tab w:leader="none" w:pos="1156" w:val="left"/>
        </w:tabs>
        <w:numPr>
          <w:ilvl w:val="1"/>
          <w:numId w:val="259"/>
        </w:numPr>
        <w:rPr>
          <w:rFonts w:ascii="Arial" w:cs="Arial" w:eastAsia="Arial" w:hAnsi="Arial"/>
          <w:sz w:val="18"/>
          <w:szCs w:val="18"/>
          <w:color w:val="auto"/>
        </w:rPr>
      </w:pPr>
      <w:r>
        <w:rPr>
          <w:rFonts w:ascii="Arial" w:cs="Arial" w:eastAsia="Arial" w:hAnsi="Arial"/>
          <w:sz w:val="18"/>
          <w:szCs w:val="18"/>
          <w:u w:val="single" w:color="auto"/>
          <w:color w:val="auto"/>
        </w:rPr>
        <w:t>Discretionary Acceleration</w:t>
      </w:r>
      <w:r>
        <w:rPr>
          <w:rFonts w:ascii="Arial" w:cs="Arial" w:eastAsia="Arial" w:hAnsi="Arial"/>
          <w:sz w:val="18"/>
          <w:szCs w:val="18"/>
          <w:color w:val="auto"/>
        </w:rPr>
        <w:t>. The Administrator, in its sole discretion, may accelerate the vesting of all or a portion of the Profits Units at any time and from time to time.</w:t>
      </w:r>
    </w:p>
    <w:p>
      <w:pPr>
        <w:spacing w:after="0" w:line="62" w:lineRule="exact"/>
        <w:rPr>
          <w:rFonts w:ascii="Arial" w:cs="Arial" w:eastAsia="Arial" w:hAnsi="Arial"/>
          <w:sz w:val="18"/>
          <w:szCs w:val="18"/>
          <w:color w:val="auto"/>
        </w:rPr>
      </w:pPr>
    </w:p>
    <w:p>
      <w:pPr>
        <w:ind w:left="540" w:firstLine="408"/>
        <w:spacing w:after="0" w:line="286" w:lineRule="auto"/>
        <w:tabs>
          <w:tab w:leader="none" w:pos="1206"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No Other Accelerated Vesting</w:t>
      </w:r>
      <w:r>
        <w:rPr>
          <w:rFonts w:ascii="Arial" w:cs="Arial" w:eastAsia="Arial" w:hAnsi="Arial"/>
          <w:sz w:val="17"/>
          <w:szCs w:val="17"/>
          <w:color w:val="auto"/>
        </w:rPr>
        <w:t>. The vesting provisions set forth in this Section 3, or expressly set forth in the Profits Unit Plan, shall be the exclusive vesting provisions applicable to the Profits Units and shall supersede any other provisions relating to vesting, unless such other such provision expressly refers to the Profits Unit Plan by name and this Agreement by name and date.</w:t>
      </w:r>
    </w:p>
    <w:p>
      <w:pPr>
        <w:spacing w:after="0" w:line="57" w:lineRule="exact"/>
        <w:rPr>
          <w:rFonts w:ascii="Arial" w:cs="Arial" w:eastAsia="Arial" w:hAnsi="Arial"/>
          <w:sz w:val="17"/>
          <w:szCs w:val="17"/>
          <w:color w:val="auto"/>
        </w:rPr>
      </w:pPr>
    </w:p>
    <w:p>
      <w:pPr>
        <w:ind w:left="540" w:right="20" w:firstLine="408"/>
        <w:spacing w:after="0" w:line="275" w:lineRule="auto"/>
        <w:tabs>
          <w:tab w:leader="none" w:pos="1256"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Effect of Vesting</w:t>
      </w:r>
      <w:r>
        <w:rPr>
          <w:rFonts w:ascii="Arial" w:cs="Arial" w:eastAsia="Arial" w:hAnsi="Arial"/>
          <w:sz w:val="17"/>
          <w:szCs w:val="17"/>
          <w:color w:val="auto"/>
        </w:rPr>
        <w:t>. In the event that any portion of Profits Units of the Company become vested under this Agreement for any reason, the corresponding portion of Profits Units of Management LLC that were issued in respect of such Profits Units of the Company shall also simultaneously and automatically become vested. In addition, in the event that any portion of Profits Units of the Company are forfeited under this Agreement for any reason, the corresponding portion of Profits Units of Management LLC that were issued in respect of such Profits Units of the Company shall also simultaneously and automatically be forfeited.</w:t>
      </w:r>
    </w:p>
    <w:p>
      <w:pPr>
        <w:spacing w:after="0" w:line="68" w:lineRule="exact"/>
        <w:rPr>
          <w:rFonts w:ascii="Arial" w:cs="Arial" w:eastAsia="Arial" w:hAnsi="Arial"/>
          <w:sz w:val="17"/>
          <w:szCs w:val="17"/>
          <w:color w:val="auto"/>
        </w:rPr>
      </w:pPr>
    </w:p>
    <w:p>
      <w:pPr>
        <w:ind w:left="680" w:hanging="261"/>
        <w:spacing w:after="0"/>
        <w:tabs>
          <w:tab w:leader="none" w:pos="68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w:t>
      </w:r>
    </w:p>
    <w:p>
      <w:pPr>
        <w:spacing w:after="0" w:line="117" w:lineRule="exact"/>
        <w:rPr>
          <w:rFonts w:ascii="Arial" w:cs="Arial" w:eastAsia="Arial" w:hAnsi="Arial"/>
          <w:sz w:val="18"/>
          <w:szCs w:val="18"/>
          <w:color w:val="auto"/>
        </w:rPr>
      </w:pPr>
    </w:p>
    <w:p>
      <w:pPr>
        <w:ind w:left="540" w:right="240" w:firstLine="408"/>
        <w:spacing w:after="0" w:line="286" w:lineRule="auto"/>
        <w:tabs>
          <w:tab w:leader="none" w:pos="1156"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By Reason of Death or Disability</w:t>
      </w:r>
      <w:r>
        <w:rPr>
          <w:rFonts w:ascii="Arial" w:cs="Arial" w:eastAsia="Arial" w:hAnsi="Arial"/>
          <w:sz w:val="17"/>
          <w:szCs w:val="17"/>
          <w:color w:val="auto"/>
        </w:rPr>
        <w:t>. Subject to Section 3(d)(iv), if the Executive’s employment terminates as a result of the Executive’s death or Disability, (</w:t>
      </w:r>
      <w:r>
        <w:rPr>
          <w:rFonts w:ascii="Arial" w:cs="Arial" w:eastAsia="Arial" w:hAnsi="Arial"/>
          <w:sz w:val="17"/>
          <w:szCs w:val="17"/>
          <w:u w:val="single" w:color="auto"/>
          <w:color w:val="auto"/>
        </w:rPr>
        <w:t>x</w:t>
      </w:r>
      <w:r>
        <w:rPr>
          <w:rFonts w:ascii="Arial" w:cs="Arial" w:eastAsia="Arial" w:hAnsi="Arial"/>
          <w:sz w:val="17"/>
          <w:szCs w:val="17"/>
          <w:color w:val="auto"/>
        </w:rPr>
        <w:t>) all of the Executive’s unvested Service Units shall become fully and immediately vested upon such termination of employment, and (</w:t>
      </w:r>
      <w:r>
        <w:rPr>
          <w:rFonts w:ascii="Arial" w:cs="Arial" w:eastAsia="Arial" w:hAnsi="Arial"/>
          <w:sz w:val="17"/>
          <w:szCs w:val="17"/>
          <w:u w:val="single" w:color="auto"/>
          <w:color w:val="auto"/>
        </w:rPr>
        <w:t>y</w:t>
      </w:r>
      <w:r>
        <w:rPr>
          <w:rFonts w:ascii="Arial" w:cs="Arial" w:eastAsia="Arial" w:hAnsi="Arial"/>
          <w:sz w:val="17"/>
          <w:szCs w:val="17"/>
          <w:color w:val="auto"/>
        </w:rPr>
        <w:t>) all of the Executive’s unvested Performance Units shall automatically be forfeited.</w:t>
      </w:r>
    </w:p>
    <w:p>
      <w:pPr>
        <w:spacing w:after="0" w:line="9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80"/>
          </w:cols>
          <w:pgMar w:left="880" w:top="274" w:right="539" w:bottom="1440" w:gutter="0" w:footer="0" w:header="0"/>
        </w:sectPr>
      </w:pPr>
    </w:p>
    <w:bookmarkStart w:id="270" w:name="page271"/>
    <w:bookmarkEnd w:id="270"/>
    <w:p>
      <w:pPr>
        <w:ind w:left="540" w:right="20" w:firstLine="408"/>
        <w:spacing w:after="0" w:line="271" w:lineRule="auto"/>
        <w:tabs>
          <w:tab w:leader="none" w:pos="1206"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Cause or with Good Reason</w:t>
      </w:r>
      <w:r>
        <w:rPr>
          <w:rFonts w:ascii="Arial" w:cs="Arial" w:eastAsia="Arial" w:hAnsi="Arial"/>
          <w:sz w:val="17"/>
          <w:szCs w:val="17"/>
          <w:color w:val="auto"/>
        </w:rPr>
        <w:t>. Subject to Section 3(d)(iv), if the Executive’s employment terminates and such termination is (</w:t>
      </w:r>
      <w:r>
        <w:rPr>
          <w:rFonts w:ascii="Arial" w:cs="Arial" w:eastAsia="Arial" w:hAnsi="Arial"/>
          <w:sz w:val="17"/>
          <w:szCs w:val="17"/>
          <w:u w:val="single" w:color="auto"/>
          <w:color w:val="auto"/>
        </w:rPr>
        <w:t>x</w:t>
      </w:r>
      <w:r>
        <w:rPr>
          <w:rFonts w:ascii="Arial" w:cs="Arial" w:eastAsia="Arial" w:hAnsi="Arial"/>
          <w:sz w:val="17"/>
          <w:szCs w:val="17"/>
          <w:color w:val="auto"/>
        </w:rPr>
        <w:t>) by the Company without Cause (excluding death or Disability) or (</w:t>
      </w:r>
      <w:r>
        <w:rPr>
          <w:rFonts w:ascii="Arial" w:cs="Arial" w:eastAsia="Arial" w:hAnsi="Arial"/>
          <w:sz w:val="17"/>
          <w:szCs w:val="17"/>
          <w:u w:val="single" w:color="auto"/>
          <w:color w:val="auto"/>
        </w:rPr>
        <w:t>y</w:t>
      </w:r>
      <w:r>
        <w:rPr>
          <w:rFonts w:ascii="Arial" w:cs="Arial" w:eastAsia="Arial" w:hAnsi="Arial"/>
          <w:sz w:val="17"/>
          <w:szCs w:val="17"/>
          <w:color w:val="auto"/>
        </w:rPr>
        <w:t>) if applicable to the Executive, by the Executive with “good reason” (as expressly defined in a written services agreement to which the Company or a Subsidiary and the Executive are parties), then (</w:t>
      </w:r>
      <w:r>
        <w:rPr>
          <w:rFonts w:ascii="Arial" w:cs="Arial" w:eastAsia="Arial" w:hAnsi="Arial"/>
          <w:sz w:val="17"/>
          <w:szCs w:val="17"/>
          <w:u w:val="single" w:color="auto"/>
          <w:color w:val="auto"/>
        </w:rPr>
        <w:t>A</w:t>
      </w:r>
      <w:r>
        <w:rPr>
          <w:rFonts w:ascii="Arial" w:cs="Arial" w:eastAsia="Arial" w:hAnsi="Arial"/>
          <w:sz w:val="17"/>
          <w:szCs w:val="17"/>
          <w:color w:val="auto"/>
        </w:rPr>
        <w:t>) a pro rata portion of the Service Units scheduled to vest on the next following anniversary of the Vesting Commencement Date (or Grant Date, if applicable) shall vest, with such prorated amount to be determined by multiplying such number of Service Units by a fraction, the numerator of which is number of whole and partial months elapsed since the most recent anniversary of the Vesting Commencement Date (or Grant Date, if applicable), and the denominator of which is twelve (12), and (</w:t>
      </w:r>
      <w:r>
        <w:rPr>
          <w:rFonts w:ascii="Arial" w:cs="Arial" w:eastAsia="Arial" w:hAnsi="Arial"/>
          <w:sz w:val="17"/>
          <w:szCs w:val="17"/>
          <w:u w:val="single" w:color="auto"/>
          <w:color w:val="auto"/>
        </w:rPr>
        <w:t>B</w:t>
      </w:r>
      <w:r>
        <w:rPr>
          <w:rFonts w:ascii="Arial" w:cs="Arial" w:eastAsia="Arial" w:hAnsi="Arial"/>
          <w:sz w:val="17"/>
          <w:szCs w:val="17"/>
          <w:color w:val="auto"/>
        </w:rPr>
        <w:t>) all unvested Profits Units (whether Service Units or Performance Units) shall automatically be forfeited.</w:t>
      </w:r>
    </w:p>
    <w:p>
      <w:pPr>
        <w:spacing w:after="0" w:line="70" w:lineRule="exact"/>
        <w:rPr>
          <w:rFonts w:ascii="Arial" w:cs="Arial" w:eastAsia="Arial" w:hAnsi="Arial"/>
          <w:sz w:val="17"/>
          <w:szCs w:val="17"/>
          <w:color w:val="auto"/>
        </w:rPr>
      </w:pPr>
    </w:p>
    <w:p>
      <w:pPr>
        <w:ind w:left="540" w:firstLine="408"/>
        <w:spacing w:after="0" w:line="257" w:lineRule="auto"/>
        <w:tabs>
          <w:tab w:leader="none" w:pos="1256"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With Cause or without Good Reason</w:t>
      </w:r>
      <w:r>
        <w:rPr>
          <w:rFonts w:ascii="Arial" w:cs="Arial" w:eastAsia="Arial" w:hAnsi="Arial"/>
          <w:sz w:val="18"/>
          <w:szCs w:val="18"/>
          <w:color w:val="auto"/>
        </w:rPr>
        <w:t>. If the Executive’s employment terminates and such termination is by the Executive (other than by Executive with “good reason” only to the extent expressly defined in any written services agreement to which the Company or a Subsidiary and the Executive are parties), then all of the Executive’s unvested Profits Units shall automatically be forfeited. If the Executive’s employment terminates and such termination is by the Company with Cause, then all of the Executive’s Profits Units, whether vested or unvested, will automatically be forfeited.</w:t>
      </w:r>
    </w:p>
    <w:p>
      <w:pPr>
        <w:spacing w:after="0" w:line="79" w:lineRule="exact"/>
        <w:rPr>
          <w:rFonts w:ascii="Arial" w:cs="Arial" w:eastAsia="Arial" w:hAnsi="Arial"/>
          <w:sz w:val="18"/>
          <w:szCs w:val="18"/>
          <w:color w:val="auto"/>
        </w:rPr>
      </w:pPr>
    </w:p>
    <w:p>
      <w:pPr>
        <w:ind w:left="540" w:firstLine="408"/>
        <w:spacing w:after="0" w:line="270" w:lineRule="auto"/>
        <w:tabs>
          <w:tab w:leader="none" w:pos="1245"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“Tail Period” Vesting</w:t>
      </w:r>
      <w:r>
        <w:rPr>
          <w:rFonts w:ascii="Arial" w:cs="Arial" w:eastAsia="Arial" w:hAnsi="Arial"/>
          <w:sz w:val="17"/>
          <w:szCs w:val="17"/>
          <w:color w:val="auto"/>
        </w:rPr>
        <w:t>. Notwithstanding Section 3(d)(i) and Section 3(d)(ii), if (</w:t>
      </w:r>
      <w:r>
        <w:rPr>
          <w:rFonts w:ascii="Arial" w:cs="Arial" w:eastAsia="Arial" w:hAnsi="Arial"/>
          <w:sz w:val="17"/>
          <w:szCs w:val="17"/>
          <w:u w:val="single" w:color="auto"/>
          <w:color w:val="auto"/>
        </w:rPr>
        <w:t>x</w:t>
      </w:r>
      <w:r>
        <w:rPr>
          <w:rFonts w:ascii="Arial" w:cs="Arial" w:eastAsia="Arial" w:hAnsi="Arial"/>
          <w:sz w:val="17"/>
          <w:szCs w:val="17"/>
          <w:color w:val="auto"/>
        </w:rPr>
        <w:t>) the Executive’s employment terminates and such termination is (</w:t>
      </w:r>
      <w:r>
        <w:rPr>
          <w:rFonts w:ascii="Arial" w:cs="Arial" w:eastAsia="Arial" w:hAnsi="Arial"/>
          <w:sz w:val="17"/>
          <w:szCs w:val="17"/>
          <w:u w:val="single" w:color="auto"/>
          <w:color w:val="auto"/>
        </w:rPr>
        <w:t>A</w:t>
      </w:r>
      <w:r>
        <w:rPr>
          <w:rFonts w:ascii="Arial" w:cs="Arial" w:eastAsia="Arial" w:hAnsi="Arial"/>
          <w:sz w:val="17"/>
          <w:szCs w:val="17"/>
          <w:color w:val="auto"/>
        </w:rPr>
        <w:t>) by the Company without Cause (or by the Executive with “good reason” (as defined in 3(d)(ii) above)) or (</w:t>
      </w:r>
      <w:r>
        <w:rPr>
          <w:rFonts w:ascii="Arial" w:cs="Arial" w:eastAsia="Arial" w:hAnsi="Arial"/>
          <w:sz w:val="17"/>
          <w:szCs w:val="17"/>
          <w:u w:val="single" w:color="auto"/>
          <w:color w:val="auto"/>
        </w:rPr>
        <w:t>B</w:t>
      </w:r>
      <w:r>
        <w:rPr>
          <w:rFonts w:ascii="Arial" w:cs="Arial" w:eastAsia="Arial" w:hAnsi="Arial"/>
          <w:sz w:val="17"/>
          <w:szCs w:val="17"/>
          <w:color w:val="auto"/>
        </w:rPr>
        <w:t>) as a result of the Executive’s death or Disability, and (</w:t>
      </w:r>
      <w:r>
        <w:rPr>
          <w:rFonts w:ascii="Arial" w:cs="Arial" w:eastAsia="Arial" w:hAnsi="Arial"/>
          <w:sz w:val="17"/>
          <w:szCs w:val="17"/>
          <w:u w:val="single" w:color="auto"/>
          <w:color w:val="auto"/>
        </w:rPr>
        <w:t>y</w:t>
      </w:r>
      <w:r>
        <w:rPr>
          <w:rFonts w:ascii="Arial" w:cs="Arial" w:eastAsia="Arial" w:hAnsi="Arial"/>
          <w:sz w:val="17"/>
          <w:szCs w:val="17"/>
          <w:color w:val="auto"/>
        </w:rPr>
        <w:t xml:space="preserve">) there shall occur during the six (6) months following the date of such termination any event that would have caused any of such unvested Profits Units to become vested if the Executive had remained employed through the date of such event, then an additional number of unvested Profits Units shall vest determined by reference to the occurrence of such event. In such event, then for purposes of the repurchase provisions of Section 6, any date of such additional vesting shall be treated as the Executive’s date of termination of employment with respect to such additionally vested Profits Units, </w:t>
      </w:r>
      <w:r>
        <w:rPr>
          <w:rFonts w:ascii="Arial" w:cs="Arial" w:eastAsia="Arial" w:hAnsi="Arial"/>
          <w:sz w:val="17"/>
          <w:szCs w:val="17"/>
          <w:i w:val="1"/>
          <w:iCs w:val="1"/>
          <w:color w:val="auto"/>
        </w:rPr>
        <w:t>mutatis mutandis</w:t>
      </w:r>
      <w:r>
        <w:rPr>
          <w:rFonts w:ascii="Arial" w:cs="Arial" w:eastAsia="Arial" w:hAnsi="Arial"/>
          <w:sz w:val="17"/>
          <w:szCs w:val="17"/>
          <w:color w:val="auto"/>
        </w:rPr>
        <w:t>. For the avoidance of doubt, any Profits Units that have not vested as of the six (6) month anniversary of such termination shall be forfeited for no consideration.</w:t>
      </w:r>
    </w:p>
    <w:p>
      <w:pPr>
        <w:spacing w:after="0" w:line="73" w:lineRule="exact"/>
        <w:rPr>
          <w:sz w:val="20"/>
          <w:szCs w:val="20"/>
          <w:color w:val="auto"/>
        </w:rPr>
      </w:pPr>
    </w:p>
    <w:p>
      <w:pPr>
        <w:ind w:right="100" w:firstLine="423"/>
        <w:spacing w:after="0" w:line="263"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Executive’s Representations and Warranties</w:t>
      </w:r>
      <w:r>
        <w:rPr>
          <w:rFonts w:ascii="Arial" w:cs="Arial" w:eastAsia="Arial" w:hAnsi="Arial"/>
          <w:sz w:val="18"/>
          <w:szCs w:val="18"/>
          <w:color w:val="auto"/>
        </w:rPr>
        <w:t>. In connection with the transactions contemplated by this Agreement, the Executive hereby provides the Company and Management LLC with the representations, warranties and covenants set forth in Section 12 of the Management LLC Agreement.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20"/>
          </w:cols>
          <w:pgMar w:left="880" w:top="274" w:right="499" w:bottom="1440" w:gutter="0" w:footer="0" w:header="0"/>
        </w:sectPr>
      </w:pPr>
    </w:p>
    <w:bookmarkStart w:id="271" w:name="page272"/>
    <w:bookmarkEnd w:id="27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 </w:t>
      </w:r>
      <w:r>
        <w:rPr>
          <w:rFonts w:ascii="Arial" w:cs="Arial" w:eastAsia="Arial" w:hAnsi="Arial"/>
          <w:sz w:val="18"/>
          <w:szCs w:val="18"/>
          <w:u w:val="single" w:color="auto"/>
          <w:color w:val="auto"/>
        </w:rPr>
        <w:t>Restriction on Transfer of Units</w:t>
      </w:r>
    </w:p>
    <w:p>
      <w:pPr>
        <w:spacing w:after="0" w:line="117" w:lineRule="exact"/>
        <w:rPr>
          <w:sz w:val="20"/>
          <w:szCs w:val="20"/>
          <w:color w:val="auto"/>
        </w:rPr>
      </w:pPr>
    </w:p>
    <w:p>
      <w:pPr>
        <w:ind w:firstLine="419"/>
        <w:spacing w:after="0" w:line="253" w:lineRule="auto"/>
        <w:tabs>
          <w:tab w:leader="none" w:pos="667"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Executive shall not Transfer any Common Units of Management LLC held by the Executive other than to the extent that the Common Units of the Company to which such Common Units of Management LLC relate would be transferable if held directly by the Executive, and subject to the same conditions and limitations as provided in the Company Operating Agreement. Any permitted Transfer of Common Units of Management LLC shall occur in a manner that complies with all applicable securities laws and, if Management LLC so reasonably requests, prior to any permitted Transfer the Executive shall provide Management LLC with such customary and reasonable information relating to the compliance of such proposed Transfer with the terms of this Agreement and applicable securities laws as Management LLC shall reasonably request. In the event that there occurs a Transfer of any Common Units of Management LLC issued hereunder, each transferee shall enter into a subscription agreement or other instrument reasonably satisfactory to Management LLC governing the Common Units so Transferred that contains repurchase rights, transfer and other restrictions on such Common Units reasonably equivalent to those contained herein.</w:t>
      </w:r>
    </w:p>
    <w:p>
      <w:pPr>
        <w:spacing w:after="0" w:line="86" w:lineRule="exact"/>
        <w:rPr>
          <w:rFonts w:ascii="Arial" w:cs="Arial" w:eastAsia="Arial" w:hAnsi="Arial"/>
          <w:sz w:val="18"/>
          <w:szCs w:val="18"/>
          <w:color w:val="auto"/>
        </w:rPr>
      </w:pPr>
    </w:p>
    <w:p>
      <w:pPr>
        <w:ind w:right="140" w:firstLine="419"/>
        <w:spacing w:after="0" w:line="277" w:lineRule="auto"/>
        <w:tabs>
          <w:tab w:leader="none" w:pos="678"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Profits Units</w:t>
      </w:r>
      <w:r>
        <w:rPr>
          <w:rFonts w:ascii="Arial" w:cs="Arial" w:eastAsia="Arial" w:hAnsi="Arial"/>
          <w:sz w:val="18"/>
          <w:szCs w:val="18"/>
          <w:color w:val="auto"/>
        </w:rPr>
        <w:t>. Profits Units may not be Transferred except to the extent approved by the Administrator or as otherwise permitted by the Profits Units Plan, and subject to such conditions and limitations as may be determined by the Administrator.</w:t>
      </w:r>
    </w:p>
    <w:p>
      <w:pPr>
        <w:spacing w:after="0" w:line="62" w:lineRule="exact"/>
        <w:rPr>
          <w:rFonts w:ascii="Arial" w:cs="Arial" w:eastAsia="Arial" w:hAnsi="Arial"/>
          <w:sz w:val="18"/>
          <w:szCs w:val="18"/>
          <w:color w:val="auto"/>
        </w:rPr>
      </w:pPr>
    </w:p>
    <w:p>
      <w:pPr>
        <w:ind w:right="160" w:firstLine="419"/>
        <w:spacing w:after="0" w:line="259" w:lineRule="auto"/>
        <w:tabs>
          <w:tab w:leader="none" w:pos="667"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Expiration Upon a Qualified IPO</w:t>
      </w:r>
      <w:r>
        <w:rPr>
          <w:rFonts w:ascii="Arial" w:cs="Arial" w:eastAsia="Arial" w:hAnsi="Arial"/>
          <w:sz w:val="18"/>
          <w:szCs w:val="18"/>
          <w:color w:val="auto"/>
        </w:rPr>
        <w:t>. The provisions of this Section 5 shall terminate upon the consummation of a Qualified IPO with respect to any security received by the Executive that is of the same class of securities as those registered under the Securities Act in connection with such Qualified IPO, subject to any lockup or holdback agreement (including pursuant to the Plan or otherwise in connection with any underwritten offering).</w:t>
      </w:r>
    </w:p>
    <w:p>
      <w:pPr>
        <w:spacing w:after="0" w:line="79" w:lineRule="exact"/>
        <w:rPr>
          <w:sz w:val="20"/>
          <w:szCs w:val="20"/>
          <w:color w:val="auto"/>
        </w:rPr>
      </w:pPr>
    </w:p>
    <w:p>
      <w:pPr>
        <w:ind w:firstLine="423"/>
        <w:spacing w:after="0" w:line="308"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Repurchase Rights on Termination of Employment</w:t>
      </w:r>
      <w:r>
        <w:rPr>
          <w:rFonts w:ascii="Arial" w:cs="Arial" w:eastAsia="Arial" w:hAnsi="Arial"/>
          <w:sz w:val="17"/>
          <w:szCs w:val="17"/>
          <w:color w:val="auto"/>
        </w:rPr>
        <w:t>. By entering into this Agreement and accepting the award of Profits Units, the Executive accepts and agrees to the repurchase rights applicable to Units set forth in Article V of the Profits Unit Plan.</w:t>
      </w:r>
    </w:p>
    <w:p>
      <w:pPr>
        <w:spacing w:after="0" w:line="38" w:lineRule="exact"/>
        <w:rPr>
          <w:sz w:val="20"/>
          <w:szCs w:val="20"/>
          <w:color w:val="auto"/>
        </w:rPr>
      </w:pPr>
    </w:p>
    <w:p>
      <w:pPr>
        <w:ind w:right="80" w:firstLine="423"/>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Cooperation related to an IPO</w:t>
      </w:r>
      <w:r>
        <w:rPr>
          <w:rFonts w:ascii="Arial" w:cs="Arial" w:eastAsia="Arial" w:hAnsi="Arial"/>
          <w:sz w:val="18"/>
          <w:szCs w:val="18"/>
          <w:color w:val="auto"/>
        </w:rPr>
        <w:t>. The Executive shall reasonably cooperate with the Company and take such actions as may be reasonably requested by the Administrator in order to effectuate an IPO Restructuring and an IPO undertaken in accordance with the terms of the Company Operating Agreement.</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0"/>
          </w:cols>
          <w:pgMar w:left="880" w:top="274" w:right="499" w:bottom="1440" w:gutter="0" w:footer="0" w:header="0"/>
        </w:sectPr>
      </w:pPr>
    </w:p>
    <w:bookmarkStart w:id="272" w:name="page273"/>
    <w:bookmarkEnd w:id="27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meanings set forth below:</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right="1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Executive Common Unit and Profits Unit Agreement, as amended from time to time in accordance with the terms hereof.</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Airplane Reimbursement Arrangement</w:t>
      </w:r>
      <w:r>
        <w:rPr>
          <w:rFonts w:ascii="Arial" w:cs="Arial" w:eastAsia="Arial" w:hAnsi="Arial"/>
          <w:sz w:val="18"/>
          <w:szCs w:val="18"/>
          <w:color w:val="auto"/>
        </w:rPr>
        <w:t>” has the meaning given in Section 9(a)].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Amount</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CBP Member</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right="140" w:firstLine="423"/>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Centerbridge Exit</w:t>
      </w:r>
      <w:r>
        <w:rPr>
          <w:rFonts w:ascii="Arial" w:cs="Arial" w:eastAsia="Arial" w:hAnsi="Arial"/>
          <w:sz w:val="16"/>
          <w:szCs w:val="16"/>
          <w:color w:val="auto"/>
        </w:rPr>
        <w:t>” means a transaction in which the CBP Member disposes of all or substantially all of its investment in the Company. Neither an IPO nor a business combination in which the CBP Member or an Affiliate of the CBP Member controls the resulting combined entity shall constitute a Centerbridge Exit. In the event of a Centerbridge Exit other than a transaction in which the sole consideration paid to the Members is cash, any non-cash consideration for which an observable market price or third party valuations are not readily available shall be valued by a valuation process (including an appropriate illiquidity discount) that is determined by the Administrator.</w:t>
      </w:r>
    </w:p>
    <w:p>
      <w:pPr>
        <w:spacing w:after="0" w:line="53" w:lineRule="exact"/>
        <w:rPr>
          <w:sz w:val="20"/>
          <w:szCs w:val="20"/>
          <w:color w:val="auto"/>
        </w:rPr>
      </w:pPr>
    </w:p>
    <w:p>
      <w:pPr>
        <w:ind w:firstLine="42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Centerbridge MOIC</w:t>
      </w:r>
      <w:r>
        <w:rPr>
          <w:rFonts w:ascii="Arial" w:cs="Arial" w:eastAsia="Arial" w:hAnsi="Arial"/>
          <w:sz w:val="18"/>
          <w:szCs w:val="18"/>
          <w:color w:val="auto"/>
        </w:rPr>
        <w:t xml:space="preserve">” means the quotient of the aggregate Realized Cash Proceeds (as defined in the Company Operating Agreement) received by the CBP Member under the Company Operating Agreement (including in connection with a Centerbridge Exit)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the aggregate amount of capital invested by the CBP Member in the Company, calculated as of immediately following each such distribution (and, for avoidance of doubt, including the distribution that triggers such calculation). For clarity, the amounts payable in respect of the Profits Units shall reduce the Centerbridge MOIC, and the calculation of the Centerbridge MOIC shall be performed on an iterative basis as necessary so as to give full effect to such reduction.</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in Section 2(a).</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given in the Profits Unit Plan.</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273" w:name="page274"/>
    <w:bookmarkEnd w:id="27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Common Unit</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Blizzard Parent, LLC, a Delaware limited liability company.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Operating Agreement</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Activity</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Exit Sale</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Hurdle Amount</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has the meaning given in the preamble to this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the Closing of the grant of Profits Units occurs.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Restructuring</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LLC</w:t>
      </w:r>
      <w:r>
        <w:rPr>
          <w:rFonts w:ascii="Arial" w:cs="Arial" w:eastAsia="Arial" w:hAnsi="Arial"/>
          <w:sz w:val="18"/>
          <w:szCs w:val="18"/>
          <w:color w:val="auto"/>
        </w:rPr>
        <w:t>” means Blizzard Management Feeder, LLC, a Delaware limited liability company.</w:t>
      </w:r>
    </w:p>
    <w:p>
      <w:pPr>
        <w:spacing w:after="0" w:line="117" w:lineRule="exact"/>
        <w:rPr>
          <w:sz w:val="20"/>
          <w:szCs w:val="20"/>
          <w:color w:val="auto"/>
        </w:rPr>
      </w:pPr>
    </w:p>
    <w:p>
      <w:pPr>
        <w:ind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LLC Agreement</w:t>
      </w:r>
      <w:r>
        <w:rPr>
          <w:rFonts w:ascii="Arial" w:cs="Arial" w:eastAsia="Arial" w:hAnsi="Arial"/>
          <w:sz w:val="18"/>
          <w:szCs w:val="18"/>
          <w:color w:val="auto"/>
        </w:rPr>
        <w:t>” means the Limited Liability Company Agreement of Management LLC, dated as of September 13, 2019, as amended from time to time.</w:t>
      </w:r>
    </w:p>
    <w:p>
      <w:pPr>
        <w:spacing w:after="0" w:line="62" w:lineRule="exact"/>
        <w:rPr>
          <w:sz w:val="20"/>
          <w:szCs w:val="20"/>
          <w:color w:val="auto"/>
        </w:rPr>
      </w:pPr>
    </w:p>
    <w:p>
      <w:pPr>
        <w:ind w:right="2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Units</w:t>
      </w:r>
      <w:r>
        <w:rPr>
          <w:rFonts w:ascii="Arial" w:cs="Arial" w:eastAsia="Arial" w:hAnsi="Arial"/>
          <w:sz w:val="18"/>
          <w:szCs w:val="18"/>
          <w:color w:val="auto"/>
        </w:rPr>
        <w:t>” means Profits Units of the Company designated as Performance Units on page immediately following the signature page hereof and the vesting of which is determined by reference to Section 3(b) of this Agreement.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given in the Profits Unit Plan.</w:t>
      </w:r>
    </w:p>
    <w:p>
      <w:pPr>
        <w:spacing w:after="0" w:line="15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40"/>
          </w:cols>
          <w:pgMar w:left="880" w:top="274" w:right="479" w:bottom="1440" w:gutter="0" w:footer="0" w:header="0"/>
        </w:sectPr>
      </w:pPr>
    </w:p>
    <w:bookmarkStart w:id="274" w:name="page275"/>
    <w:bookmarkEnd w:id="274"/>
    <w:p>
      <w:pPr>
        <w:ind w:left="8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Profits Unit</w:t>
      </w:r>
      <w:r>
        <w:rPr>
          <w:rFonts w:ascii="Arial" w:cs="Arial" w:eastAsia="Arial" w:hAnsi="Arial"/>
          <w:sz w:val="18"/>
          <w:szCs w:val="18"/>
          <w:color w:val="auto"/>
        </w:rPr>
        <w:t>” has the meaning given in the Profits Unit Plan.</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 Unit Plan</w:t>
      </w:r>
      <w:r>
        <w:rPr>
          <w:rFonts w:ascii="Arial" w:cs="Arial" w:eastAsia="Arial" w:hAnsi="Arial"/>
          <w:sz w:val="18"/>
          <w:szCs w:val="18"/>
          <w:color w:val="auto"/>
        </w:rPr>
        <w:t>” means the Blizzard Parent, LLC Profits Unit Plan adopted by the Board, as amended from time to time.</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 (or any successor provision thereto).</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444" w:right="40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Units</w:t>
      </w:r>
      <w:r>
        <w:rPr>
          <w:rFonts w:ascii="Arial" w:cs="Arial" w:eastAsia="Arial" w:hAnsi="Arial"/>
          <w:sz w:val="18"/>
          <w:szCs w:val="18"/>
          <w:color w:val="auto"/>
        </w:rPr>
        <w:t>” means the Profits Units of the Company designated as Service Units on page immediately following the signature page hereof and the vesting of which is determined by reference to Section 3(a) of this Agreement.</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given in the Company Operating Agreement.</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Common Units and Profits Units.</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Commencement Date</w:t>
      </w:r>
      <w:r>
        <w:rPr>
          <w:rFonts w:ascii="Arial" w:cs="Arial" w:eastAsia="Arial" w:hAnsi="Arial"/>
          <w:sz w:val="18"/>
          <w:szCs w:val="18"/>
          <w:color w:val="auto"/>
        </w:rPr>
        <w:t>” means the date set forth on the page immediately following the signature page hereof.</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Section 9. [</w:t>
      </w:r>
      <w:r>
        <w:rPr>
          <w:rFonts w:ascii="Arial" w:cs="Arial" w:eastAsia="Arial" w:hAnsi="Arial"/>
          <w:sz w:val="18"/>
          <w:szCs w:val="18"/>
          <w:u w:val="single" w:color="auto"/>
          <w:color w:val="auto"/>
        </w:rPr>
        <w:t>Airplane Reimbursement</w:t>
      </w:r>
      <w:r>
        <w:rPr>
          <w:rFonts w:ascii="Arial" w:cs="Arial" w:eastAsia="Arial" w:hAnsi="Arial"/>
          <w:sz w:val="18"/>
          <w:szCs w:val="18"/>
          <w:color w:val="auto"/>
        </w:rPr>
        <w:t>].</w:t>
      </w:r>
      <w:r>
        <w:rPr>
          <w:rFonts w:ascii="Arial" w:cs="Arial" w:eastAsia="Arial" w:hAnsi="Arial"/>
          <w:sz w:val="15"/>
          <w:szCs w:val="15"/>
          <w:color w:val="auto"/>
        </w:rPr>
        <w:t>1</w:t>
      </w:r>
    </w:p>
    <w:p>
      <w:pPr>
        <w:spacing w:after="0" w:line="117" w:lineRule="exact"/>
        <w:rPr>
          <w:sz w:val="20"/>
          <w:szCs w:val="20"/>
          <w:color w:val="auto"/>
        </w:rPr>
      </w:pPr>
    </w:p>
    <w:p>
      <w:pPr>
        <w:ind w:left="444" w:firstLine="419"/>
        <w:spacing w:after="0" w:line="287" w:lineRule="auto"/>
        <w:tabs>
          <w:tab w:leader="none" w:pos="111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Following the date of this Agreement, the Company or one or more of its Subsidiaries shall, quarterly in arrears upon presentation of customary invoices and, if requested by the Company, reasonable supporting documentation, reimburse the Executive for the per-hour costs incurred by the Executive in connection with his use of a private airplane owned by or on behalf of [Brandon M. Cruz or the Executive]</w:t>
      </w:r>
      <w:r>
        <w:rPr>
          <w:rFonts w:ascii="Arial" w:cs="Arial" w:eastAsia="Arial" w:hAnsi="Arial"/>
          <w:sz w:val="13"/>
          <w:szCs w:val="13"/>
          <w:color w:val="auto"/>
        </w:rPr>
        <w:t>2</w:t>
      </w:r>
      <w:r>
        <w:rPr>
          <w:rFonts w:ascii="Arial" w:cs="Arial" w:eastAsia="Arial" w:hAnsi="Arial"/>
          <w:sz w:val="16"/>
          <w:szCs w:val="16"/>
          <w:color w:val="auto"/>
        </w:rPr>
        <w:t>[the Executive or Clint Jones]</w:t>
      </w:r>
      <w:r>
        <w:rPr>
          <w:rFonts w:ascii="Arial" w:cs="Arial" w:eastAsia="Arial" w:hAnsi="Arial"/>
          <w:sz w:val="13"/>
          <w:szCs w:val="13"/>
          <w:color w:val="auto"/>
        </w:rPr>
        <w:t>3</w:t>
      </w:r>
      <w:r>
        <w:rPr>
          <w:rFonts w:ascii="Arial" w:cs="Arial" w:eastAsia="Arial" w:hAnsi="Arial"/>
          <w:sz w:val="16"/>
          <w:szCs w:val="16"/>
          <w:color w:val="auto"/>
        </w:rPr>
        <w:t>: (i) on an unlimited basis for bona fide business purposes (for himself and for [Clint Jones][ Brandon M. Cruz]) and (</w:t>
      </w:r>
      <w:r>
        <w:rPr>
          <w:rFonts w:ascii="Arial" w:cs="Arial" w:eastAsia="Arial" w:hAnsi="Arial"/>
          <w:sz w:val="16"/>
          <w:szCs w:val="16"/>
          <w:u w:val="single" w:color="auto"/>
          <w:color w:val="auto"/>
        </w:rPr>
        <w:t>ii</w:t>
      </w:r>
      <w:r>
        <w:rPr>
          <w:rFonts w:ascii="Arial" w:cs="Arial" w:eastAsia="Arial" w:hAnsi="Arial"/>
          <w:sz w:val="16"/>
          <w:szCs w:val="16"/>
          <w:color w:val="auto"/>
        </w:rPr>
        <w:t>) for up to one hundred (100) hours of personal use per calendar year (the “</w:t>
      </w:r>
      <w:r>
        <w:rPr>
          <w:rFonts w:ascii="Arial" w:cs="Arial" w:eastAsia="Arial" w:hAnsi="Arial"/>
          <w:sz w:val="16"/>
          <w:szCs w:val="16"/>
          <w:u w:val="single" w:color="auto"/>
          <w:color w:val="auto"/>
        </w:rPr>
        <w:t>Airplane Reimbursement Arrangement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costs to be reimbursed and the terms of use associated with such private airplane use shall be commercially reasonable when compared with private airplane use costs and terms at comparable companies;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such reimbursement shall not include hangar costs or catering (other than hangar costs and catering incurred during bona fide business use), insurance or personal property taxes. The Executive shall not be entitled to any gross-up payment with respect to any taxes incurred in connection with the reimbursement of the Executive’s personal use of the private airplane described in the foregoing clause (ii), and the Executive shall use commercially reasonable efforts to cooperate with the Company to satisfy any withholding tax obligation if applicable) associated with the reimbursement of such personal use.</w:t>
      </w:r>
    </w:p>
    <w:p>
      <w:pPr>
        <w:spacing w:after="0" w:line="63" w:lineRule="exact"/>
        <w:rPr>
          <w:rFonts w:ascii="Arial" w:cs="Arial" w:eastAsia="Arial" w:hAnsi="Arial"/>
          <w:sz w:val="16"/>
          <w:szCs w:val="16"/>
          <w:color w:val="auto"/>
        </w:rPr>
      </w:pPr>
    </w:p>
    <w:p>
      <w:pPr>
        <w:ind w:left="444" w:right="40" w:firstLine="419"/>
        <w:spacing w:after="0" w:line="259" w:lineRule="auto"/>
        <w:tabs>
          <w:tab w:leader="none" w:pos="112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At any time and from time to time, the Board shall have the authority to choose not to reimburse any amounts pursuant to Section 9(a) to the extent that, in the Board’s reasonable and good faith determination (which shall include the determination of the Independent Manager (as such term is defined in the Company Operating Agreement)), such amounts represent a material increase relative to the fair market value of such amounts on the date hereof.</w:t>
      </w:r>
    </w:p>
    <w:p>
      <w:pPr>
        <w:spacing w:after="0" w:line="78" w:lineRule="exact"/>
        <w:rPr>
          <w:rFonts w:ascii="Arial" w:cs="Arial" w:eastAsia="Arial" w:hAnsi="Arial"/>
          <w:sz w:val="18"/>
          <w:szCs w:val="18"/>
          <w:color w:val="auto"/>
        </w:rPr>
      </w:pPr>
    </w:p>
    <w:p>
      <w:pPr>
        <w:ind w:left="444" w:right="160" w:firstLine="419"/>
        <w:spacing w:after="0" w:line="263" w:lineRule="auto"/>
        <w:tabs>
          <w:tab w:leader="none" w:pos="111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 the event of an IPO or an Exit Sale, the Company shall terminate the Airplane Reimbursement Arrangement and any equivalent arrangement in the future with respect to private airplane use shall be determined by the board of directors (or equivalent governing body) of the Company or the IPO Corporation, as applicable.]</w:t>
      </w:r>
    </w:p>
    <w:p>
      <w:pPr>
        <w:spacing w:after="0" w:line="76"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left="444" w:firstLine="419"/>
        <w:spacing w:after="0" w:line="279" w:lineRule="auto"/>
        <w:tabs>
          <w:tab w:leader="none" w:pos="1111"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Authorization to Use Personal Data</w:t>
      </w:r>
      <w:r>
        <w:rPr>
          <w:rFonts w:ascii="Arial" w:cs="Arial" w:eastAsia="Arial" w:hAnsi="Arial"/>
          <w:sz w:val="17"/>
          <w:szCs w:val="17"/>
          <w:color w:val="auto"/>
        </w:rPr>
        <w:t>. The Executive authorizes any Affiliate of the Company that employs the Executive or that otherwise has or lawfully obtains personal data relating to the Executive to divulge or transfer such personal data to the Company or to a third party, in each case in any jurisdiction, if and to the extent required by law; provided, however, that the Company or its Affiliate, as applicable, shall provide the Executive with prior written notice thereof if and to the extent required by law.</w:t>
      </w:r>
    </w:p>
    <w:p>
      <w:pPr>
        <w:spacing w:after="0" w:line="63" w:lineRule="exact"/>
        <w:rPr>
          <w:rFonts w:ascii="Arial" w:cs="Arial" w:eastAsia="Arial" w:hAnsi="Arial"/>
          <w:sz w:val="17"/>
          <w:szCs w:val="17"/>
          <w:color w:val="auto"/>
        </w:rPr>
      </w:pPr>
    </w:p>
    <w:p>
      <w:pPr>
        <w:ind w:left="444" w:right="160" w:firstLine="419"/>
        <w:spacing w:after="0" w:line="255" w:lineRule="auto"/>
        <w:tabs>
          <w:tab w:leader="none" w:pos="1122"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delivery, or when received in the form of a facsimile, electronic mail or other electronic transmission (receipt confirmation requested), to the Company, Management LLC, the CBP Member or the Executive, as the case may be, at the following addresses or to such other address as the Company, Management LLC, the CBP Member or the Executive, as the case may be, shall specify by notice to the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234315</wp:posOffset>
            </wp:positionV>
            <wp:extent cx="77152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8" w:lineRule="exact"/>
        <w:rPr>
          <w:sz w:val="20"/>
          <w:szCs w:val="20"/>
          <w:color w:val="auto"/>
        </w:rPr>
      </w:pPr>
    </w:p>
    <w:p>
      <w:pPr>
        <w:ind w:left="424" w:hanging="424"/>
        <w:spacing w:after="0"/>
        <w:tabs>
          <w:tab w:leader="none" w:pos="424" w:val="left"/>
        </w:tabs>
        <w:numPr>
          <w:ilvl w:val="0"/>
          <w:numId w:val="264"/>
        </w:numPr>
        <w:rPr>
          <w:rFonts w:ascii="Arial" w:cs="Arial" w:eastAsia="Arial" w:hAnsi="Arial"/>
          <w:sz w:val="15"/>
          <w:szCs w:val="15"/>
          <w:color w:val="auto"/>
        </w:rPr>
      </w:pPr>
      <w:r>
        <w:rPr>
          <w:rFonts w:ascii="Arial" w:cs="Arial" w:eastAsia="Arial" w:hAnsi="Arial"/>
          <w:sz w:val="18"/>
          <w:szCs w:val="18"/>
          <w:color w:val="auto"/>
        </w:rPr>
        <w:t>Note to Draft: Section 9 to be included for Brandon Cruz and Clint Jones.</w:t>
      </w:r>
    </w:p>
    <w:p>
      <w:pPr>
        <w:spacing w:after="0" w:line="22" w:lineRule="exact"/>
        <w:rPr>
          <w:sz w:val="20"/>
          <w:szCs w:val="20"/>
          <w:color w:val="auto"/>
        </w:rPr>
      </w:pPr>
    </w:p>
    <w:p>
      <w:pPr>
        <w:ind w:left="424" w:hanging="424"/>
        <w:spacing w:after="0"/>
        <w:tabs>
          <w:tab w:leader="none" w:pos="424" w:val="left"/>
        </w:tabs>
        <w:numPr>
          <w:ilvl w:val="0"/>
          <w:numId w:val="265"/>
        </w:numPr>
        <w:rPr>
          <w:rFonts w:ascii="Arial" w:cs="Arial" w:eastAsia="Arial" w:hAnsi="Arial"/>
          <w:sz w:val="15"/>
          <w:szCs w:val="15"/>
          <w:color w:val="auto"/>
        </w:rPr>
      </w:pPr>
      <w:r>
        <w:rPr>
          <w:rFonts w:ascii="Arial" w:cs="Arial" w:eastAsia="Arial" w:hAnsi="Arial"/>
          <w:sz w:val="18"/>
          <w:szCs w:val="18"/>
          <w:color w:val="auto"/>
        </w:rPr>
        <w:t>For Clint.</w:t>
      </w:r>
    </w:p>
    <w:p>
      <w:pPr>
        <w:spacing w:after="0" w:line="9" w:lineRule="exact"/>
        <w:rPr>
          <w:sz w:val="20"/>
          <w:szCs w:val="20"/>
          <w:color w:val="auto"/>
        </w:rPr>
      </w:pPr>
    </w:p>
    <w:p>
      <w:pPr>
        <w:ind w:left="424" w:hanging="424"/>
        <w:spacing w:after="0"/>
        <w:tabs>
          <w:tab w:leader="none" w:pos="424" w:val="left"/>
        </w:tabs>
        <w:numPr>
          <w:ilvl w:val="0"/>
          <w:numId w:val="266"/>
        </w:numPr>
        <w:rPr>
          <w:rFonts w:ascii="Arial" w:cs="Arial" w:eastAsia="Arial" w:hAnsi="Arial"/>
          <w:sz w:val="15"/>
          <w:szCs w:val="15"/>
          <w:color w:val="auto"/>
        </w:rPr>
      </w:pPr>
      <w:r>
        <w:rPr>
          <w:rFonts w:ascii="Arial" w:cs="Arial" w:eastAsia="Arial" w:hAnsi="Arial"/>
          <w:sz w:val="18"/>
          <w:szCs w:val="18"/>
          <w:color w:val="auto"/>
        </w:rPr>
        <w:t>For Brandon.</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75" w:name="page276"/>
    <w:bookmarkEnd w:id="275"/>
    <w:p>
      <w:pPr>
        <w:ind w:left="1160" w:hanging="212"/>
        <w:spacing w:after="0"/>
        <w:tabs>
          <w:tab w:leader="none" w:pos="11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the Company, to it as provided in the Company Operating Agreement;</w:t>
      </w:r>
    </w:p>
    <w:p>
      <w:pPr>
        <w:spacing w:after="0" w:line="117" w:lineRule="exact"/>
        <w:rPr>
          <w:rFonts w:ascii="Arial" w:cs="Arial" w:eastAsia="Arial" w:hAnsi="Arial"/>
          <w:sz w:val="18"/>
          <w:szCs w:val="18"/>
          <w:color w:val="auto"/>
        </w:rPr>
      </w:pPr>
    </w:p>
    <w:p>
      <w:pPr>
        <w:ind w:left="1220" w:hanging="272"/>
        <w:spacing w:after="0"/>
        <w:tabs>
          <w:tab w:leader="none" w:pos="12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to Management LLC, to it as provided in the Management LLC Agreement;</w:t>
      </w:r>
    </w:p>
    <w:p>
      <w:pPr>
        <w:spacing w:after="0" w:line="117" w:lineRule="exact"/>
        <w:rPr>
          <w:rFonts w:ascii="Arial" w:cs="Arial" w:eastAsia="Arial" w:hAnsi="Arial"/>
          <w:sz w:val="18"/>
          <w:szCs w:val="18"/>
          <w:color w:val="auto"/>
        </w:rPr>
      </w:pPr>
    </w:p>
    <w:p>
      <w:pPr>
        <w:ind w:left="540" w:right="20" w:firstLine="408"/>
        <w:spacing w:after="0" w:line="277" w:lineRule="auto"/>
        <w:tabs>
          <w:tab w:leader="none" w:pos="125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to the Executive, to the Executive at the Executive’s most recent address as shown on the books and records of the Company or Subsidiary employing the Executive; and</w:t>
      </w:r>
    </w:p>
    <w:p>
      <w:pPr>
        <w:spacing w:after="0" w:line="62" w:lineRule="exact"/>
        <w:rPr>
          <w:rFonts w:ascii="Arial" w:cs="Arial" w:eastAsia="Arial" w:hAnsi="Arial"/>
          <w:sz w:val="18"/>
          <w:szCs w:val="18"/>
          <w:color w:val="auto"/>
        </w:rPr>
      </w:pPr>
    </w:p>
    <w:p>
      <w:pPr>
        <w:ind w:left="1260" w:hanging="312"/>
        <w:spacing w:after="0"/>
        <w:tabs>
          <w:tab w:leader="none" w:pos="12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to the CBP Member, to it as provided in the Company Operating Agreement;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with a copy (which shall not by itself constitute notice hereunder) to:</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Debevoise &amp; Plimpton LLP</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Fax: (212) 909-6836</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Andrew L. Bab or Jonathan F. Lewis</w:t>
      </w:r>
    </w:p>
    <w:p>
      <w:pPr>
        <w:spacing w:after="0" w:line="9" w:lineRule="exact"/>
        <w:rPr>
          <w:sz w:val="20"/>
          <w:szCs w:val="20"/>
          <w:color w:val="auto"/>
        </w:rPr>
      </w:pPr>
    </w:p>
    <w:p>
      <w:pPr>
        <w:ind w:left="1380"/>
        <w:spacing w:after="0"/>
        <w:tabs>
          <w:tab w:leader="none" w:pos="20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####@debevoise.com or ####@debevoise.com</w:t>
      </w:r>
    </w:p>
    <w:p>
      <w:pPr>
        <w:spacing w:after="0" w:line="1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by electronic mail, or on the third business day if delivered by regular mail. Copies of any notice or other communication given under this Agreement shall also be given to the CBP Member pursuant to clause (iv) above.</w:t>
      </w:r>
    </w:p>
    <w:p>
      <w:pPr>
        <w:spacing w:after="0" w:line="76" w:lineRule="exact"/>
        <w:rPr>
          <w:sz w:val="20"/>
          <w:szCs w:val="20"/>
          <w:color w:val="auto"/>
        </w:rPr>
      </w:pPr>
    </w:p>
    <w:p>
      <w:pPr>
        <w:ind w:right="360" w:firstLine="419"/>
        <w:spacing w:after="0" w:line="277" w:lineRule="auto"/>
        <w:tabs>
          <w:tab w:leader="none" w:pos="667"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to this Agreement and their respective successors and assigns.</w:t>
      </w:r>
    </w:p>
    <w:p>
      <w:pPr>
        <w:spacing w:after="0" w:line="10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20"/>
          </w:cols>
          <w:pgMar w:left="880" w:top="274" w:right="599" w:bottom="1440" w:gutter="0" w:footer="0" w:header="0"/>
        </w:sectPr>
      </w:pPr>
    </w:p>
    <w:bookmarkStart w:id="276" w:name="page277"/>
    <w:bookmarkEnd w:id="276"/>
    <w:p>
      <w:pPr>
        <w:ind w:left="680" w:hanging="261"/>
        <w:spacing w:after="0"/>
        <w:tabs>
          <w:tab w:leader="none" w:pos="680"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 Amendment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60" w:firstLine="408"/>
        <w:spacing w:after="0" w:line="255" w:lineRule="auto"/>
        <w:tabs>
          <w:tab w:leader="none" w:pos="1156"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action taken pursuant to this Agreement, including, but not limited to,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 party to exercise any right or privilege hereunder shall be deemed a waiver of such party’s rights or privileges hereunder or shall be deemed a waiver of such party’s rights to exercise the same at any subsequent time or times hereunder.</w:t>
      </w:r>
    </w:p>
    <w:p>
      <w:pPr>
        <w:spacing w:after="0" w:line="84" w:lineRule="exact"/>
        <w:rPr>
          <w:rFonts w:ascii="Arial" w:cs="Arial" w:eastAsia="Arial" w:hAnsi="Arial"/>
          <w:sz w:val="18"/>
          <w:szCs w:val="18"/>
          <w:color w:val="auto"/>
        </w:rPr>
      </w:pPr>
    </w:p>
    <w:p>
      <w:pPr>
        <w:ind w:left="1220" w:hanging="272"/>
        <w:spacing w:after="0"/>
        <w:tabs>
          <w:tab w:leader="none" w:pos="1220" w:val="left"/>
        </w:tabs>
        <w:numPr>
          <w:ilvl w:val="1"/>
          <w:numId w:val="269"/>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This Agreement may be amended, modified or supplemented only by a written instrument executed by the</w:t>
      </w:r>
    </w:p>
    <w:p>
      <w:pPr>
        <w:spacing w:after="0" w:line="34" w:lineRule="exact"/>
        <w:rPr>
          <w:rFonts w:ascii="Arial" w:cs="Arial" w:eastAsia="Arial" w:hAnsi="Arial"/>
          <w:sz w:val="17"/>
          <w:szCs w:val="17"/>
          <w:color w:val="auto"/>
        </w:rPr>
      </w:pPr>
    </w:p>
    <w:p>
      <w:pPr>
        <w:ind w:left="540"/>
        <w:spacing w:after="0" w:line="260" w:lineRule="auto"/>
        <w:rPr>
          <w:rFonts w:ascii="Arial" w:cs="Arial" w:eastAsia="Arial" w:hAnsi="Arial"/>
          <w:sz w:val="17"/>
          <w:szCs w:val="17"/>
          <w:color w:val="auto"/>
        </w:rPr>
      </w:pPr>
      <w:r>
        <w:rPr>
          <w:rFonts w:ascii="Arial" w:cs="Arial" w:eastAsia="Arial" w:hAnsi="Arial"/>
          <w:sz w:val="18"/>
          <w:szCs w:val="18"/>
          <w:color w:val="auto"/>
        </w:rPr>
        <w:t xml:space="preserve">Executive, the Company and Management LLC;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any amendment adversely affecting the rights or economic benefits of the CBP Member hereunder must be consented to by the CBP Member.</w:t>
      </w:r>
    </w:p>
    <w:p>
      <w:pPr>
        <w:spacing w:after="0" w:line="77" w:lineRule="exact"/>
        <w:rPr>
          <w:rFonts w:ascii="Arial" w:cs="Arial" w:eastAsia="Arial" w:hAnsi="Arial"/>
          <w:sz w:val="17"/>
          <w:szCs w:val="17"/>
          <w:color w:val="auto"/>
        </w:rPr>
      </w:pPr>
    </w:p>
    <w:p>
      <w:pPr>
        <w:ind w:right="600" w:firstLine="419"/>
        <w:spacing w:after="0" w:line="308" w:lineRule="auto"/>
        <w:tabs>
          <w:tab w:leader="none" w:pos="667"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Assignability</w:t>
      </w:r>
      <w:r>
        <w:rPr>
          <w:rFonts w:ascii="Arial" w:cs="Arial" w:eastAsia="Arial" w:hAnsi="Arial"/>
          <w:sz w:val="17"/>
          <w:szCs w:val="17"/>
          <w:color w:val="auto"/>
        </w:rPr>
        <w:t>. Neither this Agreement nor any right, remedy, obligation or liability arising hereunder or by reason hereof shall be assignable by the Company, Management LLC or the Executive without the prior written consent of the other parties.</w:t>
      </w:r>
    </w:p>
    <w:p>
      <w:pPr>
        <w:spacing w:after="0" w:line="38" w:lineRule="exact"/>
        <w:rPr>
          <w:rFonts w:ascii="Arial" w:cs="Arial" w:eastAsia="Arial" w:hAnsi="Arial"/>
          <w:sz w:val="17"/>
          <w:szCs w:val="17"/>
          <w:color w:val="auto"/>
        </w:rPr>
      </w:pPr>
    </w:p>
    <w:p>
      <w:pPr>
        <w:ind w:right="160" w:firstLine="419"/>
        <w:spacing w:after="0" w:line="277" w:lineRule="auto"/>
        <w:tabs>
          <w:tab w:leader="none" w:pos="648"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regardless of the application of rules of conflict of law that would apply the laws of any other jurisdiction.</w:t>
      </w:r>
    </w:p>
    <w:p>
      <w:pPr>
        <w:spacing w:after="0" w:line="62" w:lineRule="exact"/>
        <w:rPr>
          <w:rFonts w:ascii="Arial" w:cs="Arial" w:eastAsia="Arial" w:hAnsi="Arial"/>
          <w:sz w:val="18"/>
          <w:szCs w:val="18"/>
          <w:color w:val="auto"/>
        </w:rPr>
      </w:pPr>
    </w:p>
    <w:p>
      <w:pPr>
        <w:ind w:right="140" w:firstLine="419"/>
        <w:spacing w:after="0" w:line="275" w:lineRule="auto"/>
        <w:tabs>
          <w:tab w:leader="none" w:pos="678" w:val="left"/>
        </w:tabs>
        <w:numPr>
          <w:ilvl w:val="0"/>
          <w:numId w:val="269"/>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hereby waives, to the fullest extent permitted by applicable law, any right it may have to a trial by jury in respect of any suit, action or proceeding arising out of this Agreement or any transaction contemplated hereby. Each party (</w:t>
      </w:r>
      <w:r>
        <w:rPr>
          <w:rFonts w:ascii="Arial" w:cs="Arial" w:eastAsia="Arial" w:hAnsi="Arial"/>
          <w:sz w:val="17"/>
          <w:szCs w:val="17"/>
          <w:u w:val="single" w:color="auto"/>
          <w:color w:val="auto"/>
        </w:rPr>
        <w:t>i</w:t>
      </w:r>
      <w:r>
        <w:rPr>
          <w:rFonts w:ascii="Arial" w:cs="Arial" w:eastAsia="Arial" w:hAnsi="Arial"/>
          <w:sz w:val="17"/>
          <w:szCs w:val="17"/>
          <w:color w:val="auto"/>
        </w:rPr>
        <w:t>) certifies that no representative, agent or attorney of any other party has represented, expressly or otherwise, that such other party would not, in the event of litigation, seek to enforce the foregoing waiver and (</w:t>
      </w:r>
      <w:r>
        <w:rPr>
          <w:rFonts w:ascii="Arial" w:cs="Arial" w:eastAsia="Arial" w:hAnsi="Arial"/>
          <w:sz w:val="17"/>
          <w:szCs w:val="17"/>
          <w:u w:val="single" w:color="auto"/>
          <w:color w:val="auto"/>
        </w:rPr>
        <w:t>ii</w:t>
      </w:r>
      <w:r>
        <w:rPr>
          <w:rFonts w:ascii="Arial" w:cs="Arial" w:eastAsia="Arial" w:hAnsi="Arial"/>
          <w:sz w:val="17"/>
          <w:szCs w:val="17"/>
          <w:color w:val="auto"/>
        </w:rPr>
        <w:t>) acknowledges that it and the other parties have been induced to enter into the Agreement by, among other things, the mutual waivers and certifications in this Section [9(g)][10(g)].</w:t>
      </w:r>
    </w:p>
    <w:p>
      <w:pPr>
        <w:spacing w:after="0" w:line="68" w:lineRule="exact"/>
        <w:rPr>
          <w:rFonts w:ascii="Arial" w:cs="Arial" w:eastAsia="Arial" w:hAnsi="Arial"/>
          <w:sz w:val="17"/>
          <w:szCs w:val="17"/>
          <w:color w:val="auto"/>
        </w:rPr>
      </w:pPr>
    </w:p>
    <w:p>
      <w:pPr>
        <w:ind w:right="20" w:firstLine="419"/>
        <w:spacing w:after="0" w:line="263" w:lineRule="auto"/>
        <w:tabs>
          <w:tab w:leader="none" w:pos="678"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Consent to Electronic Delivery</w:t>
      </w:r>
      <w:r>
        <w:rPr>
          <w:rFonts w:ascii="Arial" w:cs="Arial" w:eastAsia="Arial" w:hAnsi="Arial"/>
          <w:sz w:val="18"/>
          <w:szCs w:val="18"/>
          <w:color w:val="auto"/>
        </w:rPr>
        <w:t>. The Executive hereby consents to the delivery of information (including, without limitation, information required to be delivered to the Executive pursuant to the Management LLC Agreement or applicable securities laws) regarding the Company, Management LLC, this Agreement and the Units via electronic delivery, including electronic mail.</w:t>
      </w:r>
    </w:p>
    <w:p>
      <w:pPr>
        <w:spacing w:after="0" w:line="75" w:lineRule="exact"/>
        <w:rPr>
          <w:rFonts w:ascii="Arial" w:cs="Arial" w:eastAsia="Arial" w:hAnsi="Arial"/>
          <w:sz w:val="18"/>
          <w:szCs w:val="18"/>
          <w:color w:val="auto"/>
        </w:rPr>
      </w:pPr>
    </w:p>
    <w:p>
      <w:pPr>
        <w:ind w:right="200" w:firstLine="419"/>
        <w:spacing w:after="0" w:line="277" w:lineRule="auto"/>
        <w:tabs>
          <w:tab w:leader="none" w:pos="638"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 etc</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0"/>
          </w:cols>
          <w:pgMar w:left="880" w:top="274" w:right="479" w:bottom="1440" w:gutter="0" w:footer="0" w:header="0"/>
        </w:sectPr>
      </w:pPr>
    </w:p>
    <w:bookmarkStart w:id="277" w:name="page278"/>
    <w:bookmarkEnd w:id="277"/>
    <w:p>
      <w:pPr>
        <w:ind w:left="-419" w:right="20" w:firstLine="419"/>
        <w:spacing w:after="0" w:line="277" w:lineRule="auto"/>
        <w:tabs>
          <w:tab w:leader="none" w:pos="218"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Counterparts</w:t>
      </w:r>
      <w:r>
        <w:rPr>
          <w:rFonts w:ascii="Arial" w:cs="Arial" w:eastAsia="Arial" w:hAnsi="Arial"/>
          <w:sz w:val="18"/>
          <w:szCs w:val="18"/>
          <w:color w:val="auto"/>
        </w:rPr>
        <w:t>. This Agreement may be executed in any number of counterparts, each of which shall be deemed to be an original and all of which together shall constitute one and the same instrument.</w:t>
      </w:r>
    </w:p>
    <w:p>
      <w:pPr>
        <w:spacing w:after="0" w:line="62" w:lineRule="exact"/>
        <w:rPr>
          <w:rFonts w:ascii="Arial" w:cs="Arial" w:eastAsia="Arial" w:hAnsi="Arial"/>
          <w:sz w:val="18"/>
          <w:szCs w:val="18"/>
          <w:color w:val="auto"/>
        </w:rPr>
      </w:pPr>
    </w:p>
    <w:p>
      <w:pPr>
        <w:jc w:val="both"/>
        <w:ind w:left="-419" w:right="180" w:firstLine="419"/>
        <w:spacing w:after="0" w:line="263" w:lineRule="auto"/>
        <w:tabs>
          <w:tab w:leader="none" w:pos="258"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Interpretive Rule</w:t>
      </w:r>
      <w:r>
        <w:rPr>
          <w:rFonts w:ascii="Arial" w:cs="Arial" w:eastAsia="Arial" w:hAnsi="Arial"/>
          <w:sz w:val="18"/>
          <w:szCs w:val="18"/>
          <w:color w:val="auto"/>
        </w:rPr>
        <w:t>. In the event of any ambiguity regarding the interpretation of this Agreement, this Agreement shall be interpreted by the Administrator to effect the same result, as nearly as practicable, as if the Executive had acquired Common Units of the Company and Profits Units of the Company directly.</w:t>
      </w:r>
    </w:p>
    <w:p>
      <w:pPr>
        <w:spacing w:after="0" w:line="75" w:lineRule="exact"/>
        <w:rPr>
          <w:rFonts w:ascii="Arial" w:cs="Arial" w:eastAsia="Arial" w:hAnsi="Arial"/>
          <w:sz w:val="18"/>
          <w:szCs w:val="18"/>
          <w:color w:val="auto"/>
        </w:rPr>
      </w:pPr>
    </w:p>
    <w:p>
      <w:pPr>
        <w:ind w:left="-419" w:right="80" w:firstLine="419"/>
        <w:spacing w:after="0" w:line="259" w:lineRule="auto"/>
        <w:tabs>
          <w:tab w:leader="none" w:pos="218"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xml:space="preserve">. This Agreement is not intended to confer in or on behalf of any Person not a party to this Agreement (and their successors and assigns) any rights, benefits, causes of action or remedies with respect to the subject matter or any provision thereof except for the CBP Member, which is an express third party beneficiary of this Agreement (other than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and entitled to enforce its terms and provisions (other than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w:t>
      </w:r>
    </w:p>
    <w:p>
      <w:pPr>
        <w:spacing w:after="0" w:line="78" w:lineRule="exact"/>
        <w:rPr>
          <w:rFonts w:ascii="Arial" w:cs="Arial" w:eastAsia="Arial" w:hAnsi="Arial"/>
          <w:sz w:val="18"/>
          <w:szCs w:val="18"/>
          <w:color w:val="auto"/>
        </w:rPr>
      </w:pPr>
    </w:p>
    <w:p>
      <w:pPr>
        <w:ind w:left="-419" w:firstLine="419"/>
        <w:spacing w:after="0" w:line="311" w:lineRule="auto"/>
        <w:tabs>
          <w:tab w:leader="none" w:pos="308"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 or Service</w:t>
      </w:r>
      <w:r>
        <w:rPr>
          <w:rFonts w:ascii="Arial" w:cs="Arial" w:eastAsia="Arial" w:hAnsi="Arial"/>
          <w:sz w:val="16"/>
          <w:szCs w:val="16"/>
          <w:color w:val="auto"/>
        </w:rPr>
        <w:t>. Nothing in the Company Operating Agreement, the Management LLC Agreement or this Agreement shall confer upon the Executive any right to continue in the employ or service of the Company or shall interfere with or restrict the right of any member of the Company to terminate the Executive’s employment or services to the Company at any time for any reason whatsoever.</w:t>
      </w:r>
    </w:p>
    <w:p>
      <w:pPr>
        <w:spacing w:after="0" w:line="149" w:lineRule="exact"/>
        <w:rPr>
          <w:sz w:val="20"/>
          <w:szCs w:val="20"/>
          <w:color w:val="auto"/>
        </w:rPr>
      </w:pPr>
    </w:p>
    <w:p>
      <w:pPr>
        <w:ind w:left="4561" w:right="4520" w:hanging="897"/>
        <w:spacing w:after="0" w:line="449" w:lineRule="auto"/>
        <w:tabs>
          <w:tab w:leader="none" w:pos="3784" w:val="left"/>
        </w:tabs>
        <w:numPr>
          <w:ilvl w:val="0"/>
          <w:numId w:val="27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Signature Page Follows ] </w:t>
      </w:r>
      <w:r>
        <w:rPr>
          <w:rFonts w:ascii="Arial" w:cs="Arial" w:eastAsia="Arial" w:hAnsi="Arial"/>
          <w:sz w:val="18"/>
          <w:szCs w:val="18"/>
          <w:color w:val="auto"/>
        </w:rPr>
        <w:t>12</w:t>
      </w:r>
    </w:p>
    <w:p>
      <w:pPr>
        <w:sectPr>
          <w:pgSz w:w="11900" w:h="16838" w:orient="portrait"/>
          <w:cols w:equalWidth="0" w:num="1">
            <w:col w:w="10141"/>
          </w:cols>
          <w:pgMar w:left="1299" w:top="274" w:right="459" w:bottom="1440" w:gutter="0" w:footer="0" w:header="0"/>
        </w:sectPr>
      </w:pPr>
    </w:p>
    <w:bookmarkStart w:id="278" w:name="page279"/>
    <w:bookmarkEnd w:id="27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EXECUTIVE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[________________]</w:t>
            </w:r>
          </w:p>
        </w:tc>
      </w:tr>
      <w:tr>
        <w:trPr>
          <w:trHeight w:val="42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BLIZZARD PARENT, LLC</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Blizzard Aggregator,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CCP III Cayman GP Ltd.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20" w:type="dxa"/>
            <w:vAlign w:val="bottom"/>
          </w:tcPr>
          <w:p>
            <w:pPr>
              <w:spacing w:after="0"/>
              <w:rPr>
                <w:sz w:val="20"/>
                <w:szCs w:val="20"/>
                <w:color w:val="auto"/>
              </w:rPr>
            </w:pPr>
            <w:r>
              <w:rPr>
                <w:rFonts w:ascii="Arial" w:cs="Arial" w:eastAsia="Arial" w:hAnsi="Arial"/>
                <w:sz w:val="18"/>
                <w:szCs w:val="18"/>
                <w:color w:val="auto"/>
              </w:rPr>
              <w:t>Manager</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Gelber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jc w:val="right"/>
        <w:ind w:right="820"/>
        <w:spacing w:after="0"/>
        <w:rPr>
          <w:sz w:val="20"/>
          <w:szCs w:val="20"/>
          <w:color w:val="auto"/>
        </w:rPr>
      </w:pPr>
      <w:r>
        <w:rPr>
          <w:rFonts w:ascii="Arial" w:cs="Arial" w:eastAsia="Arial" w:hAnsi="Arial"/>
          <w:sz w:val="18"/>
          <w:szCs w:val="18"/>
          <w:b w:val="1"/>
          <w:bCs w:val="1"/>
          <w:color w:val="auto"/>
        </w:rPr>
        <w:t>BLIZZARD MANAGEMENT FEEDER, LLC</w:t>
      </w:r>
    </w:p>
    <w:p>
      <w:pPr>
        <w:sectPr>
          <w:pgSz w:w="11900" w:h="16838" w:orient="portrait"/>
          <w:cols w:equalWidth="0" w:num="1">
            <w:col w:w="10020"/>
          </w:cols>
          <w:pgMar w:left="1440" w:top="517" w:right="439" w:bottom="1440" w:gutter="0" w:footer="0" w:header="0"/>
        </w:sectPr>
      </w:pP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CCP III Cayman GP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ectPr>
          <w:pgSz w:w="11900" w:h="16838" w:orient="portrait"/>
          <w:cols w:equalWidth="0" w:num="2">
            <w:col w:w="5880" w:space="320"/>
            <w:col w:w="3820"/>
          </w:cols>
          <w:pgMar w:left="1440" w:top="517" w:right="439" w:bottom="1440" w:gutter="0" w:footer="0" w:header="0"/>
          <w:type w:val="continuous"/>
        </w:sectPr>
      </w:pPr>
    </w:p>
    <w:p>
      <w:pPr>
        <w:spacing w:after="0" w:line="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Jeremy Gelber</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Authorized Signatory</w:t>
      </w:r>
    </w:p>
    <w:p>
      <w:pPr>
        <w:spacing w:after="0" w:line="23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Common Unit and Profits Unit Agreement</w:t>
      </w:r>
      <w:r>
        <w:rPr>
          <w:rFonts w:ascii="Arial" w:cs="Arial" w:eastAsia="Arial" w:hAnsi="Arial"/>
          <w:sz w:val="18"/>
          <w:szCs w:val="18"/>
          <w:color w:val="auto"/>
        </w:rPr>
        <w:t>]</w:t>
      </w:r>
    </w:p>
    <w:p>
      <w:pPr>
        <w:sectPr>
          <w:pgSz w:w="11900" w:h="16838" w:orient="portrait"/>
          <w:cols w:equalWidth="0" w:num="1">
            <w:col w:w="10020"/>
          </w:cols>
          <w:pgMar w:left="1440" w:top="517" w:right="439" w:bottom="1440" w:gutter="0" w:footer="0" w:header="0"/>
          <w:type w:val="continuous"/>
        </w:sectPr>
      </w:pPr>
    </w:p>
    <w:bookmarkStart w:id="279" w:name="page280"/>
    <w:bookmarkEnd w:id="279"/>
    <w:tbl>
      <w:tblPr>
        <w:tblLayout w:type="fixed"/>
        <w:tblInd w:w="4" w:type="dxa"/>
        <w:tblCellMar>
          <w:top w:w="0" w:type="dxa"/>
          <w:left w:w="0" w:type="dxa"/>
          <w:bottom w:w="0" w:type="dxa"/>
          <w:right w:w="0" w:type="dxa"/>
        </w:tblCellMar>
      </w:tblP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Name: [________________]</w:t>
            </w:r>
          </w:p>
        </w:tc>
        <w:tc>
          <w:tcPr>
            <w:tcW w:w="2340" w:type="dxa"/>
            <w:vAlign w:val="bottom"/>
          </w:tcPr>
          <w:p>
            <w:pPr>
              <w:spacing w:after="0"/>
              <w:rPr>
                <w:sz w:val="20"/>
                <w:szCs w:val="20"/>
                <w:color w:val="auto"/>
              </w:rPr>
            </w:pPr>
          </w:p>
        </w:tc>
      </w:tr>
      <w:tr>
        <w:trPr>
          <w:trHeight w:val="418"/>
        </w:trPr>
        <w:tc>
          <w:tcPr>
            <w:tcW w:w="3340" w:type="dxa"/>
            <w:vAlign w:val="bottom"/>
            <w:gridSpan w:val="3"/>
          </w:tcPr>
          <w:p>
            <w:pPr>
              <w:spacing w:after="0"/>
              <w:rPr>
                <w:sz w:val="20"/>
                <w:szCs w:val="20"/>
                <w:color w:val="auto"/>
              </w:rPr>
            </w:pPr>
            <w:r>
              <w:rPr>
                <w:rFonts w:ascii="Arial" w:cs="Arial" w:eastAsia="Arial" w:hAnsi="Arial"/>
                <w:sz w:val="18"/>
                <w:szCs w:val="18"/>
                <w:color w:val="auto"/>
              </w:rPr>
              <w:t>Address: [________________]</w:t>
            </w:r>
          </w:p>
        </w:tc>
        <w:tc>
          <w:tcPr>
            <w:tcW w:w="2340" w:type="dxa"/>
            <w:vAlign w:val="bottom"/>
          </w:tcPr>
          <w:p>
            <w:pPr>
              <w:spacing w:after="0"/>
              <w:rPr>
                <w:sz w:val="24"/>
                <w:szCs w:val="24"/>
                <w:color w:val="auto"/>
              </w:rPr>
            </w:pPr>
          </w:p>
        </w:tc>
      </w:tr>
      <w:tr>
        <w:trPr>
          <w:trHeight w:val="230"/>
        </w:trPr>
        <w:tc>
          <w:tcPr>
            <w:tcW w:w="3340" w:type="dxa"/>
            <w:vAlign w:val="bottom"/>
            <w:gridSpan w:val="3"/>
          </w:tcPr>
          <w:p>
            <w:pPr>
              <w:ind w:left="680"/>
              <w:spacing w:after="0"/>
              <w:rPr>
                <w:sz w:val="20"/>
                <w:szCs w:val="20"/>
                <w:color w:val="auto"/>
              </w:rPr>
            </w:pPr>
            <w:r>
              <w:rPr>
                <w:rFonts w:ascii="Arial" w:cs="Arial" w:eastAsia="Arial" w:hAnsi="Arial"/>
                <w:sz w:val="18"/>
                <w:szCs w:val="18"/>
                <w:color w:val="auto"/>
              </w:rPr>
              <w:t>[________________]</w:t>
            </w:r>
          </w:p>
        </w:tc>
        <w:tc>
          <w:tcPr>
            <w:tcW w:w="2340" w:type="dxa"/>
            <w:vAlign w:val="bottom"/>
          </w:tcPr>
          <w:p>
            <w:pPr>
              <w:spacing w:after="0"/>
              <w:rPr>
                <w:sz w:val="20"/>
                <w:szCs w:val="20"/>
                <w:color w:val="auto"/>
              </w:rPr>
            </w:pPr>
          </w:p>
        </w:tc>
      </w:tr>
      <w:tr>
        <w:trPr>
          <w:trHeight w:val="432"/>
        </w:trPr>
        <w:tc>
          <w:tcPr>
            <w:tcW w:w="3340" w:type="dxa"/>
            <w:vAlign w:val="bottom"/>
            <w:gridSpan w:val="3"/>
          </w:tcPr>
          <w:p>
            <w:pPr>
              <w:spacing w:after="0"/>
              <w:rPr>
                <w:sz w:val="20"/>
                <w:szCs w:val="20"/>
                <w:color w:val="auto"/>
              </w:rPr>
            </w:pPr>
            <w:r>
              <w:rPr>
                <w:rFonts w:ascii="Arial" w:cs="Arial" w:eastAsia="Arial" w:hAnsi="Arial"/>
                <w:sz w:val="18"/>
                <w:szCs w:val="18"/>
                <w:color w:val="auto"/>
              </w:rPr>
              <w:t>Email address: [________________]</w:t>
            </w:r>
          </w:p>
        </w:tc>
        <w:tc>
          <w:tcPr>
            <w:tcW w:w="234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40" w:type="dxa"/>
            <w:vAlign w:val="bottom"/>
          </w:tcPr>
          <w:p>
            <w:pPr>
              <w:ind w:left="1980"/>
              <w:spacing w:after="0"/>
              <w:rPr>
                <w:sz w:val="20"/>
                <w:szCs w:val="20"/>
                <w:color w:val="auto"/>
              </w:rPr>
            </w:pPr>
            <w:r>
              <w:rPr>
                <w:rFonts w:ascii="Arial" w:cs="Arial" w:eastAsia="Arial" w:hAnsi="Arial"/>
                <w:sz w:val="18"/>
                <w:szCs w:val="18"/>
                <w:color w:val="auto"/>
              </w:rPr>
              <w:t>* * *</w:t>
            </w:r>
          </w:p>
        </w:tc>
      </w:tr>
      <w:tr>
        <w:trPr>
          <w:trHeight w:val="392"/>
        </w:trPr>
        <w:tc>
          <w:tcPr>
            <w:tcW w:w="3340" w:type="dxa"/>
            <w:vAlign w:val="bottom"/>
            <w:gridSpan w:val="3"/>
          </w:tcPr>
          <w:p>
            <w:pPr>
              <w:spacing w:after="0"/>
              <w:rPr>
                <w:sz w:val="20"/>
                <w:szCs w:val="20"/>
                <w:color w:val="auto"/>
              </w:rPr>
            </w:pPr>
            <w:r>
              <w:rPr>
                <w:rFonts w:ascii="Arial" w:cs="Arial" w:eastAsia="Arial" w:hAnsi="Arial"/>
                <w:sz w:val="18"/>
                <w:szCs w:val="18"/>
                <w:color w:val="auto"/>
              </w:rPr>
              <w:t>Date of Agreement: [________________]</w:t>
            </w:r>
          </w:p>
        </w:tc>
        <w:tc>
          <w:tcPr>
            <w:tcW w:w="2340" w:type="dxa"/>
            <w:vAlign w:val="bottom"/>
          </w:tcPr>
          <w:p>
            <w:pPr>
              <w:spacing w:after="0"/>
              <w:rPr>
                <w:sz w:val="24"/>
                <w:szCs w:val="24"/>
                <w:color w:val="auto"/>
              </w:rPr>
            </w:pPr>
          </w:p>
        </w:tc>
      </w:tr>
      <w:tr>
        <w:trPr>
          <w:trHeight w:val="520"/>
        </w:trPr>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2"/>
              </w:rPr>
              <w:t>Profits Units</w:t>
            </w:r>
          </w:p>
        </w:tc>
        <w:tc>
          <w:tcPr>
            <w:tcW w:w="460" w:type="dxa"/>
            <w:vAlign w:val="bottom"/>
            <w:tcBorders>
              <w:top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65"/>
        </w:trPr>
        <w:tc>
          <w:tcPr>
            <w:tcW w:w="3340" w:type="dxa"/>
            <w:vAlign w:val="bottom"/>
            <w:gridSpan w:val="3"/>
          </w:tcPr>
          <w:p>
            <w:pPr>
              <w:spacing w:after="0"/>
              <w:rPr>
                <w:sz w:val="20"/>
                <w:szCs w:val="20"/>
                <w:color w:val="auto"/>
              </w:rPr>
            </w:pPr>
            <w:r>
              <w:rPr>
                <w:rFonts w:ascii="Arial" w:cs="Arial" w:eastAsia="Arial" w:hAnsi="Arial"/>
                <w:sz w:val="18"/>
                <w:szCs w:val="18"/>
                <w:color w:val="auto"/>
              </w:rPr>
              <w:t>Total Number of Profits</w:t>
            </w:r>
          </w:p>
        </w:tc>
        <w:tc>
          <w:tcPr>
            <w:tcW w:w="2340" w:type="dxa"/>
            <w:vAlign w:val="bottom"/>
          </w:tcPr>
          <w:p>
            <w:pPr>
              <w:spacing w:after="0"/>
              <w:rPr>
                <w:sz w:val="24"/>
                <w:szCs w:val="24"/>
                <w:color w:val="auto"/>
              </w:rPr>
            </w:pPr>
          </w:p>
        </w:tc>
      </w:tr>
      <w:tr>
        <w:trPr>
          <w:trHeight w:val="244"/>
        </w:trPr>
        <w:tc>
          <w:tcPr>
            <w:tcW w:w="3340" w:type="dxa"/>
            <w:vAlign w:val="bottom"/>
            <w:gridSpan w:val="3"/>
          </w:tcPr>
          <w:p>
            <w:pPr>
              <w:spacing w:after="0"/>
              <w:rPr>
                <w:sz w:val="20"/>
                <w:szCs w:val="20"/>
                <w:color w:val="auto"/>
              </w:rPr>
            </w:pPr>
            <w:r>
              <w:rPr>
                <w:rFonts w:ascii="Arial" w:cs="Arial" w:eastAsia="Arial" w:hAnsi="Arial"/>
                <w:sz w:val="18"/>
                <w:szCs w:val="18"/>
                <w:color w:val="auto"/>
              </w:rPr>
              <w:t>Units Granted:</w:t>
            </w:r>
          </w:p>
        </w:tc>
        <w:tc>
          <w:tcPr>
            <w:tcW w:w="2340" w:type="dxa"/>
            <w:vAlign w:val="bottom"/>
          </w:tcPr>
          <w:p>
            <w:pPr>
              <w:ind w:left="300"/>
              <w:spacing w:after="0"/>
              <w:rPr>
                <w:sz w:val="20"/>
                <w:szCs w:val="20"/>
                <w:color w:val="auto"/>
              </w:rPr>
            </w:pPr>
            <w:r>
              <w:rPr>
                <w:rFonts w:ascii="Arial" w:cs="Arial" w:eastAsia="Arial" w:hAnsi="Arial"/>
                <w:sz w:val="18"/>
                <w:szCs w:val="18"/>
                <w:color w:val="auto"/>
              </w:rPr>
              <w:t>[________]</w:t>
            </w:r>
          </w:p>
        </w:tc>
      </w:tr>
      <w:tr>
        <w:trPr>
          <w:trHeight w:val="324"/>
        </w:trPr>
        <w:tc>
          <w:tcPr>
            <w:tcW w:w="3340" w:type="dxa"/>
            <w:vAlign w:val="bottom"/>
            <w:gridSpan w:val="3"/>
          </w:tcPr>
          <w:p>
            <w:pPr>
              <w:ind w:left="720"/>
              <w:spacing w:after="0"/>
              <w:rPr>
                <w:sz w:val="20"/>
                <w:szCs w:val="20"/>
                <w:color w:val="auto"/>
              </w:rPr>
            </w:pPr>
            <w:r>
              <w:rPr>
                <w:rFonts w:ascii="Arial" w:cs="Arial" w:eastAsia="Arial" w:hAnsi="Arial"/>
                <w:sz w:val="18"/>
                <w:szCs w:val="18"/>
                <w:color w:val="auto"/>
              </w:rPr>
              <w:t>Number of Service Units:</w:t>
            </w:r>
          </w:p>
        </w:tc>
        <w:tc>
          <w:tcPr>
            <w:tcW w:w="2340" w:type="dxa"/>
            <w:vAlign w:val="bottom"/>
          </w:tcPr>
          <w:p>
            <w:pPr>
              <w:ind w:left="300"/>
              <w:spacing w:after="0"/>
              <w:rPr>
                <w:sz w:val="20"/>
                <w:szCs w:val="20"/>
                <w:color w:val="auto"/>
              </w:rPr>
            </w:pPr>
            <w:r>
              <w:rPr>
                <w:rFonts w:ascii="Arial" w:cs="Arial" w:eastAsia="Arial" w:hAnsi="Arial"/>
                <w:sz w:val="18"/>
                <w:szCs w:val="18"/>
                <w:color w:val="auto"/>
              </w:rPr>
              <w:t>[________]</w:t>
            </w:r>
            <w:r>
              <w:rPr>
                <w:rFonts w:ascii="Arial" w:cs="Arial" w:eastAsia="Arial" w:hAnsi="Arial"/>
                <w:sz w:val="15"/>
                <w:szCs w:val="15"/>
                <w:color w:val="auto"/>
              </w:rPr>
              <w:t>4</w:t>
            </w:r>
          </w:p>
        </w:tc>
      </w:tr>
      <w:tr>
        <w:trPr>
          <w:trHeight w:val="324"/>
        </w:trPr>
        <w:tc>
          <w:tcPr>
            <w:tcW w:w="3340" w:type="dxa"/>
            <w:vAlign w:val="bottom"/>
            <w:gridSpan w:val="3"/>
          </w:tcPr>
          <w:p>
            <w:pPr>
              <w:ind w:left="720"/>
              <w:spacing w:after="0"/>
              <w:rPr>
                <w:sz w:val="20"/>
                <w:szCs w:val="20"/>
                <w:color w:val="auto"/>
              </w:rPr>
            </w:pPr>
            <w:r>
              <w:rPr>
                <w:rFonts w:ascii="Arial" w:cs="Arial" w:eastAsia="Arial" w:hAnsi="Arial"/>
                <w:sz w:val="18"/>
                <w:szCs w:val="18"/>
                <w:color w:val="auto"/>
              </w:rPr>
              <w:t>Number of Performance Units:</w:t>
            </w:r>
          </w:p>
        </w:tc>
        <w:tc>
          <w:tcPr>
            <w:tcW w:w="2340" w:type="dxa"/>
            <w:vAlign w:val="bottom"/>
          </w:tcPr>
          <w:p>
            <w:pPr>
              <w:ind w:left="300"/>
              <w:spacing w:after="0"/>
              <w:rPr>
                <w:sz w:val="20"/>
                <w:szCs w:val="20"/>
                <w:color w:val="auto"/>
              </w:rPr>
            </w:pPr>
            <w:r>
              <w:rPr>
                <w:rFonts w:ascii="Arial" w:cs="Arial" w:eastAsia="Arial" w:hAnsi="Arial"/>
                <w:sz w:val="18"/>
                <w:szCs w:val="18"/>
                <w:color w:val="auto"/>
              </w:rPr>
              <w:t>[________]</w:t>
            </w:r>
            <w:r>
              <w:rPr>
                <w:rFonts w:ascii="Arial" w:cs="Arial" w:eastAsia="Arial" w:hAnsi="Arial"/>
                <w:sz w:val="15"/>
                <w:szCs w:val="15"/>
                <w:color w:val="auto"/>
              </w:rPr>
              <w:t>5</w:t>
            </w:r>
          </w:p>
        </w:tc>
      </w:tr>
      <w:tr>
        <w:trPr>
          <w:trHeight w:val="324"/>
        </w:trPr>
        <w:tc>
          <w:tcPr>
            <w:tcW w:w="3340" w:type="dxa"/>
            <w:vAlign w:val="bottom"/>
            <w:gridSpan w:val="3"/>
          </w:tcPr>
          <w:p>
            <w:pPr>
              <w:ind w:left="720"/>
              <w:spacing w:after="0"/>
              <w:rPr>
                <w:sz w:val="20"/>
                <w:szCs w:val="20"/>
                <w:color w:val="auto"/>
              </w:rPr>
            </w:pPr>
            <w:r>
              <w:rPr>
                <w:rFonts w:ascii="Arial" w:cs="Arial" w:eastAsia="Arial" w:hAnsi="Arial"/>
                <w:sz w:val="18"/>
                <w:szCs w:val="18"/>
                <w:color w:val="auto"/>
              </w:rPr>
              <w:t>Hurdle Amount:</w:t>
            </w:r>
          </w:p>
        </w:tc>
        <w:tc>
          <w:tcPr>
            <w:tcW w:w="2340" w:type="dxa"/>
            <w:vAlign w:val="bottom"/>
          </w:tcPr>
          <w:p>
            <w:pPr>
              <w:ind w:left="300"/>
              <w:spacing w:after="0"/>
              <w:rPr>
                <w:sz w:val="20"/>
                <w:szCs w:val="20"/>
                <w:color w:val="auto"/>
              </w:rPr>
            </w:pPr>
            <w:r>
              <w:rPr>
                <w:rFonts w:ascii="Arial" w:cs="Arial" w:eastAsia="Arial" w:hAnsi="Arial"/>
                <w:sz w:val="18"/>
                <w:szCs w:val="18"/>
                <w:color w:val="auto"/>
              </w:rPr>
              <w:t>$0 (none)</w:t>
            </w:r>
          </w:p>
        </w:tc>
      </w:tr>
      <w:tr>
        <w:trPr>
          <w:trHeight w:val="310"/>
        </w:trPr>
        <w:tc>
          <w:tcPr>
            <w:tcW w:w="3340" w:type="dxa"/>
            <w:vAlign w:val="bottom"/>
            <w:gridSpan w:val="3"/>
          </w:tcPr>
          <w:p>
            <w:pPr>
              <w:spacing w:after="0"/>
              <w:rPr>
                <w:sz w:val="20"/>
                <w:szCs w:val="20"/>
                <w:color w:val="auto"/>
              </w:rPr>
            </w:pPr>
            <w:r>
              <w:rPr>
                <w:rFonts w:ascii="Arial" w:cs="Arial" w:eastAsia="Arial" w:hAnsi="Arial"/>
                <w:sz w:val="18"/>
                <w:szCs w:val="18"/>
                <w:color w:val="auto"/>
              </w:rPr>
              <w:t>Vesting Commencement</w:t>
            </w:r>
          </w:p>
        </w:tc>
        <w:tc>
          <w:tcPr>
            <w:tcW w:w="2340" w:type="dxa"/>
            <w:vAlign w:val="bottom"/>
          </w:tcPr>
          <w:p>
            <w:pPr>
              <w:spacing w:after="0"/>
              <w:rPr>
                <w:sz w:val="24"/>
                <w:szCs w:val="24"/>
                <w:color w:val="auto"/>
              </w:rPr>
            </w:pPr>
          </w:p>
        </w:tc>
      </w:tr>
      <w:tr>
        <w:trPr>
          <w:trHeight w:val="244"/>
        </w:trPr>
        <w:tc>
          <w:tcPr>
            <w:tcW w:w="3340" w:type="dxa"/>
            <w:vAlign w:val="bottom"/>
            <w:gridSpan w:val="3"/>
          </w:tcPr>
          <w:p>
            <w:pPr>
              <w:spacing w:after="0"/>
              <w:rPr>
                <w:sz w:val="20"/>
                <w:szCs w:val="20"/>
                <w:color w:val="auto"/>
              </w:rPr>
            </w:pPr>
            <w:r>
              <w:rPr>
                <w:rFonts w:ascii="Arial" w:cs="Arial" w:eastAsia="Arial" w:hAnsi="Arial"/>
                <w:sz w:val="18"/>
                <w:szCs w:val="18"/>
                <w:color w:val="auto"/>
              </w:rPr>
              <w:t>Date:</w:t>
            </w:r>
          </w:p>
        </w:tc>
        <w:tc>
          <w:tcPr>
            <w:tcW w:w="2340" w:type="dxa"/>
            <w:vAlign w:val="bottom"/>
          </w:tcPr>
          <w:p>
            <w:pPr>
              <w:ind w:left="300"/>
              <w:spacing w:after="0"/>
              <w:rPr>
                <w:sz w:val="20"/>
                <w:szCs w:val="20"/>
                <w:color w:val="auto"/>
              </w:rPr>
            </w:pPr>
            <w:r>
              <w:rPr>
                <w:rFonts w:ascii="Arial" w:cs="Arial" w:eastAsia="Arial" w:hAnsi="Arial"/>
                <w:sz w:val="18"/>
                <w:szCs w:val="18"/>
                <w:color w:val="auto"/>
              </w:rPr>
              <w:t>[________]</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tabs>
          <w:tab w:leader="none" w:pos="424" w:val="left"/>
        </w:tabs>
        <w:numPr>
          <w:ilvl w:val="0"/>
          <w:numId w:val="272"/>
        </w:numPr>
        <w:rPr>
          <w:rFonts w:ascii="Arial" w:cs="Arial" w:eastAsia="Arial" w:hAnsi="Arial"/>
          <w:sz w:val="13"/>
          <w:szCs w:val="13"/>
          <w:color w:val="auto"/>
        </w:rPr>
      </w:pPr>
      <w:r>
        <w:rPr>
          <w:rFonts w:ascii="Arial" w:cs="Arial" w:eastAsia="Arial" w:hAnsi="Arial"/>
          <w:sz w:val="16"/>
          <w:szCs w:val="16"/>
          <w:color w:val="auto"/>
        </w:rPr>
        <w:t>To represent one third (1/3) of the total number of Profits Units granted.</w:t>
      </w:r>
    </w:p>
    <w:p>
      <w:pPr>
        <w:spacing w:after="0" w:line="45" w:lineRule="exact"/>
        <w:rPr>
          <w:sz w:val="20"/>
          <w:szCs w:val="20"/>
          <w:color w:val="auto"/>
        </w:rPr>
      </w:pPr>
    </w:p>
    <w:p>
      <w:pPr>
        <w:ind w:left="5424" w:right="4339" w:hanging="5424"/>
        <w:spacing w:after="0" w:line="518" w:lineRule="auto"/>
        <w:tabs>
          <w:tab w:leader="none" w:pos="438" w:val="left"/>
        </w:tabs>
        <w:numPr>
          <w:ilvl w:val="0"/>
          <w:numId w:val="273"/>
        </w:numPr>
        <w:rPr>
          <w:rFonts w:ascii="Arial" w:cs="Arial" w:eastAsia="Arial" w:hAnsi="Arial"/>
          <w:sz w:val="13"/>
          <w:szCs w:val="13"/>
          <w:color w:val="auto"/>
        </w:rPr>
      </w:pPr>
      <w:r>
        <w:rPr>
          <w:rFonts w:ascii="Arial" w:cs="Arial" w:eastAsia="Arial" w:hAnsi="Arial"/>
          <w:sz w:val="16"/>
          <w:szCs w:val="16"/>
          <w:color w:val="auto"/>
        </w:rPr>
        <w:t>To represent two thirds (2/3) of the total number of Profits Units granted. 14</w:t>
      </w:r>
    </w:p>
    <w:p>
      <w:pPr>
        <w:sectPr>
          <w:pgSz w:w="11900" w:h="16838" w:orient="portrait"/>
          <w:cols w:equalWidth="0" w:num="1">
            <w:col w:w="10023"/>
          </w:cols>
          <w:pgMar w:left="436" w:top="274" w:right="1440" w:bottom="1440" w:gutter="0" w:footer="0" w:header="0"/>
        </w:sectPr>
      </w:pPr>
    </w:p>
    <w:bookmarkStart w:id="280" w:name="page281"/>
    <w:bookmarkEnd w:id="280"/>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Restrictive Covenants</w:t>
      </w:r>
    </w:p>
    <w:p>
      <w:pPr>
        <w:spacing w:after="0" w:line="211"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 xml:space="preserve">The Executive acknowledges that the Executive has gained and will gain access to certain confidential information, trade secrets, and proprietary methods and processes relating to the operations, strategy and financial initiatives of the Company, and that the Company has a legitimate business interest in protecting such information, trade secrets, methods, and processes. In consideration for access to this confidential information, trade secrets, methods and processes, the Executive agrees to abide by the covenants and restrictions contained in this </w:t>
      </w:r>
      <w:r>
        <w:rPr>
          <w:rFonts w:ascii="Arial" w:cs="Arial" w:eastAsia="Arial" w:hAnsi="Arial"/>
          <w:sz w:val="16"/>
          <w:szCs w:val="16"/>
          <w:u w:val="single" w:color="auto"/>
          <w:color w:val="auto"/>
        </w:rPr>
        <w:t>Appendix A.</w:t>
      </w:r>
    </w:p>
    <w:p>
      <w:pPr>
        <w:spacing w:after="0" w:line="157" w:lineRule="exact"/>
        <w:rPr>
          <w:sz w:val="20"/>
          <w:szCs w:val="20"/>
          <w:color w:val="auto"/>
        </w:rPr>
      </w:pPr>
    </w:p>
    <w:p>
      <w:pPr>
        <w:ind w:left="4" w:firstLine="436"/>
        <w:spacing w:after="0" w:line="286" w:lineRule="auto"/>
        <w:tabs>
          <w:tab w:leader="none" w:pos="689" w:val="left"/>
        </w:tabs>
        <w:numPr>
          <w:ilvl w:val="0"/>
          <w:numId w:val="274"/>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Unless otherwise approved by the Company, the Executive shall not, during the Noncompetition Restricted Period (as defined below) and in the Restricted Area (as defined below), be engaged, directly or indirectly (other than as the passive owner of not in excess of 5% of the outstanding equity interests of any entity [or, subject to the last sentence of this clause (a), as the member of the board of directors, board of managers or comparable governing body]</w:t>
      </w:r>
      <w:r>
        <w:rPr>
          <w:rFonts w:ascii="Arial" w:cs="Arial" w:eastAsia="Arial" w:hAnsi="Arial"/>
          <w:sz w:val="13"/>
          <w:szCs w:val="13"/>
          <w:color w:val="auto"/>
        </w:rPr>
        <w:t>6</w:t>
      </w:r>
      <w:r>
        <w:rPr>
          <w:rFonts w:ascii="Arial" w:cs="Arial" w:eastAsia="Arial" w:hAnsi="Arial"/>
          <w:sz w:val="16"/>
          <w:szCs w:val="16"/>
          <w:color w:val="auto"/>
        </w:rPr>
        <w:t>), whether as a principal, partner, member, employee, independent contractor, consultant, shareholder or otherwise in (i) a business or endeavor which is competitive with or substantially similar to any business of the Company or any of its Subsidiaries conducted during the twelve (12) months preceding the date the Executive ceases to be employed by the Company or its Subsidiaries,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any potential business (A) which has been submitted to the Board for consideration and is under active consideration by the Board, and (B) of which the Executive was aware as evidenced by contemporaneous documentation, in each case, during the twelve (12) months preceding the date the Executive ceases to be employed by the Company or its Subsidiaries. [Notwithstanding the foregoing provisions of this clause (a), [(i) such clause (a) shall not apply to any of the Executive’s current memberships on the board of directors, board of managers or comparable governing bodies of a business as of the date hereof[, which consist of HealthJoy, Inc., Creatix, Inc. and GoHealthJoy, LLC]</w:t>
      </w:r>
      <w:r>
        <w:rPr>
          <w:rFonts w:ascii="Arial" w:cs="Arial" w:eastAsia="Arial" w:hAnsi="Arial"/>
          <w:sz w:val="13"/>
          <w:szCs w:val="13"/>
          <w:color w:val="auto"/>
        </w:rPr>
        <w:t>7</w:t>
      </w:r>
      <w:r>
        <w:rPr>
          <w:rFonts w:ascii="Arial" w:cs="Arial" w:eastAsia="Arial" w:hAnsi="Arial"/>
          <w:sz w:val="16"/>
          <w:szCs w:val="16"/>
          <w:color w:val="auto"/>
        </w:rPr>
        <w:t>[, which consist of GoHealthJoy, LLC]</w:t>
      </w:r>
      <w:r>
        <w:rPr>
          <w:rFonts w:ascii="Arial" w:cs="Arial" w:eastAsia="Arial" w:hAnsi="Arial"/>
          <w:sz w:val="13"/>
          <w:szCs w:val="13"/>
          <w:color w:val="auto"/>
        </w:rPr>
        <w:t>8</w:t>
      </w:r>
      <w:r>
        <w:rPr>
          <w:rFonts w:ascii="Arial" w:cs="Arial" w:eastAsia="Arial" w:hAnsi="Arial"/>
          <w:sz w:val="16"/>
          <w:szCs w:val="16"/>
          <w:color w:val="auto"/>
        </w:rPr>
        <w:t>[, which consist of Spartan Motors, Inc., Chicago Hope Academy and GoHealthJoy, LLC]</w:t>
      </w:r>
      <w:r>
        <w:rPr>
          <w:rFonts w:ascii="Arial" w:cs="Arial" w:eastAsia="Arial" w:hAnsi="Arial"/>
          <w:sz w:val="13"/>
          <w:szCs w:val="13"/>
          <w:color w:val="auto"/>
        </w:rPr>
        <w:t>9</w:t>
      </w:r>
      <w:r>
        <w:rPr>
          <w:rFonts w:ascii="Arial" w:cs="Arial" w:eastAsia="Arial" w:hAnsi="Arial"/>
          <w:sz w:val="16"/>
          <w:szCs w:val="16"/>
          <w:color w:val="auto"/>
        </w:rPr>
        <w:t xml:space="preserve"> and (ii)]</w:t>
      </w:r>
      <w:r>
        <w:rPr>
          <w:rFonts w:ascii="Arial" w:cs="Arial" w:eastAsia="Arial" w:hAnsi="Arial"/>
          <w:sz w:val="13"/>
          <w:szCs w:val="13"/>
          <w:color w:val="auto"/>
        </w:rPr>
        <w:t>10</w:t>
      </w:r>
      <w:r>
        <w:rPr>
          <w:rFonts w:ascii="Arial" w:cs="Arial" w:eastAsia="Arial" w:hAnsi="Arial"/>
          <w:sz w:val="16"/>
          <w:szCs w:val="16"/>
          <w:color w:val="auto"/>
        </w:rPr>
        <w:t xml:space="preserve"> if the Executive advises the Board that he proposes to serve as the member of the board of directors, board of managers or comparable governing body of a business that the Board determines in good faith is competitive with the business of the Company and its Subsidiaries, such service may be provided only if the Board has not provided Executive written notice (within ten (10) days of Executive so advising the Board regarding such service), of its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715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3" w:lineRule="exact"/>
        <w:rPr>
          <w:sz w:val="20"/>
          <w:szCs w:val="20"/>
          <w:color w:val="auto"/>
        </w:rPr>
      </w:pPr>
    </w:p>
    <w:p>
      <w:pPr>
        <w:ind w:left="424" w:hanging="424"/>
        <w:spacing w:after="0"/>
        <w:tabs>
          <w:tab w:leader="none" w:pos="424" w:val="left"/>
        </w:tabs>
        <w:numPr>
          <w:ilvl w:val="0"/>
          <w:numId w:val="275"/>
        </w:numPr>
        <w:rPr>
          <w:rFonts w:ascii="Arial" w:cs="Arial" w:eastAsia="Arial" w:hAnsi="Arial"/>
          <w:sz w:val="15"/>
          <w:szCs w:val="15"/>
          <w:color w:val="auto"/>
        </w:rPr>
      </w:pPr>
      <w:r>
        <w:rPr>
          <w:rFonts w:ascii="Arial" w:cs="Arial" w:eastAsia="Arial" w:hAnsi="Arial"/>
          <w:sz w:val="18"/>
          <w:szCs w:val="18"/>
          <w:color w:val="auto"/>
        </w:rPr>
        <w:t>For Brandon, Clint and Jim only.</w:t>
      </w:r>
    </w:p>
    <w:p>
      <w:pPr>
        <w:spacing w:after="0" w:line="22" w:lineRule="exact"/>
        <w:rPr>
          <w:sz w:val="20"/>
          <w:szCs w:val="20"/>
          <w:color w:val="auto"/>
        </w:rPr>
      </w:pPr>
    </w:p>
    <w:p>
      <w:pPr>
        <w:ind w:left="424" w:hanging="424"/>
        <w:spacing w:after="0"/>
        <w:tabs>
          <w:tab w:leader="none" w:pos="424" w:val="left"/>
        </w:tabs>
        <w:numPr>
          <w:ilvl w:val="0"/>
          <w:numId w:val="276"/>
        </w:numPr>
        <w:rPr>
          <w:rFonts w:ascii="Arial" w:cs="Arial" w:eastAsia="Arial" w:hAnsi="Arial"/>
          <w:sz w:val="15"/>
          <w:szCs w:val="15"/>
          <w:color w:val="auto"/>
        </w:rPr>
      </w:pPr>
      <w:r>
        <w:rPr>
          <w:rFonts w:ascii="Arial" w:cs="Arial" w:eastAsia="Arial" w:hAnsi="Arial"/>
          <w:sz w:val="18"/>
          <w:szCs w:val="18"/>
          <w:color w:val="auto"/>
        </w:rPr>
        <w:t>For Brandon only.</w:t>
      </w:r>
    </w:p>
    <w:p>
      <w:pPr>
        <w:spacing w:after="0" w:line="9" w:lineRule="exact"/>
        <w:rPr>
          <w:sz w:val="20"/>
          <w:szCs w:val="20"/>
          <w:color w:val="auto"/>
        </w:rPr>
      </w:pPr>
    </w:p>
    <w:p>
      <w:pPr>
        <w:ind w:left="424" w:hanging="424"/>
        <w:spacing w:after="0"/>
        <w:tabs>
          <w:tab w:leader="none" w:pos="424" w:val="left"/>
        </w:tabs>
        <w:numPr>
          <w:ilvl w:val="0"/>
          <w:numId w:val="277"/>
        </w:numPr>
        <w:rPr>
          <w:rFonts w:ascii="Arial" w:cs="Arial" w:eastAsia="Arial" w:hAnsi="Arial"/>
          <w:sz w:val="15"/>
          <w:szCs w:val="15"/>
          <w:color w:val="auto"/>
        </w:rPr>
      </w:pPr>
      <w:r>
        <w:rPr>
          <w:rFonts w:ascii="Arial" w:cs="Arial" w:eastAsia="Arial" w:hAnsi="Arial"/>
          <w:sz w:val="18"/>
          <w:szCs w:val="18"/>
          <w:color w:val="auto"/>
        </w:rPr>
        <w:t>For Clint only.</w:t>
      </w:r>
    </w:p>
    <w:p>
      <w:pPr>
        <w:spacing w:after="0" w:line="9" w:lineRule="exact"/>
        <w:rPr>
          <w:sz w:val="20"/>
          <w:szCs w:val="20"/>
          <w:color w:val="auto"/>
        </w:rPr>
      </w:pPr>
    </w:p>
    <w:p>
      <w:pPr>
        <w:ind w:left="424" w:hanging="424"/>
        <w:spacing w:after="0"/>
        <w:tabs>
          <w:tab w:leader="none" w:pos="424" w:val="left"/>
        </w:tabs>
        <w:numPr>
          <w:ilvl w:val="0"/>
          <w:numId w:val="278"/>
        </w:numPr>
        <w:rPr>
          <w:rFonts w:ascii="Arial" w:cs="Arial" w:eastAsia="Arial" w:hAnsi="Arial"/>
          <w:sz w:val="15"/>
          <w:szCs w:val="15"/>
          <w:color w:val="auto"/>
        </w:rPr>
      </w:pPr>
      <w:r>
        <w:rPr>
          <w:rFonts w:ascii="Arial" w:cs="Arial" w:eastAsia="Arial" w:hAnsi="Arial"/>
          <w:sz w:val="18"/>
          <w:szCs w:val="18"/>
          <w:color w:val="auto"/>
        </w:rPr>
        <w:t>For Jim only.</w:t>
      </w:r>
    </w:p>
    <w:p>
      <w:pPr>
        <w:spacing w:after="0" w:line="9" w:lineRule="exact"/>
        <w:rPr>
          <w:sz w:val="20"/>
          <w:szCs w:val="20"/>
          <w:color w:val="auto"/>
        </w:rPr>
      </w:pPr>
    </w:p>
    <w:p>
      <w:pPr>
        <w:ind w:left="424" w:hanging="424"/>
        <w:spacing w:after="0"/>
        <w:tabs>
          <w:tab w:leader="none" w:pos="424" w:val="left"/>
        </w:tabs>
        <w:numPr>
          <w:ilvl w:val="0"/>
          <w:numId w:val="279"/>
        </w:numPr>
        <w:rPr>
          <w:rFonts w:ascii="Arial" w:cs="Arial" w:eastAsia="Arial" w:hAnsi="Arial"/>
          <w:sz w:val="15"/>
          <w:szCs w:val="15"/>
          <w:color w:val="auto"/>
        </w:rPr>
      </w:pPr>
      <w:r>
        <w:rPr>
          <w:rFonts w:ascii="Arial" w:cs="Arial" w:eastAsia="Arial" w:hAnsi="Arial"/>
          <w:sz w:val="18"/>
          <w:szCs w:val="18"/>
          <w:color w:val="auto"/>
        </w:rPr>
        <w:t>For Brandon, Clint and Jim only.</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81" w:name="page282"/>
    <w:bookmarkEnd w:id="281"/>
    <w:p>
      <w:pPr>
        <w:ind w:left="4" w:right="2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that such service would reasonably be expected result in competitive harm to the Company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(other than with the prior written consent of the Company) may such service be provided to a Competitor (as defined in the Company Operating Agreement).]</w:t>
      </w:r>
      <w:r>
        <w:rPr>
          <w:rFonts w:ascii="Arial" w:cs="Arial" w:eastAsia="Arial" w:hAnsi="Arial"/>
          <w:sz w:val="13"/>
          <w:szCs w:val="13"/>
          <w:color w:val="auto"/>
        </w:rPr>
        <w:t>11</w:t>
      </w:r>
    </w:p>
    <w:p>
      <w:pPr>
        <w:spacing w:after="0" w:line="124" w:lineRule="exact"/>
        <w:rPr>
          <w:sz w:val="20"/>
          <w:szCs w:val="20"/>
          <w:color w:val="auto"/>
        </w:rPr>
      </w:pPr>
    </w:p>
    <w:p>
      <w:pPr>
        <w:ind w:left="4" w:firstLine="436"/>
        <w:spacing w:after="0" w:line="284" w:lineRule="auto"/>
        <w:tabs>
          <w:tab w:leader="none" w:pos="69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Confidentiality</w:t>
      </w:r>
      <w:r>
        <w:rPr>
          <w:rFonts w:ascii="Arial" w:cs="Arial" w:eastAsia="Arial" w:hAnsi="Arial"/>
          <w:sz w:val="16"/>
          <w:szCs w:val="16"/>
          <w:color w:val="auto"/>
        </w:rPr>
        <w:t>. All Confidential Information shall be kept confidential and shall not be disclosed to any third party except: (i) information which is or becomes publicly available (other than as a result of disclosure by the Executive in violation hereof or a third party’s violation of such third party’s contractual, legal or fiduciary obligation to any Person);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information which is independently developed, discovered or arrived at by the Executive without use of Confidential Information;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in order to comply with any law, rule, regulation or order applicable to the Executive, or in response to any summons, subpoena or other legal process or formal or informal investigative demand issued to such recipient in the course of any litigation, investigation or administrative proceeding;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information that was or becomes available to the Executive on a non-confidential basis from a source other than the Company or any Subsidiary which source is not under a contractual, legal or fiduciary duty of confidentiality with respect to such information; (</w:t>
      </w:r>
      <w:r>
        <w:rPr>
          <w:rFonts w:ascii="Arial" w:cs="Arial" w:eastAsia="Arial" w:hAnsi="Arial"/>
          <w:sz w:val="16"/>
          <w:szCs w:val="16"/>
          <w:u w:val="single" w:color="auto"/>
          <w:color w:val="auto"/>
        </w:rPr>
        <w:t>v)</w:t>
      </w:r>
      <w:r>
        <w:rPr>
          <w:rFonts w:ascii="Arial" w:cs="Arial" w:eastAsia="Arial" w:hAnsi="Arial"/>
          <w:sz w:val="16"/>
          <w:szCs w:val="16"/>
          <w:color w:val="auto"/>
        </w:rPr>
        <w:t xml:space="preserve"> information that is approved for disclosure by the Company or any of its Subsidiaries or Affiliates in writing; or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disclosures under clause (b)(ii) below. In the event that the Executive or any representative thereof becomes legally compelled by deposition, interrogatory, request for documents, subpoena, civil investigative demand or similar judicial or administrative process to disclose any Confidential Information, the disclosing party shall, unless legally prohibited, provide the Company with prompt prior written notice of such requirement and cooperate with the Company, at the Company’s expense, to obtain a protective order or similar remedy to cause such Confidential Information not to be disclosed, including interposing all available objections thereto, such as objections based on settlement privilege. In the event that such protective order or other similar remedy is not obtained, the disclosing party shall furnish only that portion of such Confidential Information that has been legally compelled to be furnished. The Executive shall, during such employment, disclose Confidential Information only for the benefit of the Company and in accordance with any restrictions placed on its disclosure in this paragraph (b). For purposes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non-public information that has value in or to the business of the Company or any of its Subsidiaries, whether or not labeled or identified as proprietary or confidential and that is obtained by the Executive, or to which the Executive had access, in the scope of the Executive’s employment. Confidential Information includes without limitation any and all non-public information that relates to the actual or anticipated business and/or products, research or development of the Company or any Subsidiary or Affiliate or to the technical data, trade secrets or know-how of any such Person, including without limitation research, product plans or other information regarding the products or services and markets, customer lists and customers (which may include but is not limited to customers on which the Executive called or with whom the Executive may have become acquainted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hanging="424"/>
        <w:spacing w:after="0"/>
        <w:tabs>
          <w:tab w:leader="none" w:pos="424" w:val="left"/>
        </w:tabs>
        <w:numPr>
          <w:ilvl w:val="0"/>
          <w:numId w:val="281"/>
        </w:numPr>
        <w:rPr>
          <w:rFonts w:ascii="Arial" w:cs="Arial" w:eastAsia="Arial" w:hAnsi="Arial"/>
          <w:sz w:val="15"/>
          <w:szCs w:val="15"/>
          <w:color w:val="auto"/>
        </w:rPr>
      </w:pPr>
      <w:r>
        <w:rPr>
          <w:rFonts w:ascii="Arial" w:cs="Arial" w:eastAsia="Arial" w:hAnsi="Arial"/>
          <w:sz w:val="18"/>
          <w:szCs w:val="18"/>
          <w:color w:val="auto"/>
        </w:rPr>
        <w:t>For Brandon, Clint and Jim only.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82" w:name="page283"/>
    <w:bookmarkEnd w:id="282"/>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while employed by the Company), software, developments, inventions, processes, formulas, technology, designs, drawings, engineering, hardware configuration information, marketing, finances, and other business information disclosed by the Company or any Subsidiary or Affiliate either directly or indirectly in writing or orally.</w:t>
      </w:r>
    </w:p>
    <w:p>
      <w:pPr>
        <w:spacing w:after="0" w:line="184" w:lineRule="exact"/>
        <w:rPr>
          <w:sz w:val="20"/>
          <w:szCs w:val="20"/>
          <w:color w:val="auto"/>
        </w:rPr>
      </w:pPr>
    </w:p>
    <w:p>
      <w:pPr>
        <w:ind w:right="20" w:firstLine="436"/>
        <w:spacing w:after="0" w:line="268" w:lineRule="auto"/>
        <w:tabs>
          <w:tab w:leader="none" w:pos="705" w:val="left"/>
        </w:tabs>
        <w:numPr>
          <w:ilvl w:val="0"/>
          <w:numId w:val="282"/>
        </w:numPr>
        <w:rPr>
          <w:rFonts w:ascii="Arial" w:cs="Arial" w:eastAsia="Arial" w:hAnsi="Arial"/>
          <w:sz w:val="17"/>
          <w:szCs w:val="17"/>
          <w:color w:val="auto"/>
        </w:rPr>
      </w:pPr>
      <w:r>
        <w:rPr>
          <w:rFonts w:ascii="Arial" w:cs="Arial" w:eastAsia="Arial" w:hAnsi="Arial"/>
          <w:sz w:val="17"/>
          <w:szCs w:val="17"/>
          <w:u w:val="single" w:color="auto"/>
          <w:color w:val="auto"/>
        </w:rPr>
        <w:t>Permitted Disclosures</w:t>
      </w:r>
      <w:r>
        <w:rPr>
          <w:rFonts w:ascii="Arial" w:cs="Arial" w:eastAsia="Arial" w:hAnsi="Arial"/>
          <w:sz w:val="17"/>
          <w:szCs w:val="17"/>
          <w:color w:val="auto"/>
        </w:rPr>
        <w:t>. Nothing in this Agreement or any other agreement or policies of the Company or any of its Subsidiaries prohibits or restricts the Executive or the Executive’s attorneys from: (</w:t>
      </w:r>
      <w:r>
        <w:rPr>
          <w:rFonts w:ascii="Arial" w:cs="Arial" w:eastAsia="Arial" w:hAnsi="Arial"/>
          <w:sz w:val="17"/>
          <w:szCs w:val="17"/>
          <w:u w:val="single" w:color="auto"/>
          <w:color w:val="auto"/>
        </w:rPr>
        <w:t>a)</w:t>
      </w:r>
      <w:r>
        <w:rPr>
          <w:rFonts w:ascii="Arial" w:cs="Arial" w:eastAsia="Arial" w:hAnsi="Arial"/>
          <w:sz w:val="17"/>
          <w:szCs w:val="17"/>
          <w:color w:val="auto"/>
        </w:rPr>
        <w:t xml:space="preserve"> making any disclosure of relevant and necessary information or documents in any action, investigation, or proceeding as required by law or legal process, including with respect to possible violations of law; ( </w:t>
      </w:r>
      <w:r>
        <w:rPr>
          <w:rFonts w:ascii="Arial" w:cs="Arial" w:eastAsia="Arial" w:hAnsi="Arial"/>
          <w:sz w:val="17"/>
          <w:szCs w:val="17"/>
          <w:u w:val="single" w:color="auto"/>
          <w:color w:val="auto"/>
        </w:rPr>
        <w:t>b</w:t>
      </w:r>
      <w:r>
        <w:rPr>
          <w:rFonts w:ascii="Arial" w:cs="Arial" w:eastAsia="Arial" w:hAnsi="Arial"/>
          <w:sz w:val="17"/>
          <w:szCs w:val="17"/>
          <w:color w:val="auto"/>
        </w:rPr>
        <w:t>) participating, cooperating, or testifying in any action, investigation, or proceeding with, or providing information to, any governmental agency or legislative body, any regulatory or supervisory authority, and/or pursuant to the Sarbanes-Oxley Act; (</w:t>
      </w:r>
      <w:r>
        <w:rPr>
          <w:rFonts w:ascii="Arial" w:cs="Arial" w:eastAsia="Arial" w:hAnsi="Arial"/>
          <w:sz w:val="17"/>
          <w:szCs w:val="17"/>
          <w:u w:val="single" w:color="auto"/>
          <w:color w:val="auto"/>
        </w:rPr>
        <w:t>c</w:t>
      </w:r>
      <w:r>
        <w:rPr>
          <w:rFonts w:ascii="Arial" w:cs="Arial" w:eastAsia="Arial" w:hAnsi="Arial"/>
          <w:sz w:val="17"/>
          <w:szCs w:val="17"/>
          <w:color w:val="auto"/>
        </w:rPr>
        <w:t>) accepting any U.S. Securities and Exchange Commission awards; or (</w:t>
      </w:r>
      <w:r>
        <w:rPr>
          <w:rFonts w:ascii="Arial" w:cs="Arial" w:eastAsia="Arial" w:hAnsi="Arial"/>
          <w:sz w:val="17"/>
          <w:szCs w:val="17"/>
          <w:u w:val="single" w:color="auto"/>
          <w:color w:val="auto"/>
        </w:rPr>
        <w:t>d</w:t>
      </w:r>
      <w:r>
        <w:rPr>
          <w:rFonts w:ascii="Arial" w:cs="Arial" w:eastAsia="Arial" w:hAnsi="Arial"/>
          <w:sz w:val="17"/>
          <w:szCs w:val="17"/>
          <w:color w:val="auto"/>
        </w:rPr>
        <w:t>) filing a charge with, initiating communications with, providing documents or other disclosures to, or responding to any inquiry from, any governmental agency, legislative body, or any regulatory or supervisory authority regarding any good-faith concerns about possible violations of law including, without limitation, the U.S. Equal Employment Opportunity Commission and the National Labor Relations Board. Pursuant to 18 U.S.C. § 1833(b), the Executive will not be held criminally or civilly liable under any federal or state trade secret law for the disclosure of a trade secret of the Company or any of its Subsidiaries that ( i) is made (</w:t>
      </w:r>
      <w:r>
        <w:rPr>
          <w:rFonts w:ascii="Arial" w:cs="Arial" w:eastAsia="Arial" w:hAnsi="Arial"/>
          <w:sz w:val="17"/>
          <w:szCs w:val="17"/>
          <w:u w:val="single" w:color="auto"/>
          <w:color w:val="auto"/>
        </w:rPr>
        <w:t>A</w:t>
      </w:r>
      <w:r>
        <w:rPr>
          <w:rFonts w:ascii="Arial" w:cs="Arial" w:eastAsia="Arial" w:hAnsi="Arial"/>
          <w:sz w:val="17"/>
          <w:szCs w:val="17"/>
          <w:color w:val="auto"/>
        </w:rPr>
        <w:t>) in confidence to a federal, state, or local government official, either directly or indirectly, or to such Person’s attorney and (</w:t>
      </w:r>
      <w:r>
        <w:rPr>
          <w:rFonts w:ascii="Arial" w:cs="Arial" w:eastAsia="Arial" w:hAnsi="Arial"/>
          <w:sz w:val="17"/>
          <w:szCs w:val="17"/>
          <w:u w:val="single" w:color="auto"/>
          <w:color w:val="auto"/>
        </w:rPr>
        <w:t>B</w:t>
      </w:r>
      <w:r>
        <w:rPr>
          <w:rFonts w:ascii="Arial" w:cs="Arial" w:eastAsia="Arial" w:hAnsi="Arial"/>
          <w:sz w:val="17"/>
          <w:szCs w:val="17"/>
          <w:color w:val="auto"/>
        </w:rPr>
        <w:t>) solely for the purpose of reporting or investigating a suspected violation of law; or (</w:t>
      </w:r>
      <w:r>
        <w:rPr>
          <w:rFonts w:ascii="Arial" w:cs="Arial" w:eastAsia="Arial" w:hAnsi="Arial"/>
          <w:sz w:val="17"/>
          <w:szCs w:val="17"/>
          <w:u w:val="single" w:color="auto"/>
          <w:color w:val="auto"/>
        </w:rPr>
        <w:t>ii</w:t>
      </w:r>
      <w:r>
        <w:rPr>
          <w:rFonts w:ascii="Arial" w:cs="Arial" w:eastAsia="Arial" w:hAnsi="Arial"/>
          <w:sz w:val="17"/>
          <w:szCs w:val="17"/>
          <w:color w:val="auto"/>
        </w:rPr>
        <w:t>) is made in a complaint or other document that is filed under seal in a lawsuit or other proceeding. If the Executive files a lawsuit for retaliation by the Company for reporting a suspected violation of law, the Executive may disclose the trade secret to his or her attorney and use the trade secret information in the court proceeding, provided that the Executive files any document containing the trade secret under seal, and does not disclose the trade secret, except pursuant to court order. Nothing in this Agreement or any other agreement or policy of the Company or its Subsidiaries is intended to conflict with 18 U.S.C. § 1833(b) or create liability for disclosures of trade secrets that are permitted by such statute.</w:t>
      </w:r>
    </w:p>
    <w:p>
      <w:pPr>
        <w:spacing w:after="0" w:line="180" w:lineRule="exact"/>
        <w:rPr>
          <w:sz w:val="20"/>
          <w:szCs w:val="20"/>
          <w:color w:val="auto"/>
        </w:rPr>
      </w:pPr>
    </w:p>
    <w:p>
      <w:pPr>
        <w:ind w:firstLine="436"/>
        <w:spacing w:after="0" w:line="255" w:lineRule="auto"/>
        <w:tabs>
          <w:tab w:leader="none" w:pos="685"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Unless otherwise approved by the Company, during the Nonsolicitation Restricted Period, the Executive shall not directly or indirectly (i) solicit any employee of the Company or any of its Subsidiaries, or induce such employee to terminate employment with such entity, and (ii) either individually or as owner, agent, employee, consultant or otherwise, employ or offer employment to any person who is, or who within the six (6) months preceding such action was, employed by the Company or such Subsidiary, in the case of each of clause (i) and (ii), other than an Excluded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(c) shall preclude the Executive from placing advertisements during the Nonsolicitation Restricted Period in periodicals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283" w:name="page284"/>
    <w:bookmarkEnd w:id="283"/>
    <w:p>
      <w:pPr>
        <w:jc w:val="both"/>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general circulation or on non-industry specific online recruiting sites and forums soliciting persons for employment. For purposes of this clause (c), an “</w:t>
      </w:r>
      <w:r>
        <w:rPr>
          <w:rFonts w:ascii="Arial" w:cs="Arial" w:eastAsia="Arial" w:hAnsi="Arial"/>
          <w:sz w:val="16"/>
          <w:szCs w:val="16"/>
          <w:u w:val="single" w:color="auto"/>
          <w:color w:val="auto"/>
        </w:rPr>
        <w:t>Excluded Employee</w:t>
      </w:r>
      <w:r>
        <w:rPr>
          <w:rFonts w:ascii="Arial" w:cs="Arial" w:eastAsia="Arial" w:hAnsi="Arial"/>
          <w:sz w:val="16"/>
          <w:szCs w:val="16"/>
          <w:color w:val="auto"/>
        </w:rPr>
        <w:t>” means (</w:t>
      </w:r>
      <w:r>
        <w:rPr>
          <w:rFonts w:ascii="Arial" w:cs="Arial" w:eastAsia="Arial" w:hAnsi="Arial"/>
          <w:sz w:val="16"/>
          <w:szCs w:val="16"/>
          <w:u w:val="single" w:color="auto"/>
          <w:color w:val="auto"/>
        </w:rPr>
        <w:t>1)</w:t>
      </w:r>
      <w:r>
        <w:rPr>
          <w:rFonts w:ascii="Arial" w:cs="Arial" w:eastAsia="Arial" w:hAnsi="Arial"/>
          <w:sz w:val="16"/>
          <w:szCs w:val="16"/>
          <w:color w:val="auto"/>
        </w:rPr>
        <w:t xml:space="preserve"> administrative assistants and (</w:t>
      </w:r>
      <w:r>
        <w:rPr>
          <w:rFonts w:ascii="Arial" w:cs="Arial" w:eastAsia="Arial" w:hAnsi="Arial"/>
          <w:sz w:val="16"/>
          <w:szCs w:val="16"/>
          <w:u w:val="single" w:color="auto"/>
          <w:color w:val="auto"/>
        </w:rPr>
        <w:t>2</w:t>
      </w:r>
      <w:r>
        <w:rPr>
          <w:rFonts w:ascii="Arial" w:cs="Arial" w:eastAsia="Arial" w:hAnsi="Arial"/>
          <w:sz w:val="16"/>
          <w:szCs w:val="16"/>
          <w:color w:val="auto"/>
        </w:rPr>
        <w:t>) non-managerial call center employees of the Company or any of its Subsidiaries.</w:t>
      </w:r>
    </w:p>
    <w:p>
      <w:pPr>
        <w:spacing w:after="0" w:line="124" w:lineRule="exact"/>
        <w:rPr>
          <w:sz w:val="20"/>
          <w:szCs w:val="20"/>
          <w:color w:val="auto"/>
        </w:rPr>
      </w:pPr>
    </w:p>
    <w:p>
      <w:pPr>
        <w:ind w:firstLine="436"/>
        <w:spacing w:after="0" w:line="296" w:lineRule="auto"/>
        <w:tabs>
          <w:tab w:leader="none" w:pos="695"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 Clients and Distributors.</w:t>
      </w:r>
      <w:r>
        <w:rPr>
          <w:rFonts w:ascii="Arial" w:cs="Arial" w:eastAsia="Arial" w:hAnsi="Arial"/>
          <w:sz w:val="16"/>
          <w:szCs w:val="16"/>
          <w:color w:val="auto"/>
        </w:rPr>
        <w:t xml:space="preserve"> Unless otherwise approved by the Company, during the Noncompetition Restricted Period, the Executive shall not directly or indirectly solicit or otherwise attempt to establish for himself or any other Person any competing business relationship with any Person which is, or during the six (6) month period preceding any date of determination was, a customer, client or distributor (including any marketing, brokerage, or insurance carrier partner) of the Company or any of its Subsidiaries and as to which the Executive (</w:t>
      </w:r>
      <w:r>
        <w:rPr>
          <w:rFonts w:ascii="Arial" w:cs="Arial" w:eastAsia="Arial" w:hAnsi="Arial"/>
          <w:sz w:val="16"/>
          <w:szCs w:val="16"/>
          <w:u w:val="single" w:color="auto"/>
          <w:color w:val="auto"/>
        </w:rPr>
        <w:t>x</w:t>
      </w:r>
      <w:r>
        <w:rPr>
          <w:rFonts w:ascii="Arial" w:cs="Arial" w:eastAsia="Arial" w:hAnsi="Arial"/>
          <w:sz w:val="16"/>
          <w:szCs w:val="16"/>
          <w:color w:val="auto"/>
        </w:rPr>
        <w:t>) conducted business on behalf of the Company or any of its Subsidiaries or (</w:t>
      </w:r>
      <w:r>
        <w:rPr>
          <w:rFonts w:ascii="Arial" w:cs="Arial" w:eastAsia="Arial" w:hAnsi="Arial"/>
          <w:sz w:val="16"/>
          <w:szCs w:val="16"/>
          <w:u w:val="single" w:color="auto"/>
          <w:color w:val="auto"/>
        </w:rPr>
        <w:t>y</w:t>
      </w:r>
      <w:r>
        <w:rPr>
          <w:rFonts w:ascii="Arial" w:cs="Arial" w:eastAsia="Arial" w:hAnsi="Arial"/>
          <w:sz w:val="16"/>
          <w:szCs w:val="16"/>
          <w:color w:val="auto"/>
        </w:rPr>
        <w:t>) has access to Confidential Information relating thereto.</w:t>
      </w:r>
    </w:p>
    <w:p>
      <w:pPr>
        <w:spacing w:after="0" w:line="161" w:lineRule="exact"/>
        <w:rPr>
          <w:rFonts w:ascii="Arial" w:cs="Arial" w:eastAsia="Arial" w:hAnsi="Arial"/>
          <w:sz w:val="16"/>
          <w:szCs w:val="16"/>
          <w:color w:val="auto"/>
        </w:rPr>
      </w:pPr>
    </w:p>
    <w:p>
      <w:pPr>
        <w:ind w:right="20" w:firstLine="436"/>
        <w:spacing w:after="0" w:line="289" w:lineRule="auto"/>
        <w:tabs>
          <w:tab w:leader="none" w:pos="685"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Injunctive Relief with Respect to Covenants</w:t>
      </w:r>
      <w:r>
        <w:rPr>
          <w:rFonts w:ascii="Arial" w:cs="Arial" w:eastAsia="Arial" w:hAnsi="Arial"/>
          <w:sz w:val="16"/>
          <w:szCs w:val="16"/>
          <w:color w:val="auto"/>
        </w:rPr>
        <w:t xml:space="preserve">. The Executive acknowledges and agrees that the covenants and obligations of the Executive with respect to noncompetition, nonsolicitation and confidentiality, as the case may be, set forth herein relate to special, unique and extraordinary matters and that a violation or threatened violation of any of the terms of such covenants or obligations will cause the Company irreparable injury for which adequate remedies are not available at law. Therefore, the Executive agrees, to the fullest extent permitted by applicable law, that the Company shall be entitled to an injunction, restraining order or such other equitable relief restraining the Executive from committing any violation of the covenants or obligations contained in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These injunctive remedies are cumulative and are in addition to any other rights and remedies the Company may have at law or in equity. In connection with the provisions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the Executive acknowledges that the Executive is agreeing to these provisions (</w:t>
      </w:r>
      <w:r>
        <w:rPr>
          <w:rFonts w:ascii="Arial" w:cs="Arial" w:eastAsia="Arial" w:hAnsi="Arial"/>
          <w:sz w:val="16"/>
          <w:szCs w:val="16"/>
          <w:u w:val="single" w:color="auto"/>
          <w:color w:val="auto"/>
        </w:rPr>
        <w:t>1</w:t>
      </w:r>
      <w:r>
        <w:rPr>
          <w:rFonts w:ascii="Arial" w:cs="Arial" w:eastAsia="Arial" w:hAnsi="Arial"/>
          <w:sz w:val="16"/>
          <w:szCs w:val="16"/>
          <w:color w:val="auto"/>
        </w:rPr>
        <w:t>) in connection with the receipt of the Profits Units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in connection with the transactions contemplated by the Merger Agreement, which have provided and are intended in the future to provide the Executive with material economic benefits.</w:t>
      </w:r>
    </w:p>
    <w:p>
      <w:pPr>
        <w:spacing w:after="0" w:line="166" w:lineRule="exact"/>
        <w:rPr>
          <w:rFonts w:ascii="Arial" w:cs="Arial" w:eastAsia="Arial" w:hAnsi="Arial"/>
          <w:sz w:val="16"/>
          <w:szCs w:val="16"/>
          <w:color w:val="auto"/>
        </w:rPr>
      </w:pPr>
    </w:p>
    <w:p>
      <w:pPr>
        <w:ind w:right="80" w:firstLine="436"/>
        <w:spacing w:after="0" w:line="273" w:lineRule="auto"/>
        <w:tabs>
          <w:tab w:leader="none" w:pos="665"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Unenforceable Restriction</w:t>
      </w:r>
      <w:r>
        <w:rPr>
          <w:rFonts w:ascii="Arial" w:cs="Arial" w:eastAsia="Arial" w:hAnsi="Arial"/>
          <w:sz w:val="17"/>
          <w:szCs w:val="17"/>
          <w:color w:val="auto"/>
        </w:rPr>
        <w:t xml:space="preserve">. It is expressly understood and agreed that although the Executive and the Company consider the restrictions contained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be reasonable, if a final determination is made by a court of competent jurisdiction that any restriction contained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is an unenforceable restriction against the Executive, the provisions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not be rendered void but shall be reformed to apply as to such maximum time and to such maximum extent as such court may determine to be enforceable. Alternatively, if such court finds that any restriction contained in this Agreement is unenforceable, and such restriction cannot be reformed so as to make it enforceable, such finding shall not affect the enforceability of any of the other restrictions contained herein.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purposes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13"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“Noncompetition Restricted Period” </w:t>
      </w:r>
      <w:r>
        <w:rPr>
          <w:rFonts w:ascii="Arial" w:cs="Arial" w:eastAsia="Arial" w:hAnsi="Arial"/>
          <w:sz w:val="17"/>
          <w:szCs w:val="17"/>
          <w:color w:val="auto"/>
        </w:rPr>
        <w:t>means the period beginning on the date that the Executive’s employment with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that employs such individual terminates (whether initiated by the Executive or by the Company or such Subsidiary) and ending on the first (1st) anniversary of the date thereof (unless the Executive and the Company mutually agree to a longer period).</w:t>
      </w:r>
    </w:p>
    <w:p>
      <w:pPr>
        <w:spacing w:after="0" w:line="50"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“Nonsolicitation Restricted Period” </w:t>
      </w:r>
      <w:r>
        <w:rPr>
          <w:rFonts w:ascii="Arial" w:cs="Arial" w:eastAsia="Arial" w:hAnsi="Arial"/>
          <w:sz w:val="17"/>
          <w:szCs w:val="17"/>
          <w:color w:val="auto"/>
        </w:rPr>
        <w:t>means the period beginning on the date that the Executive’s employment with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that employs such individual terminates (whether initiated by the Executive or by the Company or such Subsidiary) and ending on the second (2</w:t>
      </w:r>
      <w:r>
        <w:rPr>
          <w:rFonts w:ascii="Arial" w:cs="Arial" w:eastAsia="Arial" w:hAnsi="Arial"/>
          <w:sz w:val="14"/>
          <w:szCs w:val="14"/>
          <w:color w:val="auto"/>
        </w:rPr>
        <w:t>nd</w:t>
      </w:r>
      <w:r>
        <w:rPr>
          <w:rFonts w:ascii="Arial" w:cs="Arial" w:eastAsia="Arial" w:hAnsi="Arial"/>
          <w:sz w:val="17"/>
          <w:szCs w:val="17"/>
          <w:color w:val="auto"/>
        </w:rPr>
        <w:t>) anniversary of the date thereof (unless the Executive and the Company mutually agree to a longer period).</w:t>
      </w:r>
    </w:p>
    <w:p>
      <w:pPr>
        <w:spacing w:after="0" w:line="50"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“Restricted Area” </w:t>
      </w:r>
      <w:r>
        <w:rPr>
          <w:rFonts w:ascii="Arial" w:cs="Arial" w:eastAsia="Arial" w:hAnsi="Arial"/>
          <w:sz w:val="16"/>
          <w:szCs w:val="16"/>
          <w:color w:val="auto"/>
        </w:rPr>
        <w:t>means, as of any date of determination, those counties and states within the United States and, if applicable, those comparable</w:t>
      </w:r>
      <w:r>
        <w:rPr>
          <w:rFonts w:ascii="Arial" w:cs="Arial" w:eastAsia="Arial" w:hAnsi="Arial"/>
          <w:sz w:val="16"/>
          <w:szCs w:val="16"/>
          <w:b w:val="1"/>
          <w:bCs w:val="1"/>
          <w:color w:val="auto"/>
        </w:rPr>
        <w:t xml:space="preserve"> </w:t>
      </w:r>
      <w:r>
        <w:rPr>
          <w:rFonts w:ascii="Arial" w:cs="Arial" w:eastAsia="Arial" w:hAnsi="Arial"/>
          <w:sz w:val="16"/>
          <w:szCs w:val="16"/>
          <w:color w:val="auto"/>
        </w:rPr>
        <w:t>political subdivisions of other countries in which the Company or any of its Subsidiaries directly or indirectly (</w:t>
      </w:r>
      <w:r>
        <w:rPr>
          <w:rFonts w:ascii="Arial" w:cs="Arial" w:eastAsia="Arial" w:hAnsi="Arial"/>
          <w:sz w:val="16"/>
          <w:szCs w:val="16"/>
          <w:u w:val="single" w:color="auto"/>
          <w:color w:val="auto"/>
        </w:rPr>
        <w:t>x</w:t>
      </w:r>
      <w:r>
        <w:rPr>
          <w:rFonts w:ascii="Arial" w:cs="Arial" w:eastAsia="Arial" w:hAnsi="Arial"/>
          <w:sz w:val="16"/>
          <w:szCs w:val="16"/>
          <w:color w:val="auto"/>
        </w:rPr>
        <w:t>) conducts its business activities as of such date or (</w:t>
      </w:r>
      <w:r>
        <w:rPr>
          <w:rFonts w:ascii="Arial" w:cs="Arial" w:eastAsia="Arial" w:hAnsi="Arial"/>
          <w:sz w:val="16"/>
          <w:szCs w:val="16"/>
          <w:u w:val="single" w:color="auto"/>
          <w:color w:val="auto"/>
        </w:rPr>
        <w:t>y</w:t>
      </w:r>
      <w:r>
        <w:rPr>
          <w:rFonts w:ascii="Arial" w:cs="Arial" w:eastAsia="Arial" w:hAnsi="Arial"/>
          <w:sz w:val="16"/>
          <w:szCs w:val="16"/>
          <w:color w:val="auto"/>
        </w:rPr>
        <w:t>) has regularly conducted or is actively planning to conduct its business activities on such date or at any time during the twelve months prior to such date. The Restricted Area with respect to an employee whose services do not otherwise relate to a specific geographic region shall be determined on the basis of the Company and its Subsidiaries conducting its business in locations without having any physical presence (such as leased property, equipment or employees) in such location, including but not limited to any counties and states in which the Company or its Subsidiaries market, broker or sell insurance policies or related products and services.</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20"/>
          </w:cols>
          <w:pgMar w:left="880" w:top="274" w:right="499" w:bottom="1440" w:gutter="0" w:footer="0" w:header="0"/>
        </w:sectPr>
      </w:pPr>
    </w:p>
    <w:bookmarkStart w:id="285" w:name="page286"/>
    <w:bookmarkEnd w:id="285"/>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JOINDER AGREEMENT</w:t>
      </w:r>
    </w:p>
    <w:p>
      <w:pPr>
        <w:spacing w:after="0" w:line="229" w:lineRule="exact"/>
        <w:rPr>
          <w:sz w:val="20"/>
          <w:szCs w:val="20"/>
          <w:color w:val="auto"/>
        </w:rPr>
      </w:pPr>
    </w:p>
    <w:p>
      <w:pPr>
        <w:jc w:val="center"/>
        <w:ind w:left="70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-10160</wp:posOffset>
            </wp:positionV>
            <wp:extent cx="85661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Reference is made to that certain Limited Liability Company Agreement of Blizzard Management Feeder, LLC (“</w:t>
      </w:r>
      <w:r>
        <w:rPr>
          <w:rFonts w:ascii="Arial" w:cs="Arial" w:eastAsia="Arial" w:hAnsi="Arial"/>
          <w:sz w:val="17"/>
          <w:szCs w:val="17"/>
          <w:u w:val="single" w:color="auto"/>
          <w:color w:val="auto"/>
        </w:rPr>
        <w:t>Management LLC</w:t>
      </w:r>
      <w:r>
        <w:rPr>
          <w:rFonts w:ascii="Arial" w:cs="Arial" w:eastAsia="Arial" w:hAnsi="Arial"/>
          <w:sz w:val="17"/>
          <w:szCs w:val="17"/>
          <w:color w:val="auto"/>
        </w:rPr>
        <w:t>”, and such agreement, the “</w:t>
      </w:r>
      <w:r>
        <w:rPr>
          <w:rFonts w:ascii="Arial" w:cs="Arial" w:eastAsia="Arial" w:hAnsi="Arial"/>
          <w:sz w:val="17"/>
          <w:szCs w:val="17"/>
          <w:u w:val="single" w:color="auto"/>
          <w:color w:val="auto"/>
        </w:rPr>
        <w:t>Management LLC Agreement</w:t>
      </w:r>
      <w:r>
        <w:rPr>
          <w:rFonts w:ascii="Arial" w:cs="Arial" w:eastAsia="Arial" w:hAnsi="Arial"/>
          <w:sz w:val="17"/>
          <w:szCs w:val="17"/>
          <w:color w:val="auto"/>
        </w:rPr>
        <w:t xml:space="preserve">”). The undersigned acknowledges receipt of ( </w:t>
      </w:r>
      <w:r>
        <w:rPr>
          <w:rFonts w:ascii="Arial" w:cs="Arial" w:eastAsia="Arial" w:hAnsi="Arial"/>
          <w:sz w:val="17"/>
          <w:szCs w:val="17"/>
          <w:u w:val="single" w:color="auto"/>
          <w:color w:val="auto"/>
        </w:rPr>
        <w:t>x</w:t>
      </w:r>
      <w:r>
        <w:rPr>
          <w:rFonts w:ascii="Arial" w:cs="Arial" w:eastAsia="Arial" w:hAnsi="Arial"/>
          <w:sz w:val="17"/>
          <w:szCs w:val="17"/>
          <w:color w:val="auto"/>
        </w:rPr>
        <w:t>) the Management LLC Agreement, and (</w:t>
      </w:r>
      <w:r>
        <w:rPr>
          <w:rFonts w:ascii="Arial" w:cs="Arial" w:eastAsia="Arial" w:hAnsi="Arial"/>
          <w:sz w:val="17"/>
          <w:szCs w:val="17"/>
          <w:u w:val="single" w:color="auto"/>
          <w:color w:val="auto"/>
        </w:rPr>
        <w:t>y</w:t>
      </w:r>
      <w:r>
        <w:rPr>
          <w:rFonts w:ascii="Arial" w:cs="Arial" w:eastAsia="Arial" w:hAnsi="Arial"/>
          <w:sz w:val="17"/>
          <w:szCs w:val="17"/>
          <w:color w:val="auto"/>
        </w:rPr>
        <w:t>) the Amended and Restated Limited Liability Company Agreement of Blizzard Parent, LLC, each as in effect on the date hereof.</w:t>
      </w:r>
    </w:p>
    <w:p>
      <w:pPr>
        <w:spacing w:after="0" w:line="16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The undersigned signatory, in order to become the owner or holder of Units of Management LLC, hereby agrees that by the undersigned’s execution hereof, the undersigned is a party to the Management LLC Agreement and shall be a Member of Management LLC with respect to the Common Units, if any, and the Profits Units, if any, held by the undersigned, in all cases subject to all of the rights, restrictions, conditions and obligations applicable to the Members in respect of such Common Units and/or Profits Units, as applicable, set forth in the Management LLC Agreement. For purposes of this Joinder Agreement, the terms “Units”, “Member”, “Common Units” and “Profits Units” shall be as defined in the Management LLC Agreement. This Joinder Agreement shall take effect and shall become a part of the Management LLC Agreement as of the date first written above (or, if earlier, the effective date of the relevant issuance and/or transfer of Units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4792980</wp:posOffset>
            </wp:positionH>
            <wp:positionV relativeFrom="paragraph">
              <wp:posOffset>387350</wp:posOffset>
            </wp:positionV>
            <wp:extent cx="21996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Pls.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5593080</wp:posOffset>
            </wp:positionH>
            <wp:positionV relativeFrom="paragraph">
              <wp:posOffset>-10160</wp:posOffset>
            </wp:positionV>
            <wp:extent cx="13995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ACCEPTED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BLIZZARD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FEEDER, LLC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-1905</wp:posOffset>
            </wp:positionV>
            <wp:extent cx="24003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-1905</wp:posOffset>
            </wp:positionV>
            <wp:extent cx="24003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-1905</wp:posOffset>
            </wp:positionV>
            <wp:extent cx="24003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83(B) ELECTION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Relating to Section 83(b) Election</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Below you will find instructions for completing and filing a tax form in connection with your receipt of Profits Units representing a partnership interest of Blizzard Management Feeder, LLC.</w:t>
      </w:r>
    </w:p>
    <w:p>
      <w:pPr>
        <w:spacing w:after="0" w:line="166" w:lineRule="exact"/>
        <w:rPr>
          <w:sz w:val="20"/>
          <w:szCs w:val="20"/>
          <w:color w:val="auto"/>
        </w:rPr>
      </w:pPr>
    </w:p>
    <w:p>
      <w:pPr>
        <w:ind w:right="340" w:firstLine="440"/>
        <w:spacing w:after="0" w:line="261" w:lineRule="auto"/>
        <w:rPr>
          <w:sz w:val="20"/>
          <w:szCs w:val="20"/>
          <w:color w:val="auto"/>
        </w:rPr>
      </w:pPr>
      <w:r>
        <w:rPr>
          <w:rFonts w:ascii="Arial" w:cs="Arial" w:eastAsia="Arial" w:hAnsi="Arial"/>
          <w:sz w:val="18"/>
          <w:szCs w:val="18"/>
          <w:color w:val="auto"/>
        </w:rPr>
        <w:t xml:space="preserve">Pursuant to the terms governing the Profits Units, you </w:t>
      </w:r>
      <w:r>
        <w:rPr>
          <w:rFonts w:ascii="Arial" w:cs="Arial" w:eastAsia="Arial" w:hAnsi="Arial"/>
          <w:sz w:val="18"/>
          <w:szCs w:val="18"/>
          <w:b w:val="1"/>
          <w:bCs w:val="1"/>
          <w:color w:val="auto"/>
        </w:rPr>
        <w:t>must</w:t>
      </w:r>
      <w:r>
        <w:rPr>
          <w:rFonts w:ascii="Arial" w:cs="Arial" w:eastAsia="Arial" w:hAnsi="Arial"/>
          <w:sz w:val="18"/>
          <w:szCs w:val="18"/>
          <w:color w:val="auto"/>
        </w:rPr>
        <w:t xml:space="preserve"> file an election under Section 83(b) of the Internal Revenue Code of 1986, as amended, </w:t>
      </w:r>
      <w:r>
        <w:rPr>
          <w:rFonts w:ascii="Arial" w:cs="Arial" w:eastAsia="Arial" w:hAnsi="Arial"/>
          <w:sz w:val="18"/>
          <w:szCs w:val="18"/>
          <w:b w:val="1"/>
          <w:bCs w:val="1"/>
          <w:color w:val="auto"/>
        </w:rPr>
        <w:t>within 30 days of the issuance to you of the Profits Units.</w:t>
      </w:r>
      <w:r>
        <w:rPr>
          <w:rFonts w:ascii="Arial" w:cs="Arial" w:eastAsia="Arial" w:hAnsi="Arial"/>
          <w:sz w:val="18"/>
          <w:szCs w:val="18"/>
          <w:color w:val="auto"/>
        </w:rPr>
        <w:t xml:space="preserve"> The consequences of making an 83(b) election are complex and depend on individual circumstances and expectations. We recommend that you consult your own tax advisor regarding your receipt of Profits Units and the tax treatment of Profits Units.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For your convenience, attached is an 83(b) election form for you to complete, which the Company’s General Counsel will then file with the Internal Revenue Service on your behalf. To complete the form, enter your social security number, sign and date the form. A copy of the completed form must be returned to Bradley M. Burd by email at ####@gohealth.com </w:t>
      </w:r>
      <w:r>
        <w:rPr>
          <w:rFonts w:ascii="Arial" w:cs="Arial" w:eastAsia="Arial" w:hAnsi="Arial"/>
          <w:sz w:val="18"/>
          <w:szCs w:val="18"/>
          <w:b w:val="1"/>
          <w:bCs w:val="1"/>
          <w:u w:val="single" w:color="auto"/>
          <w:color w:val="auto"/>
        </w:rPr>
        <w:t>no later than October 11, 2019</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Should you have any questions, please feel free to contact Bradley M. Burd via email at ####@gohealth.com or by phone at ####.</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7" w:name="page288"/>
    <w:bookmarkEnd w:id="287"/>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UNDER SECTION 83(b) OF THE</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INTERNAL REVENUE CODE AND TREASURY REGULATION § 1.83-2(e)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8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This statement is made pursuant to Section 83(b) of the Internal Revenue Code of 1986, as amended (the “Code”). I hereby elect the tax treatment described in Section 83(b) of the Code for the property described below. The following information is supplied in accordance with Treasury Regulation § 1.83-2(e).</w:t>
      </w:r>
    </w:p>
    <w:p>
      <w:pPr>
        <w:spacing w:after="0" w:line="89"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Taxpayer.</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243"/>
        </w:trPr>
        <w:tc>
          <w:tcPr>
            <w:tcW w:w="420" w:type="dxa"/>
            <w:vAlign w:val="bottom"/>
          </w:tcPr>
          <w:p>
            <w:pPr>
              <w:spacing w:after="0"/>
              <w:rPr>
                <w:sz w:val="20"/>
                <w:szCs w:val="20"/>
                <w:color w:val="auto"/>
              </w:rPr>
            </w:pPr>
            <w:r>
              <w:rPr>
                <w:rFonts w:ascii="Arial" w:cs="Arial" w:eastAsia="Arial" w:hAnsi="Arial"/>
                <w:sz w:val="18"/>
                <w:szCs w:val="18"/>
                <w:color w:val="auto"/>
                <w:w w:val="95"/>
              </w:rPr>
              <w:t>SSN:</w:t>
            </w:r>
          </w:p>
        </w:tc>
        <w:tc>
          <w:tcPr>
            <w:tcW w:w="380" w:type="dxa"/>
            <w:vAlign w:val="bottom"/>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2280" w:type="dxa"/>
            <w:vAlign w:val="bottom"/>
            <w:tcBorders>
              <w:top w:val="single" w:sz="8" w:color="auto"/>
              <w:bottom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540" w:type="dxa"/>
            <w:vAlign w:val="bottom"/>
          </w:tcPr>
          <w:p>
            <w:pPr>
              <w:spacing w:after="0"/>
              <w:rPr>
                <w:sz w:val="21"/>
                <w:szCs w:val="21"/>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6000" w:type="dxa"/>
            <w:vAlign w:val="bottom"/>
            <w:gridSpan w:val="4"/>
          </w:tcPr>
          <w:p>
            <w:pPr>
              <w:spacing w:after="0"/>
              <w:rPr>
                <w:sz w:val="20"/>
                <w:szCs w:val="20"/>
                <w:color w:val="auto"/>
              </w:rPr>
            </w:pPr>
            <w:r>
              <w:rPr>
                <w:rFonts w:ascii="Arial" w:cs="Arial" w:eastAsia="Arial" w:hAnsi="Arial"/>
                <w:sz w:val="18"/>
                <w:szCs w:val="18"/>
                <w:color w:val="auto"/>
                <w:w w:val="91"/>
              </w:rPr>
              <w:t>Description of Property. The property with respect to which the election is made is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gridSpan w:val="2"/>
          </w:tcPr>
          <w:p>
            <w:pPr>
              <w:ind w:left="60"/>
              <w:spacing w:after="0"/>
              <w:rPr>
                <w:sz w:val="20"/>
                <w:szCs w:val="20"/>
                <w:color w:val="auto"/>
              </w:rPr>
            </w:pPr>
            <w:r>
              <w:rPr>
                <w:rFonts w:ascii="Arial" w:cs="Arial" w:eastAsia="Arial" w:hAnsi="Arial"/>
                <w:sz w:val="18"/>
                <w:szCs w:val="18"/>
                <w:color w:val="auto"/>
                <w:w w:val="92"/>
              </w:rPr>
              <w:t>units (the “Units”) of a partnership interest (the “</w:t>
            </w:r>
          </w:p>
        </w:tc>
      </w:tr>
      <w:tr>
        <w:trPr>
          <w:trHeight w:val="20"/>
        </w:trPr>
        <w:tc>
          <w:tcPr>
            <w:tcW w:w="420" w:type="dxa"/>
            <w:vAlign w:val="bottom"/>
          </w:tcPr>
          <w:p>
            <w:pPr>
              <w:spacing w:after="0" w:line="20" w:lineRule="exact"/>
              <w:rPr>
                <w:sz w:val="1"/>
                <w:szCs w:val="1"/>
                <w:color w:val="auto"/>
              </w:rPr>
            </w:pPr>
          </w:p>
        </w:tc>
        <w:tc>
          <w:tcPr>
            <w:tcW w:w="1700" w:type="dxa"/>
            <w:vAlign w:val="bottom"/>
            <w:gridSpan w:val="2"/>
            <w:shd w:val="clear" w:color="auto" w:fill="000000"/>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10300" w:type="dxa"/>
            <w:vAlign w:val="bottom"/>
            <w:gridSpan w:val="8"/>
          </w:tcPr>
          <w:p>
            <w:pPr>
              <w:spacing w:after="0" w:line="196" w:lineRule="exact"/>
              <w:rPr>
                <w:sz w:val="20"/>
                <w:szCs w:val="20"/>
                <w:color w:val="auto"/>
              </w:rPr>
            </w:pPr>
            <w:r>
              <w:rPr>
                <w:rFonts w:ascii="Arial" w:cs="Arial" w:eastAsia="Arial" w:hAnsi="Arial"/>
                <w:sz w:val="18"/>
                <w:szCs w:val="18"/>
                <w:color w:val="auto"/>
                <w:w w:val="93"/>
              </w:rPr>
              <w:t>Interest”) of Blizzard Management Feeder, LLC, a Delaware limited liability company (“Management LLC”). The Units referred to herein are</w:t>
            </w:r>
          </w:p>
        </w:tc>
      </w:tr>
      <w:tr>
        <w:trPr>
          <w:trHeight w:val="20"/>
        </w:trPr>
        <w:tc>
          <w:tcPr>
            <w:tcW w:w="420" w:type="dxa"/>
            <w:vAlign w:val="bottom"/>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Arial" w:cs="Arial" w:eastAsia="Arial" w:hAnsi="Arial"/>
                <w:sz w:val="18"/>
                <w:szCs w:val="18"/>
                <w:color w:val="auto"/>
              </w:rPr>
              <w:t>those Profits Units described in the Blizzard Parent, LLC Profits Unit Plan, as amended from time to time.</w:t>
            </w:r>
          </w:p>
        </w:tc>
      </w:tr>
    </w:tbl>
    <w:p>
      <w:pPr>
        <w:spacing w:after="0" w:line="107" w:lineRule="exact"/>
        <w:rPr>
          <w:sz w:val="20"/>
          <w:szCs w:val="20"/>
          <w:color w:val="auto"/>
        </w:rPr>
      </w:pPr>
    </w:p>
    <w:p>
      <w:pPr>
        <w:ind w:left="424" w:right="480" w:hanging="424"/>
        <w:spacing w:after="0" w:line="277"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Date of Transfer and Taxable Year of Election</w:t>
      </w:r>
      <w:r>
        <w:rPr>
          <w:rFonts w:ascii="Arial" w:cs="Arial" w:eastAsia="Arial" w:hAnsi="Arial"/>
          <w:sz w:val="18"/>
          <w:szCs w:val="18"/>
          <w:color w:val="auto"/>
        </w:rPr>
        <w:t>. The Interest was transferred on October 3, 2019. This election is being made with respect to calendar year 2019.</w:t>
      </w:r>
    </w:p>
    <w:p>
      <w:pPr>
        <w:spacing w:after="0" w:line="75"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Nature of Restrictions</w:t>
      </w:r>
      <w:r>
        <w:rPr>
          <w:rFonts w:ascii="Arial" w:cs="Arial" w:eastAsia="Arial" w:hAnsi="Arial"/>
          <w:sz w:val="18"/>
          <w:szCs w:val="18"/>
          <w:color w:val="auto"/>
        </w:rPr>
        <w:t>. Retention of all or a portion of the Interest is conditioned on my continuing to provide services to the entity to which I provide services as well as the achievement of specified performance conditions.</w:t>
      </w:r>
    </w:p>
    <w:p>
      <w:pPr>
        <w:spacing w:after="0" w:line="75"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Fair Market Value of the Property</w:t>
      </w:r>
      <w:r>
        <w:rPr>
          <w:rFonts w:ascii="Arial" w:cs="Arial" w:eastAsia="Arial" w:hAnsi="Arial"/>
          <w:sz w:val="18"/>
          <w:szCs w:val="18"/>
          <w:color w:val="auto"/>
        </w:rPr>
        <w:t>. The fair market value of the Interest on the date of transfer (determined without regard to any lapse restriction, as defined in Treasury Regulation § 1.83-3(i)) was equal to $0.00 per Unit, as set forth in item 6 below.</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Amount Paid for the Property</w:t>
      </w:r>
      <w:r>
        <w:rPr>
          <w:rFonts w:ascii="Arial" w:cs="Arial" w:eastAsia="Arial" w:hAnsi="Arial"/>
          <w:sz w:val="17"/>
          <w:szCs w:val="17"/>
          <w:color w:val="auto"/>
        </w:rPr>
        <w:t>. The amount paid for the Interest was $0.00 per Unit, the fair market value of each Unit at the time of transfer.</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Copies of Election</w:t>
      </w:r>
      <w:r>
        <w:rPr>
          <w:rFonts w:ascii="Arial" w:cs="Arial" w:eastAsia="Arial" w:hAnsi="Arial"/>
          <w:sz w:val="18"/>
          <w:szCs w:val="18"/>
          <w:color w:val="auto"/>
        </w:rPr>
        <w:t>. A copy of this election has been furnished to Management LLC pursuant to Treasury Regulation § 1.83-2(d).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4"/>
          </w:cols>
          <w:pgMar w:left="436" w:top="270" w:right="51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Accredited Investor Questionnaire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[attached]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019"/>
          </w:cols>
          <w:pgMar w:left="1440" w:top="270" w:right="1440" w:bottom="1440" w:gutter="0" w:footer="0" w:header="0"/>
        </w:sectPr>
      </w:pPr>
    </w:p>
    <w:bookmarkStart w:id="289" w:name="page290"/>
    <w:bookmarkEnd w:id="28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BLIZZARD MANAGEMENT FEEDER, LLC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ACCREDITED INVESTOR QUESTIONNAIRE</w:t>
      </w:r>
    </w:p>
    <w:p>
      <w:pPr>
        <w:spacing w:after="0" w:line="211" w:lineRule="exact"/>
        <w:rPr>
          <w:sz w:val="20"/>
          <w:szCs w:val="20"/>
          <w:color w:val="auto"/>
        </w:rPr>
      </w:pPr>
    </w:p>
    <w:p>
      <w:pPr>
        <w:ind w:left="4" w:right="320" w:firstLine="440"/>
        <w:spacing w:after="0" w:line="342" w:lineRule="auto"/>
        <w:rPr>
          <w:sz w:val="20"/>
          <w:szCs w:val="20"/>
          <w:color w:val="auto"/>
        </w:rPr>
      </w:pPr>
      <w:r>
        <w:rPr>
          <w:rFonts w:ascii="Arial" w:cs="Arial" w:eastAsia="Arial" w:hAnsi="Arial"/>
          <w:sz w:val="16"/>
          <w:szCs w:val="16"/>
          <w:color w:val="auto"/>
        </w:rPr>
        <w:t>In connection with your potential investment in Blizzard Management Feeder, LLC (“</w:t>
      </w:r>
      <w:r>
        <w:rPr>
          <w:rFonts w:ascii="Arial" w:cs="Arial" w:eastAsia="Arial" w:hAnsi="Arial"/>
          <w:sz w:val="16"/>
          <w:szCs w:val="16"/>
          <w:u w:val="single" w:color="auto"/>
          <w:color w:val="auto"/>
        </w:rPr>
        <w:t>Management LLC</w:t>
      </w:r>
      <w:r>
        <w:rPr>
          <w:rFonts w:ascii="Arial" w:cs="Arial" w:eastAsia="Arial" w:hAnsi="Arial"/>
          <w:sz w:val="16"/>
          <w:szCs w:val="16"/>
          <w:color w:val="auto"/>
        </w:rPr>
        <w:t>”), Management LLC must determine whether you are an “accredited investor,” as such term is defined by Rule 501(a) promulgated under the Securities Act of 1933, as amended.</w:t>
      </w:r>
    </w:p>
    <w:p>
      <w:pPr>
        <w:spacing w:after="0" w:line="124"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 xml:space="preserve">Please provide answers to each of the statements below, indicating whether or not each statement applies to you. </w:t>
      </w:r>
      <w:r>
        <w:rPr>
          <w:rFonts w:ascii="Arial" w:cs="Arial" w:eastAsia="Arial" w:hAnsi="Arial"/>
          <w:sz w:val="18"/>
          <w:szCs w:val="18"/>
          <w:u w:val="single" w:color="auto"/>
          <w:color w:val="auto"/>
        </w:rPr>
        <w:t>Your responses to these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 will be kept confidential</w:t>
      </w:r>
      <w:r>
        <w:rPr>
          <w:rFonts w:ascii="Arial" w:cs="Arial" w:eastAsia="Arial" w:hAnsi="Arial"/>
          <w:sz w:val="18"/>
          <w:szCs w:val="18"/>
          <w:color w:val="auto"/>
        </w:rPr>
        <w:t>.</w:t>
      </w:r>
    </w:p>
    <w:p>
      <w:pPr>
        <w:spacing w:after="0" w:line="197" w:lineRule="exact"/>
        <w:rPr>
          <w:sz w:val="20"/>
          <w:szCs w:val="20"/>
          <w:color w:val="auto"/>
        </w:rPr>
      </w:pPr>
    </w:p>
    <w:p>
      <w:pPr>
        <w:ind w:left="484"/>
        <w:spacing w:after="0"/>
        <w:tabs>
          <w:tab w:leader="none" w:pos="1804"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17" w:lineRule="exact"/>
        <w:rPr>
          <w:sz w:val="20"/>
          <w:szCs w:val="20"/>
          <w:color w:val="auto"/>
        </w:rPr>
      </w:pPr>
    </w:p>
    <w:p>
      <w:pPr>
        <w:ind w:left="3004" w:right="300" w:hanging="358"/>
        <w:spacing w:after="0" w:line="263" w:lineRule="auto"/>
        <w:tabs>
          <w:tab w:leader="none" w:pos="29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My individual net worth, or my joint net worth with my spouse at the time of my investment, exceeds $1,000,000. Please see the explanation in footnote one as to how your primary residence relates to your net worth or joint net worth.</w:t>
      </w:r>
      <w:r>
        <w:rPr>
          <w:rFonts w:ascii="Arial" w:cs="Arial" w:eastAsia="Arial" w:hAnsi="Arial"/>
          <w:sz w:val="15"/>
          <w:szCs w:val="15"/>
          <w:color w:val="auto"/>
        </w:rPr>
        <w:t>12</w:t>
      </w:r>
    </w:p>
    <w:p>
      <w:pPr>
        <w:spacing w:after="0" w:line="75" w:lineRule="exact"/>
        <w:rPr>
          <w:rFonts w:ascii="Arial" w:cs="Arial" w:eastAsia="Arial" w:hAnsi="Arial"/>
          <w:sz w:val="18"/>
          <w:szCs w:val="18"/>
          <w:color w:val="auto"/>
        </w:rPr>
      </w:pPr>
    </w:p>
    <w:p>
      <w:pPr>
        <w:jc w:val="both"/>
        <w:ind w:left="3004" w:right="400" w:hanging="358"/>
        <w:spacing w:after="0" w:line="263" w:lineRule="auto"/>
        <w:tabs>
          <w:tab w:leader="none" w:pos="29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My individual income was in excess of $200,000 in each of the preceding two calendar years, or my joint income with my spouse was in excess of $300,000 in each of those years, and I (or we) have a reasonable expectation of reaching the same income level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-791210</wp:posOffset>
            </wp:positionV>
            <wp:extent cx="4572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-791210</wp:posOffset>
            </wp:positionV>
            <wp:extent cx="4572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-311150</wp:posOffset>
            </wp:positionV>
            <wp:extent cx="4572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457200" cy="8890"/>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-311150</wp:posOffset>
            </wp:positionV>
            <wp:extent cx="4572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9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14605</wp:posOffset>
            </wp:positionV>
            <wp:extent cx="18084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14605</wp:posOffset>
            </wp:positionV>
            <wp:extent cx="18084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print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14605</wp:posOffset>
            </wp:positionV>
            <wp:extent cx="18084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5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print your 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151765</wp:posOffset>
            </wp:positionV>
            <wp:extent cx="27946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460375</wp:posOffset>
            </wp:positionV>
            <wp:extent cx="27946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717550</wp:posOffset>
            </wp:positionV>
            <wp:extent cx="7715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4" w:hanging="424"/>
        <w:spacing w:after="0" w:line="257" w:lineRule="auto"/>
        <w:tabs>
          <w:tab w:leader="none" w:pos="424" w:val="left"/>
        </w:tabs>
        <w:numPr>
          <w:ilvl w:val="0"/>
          <w:numId w:val="288"/>
        </w:numPr>
        <w:rPr>
          <w:rFonts w:ascii="Arial" w:cs="Arial" w:eastAsia="Arial" w:hAnsi="Arial"/>
          <w:sz w:val="15"/>
          <w:szCs w:val="15"/>
          <w:color w:val="auto"/>
        </w:rPr>
      </w:pPr>
      <w:r>
        <w:rPr>
          <w:rFonts w:ascii="Arial" w:cs="Arial" w:eastAsia="Arial" w:hAnsi="Arial"/>
          <w:sz w:val="18"/>
          <w:szCs w:val="18"/>
          <w:color w:val="auto"/>
        </w:rPr>
        <w:t>As a general rule, the term “net worth” means the excess of (</w:t>
      </w:r>
      <w:r>
        <w:rPr>
          <w:rFonts w:ascii="Arial" w:cs="Arial" w:eastAsia="Arial" w:hAnsi="Arial"/>
          <w:sz w:val="18"/>
          <w:szCs w:val="18"/>
          <w:i w:val="1"/>
          <w:iCs w:val="1"/>
          <w:color w:val="auto"/>
        </w:rPr>
        <w:t>i</w:t>
      </w:r>
      <w:r>
        <w:rPr>
          <w:rFonts w:ascii="Arial" w:cs="Arial" w:eastAsia="Arial" w:hAnsi="Arial"/>
          <w:sz w:val="18"/>
          <w:szCs w:val="18"/>
          <w:color w:val="auto"/>
        </w:rPr>
        <w:t xml:space="preserve">) your total assets, </w:t>
      </w:r>
      <w:r>
        <w:rPr>
          <w:rFonts w:ascii="Arial" w:cs="Arial" w:eastAsia="Arial" w:hAnsi="Arial"/>
          <w:sz w:val="18"/>
          <w:szCs w:val="18"/>
          <w:i w:val="1"/>
          <w:iCs w:val="1"/>
          <w:color w:val="auto"/>
        </w:rPr>
        <w:t>excluding your primary residence</w:t>
      </w:r>
      <w:r>
        <w:rPr>
          <w:rFonts w:ascii="Arial" w:cs="Arial" w:eastAsia="Arial" w:hAnsi="Arial"/>
          <w:sz w:val="18"/>
          <w:szCs w:val="18"/>
          <w:color w:val="auto"/>
        </w:rPr>
        <w:t>, over (</w:t>
      </w:r>
      <w:r>
        <w:rPr>
          <w:rFonts w:ascii="Arial" w:cs="Arial" w:eastAsia="Arial" w:hAnsi="Arial"/>
          <w:sz w:val="18"/>
          <w:szCs w:val="18"/>
          <w:i w:val="1"/>
          <w:iCs w:val="1"/>
          <w:color w:val="auto"/>
        </w:rPr>
        <w:t>ii</w:t>
      </w:r>
      <w:r>
        <w:rPr>
          <w:rFonts w:ascii="Arial" w:cs="Arial" w:eastAsia="Arial" w:hAnsi="Arial"/>
          <w:sz w:val="18"/>
          <w:szCs w:val="18"/>
          <w:color w:val="auto"/>
        </w:rPr>
        <w:t>) your total liabilities. For purposes of computing net worth, the value of a primary residence should be excluded from total assets and the value of any mortgage secured by a primary residence should be excluded from total liabilities. However, the portion of any mortgage secured by a primary residence in excess of the estimated fair market value of the primary residence (i.e., if applicable, the portion of a mortgage that is “underwater”) should be included in total liabilities.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290" w:name="page291"/>
    <w:bookmarkEnd w:id="290"/>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3" w:lineRule="exact"/>
        <w:rPr>
          <w:sz w:val="20"/>
          <w:szCs w:val="20"/>
          <w:color w:val="auto"/>
        </w:rPr>
      </w:pPr>
    </w:p>
    <w:p>
      <w:pPr>
        <w:jc w:val="center"/>
        <w:ind w:right="-23"/>
        <w:spacing w:after="0"/>
        <w:rPr>
          <w:sz w:val="20"/>
          <w:szCs w:val="20"/>
          <w:color w:val="auto"/>
        </w:rPr>
      </w:pPr>
      <w:r>
        <w:rPr>
          <w:rFonts w:ascii="Arial" w:cs="Arial" w:eastAsia="Arial" w:hAnsi="Arial"/>
          <w:sz w:val="18"/>
          <w:szCs w:val="18"/>
          <w:u w:val="single" w:color="auto"/>
          <w:color w:val="auto"/>
        </w:rPr>
        <w:t>Restrictive Covenants</w:t>
      </w:r>
    </w:p>
    <w:p>
      <w:pPr>
        <w:spacing w:after="0" w:line="211" w:lineRule="exact"/>
        <w:rPr>
          <w:sz w:val="20"/>
          <w:szCs w:val="20"/>
          <w:color w:val="auto"/>
        </w:rPr>
      </w:pPr>
    </w:p>
    <w:p>
      <w:pPr>
        <w:ind w:left="4" w:right="120" w:firstLine="440"/>
        <w:spacing w:after="0" w:line="301" w:lineRule="auto"/>
        <w:rPr>
          <w:sz w:val="20"/>
          <w:szCs w:val="20"/>
          <w:color w:val="auto"/>
        </w:rPr>
      </w:pPr>
      <w:r>
        <w:rPr>
          <w:rFonts w:ascii="Arial" w:cs="Arial" w:eastAsia="Arial" w:hAnsi="Arial"/>
          <w:sz w:val="16"/>
          <w:szCs w:val="16"/>
          <w:color w:val="auto"/>
        </w:rPr>
        <w:t xml:space="preserve">The Executive acknowledges that the Executive has gained and will gain access to certain confidential information, trade secrets, and proprietary methods and processes relating to the operations, strategy and financial initiatives of the Company, and that the Company has a legitimate business interest in protecting such information, trade secrets, methods, and processes. In consideration for access to this confidential information, trade secrets, methods and processes, the Executive agrees to abide by the covenants and restrictions contained in this </w:t>
      </w:r>
      <w:r>
        <w:rPr>
          <w:rFonts w:ascii="Arial" w:cs="Arial" w:eastAsia="Arial" w:hAnsi="Arial"/>
          <w:sz w:val="16"/>
          <w:szCs w:val="16"/>
          <w:u w:val="single" w:color="auto"/>
          <w:color w:val="auto"/>
        </w:rPr>
        <w:t>Appendix A.</w:t>
      </w:r>
    </w:p>
    <w:p>
      <w:pPr>
        <w:spacing w:after="0" w:line="157" w:lineRule="exact"/>
        <w:rPr>
          <w:sz w:val="20"/>
          <w:szCs w:val="20"/>
          <w:color w:val="auto"/>
        </w:rPr>
      </w:pPr>
    </w:p>
    <w:p>
      <w:pPr>
        <w:ind w:left="4" w:firstLine="436"/>
        <w:spacing w:after="0" w:line="286" w:lineRule="auto"/>
        <w:tabs>
          <w:tab w:leader="none" w:pos="869" w:val="left"/>
        </w:tabs>
        <w:numPr>
          <w:ilvl w:val="0"/>
          <w:numId w:val="289"/>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Unless otherwise approved by the Company, the Executive shall not, during the Noncompetition Restricted Period (as defined below) and in the Restricted Area (as defined below), be engaged, directly or indirectly (other than as the passive owner of not in excess of 5% of the outstanding equity interests of any entity [or, subject to the last sentence of this clause (a), as the member of the board of directors, board of managers or comparable governing body]</w:t>
      </w:r>
      <w:r>
        <w:rPr>
          <w:rFonts w:ascii="Arial" w:cs="Arial" w:eastAsia="Arial" w:hAnsi="Arial"/>
          <w:sz w:val="13"/>
          <w:szCs w:val="13"/>
          <w:color w:val="auto"/>
        </w:rPr>
        <w:t>6</w:t>
      </w:r>
      <w:r>
        <w:rPr>
          <w:rFonts w:ascii="Arial" w:cs="Arial" w:eastAsia="Arial" w:hAnsi="Arial"/>
          <w:sz w:val="16"/>
          <w:szCs w:val="16"/>
          <w:color w:val="auto"/>
        </w:rPr>
        <w:t>), whether as a principal, partner, member, employee, independent contractor, consultant, shareholder or otherwise in (</w:t>
      </w:r>
      <w:r>
        <w:rPr>
          <w:rFonts w:ascii="Arial" w:cs="Arial" w:eastAsia="Arial" w:hAnsi="Arial"/>
          <w:sz w:val="16"/>
          <w:szCs w:val="16"/>
          <w:u w:val="single" w:color="auto"/>
          <w:color w:val="auto"/>
        </w:rPr>
        <w:t>i</w:t>
      </w:r>
      <w:r>
        <w:rPr>
          <w:rFonts w:ascii="Arial" w:cs="Arial" w:eastAsia="Arial" w:hAnsi="Arial"/>
          <w:sz w:val="16"/>
          <w:szCs w:val="16"/>
          <w:color w:val="auto"/>
        </w:rPr>
        <w:t>) a business or endeavor which is competitive with or substantially similar to any business of the Company or any of its Subsidiaries conducted during the twelve (12) months preceding the date the Executive ceases to be employed by the Company or its Subsidiaries, or (</w:t>
      </w:r>
      <w:r>
        <w:rPr>
          <w:rFonts w:ascii="Arial" w:cs="Arial" w:eastAsia="Arial" w:hAnsi="Arial"/>
          <w:sz w:val="16"/>
          <w:szCs w:val="16"/>
          <w:u w:val="single" w:color="auto"/>
          <w:color w:val="auto"/>
        </w:rPr>
        <w:t>ii</w:t>
      </w:r>
      <w:r>
        <w:rPr>
          <w:rFonts w:ascii="Arial" w:cs="Arial" w:eastAsia="Arial" w:hAnsi="Arial"/>
          <w:sz w:val="16"/>
          <w:szCs w:val="16"/>
          <w:color w:val="auto"/>
        </w:rPr>
        <w:t>) any potential business (A) which has been submitted to the Board for consideration and is under active consideration by the Board, and (B) of which the Executive was aware as evidenced by contemporaneous documentation, in each case, during the twelve (12) months preceding the date the Executive ceases to be employed by the Company or its Subsidiaries. [Notwithstanding the foregoing provisions of this clause (a), [(i) such clause (a) shall not apply to any of the Executive’s current memberships on the board of directors, board of managers or comparable governing bodies of a business as of the date hereof[, which consist of HealthJoy, Inc., Creatix, Inc. and GoHealthJoy, LLC]</w:t>
      </w:r>
      <w:r>
        <w:rPr>
          <w:rFonts w:ascii="Arial" w:cs="Arial" w:eastAsia="Arial" w:hAnsi="Arial"/>
          <w:sz w:val="13"/>
          <w:szCs w:val="13"/>
          <w:color w:val="auto"/>
        </w:rPr>
        <w:t>7</w:t>
      </w:r>
      <w:r>
        <w:rPr>
          <w:rFonts w:ascii="Arial" w:cs="Arial" w:eastAsia="Arial" w:hAnsi="Arial"/>
          <w:sz w:val="16"/>
          <w:szCs w:val="16"/>
          <w:color w:val="auto"/>
        </w:rPr>
        <w:t>[, which consist of GoHealthJoy, LLC]</w:t>
      </w:r>
      <w:r>
        <w:rPr>
          <w:rFonts w:ascii="Arial" w:cs="Arial" w:eastAsia="Arial" w:hAnsi="Arial"/>
          <w:sz w:val="13"/>
          <w:szCs w:val="13"/>
          <w:color w:val="auto"/>
        </w:rPr>
        <w:t>8</w:t>
      </w:r>
      <w:r>
        <w:rPr>
          <w:rFonts w:ascii="Arial" w:cs="Arial" w:eastAsia="Arial" w:hAnsi="Arial"/>
          <w:sz w:val="16"/>
          <w:szCs w:val="16"/>
          <w:color w:val="auto"/>
        </w:rPr>
        <w:t>[, which consist of Spartan Motors, Inc., Chicago Hope Academy and GoHealthJoy, LLC]</w:t>
      </w:r>
      <w:r>
        <w:rPr>
          <w:rFonts w:ascii="Arial" w:cs="Arial" w:eastAsia="Arial" w:hAnsi="Arial"/>
          <w:sz w:val="13"/>
          <w:szCs w:val="13"/>
          <w:color w:val="auto"/>
        </w:rPr>
        <w:t>9</w:t>
      </w:r>
      <w:r>
        <w:rPr>
          <w:rFonts w:ascii="Arial" w:cs="Arial" w:eastAsia="Arial" w:hAnsi="Arial"/>
          <w:sz w:val="16"/>
          <w:szCs w:val="16"/>
          <w:color w:val="auto"/>
        </w:rPr>
        <w:t xml:space="preserve"> and (ii)]</w:t>
      </w:r>
      <w:r>
        <w:rPr>
          <w:rFonts w:ascii="Arial" w:cs="Arial" w:eastAsia="Arial" w:hAnsi="Arial"/>
          <w:sz w:val="13"/>
          <w:szCs w:val="13"/>
          <w:color w:val="auto"/>
        </w:rPr>
        <w:t>10</w:t>
      </w:r>
      <w:r>
        <w:rPr>
          <w:rFonts w:ascii="Arial" w:cs="Arial" w:eastAsia="Arial" w:hAnsi="Arial"/>
          <w:sz w:val="16"/>
          <w:szCs w:val="16"/>
          <w:color w:val="auto"/>
        </w:rPr>
        <w:t xml:space="preserve"> if the Executive advises the Board that he proposes to serve as the member of the board of directors, board of managers or comparable governing body of a business that the Board determines in good faith is competitive with the business of the Company and its Subsidiaries, such service may be provided only if the Board has not provided Executive written notice (within ten (10) days of Executive so advising the Board regarding such service), of its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7152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3" w:lineRule="exact"/>
        <w:rPr>
          <w:sz w:val="20"/>
          <w:szCs w:val="20"/>
          <w:color w:val="auto"/>
        </w:rPr>
      </w:pPr>
    </w:p>
    <w:p>
      <w:pPr>
        <w:ind w:left="424" w:hanging="424"/>
        <w:spacing w:after="0"/>
        <w:tabs>
          <w:tab w:leader="none" w:pos="424" w:val="left"/>
        </w:tabs>
        <w:numPr>
          <w:ilvl w:val="0"/>
          <w:numId w:val="290"/>
        </w:numPr>
        <w:rPr>
          <w:rFonts w:ascii="Arial" w:cs="Arial" w:eastAsia="Arial" w:hAnsi="Arial"/>
          <w:sz w:val="15"/>
          <w:szCs w:val="15"/>
          <w:color w:val="auto"/>
        </w:rPr>
      </w:pPr>
      <w:r>
        <w:rPr>
          <w:rFonts w:ascii="Arial" w:cs="Arial" w:eastAsia="Arial" w:hAnsi="Arial"/>
          <w:sz w:val="18"/>
          <w:szCs w:val="18"/>
          <w:color w:val="auto"/>
        </w:rPr>
        <w:t>For Brandon, Clint and Jim only.</w:t>
      </w:r>
    </w:p>
    <w:p>
      <w:pPr>
        <w:spacing w:after="0" w:line="22" w:lineRule="exact"/>
        <w:rPr>
          <w:sz w:val="20"/>
          <w:szCs w:val="20"/>
          <w:color w:val="auto"/>
        </w:rPr>
      </w:pPr>
    </w:p>
    <w:p>
      <w:pPr>
        <w:ind w:left="424" w:hanging="424"/>
        <w:spacing w:after="0"/>
        <w:tabs>
          <w:tab w:leader="none" w:pos="424" w:val="left"/>
        </w:tabs>
        <w:numPr>
          <w:ilvl w:val="0"/>
          <w:numId w:val="291"/>
        </w:numPr>
        <w:rPr>
          <w:rFonts w:ascii="Arial" w:cs="Arial" w:eastAsia="Arial" w:hAnsi="Arial"/>
          <w:sz w:val="15"/>
          <w:szCs w:val="15"/>
          <w:color w:val="auto"/>
        </w:rPr>
      </w:pPr>
      <w:r>
        <w:rPr>
          <w:rFonts w:ascii="Arial" w:cs="Arial" w:eastAsia="Arial" w:hAnsi="Arial"/>
          <w:sz w:val="18"/>
          <w:szCs w:val="18"/>
          <w:color w:val="auto"/>
        </w:rPr>
        <w:t>For Brandon only.</w:t>
      </w:r>
    </w:p>
    <w:p>
      <w:pPr>
        <w:spacing w:after="0" w:line="9" w:lineRule="exact"/>
        <w:rPr>
          <w:sz w:val="20"/>
          <w:szCs w:val="20"/>
          <w:color w:val="auto"/>
        </w:rPr>
      </w:pPr>
    </w:p>
    <w:p>
      <w:pPr>
        <w:ind w:left="424" w:hanging="424"/>
        <w:spacing w:after="0"/>
        <w:tabs>
          <w:tab w:leader="none" w:pos="424" w:val="left"/>
        </w:tabs>
        <w:numPr>
          <w:ilvl w:val="0"/>
          <w:numId w:val="292"/>
        </w:numPr>
        <w:rPr>
          <w:rFonts w:ascii="Arial" w:cs="Arial" w:eastAsia="Arial" w:hAnsi="Arial"/>
          <w:sz w:val="15"/>
          <w:szCs w:val="15"/>
          <w:color w:val="auto"/>
        </w:rPr>
      </w:pPr>
      <w:r>
        <w:rPr>
          <w:rFonts w:ascii="Arial" w:cs="Arial" w:eastAsia="Arial" w:hAnsi="Arial"/>
          <w:sz w:val="18"/>
          <w:szCs w:val="18"/>
          <w:color w:val="auto"/>
        </w:rPr>
        <w:t>For Clint only.</w:t>
      </w:r>
    </w:p>
    <w:p>
      <w:pPr>
        <w:spacing w:after="0" w:line="9" w:lineRule="exact"/>
        <w:rPr>
          <w:sz w:val="20"/>
          <w:szCs w:val="20"/>
          <w:color w:val="auto"/>
        </w:rPr>
      </w:pPr>
    </w:p>
    <w:p>
      <w:pPr>
        <w:ind w:left="424" w:hanging="424"/>
        <w:spacing w:after="0"/>
        <w:tabs>
          <w:tab w:leader="none" w:pos="424" w:val="left"/>
        </w:tabs>
        <w:numPr>
          <w:ilvl w:val="0"/>
          <w:numId w:val="293"/>
        </w:numPr>
        <w:rPr>
          <w:rFonts w:ascii="Arial" w:cs="Arial" w:eastAsia="Arial" w:hAnsi="Arial"/>
          <w:sz w:val="15"/>
          <w:szCs w:val="15"/>
          <w:color w:val="auto"/>
        </w:rPr>
      </w:pPr>
      <w:r>
        <w:rPr>
          <w:rFonts w:ascii="Arial" w:cs="Arial" w:eastAsia="Arial" w:hAnsi="Arial"/>
          <w:sz w:val="18"/>
          <w:szCs w:val="18"/>
          <w:color w:val="auto"/>
        </w:rPr>
        <w:t>For Jim only.</w:t>
      </w:r>
    </w:p>
    <w:p>
      <w:pPr>
        <w:spacing w:after="0" w:line="9"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5"/>
          <w:szCs w:val="15"/>
          <w:color w:val="auto"/>
        </w:rPr>
      </w:pPr>
      <w:r>
        <w:rPr>
          <w:rFonts w:ascii="Arial" w:cs="Arial" w:eastAsia="Arial" w:hAnsi="Arial"/>
          <w:sz w:val="18"/>
          <w:szCs w:val="18"/>
          <w:color w:val="auto"/>
        </w:rPr>
        <w:t>For Brandon, Clint and Jim only.</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91" w:name="page292"/>
    <w:bookmarkEnd w:id="291"/>
    <w:p>
      <w:pPr>
        <w:ind w:left="4" w:right="3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that such service would reasonably be expected result in competitive harm to the Company and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(other than with the prior written consent of the Company) may such service be provided to a Competitor (as defined in the Company Operating Agreement).]</w:t>
      </w:r>
      <w:r>
        <w:rPr>
          <w:rFonts w:ascii="Arial" w:cs="Arial" w:eastAsia="Arial" w:hAnsi="Arial"/>
          <w:sz w:val="13"/>
          <w:szCs w:val="13"/>
          <w:color w:val="auto"/>
        </w:rPr>
        <w:t>11</w:t>
      </w:r>
    </w:p>
    <w:p>
      <w:pPr>
        <w:spacing w:after="0" w:line="16" w:lineRule="exact"/>
        <w:rPr>
          <w:sz w:val="20"/>
          <w:szCs w:val="20"/>
          <w:color w:val="auto"/>
        </w:rPr>
      </w:pPr>
    </w:p>
    <w:p>
      <w:pPr>
        <w:ind w:left="884" w:hanging="444"/>
        <w:spacing w:after="0"/>
        <w:tabs>
          <w:tab w:leader="none" w:pos="884"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Confidentiality</w:t>
      </w:r>
      <w:r>
        <w:rPr>
          <w:rFonts w:ascii="Arial" w:cs="Arial" w:eastAsia="Arial" w:hAnsi="Arial"/>
          <w:sz w:val="18"/>
          <w:szCs w:val="18"/>
          <w:color w:val="auto"/>
        </w:rPr>
        <w:t>. All Confidential Information shall be kept confidential and shall not be disclosed to any third party except:</w:t>
      </w:r>
    </w:p>
    <w:p>
      <w:pPr>
        <w:spacing w:after="0" w:line="23" w:lineRule="exact"/>
        <w:rPr>
          <w:rFonts w:ascii="Arial" w:cs="Arial" w:eastAsia="Arial" w:hAnsi="Arial"/>
          <w:sz w:val="18"/>
          <w:szCs w:val="18"/>
          <w:color w:val="auto"/>
        </w:rPr>
      </w:pPr>
    </w:p>
    <w:p>
      <w:pPr>
        <w:ind w:left="4" w:hanging="4"/>
        <w:spacing w:after="0" w:line="283" w:lineRule="auto"/>
        <w:tabs>
          <w:tab w:leader="none" w:pos="219" w:val="left"/>
        </w:tabs>
        <w:numPr>
          <w:ilvl w:val="0"/>
          <w:numId w:val="296"/>
        </w:numPr>
        <w:rPr>
          <w:rFonts w:ascii="Arial" w:cs="Arial" w:eastAsia="Arial" w:hAnsi="Arial"/>
          <w:sz w:val="16"/>
          <w:szCs w:val="16"/>
          <w:color w:val="auto"/>
        </w:rPr>
      </w:pPr>
      <w:r>
        <w:rPr>
          <w:rFonts w:ascii="Arial" w:cs="Arial" w:eastAsia="Arial" w:hAnsi="Arial"/>
          <w:sz w:val="16"/>
          <w:szCs w:val="16"/>
          <w:color w:val="auto"/>
        </w:rPr>
        <w:t>information which is or becomes publicly available (other than as a result of disclosure by the Executive in violation hereof or a third party’s violation of such third party’s contractual, legal or fiduciary obligation to any Person); (</w:t>
      </w:r>
      <w:r>
        <w:rPr>
          <w:rFonts w:ascii="Arial" w:cs="Arial" w:eastAsia="Arial" w:hAnsi="Arial"/>
          <w:sz w:val="16"/>
          <w:szCs w:val="16"/>
          <w:u w:val="single" w:color="auto"/>
          <w:color w:val="auto"/>
        </w:rPr>
        <w:t>ii</w:t>
      </w:r>
      <w:r>
        <w:rPr>
          <w:rFonts w:ascii="Arial" w:cs="Arial" w:eastAsia="Arial" w:hAnsi="Arial"/>
          <w:sz w:val="16"/>
          <w:szCs w:val="16"/>
          <w:color w:val="auto"/>
        </w:rPr>
        <w:t>) information which is independently developed, discovered or arrived at by the Executive without use of Confidential Information; (</w:t>
      </w:r>
      <w:r>
        <w:rPr>
          <w:rFonts w:ascii="Arial" w:cs="Arial" w:eastAsia="Arial" w:hAnsi="Arial"/>
          <w:sz w:val="16"/>
          <w:szCs w:val="16"/>
          <w:u w:val="single" w:color="auto"/>
          <w:color w:val="auto"/>
        </w:rPr>
        <w:t>iii</w:t>
      </w:r>
      <w:r>
        <w:rPr>
          <w:rFonts w:ascii="Arial" w:cs="Arial" w:eastAsia="Arial" w:hAnsi="Arial"/>
          <w:sz w:val="16"/>
          <w:szCs w:val="16"/>
          <w:color w:val="auto"/>
        </w:rPr>
        <w:t>) in order to comply with any law, rule, regulation or order applicable to the Executive, or in response to any summons, subpoena or other legal process or formal or informal investigative demand issued to such recipient in the course of any litigation, investigation or administrative proceeding; (</w:t>
      </w:r>
      <w:r>
        <w:rPr>
          <w:rFonts w:ascii="Arial" w:cs="Arial" w:eastAsia="Arial" w:hAnsi="Arial"/>
          <w:sz w:val="16"/>
          <w:szCs w:val="16"/>
          <w:u w:val="single" w:color="auto"/>
          <w:color w:val="auto"/>
        </w:rPr>
        <w:t>iv</w:t>
      </w:r>
      <w:r>
        <w:rPr>
          <w:rFonts w:ascii="Arial" w:cs="Arial" w:eastAsia="Arial" w:hAnsi="Arial"/>
          <w:sz w:val="16"/>
          <w:szCs w:val="16"/>
          <w:color w:val="auto"/>
        </w:rPr>
        <w:t>) information that was or becomes available to the Executive on a non-confidential basis from a source other than the Company or any Subsidiary which source is not under a contractual, legal or fiduciary duty of confidentiality with respect to such information; (</w:t>
      </w:r>
      <w:r>
        <w:rPr>
          <w:rFonts w:ascii="Arial" w:cs="Arial" w:eastAsia="Arial" w:hAnsi="Arial"/>
          <w:sz w:val="16"/>
          <w:szCs w:val="16"/>
          <w:u w:val="single" w:color="auto"/>
          <w:color w:val="auto"/>
        </w:rPr>
        <w:t>v</w:t>
      </w:r>
      <w:r>
        <w:rPr>
          <w:rFonts w:ascii="Arial" w:cs="Arial" w:eastAsia="Arial" w:hAnsi="Arial"/>
          <w:sz w:val="16"/>
          <w:szCs w:val="16"/>
          <w:color w:val="auto"/>
        </w:rPr>
        <w:t>) information that is approved for disclosure by the Company or any of its Subsidiaries or Affiliates in writing; or (</w:t>
      </w:r>
      <w:r>
        <w:rPr>
          <w:rFonts w:ascii="Arial" w:cs="Arial" w:eastAsia="Arial" w:hAnsi="Arial"/>
          <w:sz w:val="16"/>
          <w:szCs w:val="16"/>
          <w:u w:val="single" w:color="auto"/>
          <w:color w:val="auto"/>
        </w:rPr>
        <w:t>vi</w:t>
      </w:r>
      <w:r>
        <w:rPr>
          <w:rFonts w:ascii="Arial" w:cs="Arial" w:eastAsia="Arial" w:hAnsi="Arial"/>
          <w:sz w:val="16"/>
          <w:szCs w:val="16"/>
          <w:color w:val="auto"/>
        </w:rPr>
        <w:t>) disclosures under clause (b)(ii) below. In the event that the Executive or any representative thereof becomes legally compelled by deposition, interrogatory, request for documents, subpoena, civil investigative demand or similar judicial or administrative process to disclose any Confidential Information, the disclosing party shall, unless legally prohibited, provide the Company with prompt prior written notice of such requirement and cooperate with the Company, at the Company’s expense, to obtain a protective order or similar remedy to cause such Confidential Information not to be disclosed, including interposing all available objections thereto, such as objections based on settlement privilege. In the event that such protective order or other similar remedy is not obtained, the disclosing party shall furnish only that portion of such Confidential Information that has been legally compelled to be furnished. The Executive shall, during such employment, disclose Confidential Information only for the benefit of the Company and in accordance with any restrictions placed on its disclosure in this paragraph (b). For purposes of this Agreement, “</w:t>
      </w:r>
      <w:r>
        <w:rPr>
          <w:rFonts w:ascii="Arial" w:cs="Arial" w:eastAsia="Arial" w:hAnsi="Arial"/>
          <w:sz w:val="16"/>
          <w:szCs w:val="16"/>
          <w:u w:val="single" w:color="auto"/>
          <w:color w:val="auto"/>
        </w:rPr>
        <w:t>Confidential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Information</w:t>
      </w:r>
      <w:r>
        <w:rPr>
          <w:rFonts w:ascii="Arial" w:cs="Arial" w:eastAsia="Arial" w:hAnsi="Arial"/>
          <w:sz w:val="16"/>
          <w:szCs w:val="16"/>
          <w:color w:val="auto"/>
        </w:rPr>
        <w:t>” means non-public information that has value in or to the business of the Company or any of its Subsidiaries, whether or not labeled or identified as proprietary or confidential and that is obtained by the Executive, or to which the Executive had access, in the scope of the Executive’s employment. Confidential Information includes without limitation any and all non- public information that relates to the actual or anticipated business and/or products, research or development of the Company or any Subsidiary or Affiliate or to the technical data, trade secrets or know-how of any such Person, including without limitation research, product plans or other information regarding the products or services and markets, customer lists and customers (which may include but is not limited to customers on which the Executive called or with whom the Executive may have become acquainted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227330</wp:posOffset>
            </wp:positionV>
            <wp:extent cx="7715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78" w:lineRule="exact"/>
        <w:rPr>
          <w:sz w:val="20"/>
          <w:szCs w:val="20"/>
          <w:color w:val="auto"/>
        </w:rPr>
      </w:pPr>
    </w:p>
    <w:p>
      <w:pPr>
        <w:ind w:left="424" w:hanging="424"/>
        <w:spacing w:after="0"/>
        <w:tabs>
          <w:tab w:leader="none" w:pos="424" w:val="left"/>
        </w:tabs>
        <w:numPr>
          <w:ilvl w:val="0"/>
          <w:numId w:val="297"/>
        </w:numPr>
        <w:rPr>
          <w:rFonts w:ascii="Arial" w:cs="Arial" w:eastAsia="Arial" w:hAnsi="Arial"/>
          <w:sz w:val="15"/>
          <w:szCs w:val="15"/>
          <w:color w:val="auto"/>
        </w:rPr>
      </w:pPr>
      <w:r>
        <w:rPr>
          <w:rFonts w:ascii="Arial" w:cs="Arial" w:eastAsia="Arial" w:hAnsi="Arial"/>
          <w:sz w:val="18"/>
          <w:szCs w:val="18"/>
          <w:color w:val="auto"/>
        </w:rPr>
        <w:t>For Brandon, Clint and Jim only.</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4"/>
          </w:cols>
          <w:pgMar w:left="436" w:top="274" w:right="439" w:bottom="1440" w:gutter="0" w:footer="0" w:header="0"/>
        </w:sectPr>
      </w:pPr>
    </w:p>
    <w:bookmarkStart w:id="292" w:name="page293"/>
    <w:bookmarkEnd w:id="292"/>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while employed by the Company), software, developments, inventions, processes, formulas, technology, designs, drawings, engineering, hardware configuration information, marketing, finances, and other business information disclosed by the Company or any Subsidiary or Affiliate either directly or indirectly in writing or orally.</w:t>
      </w:r>
    </w:p>
    <w:p>
      <w:pPr>
        <w:spacing w:after="0" w:line="184" w:lineRule="exact"/>
        <w:rPr>
          <w:sz w:val="20"/>
          <w:szCs w:val="20"/>
          <w:color w:val="auto"/>
        </w:rPr>
      </w:pPr>
    </w:p>
    <w:p>
      <w:pPr>
        <w:ind w:right="60" w:firstLine="436"/>
        <w:spacing w:after="0" w:line="285" w:lineRule="auto"/>
        <w:tabs>
          <w:tab w:leader="none" w:pos="885" w:val="left"/>
        </w:tabs>
        <w:numPr>
          <w:ilvl w:val="0"/>
          <w:numId w:val="298"/>
        </w:numPr>
        <w:rPr>
          <w:rFonts w:ascii="Arial" w:cs="Arial" w:eastAsia="Arial" w:hAnsi="Arial"/>
          <w:sz w:val="16"/>
          <w:szCs w:val="16"/>
          <w:color w:val="auto"/>
        </w:rPr>
      </w:pPr>
      <w:r>
        <w:rPr>
          <w:rFonts w:ascii="Arial" w:cs="Arial" w:eastAsia="Arial" w:hAnsi="Arial"/>
          <w:sz w:val="16"/>
          <w:szCs w:val="16"/>
          <w:u w:val="single" w:color="auto"/>
          <w:color w:val="auto"/>
        </w:rPr>
        <w:t>Permitted Disclosures</w:t>
      </w:r>
      <w:r>
        <w:rPr>
          <w:rFonts w:ascii="Arial" w:cs="Arial" w:eastAsia="Arial" w:hAnsi="Arial"/>
          <w:sz w:val="16"/>
          <w:szCs w:val="16"/>
          <w:color w:val="auto"/>
        </w:rPr>
        <w:t>. Nothing in this Agreement or any other agreement or policies of the Company or any of its Subsidiaries prohibits or restricts the Executive or the Executive’s attorneys from: (</w:t>
      </w:r>
      <w:r>
        <w:rPr>
          <w:rFonts w:ascii="Arial" w:cs="Arial" w:eastAsia="Arial" w:hAnsi="Arial"/>
          <w:sz w:val="16"/>
          <w:szCs w:val="16"/>
          <w:u w:val="single" w:color="auto"/>
          <w:color w:val="auto"/>
        </w:rPr>
        <w:t>a</w:t>
      </w:r>
      <w:r>
        <w:rPr>
          <w:rFonts w:ascii="Arial" w:cs="Arial" w:eastAsia="Arial" w:hAnsi="Arial"/>
          <w:sz w:val="16"/>
          <w:szCs w:val="16"/>
          <w:color w:val="auto"/>
        </w:rPr>
        <w:t>) making any disclosure of relevant and necessary information or documents in any action, investigation, or proceeding as required by law or legal process, including with respect to possible violations of law; (</w:t>
      </w:r>
      <w:r>
        <w:rPr>
          <w:rFonts w:ascii="Arial" w:cs="Arial" w:eastAsia="Arial" w:hAnsi="Arial"/>
          <w:sz w:val="16"/>
          <w:szCs w:val="16"/>
          <w:u w:val="single" w:color="auto"/>
          <w:color w:val="auto"/>
        </w:rPr>
        <w:t>b</w:t>
      </w:r>
      <w:r>
        <w:rPr>
          <w:rFonts w:ascii="Arial" w:cs="Arial" w:eastAsia="Arial" w:hAnsi="Arial"/>
          <w:sz w:val="16"/>
          <w:szCs w:val="16"/>
          <w:color w:val="auto"/>
        </w:rPr>
        <w:t>) participating, cooperating, or testifying in any action, investigation, or proceeding with, or providing information to, any governmental agency or legislative body, any regulatory or supervisory authority, and/or pursuant to the Sarbanes-Oxley Act; (</w:t>
      </w:r>
      <w:r>
        <w:rPr>
          <w:rFonts w:ascii="Arial" w:cs="Arial" w:eastAsia="Arial" w:hAnsi="Arial"/>
          <w:sz w:val="16"/>
          <w:szCs w:val="16"/>
          <w:u w:val="single" w:color="auto"/>
          <w:color w:val="auto"/>
        </w:rPr>
        <w:t>c</w:t>
      </w:r>
      <w:r>
        <w:rPr>
          <w:rFonts w:ascii="Arial" w:cs="Arial" w:eastAsia="Arial" w:hAnsi="Arial"/>
          <w:sz w:val="16"/>
          <w:szCs w:val="16"/>
          <w:color w:val="auto"/>
        </w:rPr>
        <w:t>) accepting any U.S. Securities and Exchange Commission awards; or (</w:t>
      </w:r>
      <w:r>
        <w:rPr>
          <w:rFonts w:ascii="Arial" w:cs="Arial" w:eastAsia="Arial" w:hAnsi="Arial"/>
          <w:sz w:val="16"/>
          <w:szCs w:val="16"/>
          <w:u w:val="single" w:color="auto"/>
          <w:color w:val="auto"/>
        </w:rPr>
        <w:t>d</w:t>
      </w:r>
      <w:r>
        <w:rPr>
          <w:rFonts w:ascii="Arial" w:cs="Arial" w:eastAsia="Arial" w:hAnsi="Arial"/>
          <w:sz w:val="16"/>
          <w:szCs w:val="16"/>
          <w:color w:val="auto"/>
        </w:rPr>
        <w:t>) filing a charge with, initiating communications with, providing documents or other disclosures to, or responding to any inquiry from, any governmental agency, legislative body, or any regulatory or supervisory authority regarding any good-faith concerns about possible violations of law including, without limitation, the U.S. Equal Employment Opportunity Commission and the National Labor Relations Board. Pursuant to 18 U.S.C. § 1833(b), the Executive will not be held criminally or civilly liable under any federal or state trade secret law for the disclosure of a trade secret of the Company or any of its Subsidiaries that ( i) is made (</w:t>
      </w:r>
      <w:r>
        <w:rPr>
          <w:rFonts w:ascii="Arial" w:cs="Arial" w:eastAsia="Arial" w:hAnsi="Arial"/>
          <w:sz w:val="16"/>
          <w:szCs w:val="16"/>
          <w:u w:val="single" w:color="auto"/>
          <w:color w:val="auto"/>
        </w:rPr>
        <w:t>A</w:t>
      </w:r>
      <w:r>
        <w:rPr>
          <w:rFonts w:ascii="Arial" w:cs="Arial" w:eastAsia="Arial" w:hAnsi="Arial"/>
          <w:sz w:val="16"/>
          <w:szCs w:val="16"/>
          <w:color w:val="auto"/>
        </w:rPr>
        <w:t>) in confidence to a federal, state, or local government official, either directly or indirectly, or to such Person’s attorney and (</w:t>
      </w:r>
      <w:r>
        <w:rPr>
          <w:rFonts w:ascii="Arial" w:cs="Arial" w:eastAsia="Arial" w:hAnsi="Arial"/>
          <w:sz w:val="16"/>
          <w:szCs w:val="16"/>
          <w:u w:val="single" w:color="auto"/>
          <w:color w:val="auto"/>
        </w:rPr>
        <w:t>B</w:t>
      </w:r>
      <w:r>
        <w:rPr>
          <w:rFonts w:ascii="Arial" w:cs="Arial" w:eastAsia="Arial" w:hAnsi="Arial"/>
          <w:sz w:val="16"/>
          <w:szCs w:val="16"/>
          <w:color w:val="auto"/>
        </w:rPr>
        <w:t>) solely for the purpose of reporting or investigating a suspected violation of law; or (</w:t>
      </w:r>
      <w:r>
        <w:rPr>
          <w:rFonts w:ascii="Arial" w:cs="Arial" w:eastAsia="Arial" w:hAnsi="Arial"/>
          <w:sz w:val="16"/>
          <w:szCs w:val="16"/>
          <w:u w:val="single" w:color="auto"/>
          <w:color w:val="auto"/>
        </w:rPr>
        <w:t>ii</w:t>
      </w:r>
      <w:r>
        <w:rPr>
          <w:rFonts w:ascii="Arial" w:cs="Arial" w:eastAsia="Arial" w:hAnsi="Arial"/>
          <w:sz w:val="16"/>
          <w:szCs w:val="16"/>
          <w:color w:val="auto"/>
        </w:rPr>
        <w:t>) is made in a complaint or other document that is filed under seal in a lawsuit or other proceeding. If the Executive files a lawsuit for retaliation by the Company for reporting a suspected violation of law, the Executive may disclose the trade secret to his or her attorney and use the trade secret information in the court proceeding, provided that the Executive files any document containing the trade secret under seal, and does not disclose the trade secret, except pursuant to court order. Nothing in this Agreement or any other agreement or policy of the Company or its Subsidiaries is intended to conflict with 18 U.S.C. § 1833(b) or create liability for disclosures of trade secrets that are permitted by such statute.</w:t>
      </w:r>
    </w:p>
    <w:p>
      <w:pPr>
        <w:spacing w:after="0" w:line="176" w:lineRule="exact"/>
        <w:rPr>
          <w:sz w:val="20"/>
          <w:szCs w:val="20"/>
          <w:color w:val="auto"/>
        </w:rPr>
      </w:pPr>
    </w:p>
    <w:p>
      <w:pPr>
        <w:ind w:firstLine="436"/>
        <w:spacing w:after="0" w:line="255" w:lineRule="auto"/>
        <w:tabs>
          <w:tab w:leader="none" w:pos="865"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Unless otherwise approved by the Company, during the Nonsolicitation Restricted Period, the Executive shall not directly or indirectly (i) solicit any employee of the Company or any of its Subsidiaries, or induce such employee to terminate employment with such entity, and (ii) either individually or as owner, agent, employee, consultant or otherwise, employ or offer employment to any person who is, or who within the six (6) months preceding such action was, employed by the Company or such Subsidiary, in the case of each of clause (i) and (ii), other than an Excluded Employee;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(c) shall preclude the Executive from placing advertisements during the Nonsolicitation Restricted Period in periodicals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293" w:name="page294"/>
    <w:bookmarkEnd w:id="293"/>
    <w:p>
      <w:pPr>
        <w:jc w:val="both"/>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general circulation or on non-industry specific online recruiting sites and forums soliciting persons for employment. For purposes of this clause (c), an “</w:t>
      </w:r>
      <w:r>
        <w:rPr>
          <w:rFonts w:ascii="Arial" w:cs="Arial" w:eastAsia="Arial" w:hAnsi="Arial"/>
          <w:sz w:val="16"/>
          <w:szCs w:val="16"/>
          <w:u w:val="single" w:color="auto"/>
          <w:color w:val="auto"/>
        </w:rPr>
        <w:t>Excluded Employee</w:t>
      </w:r>
      <w:r>
        <w:rPr>
          <w:rFonts w:ascii="Arial" w:cs="Arial" w:eastAsia="Arial" w:hAnsi="Arial"/>
          <w:sz w:val="16"/>
          <w:szCs w:val="16"/>
          <w:color w:val="auto"/>
        </w:rPr>
        <w:t>” means (</w:t>
      </w:r>
      <w:r>
        <w:rPr>
          <w:rFonts w:ascii="Arial" w:cs="Arial" w:eastAsia="Arial" w:hAnsi="Arial"/>
          <w:sz w:val="16"/>
          <w:szCs w:val="16"/>
          <w:u w:val="single" w:color="auto"/>
          <w:color w:val="auto"/>
        </w:rPr>
        <w:t>1)</w:t>
      </w:r>
      <w:r>
        <w:rPr>
          <w:rFonts w:ascii="Arial" w:cs="Arial" w:eastAsia="Arial" w:hAnsi="Arial"/>
          <w:sz w:val="16"/>
          <w:szCs w:val="16"/>
          <w:color w:val="auto"/>
        </w:rPr>
        <w:t xml:space="preserve"> administrative assistants and (</w:t>
      </w:r>
      <w:r>
        <w:rPr>
          <w:rFonts w:ascii="Arial" w:cs="Arial" w:eastAsia="Arial" w:hAnsi="Arial"/>
          <w:sz w:val="16"/>
          <w:szCs w:val="16"/>
          <w:u w:val="single" w:color="auto"/>
          <w:color w:val="auto"/>
        </w:rPr>
        <w:t>2</w:t>
      </w:r>
      <w:r>
        <w:rPr>
          <w:rFonts w:ascii="Arial" w:cs="Arial" w:eastAsia="Arial" w:hAnsi="Arial"/>
          <w:sz w:val="16"/>
          <w:szCs w:val="16"/>
          <w:color w:val="auto"/>
        </w:rPr>
        <w:t>) non-managerial call center employees of the Company or any of its Subsidiaries.</w:t>
      </w:r>
    </w:p>
    <w:p>
      <w:pPr>
        <w:spacing w:after="0" w:line="124" w:lineRule="exact"/>
        <w:rPr>
          <w:sz w:val="20"/>
          <w:szCs w:val="20"/>
          <w:color w:val="auto"/>
        </w:rPr>
      </w:pPr>
    </w:p>
    <w:p>
      <w:pPr>
        <w:ind w:firstLine="436"/>
        <w:spacing w:after="0" w:line="296" w:lineRule="auto"/>
        <w:tabs>
          <w:tab w:leader="none" w:pos="875"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 Clients and Distributors.</w:t>
      </w:r>
      <w:r>
        <w:rPr>
          <w:rFonts w:ascii="Arial" w:cs="Arial" w:eastAsia="Arial" w:hAnsi="Arial"/>
          <w:sz w:val="16"/>
          <w:szCs w:val="16"/>
          <w:color w:val="auto"/>
        </w:rPr>
        <w:t xml:space="preserve"> Unless otherwise approved by the Company, during the Noncompetition Restricted Period, the Executive shall not directly or indirectly solicit or otherwise attempt to establish for himself or any other Person any competing business relationship with any Person which is, or during the six (6) month period preceding any date of determination was, a customer, client or distributor (including any marketing, brokerage, or insurance carrier partner) of the Company or any of its Subsidiaries and as to which the Executive (</w:t>
      </w:r>
      <w:r>
        <w:rPr>
          <w:rFonts w:ascii="Arial" w:cs="Arial" w:eastAsia="Arial" w:hAnsi="Arial"/>
          <w:sz w:val="16"/>
          <w:szCs w:val="16"/>
          <w:u w:val="single" w:color="auto"/>
          <w:color w:val="auto"/>
        </w:rPr>
        <w:t>x</w:t>
      </w:r>
      <w:r>
        <w:rPr>
          <w:rFonts w:ascii="Arial" w:cs="Arial" w:eastAsia="Arial" w:hAnsi="Arial"/>
          <w:sz w:val="16"/>
          <w:szCs w:val="16"/>
          <w:color w:val="auto"/>
        </w:rPr>
        <w:t>) conducted business on behalf of the Company or any of its Subsidiaries or (</w:t>
      </w:r>
      <w:r>
        <w:rPr>
          <w:rFonts w:ascii="Arial" w:cs="Arial" w:eastAsia="Arial" w:hAnsi="Arial"/>
          <w:sz w:val="16"/>
          <w:szCs w:val="16"/>
          <w:u w:val="single" w:color="auto"/>
          <w:color w:val="auto"/>
        </w:rPr>
        <w:t>y</w:t>
      </w:r>
      <w:r>
        <w:rPr>
          <w:rFonts w:ascii="Arial" w:cs="Arial" w:eastAsia="Arial" w:hAnsi="Arial"/>
          <w:sz w:val="16"/>
          <w:szCs w:val="16"/>
          <w:color w:val="auto"/>
        </w:rPr>
        <w:t>) has access to Confidential Information relating thereto.</w:t>
      </w:r>
    </w:p>
    <w:p>
      <w:pPr>
        <w:spacing w:after="0" w:line="161" w:lineRule="exact"/>
        <w:rPr>
          <w:rFonts w:ascii="Arial" w:cs="Arial" w:eastAsia="Arial" w:hAnsi="Arial"/>
          <w:sz w:val="16"/>
          <w:szCs w:val="16"/>
          <w:color w:val="auto"/>
        </w:rPr>
      </w:pPr>
    </w:p>
    <w:p>
      <w:pPr>
        <w:ind w:right="220" w:firstLine="436"/>
        <w:spacing w:after="0" w:line="289" w:lineRule="auto"/>
        <w:tabs>
          <w:tab w:leader="none" w:pos="865" w:val="left"/>
        </w:tabs>
        <w:numPr>
          <w:ilvl w:val="0"/>
          <w:numId w:val="300"/>
        </w:numPr>
        <w:rPr>
          <w:rFonts w:ascii="Arial" w:cs="Arial" w:eastAsia="Arial" w:hAnsi="Arial"/>
          <w:sz w:val="16"/>
          <w:szCs w:val="16"/>
          <w:color w:val="auto"/>
        </w:rPr>
      </w:pPr>
      <w:r>
        <w:rPr>
          <w:rFonts w:ascii="Arial" w:cs="Arial" w:eastAsia="Arial" w:hAnsi="Arial"/>
          <w:sz w:val="16"/>
          <w:szCs w:val="16"/>
          <w:u w:val="single" w:color="auto"/>
          <w:color w:val="auto"/>
        </w:rPr>
        <w:t>Injunctive Relief with Respect to Covenants</w:t>
      </w:r>
      <w:r>
        <w:rPr>
          <w:rFonts w:ascii="Arial" w:cs="Arial" w:eastAsia="Arial" w:hAnsi="Arial"/>
          <w:sz w:val="16"/>
          <w:szCs w:val="16"/>
          <w:color w:val="auto"/>
        </w:rPr>
        <w:t xml:space="preserve">. The Executive acknowledges and agrees that the covenants and obligations of the Executive with respect to noncompetition, nonsolicitation and confidentiality, as the case may be, set forth herein relate to special, unique and extraordinary matters and that a violation or threatened violation of any of the terms of such covenants or obligations will cause the Company irreparable injury for which adequate remedies are not available at law. Therefore, the Executive agrees, to the fullest extent permitted by applicable law, that the Company shall be entitled to an injunction, restraining order or such other equitable relief restraining the Executive from committing any violation of the covenants or obligations contained in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These injunctive remedies are cumulative and are in addition to any other rights and remedies the Company may have at law or in equity. In connection with the provisions of this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the Executive acknowledges that the Executive is agreeing to these provisions (</w:t>
      </w:r>
      <w:r>
        <w:rPr>
          <w:rFonts w:ascii="Arial" w:cs="Arial" w:eastAsia="Arial" w:hAnsi="Arial"/>
          <w:sz w:val="16"/>
          <w:szCs w:val="16"/>
          <w:u w:val="single" w:color="auto"/>
          <w:color w:val="auto"/>
        </w:rPr>
        <w:t>1</w:t>
      </w:r>
      <w:r>
        <w:rPr>
          <w:rFonts w:ascii="Arial" w:cs="Arial" w:eastAsia="Arial" w:hAnsi="Arial"/>
          <w:sz w:val="16"/>
          <w:szCs w:val="16"/>
          <w:color w:val="auto"/>
        </w:rPr>
        <w:t>) in connection with the receipt of the Profits Units and (</w:t>
      </w:r>
      <w:r>
        <w:rPr>
          <w:rFonts w:ascii="Arial" w:cs="Arial" w:eastAsia="Arial" w:hAnsi="Arial"/>
          <w:sz w:val="16"/>
          <w:szCs w:val="16"/>
          <w:u w:val="single" w:color="auto"/>
          <w:color w:val="auto"/>
        </w:rPr>
        <w:t>2)</w:t>
      </w:r>
      <w:r>
        <w:rPr>
          <w:rFonts w:ascii="Arial" w:cs="Arial" w:eastAsia="Arial" w:hAnsi="Arial"/>
          <w:sz w:val="16"/>
          <w:szCs w:val="16"/>
          <w:color w:val="auto"/>
        </w:rPr>
        <w:t xml:space="preserve"> in connection with the transactions contemplated by the Merger Agreement, which have provided and are intended in the future to provide the Executive with material economic benefits.</w:t>
      </w:r>
    </w:p>
    <w:p>
      <w:pPr>
        <w:spacing w:after="0" w:line="166" w:lineRule="exact"/>
        <w:rPr>
          <w:rFonts w:ascii="Arial" w:cs="Arial" w:eastAsia="Arial" w:hAnsi="Arial"/>
          <w:sz w:val="16"/>
          <w:szCs w:val="16"/>
          <w:color w:val="auto"/>
        </w:rPr>
      </w:pPr>
    </w:p>
    <w:p>
      <w:pPr>
        <w:ind w:right="80" w:firstLine="436"/>
        <w:spacing w:after="0" w:line="273" w:lineRule="auto"/>
        <w:tabs>
          <w:tab w:leader="none" w:pos="800"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Unenforceable Restriction</w:t>
      </w:r>
      <w:r>
        <w:rPr>
          <w:rFonts w:ascii="Arial" w:cs="Arial" w:eastAsia="Arial" w:hAnsi="Arial"/>
          <w:sz w:val="17"/>
          <w:szCs w:val="17"/>
          <w:color w:val="auto"/>
        </w:rPr>
        <w:t xml:space="preserve">. It is expressly understood and agreed that although the Executive and the Company consider the restrictions contained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be reasonable, if a final determination is made by a court of competent jurisdiction that any restriction contained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is an unenforceable restriction against the Executive, the provisions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not be rendered void but shall be reformed to apply as to such maximum time and to such maximum extent as such court may determine to be enforceable. Alternatively, if such court finds that any restriction contained in this Agreement is unenforceable, and such restriction cannot be reformed so as to make it enforceable, such finding shall not affect the enforceability of any of the other restrictions contained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94" w:name="page295"/>
    <w:bookmarkEnd w:id="294"/>
    <w:p>
      <w:pPr>
        <w:ind w:right="6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“Noncompetition Restricted Period” </w:t>
      </w:r>
      <w:r>
        <w:rPr>
          <w:rFonts w:ascii="Arial" w:cs="Arial" w:eastAsia="Arial" w:hAnsi="Arial"/>
          <w:sz w:val="17"/>
          <w:szCs w:val="17"/>
          <w:color w:val="auto"/>
        </w:rPr>
        <w:t>means the period beginning on the date that the Executive’s employment with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that employs such individual terminates (whether initiated by the Executive or by the Company or such Subsidiary) and ending on the first (1st) anniversary of the date thereof (unless the Executive and the Company mutually agree to a longer period).</w:t>
      </w:r>
    </w:p>
    <w:p>
      <w:pPr>
        <w:spacing w:after="0" w:line="50"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“Nonsolicitation Restricted Period” </w:t>
      </w:r>
      <w:r>
        <w:rPr>
          <w:rFonts w:ascii="Arial" w:cs="Arial" w:eastAsia="Arial" w:hAnsi="Arial"/>
          <w:sz w:val="17"/>
          <w:szCs w:val="17"/>
          <w:color w:val="auto"/>
        </w:rPr>
        <w:t>means the period beginning on the date that the Executive’s employment with the Company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that employs such individual terminates (whether initiated by the Executive or by the Company or such Subsidiary) and ending on the second (2</w:t>
      </w:r>
      <w:r>
        <w:rPr>
          <w:rFonts w:ascii="Arial" w:cs="Arial" w:eastAsia="Arial" w:hAnsi="Arial"/>
          <w:sz w:val="14"/>
          <w:szCs w:val="14"/>
          <w:color w:val="auto"/>
        </w:rPr>
        <w:t>nd</w:t>
      </w:r>
      <w:r>
        <w:rPr>
          <w:rFonts w:ascii="Arial" w:cs="Arial" w:eastAsia="Arial" w:hAnsi="Arial"/>
          <w:sz w:val="17"/>
          <w:szCs w:val="17"/>
          <w:color w:val="auto"/>
        </w:rPr>
        <w:t>) anniversary of the date thereof (unless the Executive and the Company mutually agree to a longer period).</w:t>
      </w:r>
    </w:p>
    <w:p>
      <w:pPr>
        <w:spacing w:after="0" w:line="50"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 xml:space="preserve">“Restricted Area” </w:t>
      </w:r>
      <w:r>
        <w:rPr>
          <w:rFonts w:ascii="Arial" w:cs="Arial" w:eastAsia="Arial" w:hAnsi="Arial"/>
          <w:sz w:val="16"/>
          <w:szCs w:val="16"/>
          <w:color w:val="auto"/>
        </w:rPr>
        <w:t>means, as of any date of determination, those counties and states within the United States and, if applicable, those comparable</w:t>
      </w:r>
      <w:r>
        <w:rPr>
          <w:rFonts w:ascii="Arial" w:cs="Arial" w:eastAsia="Arial" w:hAnsi="Arial"/>
          <w:sz w:val="16"/>
          <w:szCs w:val="16"/>
          <w:b w:val="1"/>
          <w:bCs w:val="1"/>
          <w:color w:val="auto"/>
        </w:rPr>
        <w:t xml:space="preserve"> </w:t>
      </w:r>
      <w:r>
        <w:rPr>
          <w:rFonts w:ascii="Arial" w:cs="Arial" w:eastAsia="Arial" w:hAnsi="Arial"/>
          <w:sz w:val="16"/>
          <w:szCs w:val="16"/>
          <w:color w:val="auto"/>
        </w:rPr>
        <w:t>political subdivisions of other countries in which the Company or any of its Subsidiaries directly or indirectly (</w:t>
      </w:r>
      <w:r>
        <w:rPr>
          <w:rFonts w:ascii="Arial" w:cs="Arial" w:eastAsia="Arial" w:hAnsi="Arial"/>
          <w:sz w:val="16"/>
          <w:szCs w:val="16"/>
          <w:u w:val="single" w:color="auto"/>
          <w:color w:val="auto"/>
        </w:rPr>
        <w:t>x</w:t>
      </w:r>
      <w:r>
        <w:rPr>
          <w:rFonts w:ascii="Arial" w:cs="Arial" w:eastAsia="Arial" w:hAnsi="Arial"/>
          <w:sz w:val="16"/>
          <w:szCs w:val="16"/>
          <w:color w:val="auto"/>
        </w:rPr>
        <w:t>) conducts its business activities as of such date or (</w:t>
      </w:r>
      <w:r>
        <w:rPr>
          <w:rFonts w:ascii="Arial" w:cs="Arial" w:eastAsia="Arial" w:hAnsi="Arial"/>
          <w:sz w:val="16"/>
          <w:szCs w:val="16"/>
          <w:u w:val="single" w:color="auto"/>
          <w:color w:val="auto"/>
        </w:rPr>
        <w:t>y</w:t>
      </w:r>
      <w:r>
        <w:rPr>
          <w:rFonts w:ascii="Arial" w:cs="Arial" w:eastAsia="Arial" w:hAnsi="Arial"/>
          <w:sz w:val="16"/>
          <w:szCs w:val="16"/>
          <w:color w:val="auto"/>
        </w:rPr>
        <w:t>) has regularly conducted or is actively planning to conduct its business activities on such date or at any time during the twelve months prior to such date. The Restricted Area with respect to an employee whose services do not otherwise relate to a specific geographic region shall be determined on the basis of the Company and its Subsidiaries conducting its business in locations without having any physical presence (such as leased property, equipment or employees) in such location, including but not limited to any counties and states in which the Company or its Subsidiaries market, broker or sell insurance policies or related products and services.</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20"/>
          </w:cols>
          <w:pgMar w:left="880" w:top="270" w:right="499" w:bottom="1440" w:gutter="0" w:footer="0" w:header="0"/>
        </w:sectPr>
      </w:pPr>
    </w:p>
    <w:bookmarkStart w:id="295" w:name="page296"/>
    <w:bookmarkEnd w:id="295"/>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B</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JOINDER AGREEMENT</w:t>
      </w:r>
    </w:p>
    <w:p>
      <w:pPr>
        <w:spacing w:after="0" w:line="229"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-10160</wp:posOffset>
            </wp:positionV>
            <wp:extent cx="7423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42315" cy="8890"/>
                    </a:xfrm>
                    <a:prstGeom prst="rect">
                      <a:avLst/>
                    </a:prstGeom>
                    <a:noFill/>
                  </pic:spPr>
                </pic:pic>
              </a:graphicData>
            </a:graphic>
          </wp:anchor>
        </w:drawing>
      </w:r>
    </w:p>
    <w:p>
      <w:pPr>
        <w:spacing w:after="0" w:line="20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Reference is made to that certain Limited Liability Company Agreement of Blizzard Management Feeder, LLC (“</w:t>
      </w:r>
      <w:r>
        <w:rPr>
          <w:rFonts w:ascii="Arial" w:cs="Arial" w:eastAsia="Arial" w:hAnsi="Arial"/>
          <w:sz w:val="17"/>
          <w:szCs w:val="17"/>
          <w:u w:val="single" w:color="auto"/>
          <w:color w:val="auto"/>
        </w:rPr>
        <w:t>Management LLC</w:t>
      </w:r>
      <w:r>
        <w:rPr>
          <w:rFonts w:ascii="Arial" w:cs="Arial" w:eastAsia="Arial" w:hAnsi="Arial"/>
          <w:sz w:val="17"/>
          <w:szCs w:val="17"/>
          <w:color w:val="auto"/>
        </w:rPr>
        <w:t>”, and such agreement, the “</w:t>
      </w:r>
      <w:r>
        <w:rPr>
          <w:rFonts w:ascii="Arial" w:cs="Arial" w:eastAsia="Arial" w:hAnsi="Arial"/>
          <w:sz w:val="17"/>
          <w:szCs w:val="17"/>
          <w:u w:val="single" w:color="auto"/>
          <w:color w:val="auto"/>
        </w:rPr>
        <w:t>Management LLC Agreement</w:t>
      </w:r>
      <w:r>
        <w:rPr>
          <w:rFonts w:ascii="Arial" w:cs="Arial" w:eastAsia="Arial" w:hAnsi="Arial"/>
          <w:sz w:val="17"/>
          <w:szCs w:val="17"/>
          <w:color w:val="auto"/>
        </w:rPr>
        <w:t>”). The undersigned acknowledges receipt of (</w:t>
      </w:r>
      <w:r>
        <w:rPr>
          <w:rFonts w:ascii="Arial" w:cs="Arial" w:eastAsia="Arial" w:hAnsi="Arial"/>
          <w:sz w:val="17"/>
          <w:szCs w:val="17"/>
          <w:u w:val="single" w:color="auto"/>
          <w:color w:val="auto"/>
        </w:rPr>
        <w:t>x</w:t>
      </w:r>
      <w:r>
        <w:rPr>
          <w:rFonts w:ascii="Arial" w:cs="Arial" w:eastAsia="Arial" w:hAnsi="Arial"/>
          <w:sz w:val="17"/>
          <w:szCs w:val="17"/>
          <w:color w:val="auto"/>
        </w:rPr>
        <w:t>) the Management LLC Agreement, and (</w:t>
      </w:r>
      <w:r>
        <w:rPr>
          <w:rFonts w:ascii="Arial" w:cs="Arial" w:eastAsia="Arial" w:hAnsi="Arial"/>
          <w:sz w:val="17"/>
          <w:szCs w:val="17"/>
          <w:u w:val="single" w:color="auto"/>
          <w:color w:val="auto"/>
        </w:rPr>
        <w:t>y</w:t>
      </w:r>
      <w:r>
        <w:rPr>
          <w:rFonts w:ascii="Arial" w:cs="Arial" w:eastAsia="Arial" w:hAnsi="Arial"/>
          <w:sz w:val="17"/>
          <w:szCs w:val="17"/>
          <w:color w:val="auto"/>
        </w:rPr>
        <w:t>) the Amended and Restated Limited Liability Company Agreement of Blizzard Parent, LLC, each as in effect on the date hereof.</w:t>
      </w:r>
    </w:p>
    <w:p>
      <w:pPr>
        <w:spacing w:after="0" w:line="16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undersigned signatory, in order to become the owner or holder of Units of Management LLC, hereby agrees that by the undersigned’s execution hereof, the undersigned is a party to the Management LLC Agreement and shall be a Member of Management LLC with respect to the Common Units, if any, and the Profits Units, if any, held by the undersigned, in all cases subject to all of the rights, restrictions, conditions and obligations applicable to the Members in respect of such Common Units and/or Profits Units, as applicable, set forth in the Management LLC Agreement. For purposes of this Joinder Agreement, the terms “Units”, “Member”, “Common Units” and “Profits Units” shall be as defined in the Management LLC Agreement. This Joinder Agreement shall take effect and shall become a part of the Management LLC Agreement as of the date first written above (or, if earlier, the effective date of the relevant issuance and/or transfer of Units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198755</wp:posOffset>
            </wp:positionV>
            <wp:extent cx="27946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Pls.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5629275</wp:posOffset>
            </wp:positionH>
            <wp:positionV relativeFrom="paragraph">
              <wp:posOffset>14605</wp:posOffset>
            </wp:positionV>
            <wp:extent cx="136271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BLIZZARD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FEEDER,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440" w:top="274" w:right="5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83(B) ELECTION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[attached]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Relating to Section 83(b) Election</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Below you will find instructions for completing and filing a tax form in connection with your receipt of Profits Units representing a partnership interest of Blizzard Management Feeder, LLC.</w:t>
      </w:r>
    </w:p>
    <w:p>
      <w:pPr>
        <w:spacing w:after="0" w:line="166" w:lineRule="exact"/>
        <w:rPr>
          <w:sz w:val="20"/>
          <w:szCs w:val="20"/>
          <w:color w:val="auto"/>
        </w:rPr>
      </w:pPr>
    </w:p>
    <w:p>
      <w:pPr>
        <w:ind w:right="340" w:firstLine="440"/>
        <w:spacing w:after="0" w:line="261" w:lineRule="auto"/>
        <w:rPr>
          <w:sz w:val="20"/>
          <w:szCs w:val="20"/>
          <w:color w:val="auto"/>
        </w:rPr>
      </w:pPr>
      <w:r>
        <w:rPr>
          <w:rFonts w:ascii="Arial" w:cs="Arial" w:eastAsia="Arial" w:hAnsi="Arial"/>
          <w:sz w:val="18"/>
          <w:szCs w:val="18"/>
          <w:color w:val="auto"/>
        </w:rPr>
        <w:t xml:space="preserve">Pursuant to the terms governing the Profits Units, you </w:t>
      </w:r>
      <w:r>
        <w:rPr>
          <w:rFonts w:ascii="Arial" w:cs="Arial" w:eastAsia="Arial" w:hAnsi="Arial"/>
          <w:sz w:val="18"/>
          <w:szCs w:val="18"/>
          <w:b w:val="1"/>
          <w:bCs w:val="1"/>
          <w:color w:val="auto"/>
        </w:rPr>
        <w:t>must</w:t>
      </w:r>
      <w:r>
        <w:rPr>
          <w:rFonts w:ascii="Arial" w:cs="Arial" w:eastAsia="Arial" w:hAnsi="Arial"/>
          <w:sz w:val="18"/>
          <w:szCs w:val="18"/>
          <w:color w:val="auto"/>
        </w:rPr>
        <w:t xml:space="preserve"> file an election under Section 83(b) of the Internal Revenue Code of 1986, as amended, </w:t>
      </w:r>
      <w:r>
        <w:rPr>
          <w:rFonts w:ascii="Arial" w:cs="Arial" w:eastAsia="Arial" w:hAnsi="Arial"/>
          <w:sz w:val="18"/>
          <w:szCs w:val="18"/>
          <w:b w:val="1"/>
          <w:bCs w:val="1"/>
          <w:color w:val="auto"/>
        </w:rPr>
        <w:t>within 30 days of the issuance to you of the Profits Units.</w:t>
      </w:r>
      <w:r>
        <w:rPr>
          <w:rFonts w:ascii="Arial" w:cs="Arial" w:eastAsia="Arial" w:hAnsi="Arial"/>
          <w:sz w:val="18"/>
          <w:szCs w:val="18"/>
          <w:color w:val="auto"/>
        </w:rPr>
        <w:t xml:space="preserve"> The consequences of making an 83(b) election are complex and depend on individual circumstances and expectations. We recommend that you consult your own tax advisor regarding your receipt of Profits Units and the tax treatment of Profits Units.</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For your convenience, attached is an 83(b) election form for you to complete, which the Company’s General Counsel will then file with the Internal Revenue Service on your behalf. To complete the form, enter your social security number, sign and date the form. A copy of the completed form must be returned to Bradley M. Burd by email at ####@gohealth.com </w:t>
      </w:r>
      <w:r>
        <w:rPr>
          <w:rFonts w:ascii="Arial" w:cs="Arial" w:eastAsia="Arial" w:hAnsi="Arial"/>
          <w:sz w:val="18"/>
          <w:szCs w:val="18"/>
          <w:b w:val="1"/>
          <w:bCs w:val="1"/>
          <w:u w:val="single" w:color="auto"/>
          <w:color w:val="auto"/>
        </w:rPr>
        <w:t>no later than October 11, 2019</w:t>
      </w:r>
      <w:r>
        <w:rPr>
          <w:rFonts w:ascii="Arial" w:cs="Arial" w:eastAsia="Arial" w:hAnsi="Arial"/>
          <w:sz w:val="18"/>
          <w:szCs w:val="18"/>
          <w:color w:val="auto"/>
        </w:rPr>
        <w: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Should you have any questions, please feel free to contact Bradley M. Burd via email at ####@gohealth.com or by phone at ####.</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97" w:name="page298"/>
    <w:bookmarkEnd w:id="297"/>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STATEMENT UNDER SECTION 83(b) OF THE</w:t>
      </w:r>
    </w:p>
    <w:p>
      <w:pPr>
        <w:spacing w:after="0" w:line="2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INTERNAL REVENUE CODE AND TREASURY REGULATION § 1.83-2(e)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995160"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80"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This statement is made pursuant to Section 83(b) of the Internal Revenue Code of 1986, as amended (the “Code”). I hereby elect the tax treatment described in Section 83(b) of the Code for the property described below. The following information is supplied in accordance with Treasury Regulation § 1.83-2(e).</w:t>
      </w:r>
    </w:p>
    <w:p>
      <w:pPr>
        <w:spacing w:after="0" w:line="89" w:lineRule="exact"/>
        <w:rPr>
          <w:sz w:val="20"/>
          <w:szCs w:val="20"/>
          <w:color w:val="auto"/>
        </w:rPr>
      </w:pPr>
    </w:p>
    <w:p>
      <w:pPr>
        <w:ind w:left="424" w:hanging="424"/>
        <w:spacing w:after="0"/>
        <w:tabs>
          <w:tab w:leader="none" w:pos="424"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Taxpayer.</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168910</wp:posOffset>
            </wp:positionV>
            <wp:extent cx="22885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59" w:lineRule="exact"/>
        <w:rPr>
          <w:sz w:val="20"/>
          <w:szCs w:val="20"/>
          <w:color w:val="auto"/>
        </w:rPr>
      </w:pPr>
    </w:p>
    <w:p>
      <w:pPr>
        <w:ind w:left="4"/>
        <w:spacing w:after="0"/>
        <w:rPr>
          <w:sz w:val="20"/>
          <w:szCs w:val="20"/>
          <w:color w:val="auto"/>
        </w:rPr>
      </w:pPr>
      <w:r>
        <w:rPr>
          <w:rFonts w:ascii="Arial" w:cs="Arial" w:eastAsia="Arial" w:hAnsi="Arial"/>
          <w:sz w:val="18"/>
          <w:szCs w:val="18"/>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14605</wp:posOffset>
            </wp:positionV>
            <wp:extent cx="228854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59" w:lineRule="exact"/>
        <w:rPr>
          <w:sz w:val="20"/>
          <w:szCs w:val="20"/>
          <w:color w:val="auto"/>
        </w:rPr>
      </w:pPr>
    </w:p>
    <w:p>
      <w:pPr>
        <w:ind w:left="4"/>
        <w:spacing w:after="0"/>
        <w:tabs>
          <w:tab w:leader="none" w:pos="404" w:val="left"/>
          <w:tab w:leader="none" w:pos="718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auto"/>
        </w:rPr>
        <w:t>Description of Property</w:t>
      </w:r>
      <w:r>
        <w:rPr>
          <w:rFonts w:ascii="Arial" w:cs="Arial" w:eastAsia="Arial" w:hAnsi="Arial"/>
          <w:sz w:val="18"/>
          <w:szCs w:val="18"/>
          <w:color w:val="auto"/>
        </w:rPr>
        <w:t>. The property with respect to which the election is made is</w:t>
      </w:r>
      <w:r>
        <w:rPr>
          <w:sz w:val="20"/>
          <w:szCs w:val="20"/>
          <w:color w:val="auto"/>
        </w:rPr>
        <w:tab/>
      </w:r>
      <w:r>
        <w:rPr>
          <w:rFonts w:ascii="Arial" w:cs="Arial" w:eastAsia="Arial" w:hAnsi="Arial"/>
          <w:sz w:val="16"/>
          <w:szCs w:val="16"/>
          <w:color w:val="auto"/>
        </w:rPr>
        <w:t>units (the “Units”) of a partnership interest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-10160</wp:posOffset>
            </wp:positionV>
            <wp:extent cx="45720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3" w:lineRule="exact"/>
        <w:rPr>
          <w:sz w:val="20"/>
          <w:szCs w:val="20"/>
          <w:color w:val="auto"/>
        </w:rPr>
      </w:pPr>
    </w:p>
    <w:p>
      <w:pPr>
        <w:ind w:left="424" w:right="180"/>
        <w:spacing w:after="0" w:line="260" w:lineRule="auto"/>
        <w:rPr>
          <w:sz w:val="20"/>
          <w:szCs w:val="20"/>
          <w:color w:val="auto"/>
        </w:rPr>
      </w:pPr>
      <w:r>
        <w:rPr>
          <w:rFonts w:ascii="Arial" w:cs="Arial" w:eastAsia="Arial" w:hAnsi="Arial"/>
          <w:sz w:val="18"/>
          <w:szCs w:val="18"/>
          <w:color w:val="auto"/>
        </w:rPr>
        <w:t>“Interest”) of Blizzard Management Feeder, LLC, a Delaware limited liability company (“</w:t>
      </w:r>
      <w:r>
        <w:rPr>
          <w:rFonts w:ascii="Arial" w:cs="Arial" w:eastAsia="Arial" w:hAnsi="Arial"/>
          <w:sz w:val="18"/>
          <w:szCs w:val="18"/>
          <w:u w:val="single" w:color="auto"/>
          <w:color w:val="auto"/>
        </w:rPr>
        <w:t>Management LLC</w:t>
      </w:r>
      <w:r>
        <w:rPr>
          <w:rFonts w:ascii="Arial" w:cs="Arial" w:eastAsia="Arial" w:hAnsi="Arial"/>
          <w:sz w:val="18"/>
          <w:szCs w:val="18"/>
          <w:color w:val="auto"/>
        </w:rPr>
        <w:t>”). The Units referred to herein are those Profits Units described in the Blizzard Parent, LLC Profits Unit Plan, as amended from time to time.</w:t>
      </w:r>
    </w:p>
    <w:p>
      <w:pPr>
        <w:spacing w:after="0" w:line="91" w:lineRule="exact"/>
        <w:rPr>
          <w:sz w:val="20"/>
          <w:szCs w:val="20"/>
          <w:color w:val="auto"/>
        </w:rPr>
      </w:pPr>
    </w:p>
    <w:p>
      <w:pPr>
        <w:ind w:left="424" w:right="480" w:hanging="424"/>
        <w:spacing w:after="0" w:line="277" w:lineRule="auto"/>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Date of Transfer and Taxable Year of Election</w:t>
      </w:r>
      <w:r>
        <w:rPr>
          <w:rFonts w:ascii="Arial" w:cs="Arial" w:eastAsia="Arial" w:hAnsi="Arial"/>
          <w:sz w:val="18"/>
          <w:szCs w:val="18"/>
          <w:color w:val="auto"/>
        </w:rPr>
        <w:t>. The Interest was transferred on October 3, 2019. This election is being made with respect to calendar year 2019.</w:t>
      </w:r>
    </w:p>
    <w:p>
      <w:pPr>
        <w:spacing w:after="0" w:line="75" w:lineRule="exact"/>
        <w:rPr>
          <w:rFonts w:ascii="Arial" w:cs="Arial" w:eastAsia="Arial" w:hAnsi="Arial"/>
          <w:sz w:val="18"/>
          <w:szCs w:val="18"/>
          <w:color w:val="auto"/>
        </w:rPr>
      </w:pPr>
    </w:p>
    <w:p>
      <w:pPr>
        <w:ind w:left="424" w:right="320" w:hanging="424"/>
        <w:spacing w:after="0" w:line="277" w:lineRule="auto"/>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Nature of Restrictions</w:t>
      </w:r>
      <w:r>
        <w:rPr>
          <w:rFonts w:ascii="Arial" w:cs="Arial" w:eastAsia="Arial" w:hAnsi="Arial"/>
          <w:sz w:val="18"/>
          <w:szCs w:val="18"/>
          <w:color w:val="auto"/>
        </w:rPr>
        <w:t>. Retention of all or a portion of the Interest is conditioned on my continuing to provide services to the entity to which I provide services as well as the achievement of specified performance conditions.</w:t>
      </w:r>
    </w:p>
    <w:p>
      <w:pPr>
        <w:spacing w:after="0" w:line="75"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Fair Market Value of the Property</w:t>
      </w:r>
      <w:r>
        <w:rPr>
          <w:rFonts w:ascii="Arial" w:cs="Arial" w:eastAsia="Arial" w:hAnsi="Arial"/>
          <w:sz w:val="18"/>
          <w:szCs w:val="18"/>
          <w:color w:val="auto"/>
        </w:rPr>
        <w:t>. The fair market value of the Interest on the date of transfer (determined without regard to any lapse restriction, as defined in Treasury Regulation § 1.83-3(i)) was equal to $0.00 per Unit, as set forth in item 6 below.</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02"/>
        </w:numPr>
        <w:rPr>
          <w:rFonts w:ascii="Arial" w:cs="Arial" w:eastAsia="Arial" w:hAnsi="Arial"/>
          <w:sz w:val="17"/>
          <w:szCs w:val="17"/>
          <w:color w:val="auto"/>
        </w:rPr>
      </w:pPr>
      <w:r>
        <w:rPr>
          <w:rFonts w:ascii="Arial" w:cs="Arial" w:eastAsia="Arial" w:hAnsi="Arial"/>
          <w:sz w:val="17"/>
          <w:szCs w:val="17"/>
          <w:u w:val="single" w:color="auto"/>
          <w:color w:val="auto"/>
        </w:rPr>
        <w:t>Amount Paid for the Property</w:t>
      </w:r>
      <w:r>
        <w:rPr>
          <w:rFonts w:ascii="Arial" w:cs="Arial" w:eastAsia="Arial" w:hAnsi="Arial"/>
          <w:sz w:val="17"/>
          <w:szCs w:val="17"/>
          <w:color w:val="auto"/>
        </w:rPr>
        <w:t>. The amount paid for the Interest was $0.00 per Unit, the fair market value of each Unit at the time of transfer.</w:t>
      </w:r>
    </w:p>
    <w:p>
      <w:pPr>
        <w:spacing w:after="0" w:line="142" w:lineRule="exact"/>
        <w:rPr>
          <w:rFonts w:ascii="Arial" w:cs="Arial" w:eastAsia="Arial" w:hAnsi="Arial"/>
          <w:sz w:val="17"/>
          <w:szCs w:val="17"/>
          <w:color w:val="auto"/>
        </w:rPr>
      </w:pPr>
    </w:p>
    <w:p>
      <w:pPr>
        <w:ind w:left="424" w:hanging="424"/>
        <w:spacing w:after="0"/>
        <w:tabs>
          <w:tab w:leader="none" w:pos="424" w:val="left"/>
        </w:tabs>
        <w:numPr>
          <w:ilvl w:val="0"/>
          <w:numId w:val="302"/>
        </w:numPr>
        <w:rPr>
          <w:rFonts w:ascii="Arial" w:cs="Arial" w:eastAsia="Arial" w:hAnsi="Arial"/>
          <w:sz w:val="18"/>
          <w:szCs w:val="18"/>
          <w:color w:val="auto"/>
        </w:rPr>
      </w:pPr>
      <w:r>
        <w:rPr>
          <w:rFonts w:ascii="Arial" w:cs="Arial" w:eastAsia="Arial" w:hAnsi="Arial"/>
          <w:sz w:val="18"/>
          <w:szCs w:val="18"/>
          <w:u w:val="single" w:color="auto"/>
          <w:color w:val="auto"/>
        </w:rPr>
        <w:t>Copies of Election</w:t>
      </w:r>
      <w:r>
        <w:rPr>
          <w:rFonts w:ascii="Arial" w:cs="Arial" w:eastAsia="Arial" w:hAnsi="Arial"/>
          <w:sz w:val="18"/>
          <w:szCs w:val="18"/>
          <w:color w:val="auto"/>
        </w:rPr>
        <w:t>. A copy of this election has been furnished to Management LLC pursuant to Treasury Regulation § 1.83-2(d).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4"/>
          </w:cols>
          <w:pgMar w:left="436" w:top="270" w:right="519" w:bottom="1440" w:gutter="0" w:footer="0" w:header="0"/>
        </w:sectPr>
      </w:pPr>
    </w:p>
    <w:bookmarkStart w:id="298" w:name="page299"/>
    <w:bookmarkEnd w:id="2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Accredited Investor Questionnaire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[attached]</w:t>
      </w:r>
    </w:p>
    <w:p>
      <w:pPr>
        <w:sectPr>
          <w:pgSz w:w="11900" w:h="16838" w:orient="portrait"/>
          <w:cols w:equalWidth="0" w:num="1">
            <w:col w:w="9019"/>
          </w:cols>
          <w:pgMar w:left="1440" w:top="270" w:right="1440" w:bottom="1440" w:gutter="0" w:footer="0" w:header="0"/>
        </w:sectPr>
      </w:pPr>
    </w:p>
    <w:bookmarkStart w:id="299" w:name="page300"/>
    <w:bookmarkEnd w:id="29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BLIZZARD PARENT, LLC</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ACCREDITED INVESTOR QUESTIONNAIRE</w:t>
      </w:r>
    </w:p>
    <w:p>
      <w:pPr>
        <w:spacing w:after="0" w:line="211" w:lineRule="exact"/>
        <w:rPr>
          <w:sz w:val="20"/>
          <w:szCs w:val="20"/>
          <w:color w:val="auto"/>
        </w:rPr>
      </w:pPr>
    </w:p>
    <w:p>
      <w:pPr>
        <w:ind w:left="4" w:right="640" w:firstLine="440"/>
        <w:spacing w:after="0" w:line="308" w:lineRule="auto"/>
        <w:rPr>
          <w:sz w:val="20"/>
          <w:szCs w:val="20"/>
          <w:color w:val="auto"/>
        </w:rPr>
      </w:pPr>
      <w:r>
        <w:rPr>
          <w:rFonts w:ascii="Arial" w:cs="Arial" w:eastAsia="Arial" w:hAnsi="Arial"/>
          <w:sz w:val="17"/>
          <w:szCs w:val="17"/>
          <w:color w:val="auto"/>
        </w:rPr>
        <w:t>In connection with your potential investment in Blizzard Parent, LLC (the “Company”), the Company must determine whether you are an “accredited investor,” as such term is defined by Rule 501(a) promulgated under the Securities Act of 1933, as amended.</w:t>
      </w:r>
    </w:p>
    <w:p>
      <w:pPr>
        <w:spacing w:after="0" w:line="146"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 xml:space="preserve">Please provide answers to each of the statements below, indicating whether or not each statement applies to you. </w:t>
      </w:r>
      <w:r>
        <w:rPr>
          <w:rFonts w:ascii="Arial" w:cs="Arial" w:eastAsia="Arial" w:hAnsi="Arial"/>
          <w:sz w:val="18"/>
          <w:szCs w:val="18"/>
          <w:u w:val="single" w:color="auto"/>
          <w:color w:val="auto"/>
        </w:rPr>
        <w:t>Your responses to these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 will be kept confidential</w:t>
      </w:r>
      <w:r>
        <w:rPr>
          <w:rFonts w:ascii="Arial" w:cs="Arial" w:eastAsia="Arial" w:hAnsi="Arial"/>
          <w:sz w:val="18"/>
          <w:szCs w:val="18"/>
          <w:color w:val="auto"/>
        </w:rPr>
        <w:t>.</w:t>
      </w:r>
    </w:p>
    <w:p>
      <w:pPr>
        <w:spacing w:after="0" w:line="197" w:lineRule="exact"/>
        <w:rPr>
          <w:sz w:val="20"/>
          <w:szCs w:val="20"/>
          <w:color w:val="auto"/>
        </w:rPr>
      </w:pPr>
    </w:p>
    <w:p>
      <w:pPr>
        <w:ind w:left="484"/>
        <w:spacing w:after="0"/>
        <w:tabs>
          <w:tab w:leader="none" w:pos="1804"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117" w:lineRule="exact"/>
        <w:rPr>
          <w:sz w:val="20"/>
          <w:szCs w:val="20"/>
          <w:color w:val="auto"/>
        </w:rPr>
      </w:pPr>
    </w:p>
    <w:p>
      <w:pPr>
        <w:ind w:left="3004" w:right="300" w:hanging="358"/>
        <w:spacing w:after="0" w:line="263" w:lineRule="auto"/>
        <w:tabs>
          <w:tab w:leader="none" w:pos="299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My individual net worth, or my joint net worth with my spouse at the time of my investment, exceeds $1,000,000. Please see the explanation in footnote one as to how your primary residence relates to your net worth or joint net worth.</w:t>
      </w:r>
      <w:r>
        <w:rPr>
          <w:rFonts w:ascii="Arial" w:cs="Arial" w:eastAsia="Arial" w:hAnsi="Arial"/>
          <w:sz w:val="15"/>
          <w:szCs w:val="15"/>
          <w:color w:val="auto"/>
        </w:rPr>
        <w:t>1</w:t>
      </w:r>
    </w:p>
    <w:p>
      <w:pPr>
        <w:spacing w:after="0" w:line="75" w:lineRule="exact"/>
        <w:rPr>
          <w:rFonts w:ascii="Arial" w:cs="Arial" w:eastAsia="Arial" w:hAnsi="Arial"/>
          <w:sz w:val="18"/>
          <w:szCs w:val="18"/>
          <w:color w:val="auto"/>
        </w:rPr>
      </w:pPr>
    </w:p>
    <w:p>
      <w:pPr>
        <w:jc w:val="both"/>
        <w:ind w:left="3004" w:right="400" w:hanging="358"/>
        <w:spacing w:after="0" w:line="263" w:lineRule="auto"/>
        <w:tabs>
          <w:tab w:leader="none" w:pos="299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My individual income was in excess of $200,000 in each of the preceding two calendar years, or my joint income with my spouse was in excess of $300,000 in each of those years, and I (or we) have a reasonable expectation of reaching the same income level in the current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-791210</wp:posOffset>
            </wp:positionV>
            <wp:extent cx="4572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-791210</wp:posOffset>
            </wp:positionV>
            <wp:extent cx="4572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-311150</wp:posOffset>
            </wp:positionV>
            <wp:extent cx="4572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962660</wp:posOffset>
            </wp:positionH>
            <wp:positionV relativeFrom="paragraph">
              <wp:posOffset>-311150</wp:posOffset>
            </wp:positionV>
            <wp:extent cx="4572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9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14605</wp:posOffset>
            </wp:positionV>
            <wp:extent cx="18084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14605</wp:posOffset>
            </wp:positionV>
            <wp:extent cx="18084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print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5186045</wp:posOffset>
            </wp:positionH>
            <wp:positionV relativeFrom="paragraph">
              <wp:posOffset>14605</wp:posOffset>
            </wp:positionV>
            <wp:extent cx="18084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5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Please print your 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151765</wp:posOffset>
            </wp:positionV>
            <wp:extent cx="279463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4200525</wp:posOffset>
            </wp:positionH>
            <wp:positionV relativeFrom="paragraph">
              <wp:posOffset>460375</wp:posOffset>
            </wp:positionV>
            <wp:extent cx="27946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717550</wp:posOffset>
            </wp:positionV>
            <wp:extent cx="7715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24" w:hanging="424"/>
        <w:spacing w:after="0" w:line="257" w:lineRule="auto"/>
        <w:tabs>
          <w:tab w:leader="none" w:pos="424" w:val="left"/>
        </w:tabs>
        <w:numPr>
          <w:ilvl w:val="0"/>
          <w:numId w:val="304"/>
        </w:numPr>
        <w:rPr>
          <w:rFonts w:ascii="Arial" w:cs="Arial" w:eastAsia="Arial" w:hAnsi="Arial"/>
          <w:sz w:val="15"/>
          <w:szCs w:val="15"/>
          <w:color w:val="auto"/>
        </w:rPr>
      </w:pPr>
      <w:r>
        <w:rPr>
          <w:rFonts w:ascii="Arial" w:cs="Arial" w:eastAsia="Arial" w:hAnsi="Arial"/>
          <w:sz w:val="18"/>
          <w:szCs w:val="18"/>
          <w:color w:val="auto"/>
        </w:rPr>
        <w:t>As a general rule, the term “net worth” means the excess of (</w:t>
      </w:r>
      <w:r>
        <w:rPr>
          <w:rFonts w:ascii="Arial" w:cs="Arial" w:eastAsia="Arial" w:hAnsi="Arial"/>
          <w:sz w:val="18"/>
          <w:szCs w:val="18"/>
          <w:i w:val="1"/>
          <w:iCs w:val="1"/>
          <w:color w:val="auto"/>
        </w:rPr>
        <w:t>i</w:t>
      </w:r>
      <w:r>
        <w:rPr>
          <w:rFonts w:ascii="Arial" w:cs="Arial" w:eastAsia="Arial" w:hAnsi="Arial"/>
          <w:sz w:val="18"/>
          <w:szCs w:val="18"/>
          <w:color w:val="auto"/>
        </w:rPr>
        <w:t xml:space="preserve">) your total assets, </w:t>
      </w:r>
      <w:r>
        <w:rPr>
          <w:rFonts w:ascii="Arial" w:cs="Arial" w:eastAsia="Arial" w:hAnsi="Arial"/>
          <w:sz w:val="18"/>
          <w:szCs w:val="18"/>
          <w:i w:val="1"/>
          <w:iCs w:val="1"/>
          <w:color w:val="auto"/>
        </w:rPr>
        <w:t>excluding your primary residence</w:t>
      </w:r>
      <w:r>
        <w:rPr>
          <w:rFonts w:ascii="Arial" w:cs="Arial" w:eastAsia="Arial" w:hAnsi="Arial"/>
          <w:sz w:val="18"/>
          <w:szCs w:val="18"/>
          <w:color w:val="auto"/>
        </w:rPr>
        <w:t>, over (</w:t>
      </w:r>
      <w:r>
        <w:rPr>
          <w:rFonts w:ascii="Arial" w:cs="Arial" w:eastAsia="Arial" w:hAnsi="Arial"/>
          <w:sz w:val="18"/>
          <w:szCs w:val="18"/>
          <w:i w:val="1"/>
          <w:iCs w:val="1"/>
          <w:color w:val="auto"/>
        </w:rPr>
        <w:t>ii</w:t>
      </w:r>
      <w:r>
        <w:rPr>
          <w:rFonts w:ascii="Arial" w:cs="Arial" w:eastAsia="Arial" w:hAnsi="Arial"/>
          <w:sz w:val="18"/>
          <w:szCs w:val="18"/>
          <w:color w:val="auto"/>
        </w:rPr>
        <w:t>) your total liabilities. For purposes of computing net worth, the value of a primary residence should be excluded from total assets and the value of any mortgage secured by a primary residence should be excluded from total liabilities. However, the portion of any mortgage secured by a primary residence in excess of the estimated fair market value of the primary residence (i.e., if applicable, the portion of a mortgage that is “under water”) should be included in total liabilities.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w:t>
      </w:r>
      <w:r>
        <w:rPr>
          <w:rFonts w:ascii="Arial" w:cs="Arial" w:eastAsia="Arial" w:hAnsi="Arial"/>
          <w:sz w:val="18"/>
          <w:szCs w:val="18"/>
          <w:b w:val="1"/>
          <w:bCs w:val="1"/>
          <w:color w:val="auto"/>
        </w:rPr>
        <w:t>H</w:t>
      </w:r>
      <w:r>
        <w:rPr>
          <w:rFonts w:ascii="Arial" w:cs="Arial" w:eastAsia="Arial" w:hAnsi="Arial"/>
          <w:sz w:val="14"/>
          <w:szCs w:val="14"/>
          <w:b w:val="1"/>
          <w:bCs w:val="1"/>
          <w:color w:val="auto"/>
        </w:rPr>
        <w:t>EALTH</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211" w:lineRule="exact"/>
        <w:rPr>
          <w:sz w:val="20"/>
          <w:szCs w:val="20"/>
          <w:color w:val="auto"/>
        </w:rPr>
      </w:pPr>
    </w:p>
    <w:p>
      <w:pPr>
        <w:ind w:right="100" w:firstLine="440"/>
        <w:spacing w:after="0" w:line="289" w:lineRule="auto"/>
        <w:rPr>
          <w:sz w:val="20"/>
          <w:szCs w:val="20"/>
          <w:color w:val="auto"/>
        </w:rPr>
      </w:pPr>
      <w:r>
        <w:rPr>
          <w:rFonts w:ascii="Arial" w:cs="Arial" w:eastAsia="Arial" w:hAnsi="Arial"/>
          <w:sz w:val="16"/>
          <w:szCs w:val="16"/>
          <w:color w:val="auto"/>
        </w:rPr>
        <w:t>Non-employee members of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of GoHealth,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shall be eligible to receive cash and equity compensation as set forth in this Non-Employee Director Compensation Policy (this “</w:t>
      </w:r>
      <w:r>
        <w:rPr>
          <w:rFonts w:ascii="Arial" w:cs="Arial" w:eastAsia="Arial" w:hAnsi="Arial"/>
          <w:sz w:val="16"/>
          <w:szCs w:val="16"/>
          <w:b w:val="1"/>
          <w:bCs w:val="1"/>
          <w:i w:val="1"/>
          <w:iCs w:val="1"/>
          <w:color w:val="auto"/>
        </w:rPr>
        <w:t>Policy</w:t>
      </w:r>
      <w:r>
        <w:rPr>
          <w:rFonts w:ascii="Arial" w:cs="Arial" w:eastAsia="Arial" w:hAnsi="Arial"/>
          <w:sz w:val="16"/>
          <w:szCs w:val="16"/>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who may be eligible to receive such cash or equity compensation, unless such Non-Employee Director declines the receipt of such cash or equity compensation by written notice to the Company. This Policy shall become effective after the effectiveness of the Company’s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166" w:lineRule="exact"/>
        <w:rPr>
          <w:sz w:val="20"/>
          <w:szCs w:val="20"/>
          <w:color w:val="auto"/>
        </w:rPr>
      </w:pPr>
    </w:p>
    <w:p>
      <w:pPr>
        <w:ind w:left="620" w:hanging="184"/>
        <w:spacing w:after="0"/>
        <w:tabs>
          <w:tab w:leader="none" w:pos="62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$150,000 for service on the Board.</w:t>
      </w:r>
    </w:p>
    <w:p>
      <w:pPr>
        <w:spacing w:after="0" w:line="117" w:lineRule="exact"/>
        <w:rPr>
          <w:rFonts w:ascii="Arial" w:cs="Arial" w:eastAsia="Arial" w:hAnsi="Arial"/>
          <w:sz w:val="18"/>
          <w:szCs w:val="18"/>
          <w:color w:val="auto"/>
        </w:rPr>
      </w:pPr>
    </w:p>
    <w:p>
      <w:pPr>
        <w:ind w:right="100" w:firstLine="987"/>
        <w:spacing w:after="0" w:line="254" w:lineRule="auto"/>
        <w:tabs>
          <w:tab w:leader="none" w:pos="1246" w:val="left"/>
        </w:tabs>
        <w:numPr>
          <w:ilvl w:val="1"/>
          <w:numId w:val="305"/>
        </w:numPr>
        <w:rPr>
          <w:rFonts w:ascii="Arial" w:cs="Arial" w:eastAsia="Arial" w:hAnsi="Arial"/>
          <w:sz w:val="18"/>
          <w:szCs w:val="18"/>
          <w:color w:val="auto"/>
        </w:rPr>
      </w:pPr>
      <w:r>
        <w:rPr>
          <w:rFonts w:ascii="Arial" w:cs="Arial" w:eastAsia="Arial" w:hAnsi="Arial"/>
          <w:sz w:val="18"/>
          <w:szCs w:val="18"/>
          <w:u w:val="single" w:color="auto"/>
          <w:color w:val="auto"/>
        </w:rPr>
        <w:t>Payment of Retainers</w:t>
      </w:r>
      <w:r>
        <w:rPr>
          <w:rFonts w:ascii="Arial" w:cs="Arial" w:eastAsia="Arial" w:hAnsi="Arial"/>
          <w:sz w:val="18"/>
          <w:szCs w:val="18"/>
          <w:color w:val="auto"/>
        </w:rPr>
        <w:t>. The annual retainers described in Section 1(a) shall be earned on a quarterly basis based on a calendar quarter and shall be paid by the Company in arrears not later than the fifteenth day following the end of each calendar quarter. In the event a Non-Employee Director does not serve as a Non-Employee Director for an entire calendar quarter, such Non-Employee Director shall receive a prorated portion of the retainer otherwise payable to such Non-Employee Director for such calendar quarter pursuant to Section 1(a), with such prorated portion determined by multiplying such otherwise payable retainer by a fraction, the numerator of which is the number of days during which the Non-Employee Director serves as a Non-Employee Director during the applicable calendar quarter and the denominator of which is the number of days in the applicable calendar quarter.</w:t>
      </w:r>
    </w:p>
    <w:p>
      <w:pPr>
        <w:spacing w:after="0" w:line="194" w:lineRule="exact"/>
        <w:rPr>
          <w:rFonts w:ascii="Arial" w:cs="Arial" w:eastAsia="Arial" w:hAnsi="Arial"/>
          <w:sz w:val="18"/>
          <w:szCs w:val="18"/>
          <w:color w:val="auto"/>
        </w:rPr>
      </w:pPr>
    </w:p>
    <w:p>
      <w:pPr>
        <w:ind w:right="140" w:firstLine="436"/>
        <w:spacing w:after="0" w:line="296" w:lineRule="auto"/>
        <w:tabs>
          <w:tab w:leader="none" w:pos="620" w:val="left"/>
        </w:tabs>
        <w:numPr>
          <w:ilvl w:val="0"/>
          <w:numId w:val="305"/>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and shall be granted subject to the execution and delivery of award agreements, including attached exhibits, in substantially the forms approved by the Board. All applicable terms of the Equity Plan apply to this Policy as if fully set forth herein, and all equity grants hereunder are subject in all respects to the terms of the Equity Plan.</w:t>
      </w:r>
    </w:p>
    <w:p>
      <w:pPr>
        <w:sectPr>
          <w:pgSz w:w="11900" w:h="16838" w:orient="portrait"/>
          <w:cols w:equalWidth="0" w:num="1">
            <w:col w:w="11020"/>
          </w:cols>
          <w:pgMar w:left="440" w:top="121" w:right="439" w:bottom="1440" w:gutter="0" w:footer="0" w:header="0"/>
        </w:sectPr>
      </w:pPr>
    </w:p>
    <w:bookmarkStart w:id="301" w:name="page302"/>
    <w:bookmarkEnd w:id="301"/>
    <w:p>
      <w:pPr>
        <w:ind w:left="-20" w:right="100" w:firstLine="987"/>
        <w:spacing w:after="0" w:line="253" w:lineRule="auto"/>
        <w:tabs>
          <w:tab w:leader="none" w:pos="1216"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IPO Awards</w:t>
      </w:r>
      <w:r>
        <w:rPr>
          <w:rFonts w:ascii="Arial" w:cs="Arial" w:eastAsia="Arial" w:hAnsi="Arial"/>
          <w:sz w:val="18"/>
          <w:szCs w:val="18"/>
          <w:color w:val="auto"/>
        </w:rPr>
        <w:t>. Each Non-Employee Director who (i) serves on the Board as of the date the IPO price of the shares of the Company’s common stock (the “</w:t>
      </w:r>
      <w:r>
        <w:rPr>
          <w:rFonts w:ascii="Arial" w:cs="Arial" w:eastAsia="Arial" w:hAnsi="Arial"/>
          <w:sz w:val="18"/>
          <w:szCs w:val="18"/>
          <w:b w:val="1"/>
          <w:bCs w:val="1"/>
          <w:i w:val="1"/>
          <w:iCs w:val="1"/>
          <w:color w:val="auto"/>
        </w:rPr>
        <w:t>IPO Price</w:t>
      </w:r>
      <w:r>
        <w:rPr>
          <w:rFonts w:ascii="Arial" w:cs="Arial" w:eastAsia="Arial" w:hAnsi="Arial"/>
          <w:sz w:val="18"/>
          <w:szCs w:val="18"/>
          <w:color w:val="auto"/>
        </w:rPr>
        <w:t>”) is established in connection with the Company’s IPO (the “</w:t>
      </w:r>
      <w:r>
        <w:rPr>
          <w:rFonts w:ascii="Arial" w:cs="Arial" w:eastAsia="Arial" w:hAnsi="Arial"/>
          <w:sz w:val="18"/>
          <w:szCs w:val="18"/>
          <w:b w:val="1"/>
          <w:bCs w:val="1"/>
          <w:i w:val="1"/>
          <w:iCs w:val="1"/>
          <w:color w:val="auto"/>
        </w:rPr>
        <w:t>Pricing Date</w:t>
      </w:r>
      <w:r>
        <w:rPr>
          <w:rFonts w:ascii="Arial" w:cs="Arial" w:eastAsia="Arial" w:hAnsi="Arial"/>
          <w:sz w:val="18"/>
          <w:szCs w:val="18"/>
          <w:color w:val="auto"/>
        </w:rPr>
        <w:t>”) and (ii) will continue to serve as a Non-Employee Director immediately following the Pricing Date shall be automatically granted, on the Pricing Date, an award of restricted stock units that have an aggregate fair value on the date of grant of $150,000 for each Non-Employee Director who does not serve as Chairperson or Co-Chairperson of the Board or of any committee of the Board or as the Lead Director of the Board (a “</w:t>
      </w:r>
      <w:r>
        <w:rPr>
          <w:rFonts w:ascii="Arial" w:cs="Arial" w:eastAsia="Arial" w:hAnsi="Arial"/>
          <w:sz w:val="18"/>
          <w:szCs w:val="18"/>
          <w:b w:val="1"/>
          <w:bCs w:val="1"/>
          <w:i w:val="1"/>
          <w:iCs w:val="1"/>
          <w:color w:val="auto"/>
        </w:rPr>
        <w:t>Non-Chairperson Director</w:t>
      </w:r>
      <w:r>
        <w:rPr>
          <w:rFonts w:ascii="Arial" w:cs="Arial" w:eastAsia="Arial" w:hAnsi="Arial"/>
          <w:sz w:val="18"/>
          <w:szCs w:val="18"/>
          <w:color w:val="auto"/>
        </w:rPr>
        <w:t>”) and $250,000 for each Non-Employee Director who serves as the Chairperson or Co-Chairperson of the Board or of any committee of the Board or as the Lead Director of the Board (in each case, a “</w:t>
      </w:r>
      <w:r>
        <w:rPr>
          <w:rFonts w:ascii="Arial" w:cs="Arial" w:eastAsia="Arial" w:hAnsi="Arial"/>
          <w:sz w:val="18"/>
          <w:szCs w:val="18"/>
          <w:b w:val="1"/>
          <w:bCs w:val="1"/>
          <w:i w:val="1"/>
          <w:iCs w:val="1"/>
          <w:color w:val="auto"/>
        </w:rPr>
        <w:t>Chairperson Director</w:t>
      </w:r>
      <w:r>
        <w:rPr>
          <w:rFonts w:ascii="Arial" w:cs="Arial" w:eastAsia="Arial" w:hAnsi="Arial"/>
          <w:sz w:val="18"/>
          <w:szCs w:val="18"/>
          <w:color w:val="auto"/>
        </w:rPr>
        <w:t>”) (as determined in accordance with FASB Accounting Codification Topic 718 (“</w:t>
      </w:r>
      <w:r>
        <w:rPr>
          <w:rFonts w:ascii="Arial" w:cs="Arial" w:eastAsia="Arial" w:hAnsi="Arial"/>
          <w:sz w:val="18"/>
          <w:szCs w:val="18"/>
          <w:b w:val="1"/>
          <w:bCs w:val="1"/>
          <w:i w:val="1"/>
          <w:iCs w:val="1"/>
          <w:color w:val="auto"/>
        </w:rPr>
        <w:t>ASC 718</w:t>
      </w:r>
      <w:r>
        <w:rPr>
          <w:rFonts w:ascii="Arial" w:cs="Arial" w:eastAsia="Arial" w:hAnsi="Arial"/>
          <w:sz w:val="18"/>
          <w:szCs w:val="18"/>
          <w:color w:val="auto"/>
        </w:rPr>
        <w:t>”) and subject to adjustment as provided in the Equity Plan in each case). The awards described in this Section 2(a) shall be referred to herein as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20" w:firstLine="987"/>
        <w:spacing w:after="0" w:line="269" w:lineRule="auto"/>
        <w:tabs>
          <w:tab w:leader="none" w:pos="1226"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Annual Awards</w:t>
      </w:r>
      <w:r>
        <w:rPr>
          <w:rFonts w:ascii="Arial" w:cs="Arial" w:eastAsia="Arial" w:hAnsi="Arial"/>
          <w:sz w:val="17"/>
          <w:szCs w:val="17"/>
          <w:color w:val="auto"/>
        </w:rPr>
        <w:t>. Each Non-Employee Director who (i) serves on the Board as of the date of any annual meeting of the Company’s stockholders (an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xml:space="preserve">”) after the Pricing Date and (ii) will continue to serve as a Non-Employee Director immediately following such Annual Meeting shall be automatically granted, on the date of such Annual Meeting, an award of restricted stock units that have an aggregate fair value on the date of grant of $150,000 for Non-Chairperson Directors and $250,000 for Chairperson Directors (as determined in accordance with ASC 718 and subject to adjustment as provided in the Equity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Annual Awards (as defined in this Section 2(b)) granted under this Policy at the first and second Annual Meetings following the adoption of this Policy shall have the number of restricted stock units awarded on their respective date of grant determined using the IPO Price (rather than the fair value of a share of the Company’s common stock as of such date of grant), subject to any restrictions imposed by the Director Limit (as such term is defined in the Equity Plan). The awards described in this Section 2(b) shall be referred to as the “</w:t>
      </w:r>
      <w:r>
        <w:rPr>
          <w:rFonts w:ascii="Arial" w:cs="Arial" w:eastAsia="Arial" w:hAnsi="Arial"/>
          <w:sz w:val="17"/>
          <w:szCs w:val="17"/>
          <w:b w:val="1"/>
          <w:bCs w:val="1"/>
          <w:i w:val="1"/>
          <w:iCs w:val="1"/>
          <w:color w:val="auto"/>
        </w:rPr>
        <w:t>Annual Awards</w:t>
      </w:r>
      <w:r>
        <w:rPr>
          <w:rFonts w:ascii="Arial" w:cs="Arial" w:eastAsia="Arial" w:hAnsi="Arial"/>
          <w:sz w:val="17"/>
          <w:szCs w:val="17"/>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73" w:lineRule="exact"/>
        <w:rPr>
          <w:rFonts w:ascii="Arial" w:cs="Arial" w:eastAsia="Arial" w:hAnsi="Arial"/>
          <w:sz w:val="17"/>
          <w:szCs w:val="17"/>
          <w:color w:val="auto"/>
        </w:rPr>
      </w:pPr>
    </w:p>
    <w:p>
      <w:pPr>
        <w:ind w:left="-20" w:right="80" w:firstLine="987"/>
        <w:spacing w:after="0" w:line="268" w:lineRule="auto"/>
        <w:tabs>
          <w:tab w:leader="none" w:pos="1216"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Initial Awards</w:t>
      </w:r>
      <w:r>
        <w:rPr>
          <w:rFonts w:ascii="Arial" w:cs="Arial" w:eastAsia="Arial" w:hAnsi="Arial"/>
          <w:sz w:val="17"/>
          <w:szCs w:val="17"/>
          <w:color w:val="auto"/>
        </w:rPr>
        <w:t>. Except as otherwise determined by the Board, each Non-Employee Director who is initially elected or appointed to the Board after the Pricing Date on any date other than the date of an Annual Meeting shall be automatically granted, on the date of such Non-Employee Director’s initial election or appointment (such Non-Employee Director’s “</w:t>
      </w:r>
      <w:r>
        <w:rPr>
          <w:rFonts w:ascii="Arial" w:cs="Arial" w:eastAsia="Arial" w:hAnsi="Arial"/>
          <w:sz w:val="17"/>
          <w:szCs w:val="17"/>
          <w:b w:val="1"/>
          <w:bCs w:val="1"/>
          <w:i w:val="1"/>
          <w:iCs w:val="1"/>
          <w:color w:val="auto"/>
        </w:rPr>
        <w:t>Start Date</w:t>
      </w:r>
      <w:r>
        <w:rPr>
          <w:rFonts w:ascii="Arial" w:cs="Arial" w:eastAsia="Arial" w:hAnsi="Arial"/>
          <w:sz w:val="17"/>
          <w:szCs w:val="17"/>
          <w:color w:val="auto"/>
        </w:rPr>
        <w:t xml:space="preserve">”), an award of restricted stock units that have an aggregate fair value on such Non-Employee Director’s Start Date equal to the product of (i) $150,000 for Non-Chairperson Directors and $250,000 for Chairperson Directors (as determined in accordance with ASC 718) and (ii) a fraction, the numerator of which is (x) 365 minus (y) the number of days in the period beginning on the date of the Annual Meeting immediately preceding such Non-Employee Director’s Start Date (or, if no such Annual Meeting has occurred, the effective date of the Company’s IPO) and ending on such Non-Employee Director’s Start Date and the denominator of which is 365 (with the number of shares of common stock underlying each such award subject to adjustment as provided in the Equity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Initial Awards (as defined in this Section 2(c)) granted under this Policy prior to the second Annual Meeting following the adoption of this Policy shall have the number of restricted stock units awarded on their respective date of grant determined using the IPO Price (rather than the fair value of a share of the Company’s common stock as of such date of grant), subject to any restrictions imposed by the Director Limit (as such term is defined in the Equity Plan). The awards described in this Section 2(c) shall be referred to as “</w:t>
      </w:r>
      <w:r>
        <w:rPr>
          <w:rFonts w:ascii="Arial" w:cs="Arial" w:eastAsia="Arial" w:hAnsi="Arial"/>
          <w:sz w:val="17"/>
          <w:szCs w:val="17"/>
          <w:b w:val="1"/>
          <w:bCs w:val="1"/>
          <w:i w:val="1"/>
          <w:iCs w:val="1"/>
          <w:color w:val="auto"/>
        </w:rPr>
        <w:t>Initial Awards</w:t>
      </w:r>
      <w:r>
        <w:rPr>
          <w:rFonts w:ascii="Arial" w:cs="Arial" w:eastAsia="Arial" w:hAnsi="Arial"/>
          <w:sz w:val="17"/>
          <w:szCs w:val="17"/>
          <w:i w:val="1"/>
          <w:iCs w:val="1"/>
          <w:color w:val="auto"/>
        </w:rPr>
        <w:t>.</w:t>
      </w:r>
      <w:r>
        <w:rPr>
          <w:rFonts w:ascii="Arial" w:cs="Arial" w:eastAsia="Arial" w:hAnsi="Arial"/>
          <w:sz w:val="17"/>
          <w:szCs w:val="17"/>
          <w:color w:val="auto"/>
        </w:rPr>
        <w:t>” For the avoidance of doubt, no Non-Employee Director shall be granted more than one Initial Award.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302" w:name="page303"/>
    <w:bookmarkEnd w:id="302"/>
    <w:p>
      <w:pPr>
        <w:ind w:right="140" w:firstLine="987"/>
        <w:spacing w:after="0" w:line="257" w:lineRule="auto"/>
        <w:tabs>
          <w:tab w:leader="none" w:pos="1246" w:val="left"/>
        </w:tabs>
        <w:numPr>
          <w:ilvl w:val="1"/>
          <w:numId w:val="3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Employment of Employee Directors</w:t>
      </w:r>
      <w:r>
        <w:rPr>
          <w:rFonts w:ascii="Arial" w:cs="Arial" w:eastAsia="Arial" w:hAnsi="Arial"/>
          <w:sz w:val="18"/>
          <w:szCs w:val="18"/>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Section 2(b) above.</w:t>
      </w:r>
    </w:p>
    <w:p>
      <w:pPr>
        <w:spacing w:after="0" w:line="79" w:lineRule="exact"/>
        <w:rPr>
          <w:rFonts w:ascii="Arial" w:cs="Arial" w:eastAsia="Arial" w:hAnsi="Arial"/>
          <w:sz w:val="18"/>
          <w:szCs w:val="18"/>
          <w:color w:val="auto"/>
        </w:rPr>
      </w:pPr>
    </w:p>
    <w:p>
      <w:pPr>
        <w:ind w:firstLine="987"/>
        <w:spacing w:after="0" w:line="269" w:lineRule="auto"/>
        <w:tabs>
          <w:tab w:leader="none" w:pos="1236" w:val="left"/>
        </w:tabs>
        <w:numPr>
          <w:ilvl w:val="1"/>
          <w:numId w:val="307"/>
        </w:numPr>
        <w:rPr>
          <w:rFonts w:ascii="Arial" w:cs="Arial" w:eastAsia="Arial" w:hAnsi="Arial"/>
          <w:sz w:val="17"/>
          <w:szCs w:val="17"/>
          <w:color w:val="auto"/>
        </w:rPr>
      </w:pPr>
      <w:r>
        <w:rPr>
          <w:rFonts w:ascii="Arial" w:cs="Arial" w:eastAsia="Arial" w:hAnsi="Arial"/>
          <w:sz w:val="17"/>
          <w:szCs w:val="17"/>
          <w:u w:val="single" w:color="auto"/>
          <w:color w:val="auto"/>
        </w:rPr>
        <w:t>Vesting of Awards Granted to Non-Employee Directors</w:t>
      </w:r>
      <w:r>
        <w:rPr>
          <w:rFonts w:ascii="Arial" w:cs="Arial" w:eastAsia="Arial" w:hAnsi="Arial"/>
          <w:sz w:val="17"/>
          <w:szCs w:val="17"/>
          <w:color w:val="auto"/>
        </w:rPr>
        <w:t xml:space="preserve">. Each IPO Award shall vest and become exercisable in four equal installments on the first four quarterly anniversaries of the date of grant, subject to the Non-Employee Director continuing in service on the Board through the applicable vesting date, and each Annual Award and Initial Award shall vest and become exercisable in four equal installments on the first four quarterly anniversaries of the date of grant, subject to the Non-Employee Director continuing in service on the Board through the applicable vesting date;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notwithstanding the foregoing, each Annual Award and Initial Award shall vest and become exercisable in its entirety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preceding the date of the first Annual Meeting following the date of grant, subject to the Non-Employee Director continuing in service on the Board through such date. No portion of an IPO Award, Annual Award or Initial Award that is unvested or unexercisable at the time of a Non-Employee Director’s termination of service on the Board shall become vested and exercisable thereafter. All of a Non-Employee Director’s IPO Awards, Annual Awards and Initial Awards shall vest in full immediately prior to the occurrence of a Change in Control (as defined in the Equity Plan), to the extent outstanding at such time.</w:t>
      </w:r>
    </w:p>
    <w:p>
      <w:pPr>
        <w:spacing w:after="0" w:line="185" w:lineRule="exact"/>
        <w:rPr>
          <w:rFonts w:ascii="Arial" w:cs="Arial" w:eastAsia="Arial" w:hAnsi="Arial"/>
          <w:sz w:val="17"/>
          <w:szCs w:val="17"/>
          <w:color w:val="auto"/>
        </w:rPr>
      </w:pPr>
    </w:p>
    <w:p>
      <w:pPr>
        <w:ind w:left="620" w:hanging="184"/>
        <w:spacing w:after="0"/>
        <w:tabs>
          <w:tab w:leader="none" w:pos="62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The Company will reimburse each Non-Employee Director for ordinary, necessary and reasonable out-of-pocket travel expenses to cover in-person attendance at and participation in Board meetings and meetings of any committee of the Board; </w:t>
      </w:r>
      <w:r>
        <w:rPr>
          <w:rFonts w:ascii="Arial" w:cs="Arial" w:eastAsia="Arial" w:hAnsi="Arial"/>
          <w:sz w:val="17"/>
          <w:szCs w:val="17"/>
          <w:i w:val="1"/>
          <w:iCs w:val="1"/>
          <w:color w:val="auto"/>
        </w:rPr>
        <w:t>provided</w:t>
      </w:r>
      <w:r>
        <w:rPr>
          <w:rFonts w:ascii="Arial" w:cs="Arial" w:eastAsia="Arial" w:hAnsi="Arial"/>
          <w:sz w:val="17"/>
          <w:szCs w:val="17"/>
          <w:color w:val="auto"/>
        </w:rPr>
        <w:t>, that the Non-Employee Director timely submit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 immediately follows the taxable year in which the expense was incurred; and (iii) the right to any reimbursement may not be subject to liquidation or exchange for another benefit.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r>
              <w:rPr>
                <w:rFonts w:ascii="Arial" w:cs="Arial" w:eastAsia="Arial" w:hAnsi="Arial"/>
                <w:sz w:val="18"/>
                <w:szCs w:val="18"/>
                <w:b w:val="1"/>
                <w:bCs w:val="1"/>
                <w:color w:val="auto"/>
              </w:rPr>
              <w:t>Legal Name</w:t>
            </w:r>
          </w:p>
        </w:tc>
        <w:tc>
          <w:tcPr>
            <w:tcW w:w="6720" w:type="dxa"/>
            <w:vAlign w:val="bottom"/>
            <w:gridSpan w:val="2"/>
          </w:tcPr>
          <w:p>
            <w:pPr>
              <w:ind w:left="320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0"/>
        </w:trPr>
        <w:tc>
          <w:tcPr>
            <w:tcW w:w="254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318"/>
        </w:trPr>
        <w:tc>
          <w:tcPr>
            <w:tcW w:w="2540" w:type="dxa"/>
            <w:vAlign w:val="bottom"/>
          </w:tcPr>
          <w:p>
            <w:pPr>
              <w:spacing w:after="0"/>
              <w:rPr>
                <w:sz w:val="20"/>
                <w:szCs w:val="20"/>
                <w:color w:val="auto"/>
              </w:rPr>
            </w:pPr>
            <w:r>
              <w:rPr>
                <w:rFonts w:ascii="Arial" w:cs="Arial" w:eastAsia="Arial" w:hAnsi="Arial"/>
                <w:sz w:val="18"/>
                <w:szCs w:val="18"/>
                <w:color w:val="auto"/>
              </w:rPr>
              <w:t>GoHealth Holdings, LLC</w:t>
            </w:r>
          </w:p>
        </w:tc>
        <w:tc>
          <w:tcPr>
            <w:tcW w:w="6720" w:type="dxa"/>
            <w:vAlign w:val="bottom"/>
            <w:gridSpan w:val="2"/>
          </w:tcPr>
          <w:p>
            <w:pPr>
              <w:ind w:left="3200"/>
              <w:spacing w:after="0"/>
              <w:rPr>
                <w:sz w:val="20"/>
                <w:szCs w:val="20"/>
                <w:color w:val="auto"/>
              </w:rPr>
            </w:pPr>
            <w:r>
              <w:rPr>
                <w:rFonts w:ascii="Arial" w:cs="Arial" w:eastAsia="Arial" w:hAnsi="Arial"/>
                <w:sz w:val="18"/>
                <w:szCs w:val="18"/>
                <w:color w:val="auto"/>
              </w:rPr>
              <w:t>Delaware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Blizzard Midco, LLC</w:t>
            </w:r>
          </w:p>
        </w:tc>
        <w:tc>
          <w:tcPr>
            <w:tcW w:w="6720" w:type="dxa"/>
            <w:vAlign w:val="bottom"/>
            <w:gridSpan w:val="2"/>
          </w:tcPr>
          <w:p>
            <w:pPr>
              <w:ind w:left="3200"/>
              <w:spacing w:after="0"/>
              <w:rPr>
                <w:sz w:val="20"/>
                <w:szCs w:val="20"/>
                <w:color w:val="auto"/>
              </w:rPr>
            </w:pPr>
            <w:r>
              <w:rPr>
                <w:rFonts w:ascii="Arial" w:cs="Arial" w:eastAsia="Arial" w:hAnsi="Arial"/>
                <w:sz w:val="18"/>
                <w:szCs w:val="18"/>
                <w:color w:val="auto"/>
              </w:rPr>
              <w:t>Delaware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Norvax, LLC</w:t>
            </w:r>
          </w:p>
        </w:tc>
        <w:tc>
          <w:tcPr>
            <w:tcW w:w="6720" w:type="dxa"/>
            <w:vAlign w:val="bottom"/>
            <w:gridSpan w:val="2"/>
          </w:tcPr>
          <w:p>
            <w:pPr>
              <w:ind w:left="3200"/>
              <w:spacing w:after="0"/>
              <w:rPr>
                <w:sz w:val="20"/>
                <w:szCs w:val="20"/>
                <w:color w:val="auto"/>
              </w:rPr>
            </w:pPr>
            <w:r>
              <w:rPr>
                <w:rFonts w:ascii="Arial" w:cs="Arial" w:eastAsia="Arial" w:hAnsi="Arial"/>
                <w:sz w:val="18"/>
                <w:szCs w:val="18"/>
                <w:color w:val="auto"/>
              </w:rPr>
              <w:t>Delaware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GoHealth, LLC</w:t>
            </w:r>
          </w:p>
        </w:tc>
        <w:tc>
          <w:tcPr>
            <w:tcW w:w="6720" w:type="dxa"/>
            <w:vAlign w:val="bottom"/>
            <w:gridSpan w:val="2"/>
          </w:tcPr>
          <w:p>
            <w:pPr>
              <w:ind w:left="3200"/>
              <w:spacing w:after="0"/>
              <w:rPr>
                <w:sz w:val="20"/>
                <w:szCs w:val="20"/>
                <w:color w:val="auto"/>
              </w:rPr>
            </w:pPr>
            <w:r>
              <w:rPr>
                <w:rFonts w:ascii="Arial" w:cs="Arial" w:eastAsia="Arial" w:hAnsi="Arial"/>
                <w:sz w:val="18"/>
                <w:szCs w:val="18"/>
                <w:color w:val="auto"/>
              </w:rPr>
              <w:t>Delaware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Creatix, Inc.</w:t>
            </w:r>
          </w:p>
        </w:tc>
        <w:tc>
          <w:tcPr>
            <w:tcW w:w="6720" w:type="dxa"/>
            <w:vAlign w:val="bottom"/>
            <w:gridSpan w:val="2"/>
          </w:tcPr>
          <w:p>
            <w:pPr>
              <w:ind w:left="3200"/>
              <w:spacing w:after="0"/>
              <w:rPr>
                <w:sz w:val="20"/>
                <w:szCs w:val="20"/>
                <w:color w:val="auto"/>
              </w:rPr>
            </w:pPr>
            <w:r>
              <w:rPr>
                <w:rFonts w:ascii="Arial" w:cs="Arial" w:eastAsia="Arial" w:hAnsi="Arial"/>
                <w:sz w:val="18"/>
                <w:szCs w:val="18"/>
                <w:color w:val="auto"/>
              </w:rPr>
              <w:t>Illinois</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Connected Benefits, LLC</w:t>
            </w:r>
          </w:p>
        </w:tc>
        <w:tc>
          <w:tcPr>
            <w:tcW w:w="6720" w:type="dxa"/>
            <w:vAlign w:val="bottom"/>
            <w:gridSpan w:val="2"/>
          </w:tcPr>
          <w:p>
            <w:pPr>
              <w:ind w:left="3200"/>
              <w:spacing w:after="0"/>
              <w:rPr>
                <w:sz w:val="20"/>
                <w:szCs w:val="20"/>
                <w:color w:val="auto"/>
              </w:rPr>
            </w:pPr>
            <w:r>
              <w:rPr>
                <w:rFonts w:ascii="Arial" w:cs="Arial" w:eastAsia="Arial" w:hAnsi="Arial"/>
                <w:sz w:val="18"/>
                <w:szCs w:val="18"/>
                <w:color w:val="auto"/>
              </w:rPr>
              <w:t>Delaware</w:t>
            </w:r>
          </w:p>
        </w:tc>
      </w:tr>
      <w:tr>
        <w:trPr>
          <w:trHeight w:val="324"/>
        </w:trPr>
        <w:tc>
          <w:tcPr>
            <w:tcW w:w="2540" w:type="dxa"/>
            <w:vAlign w:val="bottom"/>
          </w:tcPr>
          <w:p>
            <w:pPr>
              <w:spacing w:after="0"/>
              <w:rPr>
                <w:sz w:val="20"/>
                <w:szCs w:val="20"/>
                <w:color w:val="auto"/>
              </w:rPr>
            </w:pPr>
            <w:r>
              <w:rPr>
                <w:rFonts w:ascii="Arial" w:cs="Arial" w:eastAsia="Arial" w:hAnsi="Arial"/>
                <w:sz w:val="18"/>
                <w:szCs w:val="18"/>
                <w:color w:val="auto"/>
              </w:rPr>
              <w:t>GoHealth, s.r.o.</w:t>
            </w:r>
          </w:p>
        </w:tc>
        <w:tc>
          <w:tcPr>
            <w:tcW w:w="6720" w:type="dxa"/>
            <w:vAlign w:val="bottom"/>
            <w:gridSpan w:val="2"/>
          </w:tcPr>
          <w:p>
            <w:pPr>
              <w:ind w:left="3200"/>
              <w:spacing w:after="0"/>
              <w:rPr>
                <w:sz w:val="20"/>
                <w:szCs w:val="20"/>
                <w:color w:val="auto"/>
              </w:rPr>
            </w:pPr>
            <w:r>
              <w:rPr>
                <w:rFonts w:ascii="Arial" w:cs="Arial" w:eastAsia="Arial" w:hAnsi="Arial"/>
                <w:sz w:val="18"/>
                <w:szCs w:val="18"/>
                <w:color w:val="auto"/>
              </w:rPr>
              <w:t>Slovakia</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AA85FB"/>
    <w:multiLevelType w:val="hybridMultilevel"/>
    <w:lvl w:ilvl="0">
      <w:lvlJc w:val="left"/>
      <w:lvlText w:val="$"/>
      <w:numFmt w:val="bullet"/>
      <w:start w:val="1"/>
    </w:lvl>
  </w:abstractNum>
  <w:abstractNum w:abstractNumId="1">
    <w:nsid w:val="3F06ECB2"/>
    <w:multiLevelType w:val="hybridMultilevel"/>
    <w:lvl w:ilvl="0">
      <w:lvlJc w:val="left"/>
      <w:lvlText w:val="$"/>
      <w:numFmt w:val="bullet"/>
      <w:start w:val="1"/>
    </w:lvl>
  </w:abstractNum>
  <w:abstractNum w:abstractNumId="2">
    <w:nsid w:val="3B594807"/>
    <w:multiLevelType w:val="hybridMultilevel"/>
    <w:lvl w:ilvl="0">
      <w:lvlJc w:val="left"/>
      <w:lvlText w:val="(%1)"/>
      <w:numFmt w:val="decimal"/>
      <w:start w:val="2"/>
    </w:lvl>
  </w:abstractNum>
  <w:abstractNum w:abstractNumId="3">
    <w:nsid w:val="6CAA2304"/>
    <w:multiLevelType w:val="hybridMultilevel"/>
    <w:lvl w:ilvl="0">
      <w:lvlJc w:val="left"/>
      <w:lvlText w:val="(%1)"/>
      <w:numFmt w:val="lowerLetter"/>
      <w:start w:val="1"/>
    </w:lvl>
  </w:abstractNum>
  <w:abstractNum w:abstractNumId="4">
    <w:nsid w:val="3F7C2FF4"/>
    <w:multiLevelType w:val="hybridMultilevel"/>
    <w:lvl w:ilvl="0">
      <w:lvlJc w:val="left"/>
      <w:lvlText w:val="*"/>
      <w:numFmt w:val="bullet"/>
      <w:start w:val="1"/>
    </w:lvl>
  </w:abstractNum>
  <w:abstractNum w:abstractNumId="5">
    <w:nsid w:val="25413BEC"/>
    <w:multiLevelType w:val="hybridMultilevel"/>
    <w:lvl w:ilvl="0">
      <w:lvlJc w:val="left"/>
      <w:lvlText w:val="+"/>
      <w:numFmt w:val="bullet"/>
      <w:start w:val="1"/>
    </w:lvl>
  </w:abstractNum>
  <w:abstractNum w:abstractNumId="6">
    <w:nsid w:val="17180B0B"/>
    <w:multiLevelType w:val="hybridMultilevel"/>
    <w:lvl w:ilvl="0">
      <w:lvlJc w:val="left"/>
      <w:lvlText w:val="†"/>
      <w:numFmt w:val="bullet"/>
      <w:start w:val="1"/>
    </w:lvl>
  </w:abstractNum>
  <w:abstractNum w:abstractNumId="7">
    <w:nsid w:val="579328B9"/>
    <w:multiLevelType w:val="hybridMultilevel"/>
    <w:lvl w:ilvl="0">
      <w:lvlJc w:val="left"/>
      <w:lvlText w:val="(%1)"/>
      <w:numFmt w:val="lowerLetter"/>
      <w:start w:val="1"/>
    </w:lvl>
    <w:lvl w:ilvl="1">
      <w:lvlJc w:val="left"/>
      <w:lvlText w:val="(%2)"/>
      <w:numFmt w:val="decimal"/>
      <w:start w:val="1"/>
    </w:lvl>
  </w:abstractNum>
  <w:abstractNum w:abstractNumId="8">
    <w:nsid w:val="5D205E20"/>
    <w:multiLevelType w:val="hybridMultilevel"/>
    <w:lvl w:ilvl="0">
      <w:lvlJc w:val="left"/>
      <w:lvlText w:val="%1."/>
      <w:numFmt w:val="decimal"/>
      <w:start w:val="1"/>
    </w:lvl>
    <w:lvl w:ilvl="1">
      <w:lvlJc w:val="left"/>
      <w:lvlText w:val="(%2)"/>
      <w:numFmt w:val="lowerRoman"/>
      <w:start w:val="1"/>
    </w:lvl>
  </w:abstractNum>
  <w:abstractNum w:abstractNumId="9">
    <w:nsid w:val="11CCA8BA"/>
    <w:multiLevelType w:val="hybridMultilevel"/>
    <w:lvl w:ilvl="0">
      <w:lvlJc w:val="left"/>
      <w:lvlText w:val="(%1)"/>
      <w:numFmt w:val="lowerRoman"/>
      <w:start w:val="2"/>
    </w:lvl>
  </w:abstractNum>
  <w:abstractNum w:abstractNumId="10">
    <w:nsid w:val="4D32AB86"/>
    <w:multiLevelType w:val="hybridMultilevel"/>
    <w:lvl w:ilvl="0">
      <w:lvlJc w:val="left"/>
      <w:lvlText w:val="(%1)"/>
      <w:numFmt w:val="lowerRoman"/>
      <w:start w:val="6"/>
    </w:lvl>
  </w:abstractNum>
  <w:abstractNum w:abstractNumId="11">
    <w:nsid w:val="3F07ACC3"/>
    <w:multiLevelType w:val="hybridMultilevel"/>
    <w:lvl w:ilvl="0">
      <w:lvlJc w:val="left"/>
      <w:lvlText w:val="(%1)"/>
      <w:numFmt w:val="lowerRoman"/>
      <w:start w:val="8"/>
    </w:lvl>
  </w:abstractNum>
  <w:abstractNum w:abstractNumId="12">
    <w:nsid w:val="6B47F63E"/>
    <w:multiLevelType w:val="hybridMultilevel"/>
    <w:lvl w:ilvl="0">
      <w:lvlJc w:val="left"/>
      <w:lvlText w:val="(%1)"/>
      <w:numFmt w:val="upperLetter"/>
      <w:start w:val="24"/>
    </w:lvl>
    <w:lvl w:ilvl="1">
      <w:lvlJc w:val="left"/>
      <w:lvlText w:val="(%2)"/>
      <w:numFmt w:val="lowerRoman"/>
      <w:start w:val="12"/>
    </w:lvl>
  </w:abstractNum>
  <w:abstractNum w:abstractNumId="13">
    <w:nsid w:val="5CB44A05"/>
    <w:multiLevelType w:val="hybridMultilevel"/>
    <w:lvl w:ilvl="0">
      <w:lvlJc w:val="left"/>
      <w:lvlText w:val="(%1)"/>
      <w:numFmt w:val="lowerRoman"/>
      <w:start w:val="17"/>
    </w:lvl>
  </w:abstractNum>
  <w:abstractNum w:abstractNumId="14">
    <w:nsid w:val="16CF80F1"/>
    <w:multiLevelType w:val="hybridMultilevel"/>
    <w:lvl w:ilvl="0">
      <w:lvlJc w:val="left"/>
      <w:lvlText w:val="%1"/>
      <w:numFmt w:val="lowerRoman"/>
      <w:start w:val="1"/>
    </w:lvl>
    <w:lvl w:ilvl="1">
      <w:lvlJc w:val="left"/>
      <w:lvlText w:val="(%2)"/>
      <w:numFmt w:val="lowerRoman"/>
      <w:start w:val="22"/>
    </w:lvl>
  </w:abstractNum>
  <w:abstractNum w:abstractNumId="15">
    <w:nsid w:val="1C695DEC"/>
    <w:multiLevelType w:val="hybridMultilevel"/>
    <w:lvl w:ilvl="0">
      <w:lvlJc w:val="left"/>
      <w:lvlText w:val="(%1)"/>
      <w:numFmt w:val="lowerRoman"/>
      <w:start w:val="1"/>
    </w:lvl>
    <w:lvl w:ilvl="1">
      <w:lvlJc w:val="left"/>
      <w:lvlText w:val="(%2)"/>
      <w:numFmt w:val="lowerRoman"/>
      <w:start w:val="23"/>
    </w:lvl>
  </w:abstractNum>
  <w:abstractNum w:abstractNumId="16">
    <w:nsid w:val="3FCFAED9"/>
    <w:multiLevelType w:val="hybridMultilevel"/>
    <w:lvl w:ilvl="0">
      <w:lvlJc w:val="left"/>
      <w:lvlText w:val="(%1)"/>
      <w:numFmt w:val="lowerRoman"/>
      <w:start w:val="25"/>
    </w:lvl>
  </w:abstractNum>
  <w:abstractNum w:abstractNumId="17">
    <w:nsid w:val="F856867"/>
    <w:multiLevelType w:val="hybridMultilevel"/>
    <w:lvl w:ilvl="0">
      <w:lvlJc w:val="left"/>
      <w:lvlText w:val="(%1)"/>
      <w:numFmt w:val="lowerRoman"/>
      <w:start w:val="30"/>
    </w:lvl>
  </w:abstractNum>
  <w:abstractNum w:abstractNumId="18">
    <w:nsid w:val="11B1CC33"/>
    <w:multiLevelType w:val="hybridMultilevel"/>
    <w:lvl w:ilvl="0">
      <w:lvlJc w:val="left"/>
      <w:lvlText w:val="(%1)"/>
      <w:numFmt w:val="lowerRoman"/>
      <w:start w:val="4"/>
    </w:lvl>
    <w:lvl w:ilvl="1">
      <w:lvlJc w:val="left"/>
      <w:lvlText w:val="(%2)"/>
      <w:numFmt w:val="lowerRoman"/>
      <w:start w:val="32"/>
    </w:lvl>
  </w:abstractNum>
  <w:abstractNum w:abstractNumId="19">
    <w:nsid w:val="2E22FBB7"/>
    <w:multiLevelType w:val="hybridMultilevel"/>
    <w:lvl w:ilvl="0">
      <w:lvlJc w:val="left"/>
      <w:lvlText w:val="(%1)"/>
      <w:numFmt w:val="lowerRoman"/>
      <w:start w:val="33"/>
    </w:lvl>
  </w:abstractNum>
  <w:abstractNum w:abstractNumId="20">
    <w:nsid w:val="29934699"/>
    <w:multiLevelType w:val="hybridMultilevel"/>
    <w:lvl w:ilvl="0">
      <w:lvlJc w:val="left"/>
      <w:lvlText w:val="(%1)"/>
      <w:numFmt w:val="lowerRoman"/>
      <w:start w:val="37"/>
    </w:lvl>
  </w:abstractNum>
  <w:abstractNum w:abstractNumId="21">
    <w:nsid w:val="77485850"/>
    <w:multiLevelType w:val="hybridMultilevel"/>
    <w:lvl w:ilvl="0">
      <w:lvlJc w:val="left"/>
      <w:lvlText w:val="(%1)"/>
      <w:numFmt w:val="decimal"/>
      <w:start w:val="3"/>
    </w:lvl>
    <w:lvl w:ilvl="1">
      <w:lvlJc w:val="left"/>
      <w:lvlText w:val="(%2)"/>
      <w:numFmt w:val="lowerRoman"/>
      <w:start w:val="39"/>
    </w:lvl>
  </w:abstractNum>
  <w:abstractNum w:abstractNumId="22">
    <w:nsid w:val="744939A3"/>
    <w:multiLevelType w:val="hybridMultilevel"/>
    <w:lvl w:ilvl="0">
      <w:lvlJc w:val="left"/>
      <w:lvlText w:val="%1."/>
      <w:numFmt w:val="decimal"/>
      <w:start w:val="2"/>
    </w:lvl>
  </w:abstractNum>
  <w:abstractNum w:abstractNumId="23">
    <w:nsid w:val="4FA0D2E3"/>
    <w:multiLevelType w:val="hybridMultilevel"/>
    <w:lvl w:ilvl="0">
      <w:lvlJc w:val="left"/>
      <w:lvlText w:val="%1."/>
      <w:numFmt w:val="decimal"/>
      <w:start w:val="3"/>
    </w:lvl>
  </w:abstractNum>
  <w:abstractNum w:abstractNumId="24">
    <w:nsid w:val="6B1D2C14"/>
    <w:multiLevelType w:val="hybridMultilevel"/>
    <w:lvl w:ilvl="0">
      <w:lvlJc w:val="left"/>
      <w:lvlText w:val="(%1)"/>
      <w:numFmt w:val="lowerLetter"/>
      <w:start w:val="2"/>
    </w:lvl>
  </w:abstractNum>
  <w:abstractNum w:abstractNumId="25">
    <w:nsid w:val="68B867D3"/>
    <w:multiLevelType w:val="hybridMultilevel"/>
    <w:lvl w:ilvl="0">
      <w:lvlJc w:val="left"/>
      <w:lvlText w:val="(%1)"/>
      <w:numFmt w:val="lowerLetter"/>
      <w:start w:val="1"/>
    </w:lvl>
  </w:abstractNum>
  <w:abstractNum w:abstractNumId="26">
    <w:nsid w:val="3F7F5DD9"/>
    <w:multiLevelType w:val="hybridMultilevel"/>
    <w:lvl w:ilvl="0">
      <w:lvlJc w:val="left"/>
      <w:lvlText w:val="%1"/>
      <w:numFmt w:val="lowerLetter"/>
      <w:start w:val="1"/>
    </w:lvl>
    <w:lvl w:ilvl="1">
      <w:lvlJc w:val="left"/>
      <w:lvlText w:val="(%2)"/>
      <w:numFmt w:val="lowerLetter"/>
      <w:start w:val="4"/>
    </w:lvl>
  </w:abstractNum>
  <w:abstractNum w:abstractNumId="27">
    <w:nsid w:val="2AE05A34"/>
    <w:multiLevelType w:val="hybridMultilevel"/>
    <w:lvl w:ilvl="0">
      <w:lvlJc w:val="left"/>
      <w:lvlText w:val="(%1)"/>
      <w:numFmt w:val="lowerLetter"/>
      <w:start w:val="1"/>
    </w:lvl>
    <w:lvl w:ilvl="1">
      <w:lvlJc w:val="left"/>
      <w:lvlText w:val="%2"/>
      <w:numFmt w:val="lowerLetter"/>
      <w:start w:val="1"/>
    </w:lvl>
  </w:abstractNum>
  <w:abstractNum w:abstractNumId="28">
    <w:nsid w:val="32794FF7"/>
    <w:multiLevelType w:val="hybridMultilevel"/>
    <w:lvl w:ilvl="0">
      <w:lvlJc w:val="left"/>
      <w:lvlText w:val="%1"/>
      <w:numFmt w:val="lowerLetter"/>
      <w:start w:val="1"/>
    </w:lvl>
    <w:lvl w:ilvl="1">
      <w:lvlJc w:val="left"/>
      <w:lvlText w:val="(%2)"/>
      <w:numFmt w:val="lowerRoman"/>
      <w:start w:val="2"/>
    </w:lvl>
  </w:abstractNum>
  <w:abstractNum w:abstractNumId="29">
    <w:nsid w:val="5454945E"/>
    <w:multiLevelType w:val="hybridMultilevel"/>
    <w:lvl w:ilvl="0">
      <w:lvlJc w:val="left"/>
      <w:lvlText w:val="(%1)"/>
      <w:numFmt w:val="lowerLetter"/>
      <w:start w:val="6"/>
    </w:lvl>
    <w:lvl w:ilvl="1">
      <w:lvlJc w:val="left"/>
      <w:lvlText w:val="%2"/>
      <w:numFmt w:val="lowerRoman"/>
      <w:start w:val="1"/>
    </w:lvl>
  </w:abstractNum>
  <w:abstractNum w:abstractNumId="30">
    <w:nsid w:val="4DEFDFA0"/>
    <w:multiLevelType w:val="hybridMultilevel"/>
    <w:lvl w:ilvl="0">
      <w:lvlJc w:val="left"/>
      <w:lvlText w:val="(%1)"/>
      <w:numFmt w:val="lowerLetter"/>
      <w:start w:val="7"/>
    </w:lvl>
  </w:abstractNum>
  <w:abstractNum w:abstractNumId="31">
    <w:nsid w:val="2123D5F2"/>
    <w:multiLevelType w:val="hybridMultilevel"/>
    <w:lvl w:ilvl="0">
      <w:lvlJc w:val="left"/>
      <w:lvlText w:val="%1."/>
      <w:numFmt w:val="decimal"/>
      <w:start w:val="6"/>
    </w:lvl>
  </w:abstractNum>
  <w:abstractNum w:abstractNumId="32">
    <w:nsid w:val="135B8110"/>
    <w:multiLevelType w:val="hybridMultilevel"/>
    <w:lvl w:ilvl="0">
      <w:lvlJc w:val="left"/>
      <w:lvlText w:val="(%1)"/>
      <w:numFmt w:val="lowerLetter"/>
      <w:start w:val="2"/>
    </w:lvl>
  </w:abstractNum>
  <w:abstractNum w:abstractNumId="33">
    <w:nsid w:val="94927A8"/>
    <w:multiLevelType w:val="hybridMultilevel"/>
    <w:lvl w:ilvl="0">
      <w:lvlJc w:val="left"/>
      <w:lvlText w:val="(%1)"/>
      <w:numFmt w:val="lowerLetter"/>
      <w:start w:val="3"/>
    </w:lvl>
  </w:abstractNum>
  <w:abstractNum w:abstractNumId="34">
    <w:nsid w:val="DCDF8F6"/>
    <w:multiLevelType w:val="hybridMultilevel"/>
    <w:lvl w:ilvl="0">
      <w:lvlJc w:val="left"/>
      <w:lvlText w:val="%1"/>
      <w:numFmt w:val="lowerRoman"/>
      <w:start w:val="1"/>
    </w:lvl>
    <w:lvl w:ilvl="1">
      <w:lvlJc w:val="left"/>
      <w:lvlText w:val="%2."/>
      <w:numFmt w:val="decimal"/>
      <w:start w:val="7"/>
    </w:lvl>
  </w:abstractNum>
  <w:abstractNum w:abstractNumId="35">
    <w:nsid w:val="52D7B105"/>
    <w:multiLevelType w:val="hybridMultilevel"/>
    <w:lvl w:ilvl="0">
      <w:lvlJc w:val="left"/>
      <w:lvlText w:val="(%1)"/>
      <w:numFmt w:val="lowerRoman"/>
      <w:start w:val="8"/>
    </w:lvl>
    <w:lvl w:ilvl="1">
      <w:lvlJc w:val="left"/>
      <w:lvlText w:val="%2"/>
      <w:numFmt w:val="decimal"/>
      <w:start w:val="1"/>
    </w:lvl>
  </w:abstractNum>
  <w:abstractNum w:abstractNumId="36">
    <w:nsid w:val="2E8A6394"/>
    <w:multiLevelType w:val="hybridMultilevel"/>
    <w:lvl w:ilvl="0">
      <w:lvlJc w:val="left"/>
      <w:lvlText w:val="%1."/>
      <w:numFmt w:val="decimal"/>
      <w:start w:val="8"/>
    </w:lvl>
  </w:abstractNum>
  <w:abstractNum w:abstractNumId="37">
    <w:nsid w:val="24E60401"/>
    <w:multiLevelType w:val="hybridMultilevel"/>
    <w:lvl w:ilvl="0">
      <w:lvlJc w:val="left"/>
      <w:lvlText w:val="(%1)"/>
      <w:numFmt w:val="lowerLetter"/>
      <w:start w:val="1"/>
    </w:lvl>
  </w:abstractNum>
  <w:abstractNum w:abstractNumId="38">
    <w:nsid w:val="2A6AD9BE"/>
    <w:multiLevelType w:val="hybridMultilevel"/>
    <w:lvl w:ilvl="0">
      <w:lvlJc w:val="left"/>
      <w:lvlText w:val="(%1)"/>
      <w:numFmt w:val="lowerLetter"/>
      <w:start w:val="5"/>
    </w:lvl>
  </w:abstractNum>
  <w:abstractNum w:abstractNumId="39">
    <w:nsid w:val="BAAC1B4"/>
    <w:multiLevelType w:val="hybridMultilevel"/>
    <w:lvl w:ilvl="0">
      <w:lvlJc w:val="left"/>
      <w:lvlText w:val="(%1)"/>
      <w:numFmt w:val="lowerLetter"/>
      <w:start w:val="11"/>
    </w:lvl>
  </w:abstractNum>
  <w:abstractNum w:abstractNumId="40">
    <w:nsid w:val="36B2ACBC"/>
    <w:multiLevelType w:val="hybridMultilevel"/>
    <w:lvl w:ilvl="0">
      <w:lvlJc w:val="left"/>
      <w:lvlText w:val="%1."/>
      <w:numFmt w:val="decimal"/>
      <w:start w:val="9"/>
    </w:lvl>
  </w:abstractNum>
  <w:abstractNum w:abstractNumId="41">
    <w:nsid w:val="779D8544"/>
    <w:multiLevelType w:val="hybridMultilevel"/>
    <w:lvl w:ilvl="0">
      <w:lvlJc w:val="left"/>
      <w:lvlText w:val="(%1)"/>
      <w:numFmt w:val="lowerLetter"/>
      <w:start w:val="2"/>
    </w:lvl>
  </w:abstractNum>
  <w:abstractNum w:abstractNumId="42">
    <w:nsid w:val="4AB26E78"/>
    <w:multiLevelType w:val="hybridMultilevel"/>
    <w:lvl w:ilvl="0">
      <w:lvlJc w:val="left"/>
      <w:lvlText w:val="%1"/>
      <w:numFmt w:val="lowerLetter"/>
      <w:start w:val="1"/>
    </w:lvl>
    <w:lvl w:ilvl="1">
      <w:lvlJc w:val="left"/>
      <w:lvlText w:val="(%2)"/>
      <w:numFmt w:val="lowerLetter"/>
      <w:start w:val="3"/>
    </w:lvl>
  </w:abstractNum>
  <w:abstractNum w:abstractNumId="43">
    <w:nsid w:val="21FAA2FA"/>
    <w:multiLevelType w:val="hybridMultilevel"/>
    <w:lvl w:ilvl="0">
      <w:lvlJc w:val="left"/>
      <w:lvlText w:val="(%1)"/>
      <w:numFmt w:val="lowerLetter"/>
      <w:start w:val="1"/>
    </w:lvl>
    <w:lvl w:ilvl="1">
      <w:lvlJc w:val="left"/>
      <w:lvlText w:val="%2"/>
      <w:numFmt w:val="lowerLetter"/>
      <w:start w:val="1"/>
    </w:lvl>
  </w:abstractNum>
  <w:abstractNum w:abstractNumId="44">
    <w:nsid w:val="5451CF49"/>
    <w:multiLevelType w:val="hybridMultilevel"/>
    <w:lvl w:ilvl="0">
      <w:lvlJc w:val="left"/>
      <w:lvlText w:val="(%1)"/>
      <w:numFmt w:val="lowerLetter"/>
      <w:start w:val="5"/>
    </w:lvl>
  </w:abstractNum>
  <w:abstractNum w:abstractNumId="45">
    <w:nsid w:val="6181EF69"/>
    <w:multiLevelType w:val="hybridMultilevel"/>
    <w:lvl w:ilvl="0">
      <w:lvlJc w:val="left"/>
      <w:lvlText w:val="%1"/>
      <w:numFmt w:val="lowerRoman"/>
      <w:start w:val="1"/>
    </w:lvl>
    <w:lvl w:ilvl="1">
      <w:lvlJc w:val="left"/>
      <w:lvlText w:val="%2."/>
      <w:numFmt w:val="decimal"/>
      <w:start w:val="10"/>
    </w:lvl>
  </w:abstractNum>
  <w:abstractNum w:abstractNumId="46">
    <w:nsid w:val="3E6400E6"/>
    <w:multiLevelType w:val="hybridMultilevel"/>
    <w:lvl w:ilvl="0">
      <w:lvlJc w:val="left"/>
      <w:lvlText w:val="(%1)"/>
      <w:numFmt w:val="lowerRoman"/>
      <w:start w:val="1"/>
    </w:lvl>
    <w:lvl w:ilvl="1">
      <w:lvlJc w:val="left"/>
      <w:lvlText w:val="%2"/>
      <w:numFmt w:val="decimal"/>
      <w:start w:val="1"/>
    </w:lvl>
  </w:abstractNum>
  <w:abstractNum w:abstractNumId="47">
    <w:nsid w:val="14217E23"/>
    <w:multiLevelType w:val="hybridMultilevel"/>
    <w:lvl w:ilvl="0">
      <w:lvlJc w:val="left"/>
      <w:lvlText w:val="(%1)"/>
      <w:numFmt w:val="lowerLetter"/>
      <w:start w:val="2"/>
    </w:lvl>
  </w:abstractNum>
  <w:abstractNum w:abstractNumId="48">
    <w:nsid w:val="710757D0"/>
    <w:multiLevelType w:val="hybridMultilevel"/>
    <w:lvl w:ilvl="0">
      <w:lvlJc w:val="left"/>
      <w:lvlText w:val="(%1)"/>
      <w:numFmt w:val="lowerLetter"/>
      <w:start w:val="4"/>
    </w:lvl>
  </w:abstractNum>
  <w:abstractNum w:abstractNumId="49">
    <w:nsid w:val="5015CD1A"/>
    <w:multiLevelType w:val="hybridMultilevel"/>
    <w:lvl w:ilvl="0">
      <w:lvlJc w:val="left"/>
      <w:lvlText w:val="%1."/>
      <w:numFmt w:val="decimal"/>
      <w:start w:val="11"/>
    </w:lvl>
  </w:abstractNum>
  <w:abstractNum w:abstractNumId="50">
    <w:nsid w:val="424479DA"/>
    <w:multiLevelType w:val="hybridMultilevel"/>
    <w:lvl w:ilvl="0">
      <w:lvlJc w:val="left"/>
      <w:lvlText w:val="(%1)"/>
      <w:numFmt w:val="lowerLetter"/>
      <w:start w:val="2"/>
    </w:lvl>
  </w:abstractNum>
  <w:abstractNum w:abstractNumId="51">
    <w:nsid w:val="1A9A9E69"/>
    <w:multiLevelType w:val="hybridMultilevel"/>
    <w:lvl w:ilvl="0">
      <w:lvlJc w:val="left"/>
      <w:lvlText w:val="(%1)"/>
      <w:numFmt w:val="lowerLetter"/>
      <w:start w:val="3"/>
    </w:lvl>
  </w:abstractNum>
  <w:abstractNum w:abstractNumId="52">
    <w:nsid w:val="475E256A"/>
    <w:multiLevelType w:val="hybridMultilevel"/>
    <w:lvl w:ilvl="0">
      <w:lvlJc w:val="left"/>
      <w:lvlText w:val="%1."/>
      <w:numFmt w:val="decimal"/>
      <w:start w:val="12"/>
    </w:lvl>
  </w:abstractNum>
  <w:abstractNum w:abstractNumId="53">
    <w:nsid w:val="368DB37E"/>
    <w:multiLevelType w:val="hybridMultilevel"/>
    <w:lvl w:ilvl="0">
      <w:lvlJc w:val="left"/>
      <w:lvlText w:val="(%1)"/>
      <w:numFmt w:val="lowerRoman"/>
      <w:start w:val="2"/>
    </w:lvl>
  </w:abstractNum>
  <w:abstractNum w:abstractNumId="54">
    <w:nsid w:val="6A3B714C"/>
    <w:multiLevelType w:val="hybridMultilevel"/>
    <w:lvl w:ilvl="0">
      <w:lvlJc w:val="left"/>
      <w:lvlText w:val="%1."/>
      <w:numFmt w:val="decimal"/>
      <w:start w:val="15"/>
    </w:lvl>
  </w:abstractNum>
  <w:abstractNum w:abstractNumId="55">
    <w:nsid w:val="327B517E"/>
    <w:multiLevelType w:val="hybridMultilevel"/>
    <w:lvl w:ilvl="0">
      <w:lvlJc w:val="left"/>
      <w:lvlText w:val="%1."/>
      <w:numFmt w:val="decimal"/>
      <w:start w:val="19"/>
    </w:lvl>
  </w:abstractNum>
  <w:abstractNum w:abstractNumId="56">
    <w:nsid w:val="1F461B51"/>
    <w:multiLevelType w:val="hybridMultilevel"/>
    <w:lvl w:ilvl="0">
      <w:lvlJc w:val="left"/>
      <w:lvlText w:val="(%1)"/>
      <w:numFmt w:val="lowerLetter"/>
      <w:start w:val="1"/>
    </w:lvl>
  </w:abstractNum>
  <w:abstractNum w:abstractNumId="57">
    <w:nsid w:val="29BACF25"/>
    <w:multiLevelType w:val="hybridMultilevel"/>
    <w:lvl w:ilvl="0">
      <w:lvlJc w:val="left"/>
      <w:lvlText w:val="(%1)"/>
      <w:numFmt w:val="lowerRoman"/>
      <w:start w:val="1"/>
    </w:lvl>
  </w:abstractNum>
  <w:abstractNum w:abstractNumId="58">
    <w:nsid w:val="5D5BABB3"/>
    <w:multiLevelType w:val="hybridMultilevel"/>
    <w:lvl w:ilvl="0">
      <w:lvlJc w:val="left"/>
      <w:lvlText w:val="(%1)"/>
      <w:numFmt w:val="lowerRoman"/>
      <w:start w:val="2"/>
    </w:lvl>
  </w:abstractNum>
  <w:abstractNum w:abstractNumId="59">
    <w:nsid w:val="51BF6B48"/>
    <w:multiLevelType w:val="hybridMultilevel"/>
    <w:lvl w:ilvl="0">
      <w:lvlJc w:val="left"/>
      <w:lvlText w:val="(%1)"/>
      <w:numFmt w:val="lowerLetter"/>
      <w:start w:val="1"/>
    </w:lvl>
  </w:abstractNum>
  <w:abstractNum w:abstractNumId="60">
    <w:nsid w:val="7E0F6384"/>
    <w:multiLevelType w:val="hybridMultilevel"/>
    <w:lvl w:ilvl="0">
      <w:lvlJc w:val="left"/>
      <w:lvlText w:val="(%1)"/>
      <w:numFmt w:val="lowerLetter"/>
      <w:start w:val="3"/>
    </w:lvl>
  </w:abstractNum>
  <w:abstractNum w:abstractNumId="61">
    <w:nsid w:val="2B4B8B53"/>
    <w:multiLevelType w:val="hybridMultilevel"/>
    <w:lvl w:ilvl="0">
      <w:lvlJc w:val="left"/>
      <w:lvlText w:val="(%1)"/>
      <w:numFmt w:val="lowerRoman"/>
      <w:start w:val="1"/>
    </w:lvl>
  </w:abstractNum>
  <w:abstractNum w:abstractNumId="62">
    <w:nsid w:val="72E3413A"/>
    <w:multiLevelType w:val="hybridMultilevel"/>
    <w:lvl w:ilvl="0">
      <w:lvlJc w:val="left"/>
      <w:lvlText w:val="(%1)"/>
      <w:numFmt w:val="lowerRoman"/>
      <w:start w:val="6"/>
    </w:lvl>
  </w:abstractNum>
  <w:abstractNum w:abstractNumId="63">
    <w:nsid w:val="116AE494"/>
    <w:multiLevelType w:val="hybridMultilevel"/>
    <w:lvl w:ilvl="0">
      <w:lvlJc w:val="left"/>
      <w:lvlText w:val="(%1)"/>
      <w:numFmt w:val="lowerRoman"/>
      <w:start w:val="11"/>
    </w:lvl>
  </w:abstractNum>
  <w:abstractNum w:abstractNumId="64">
    <w:nsid w:val="3494B2FB"/>
    <w:multiLevelType w:val="hybridMultilevel"/>
    <w:lvl w:ilvl="0">
      <w:lvlJc w:val="left"/>
      <w:lvlText w:val="%1."/>
      <w:numFmt w:val="decimal"/>
      <w:start w:val="1"/>
    </w:lvl>
  </w:abstractNum>
  <w:abstractNum w:abstractNumId="65">
    <w:nsid w:val="B13A31"/>
    <w:multiLevelType w:val="hybridMultilevel"/>
    <w:lvl w:ilvl="0">
      <w:lvlJc w:val="left"/>
      <w:lvlText w:val="(%1)"/>
      <w:numFmt w:val="lowerLetter"/>
      <w:start w:val="1"/>
    </w:lvl>
    <w:lvl w:ilvl="1">
      <w:lvlJc w:val="left"/>
      <w:lvlText w:val="(%2)"/>
      <w:numFmt w:val="lowerRoman"/>
      <w:start w:val="1"/>
    </w:lvl>
  </w:abstractNum>
  <w:abstractNum w:abstractNumId="66">
    <w:nsid w:val="64429599"/>
    <w:multiLevelType w:val="hybridMultilevel"/>
    <w:lvl w:ilvl="0">
      <w:lvlJc w:val="left"/>
      <w:lvlText w:val="(%1)"/>
      <w:numFmt w:val="lowerLetter"/>
      <w:start w:val="1"/>
    </w:lvl>
    <w:lvl w:ilvl="1">
      <w:lvlJc w:val="left"/>
      <w:lvlText w:val="(%2)"/>
      <w:numFmt w:val="lowerRoman"/>
      <w:start w:val="1"/>
    </w:lvl>
  </w:abstractNum>
  <w:abstractNum w:abstractNumId="67">
    <w:nsid w:val="631F1690"/>
    <w:multiLevelType w:val="hybridMultilevel"/>
    <w:lvl w:ilvl="0">
      <w:lvlJc w:val="left"/>
      <w:lvlText w:val="(%1)"/>
      <w:numFmt w:val="lowerLetter"/>
      <w:start w:val="3"/>
    </w:lvl>
  </w:abstractNum>
  <w:abstractNum w:abstractNumId="68">
    <w:nsid w:val="25973E32"/>
    <w:multiLevelType w:val="hybridMultilevel"/>
    <w:lvl w:ilvl="0">
      <w:lvlJc w:val="left"/>
      <w:lvlText w:val="(%1)"/>
      <w:numFmt w:val="lowerRoman"/>
      <w:start w:val="2"/>
    </w:lvl>
  </w:abstractNum>
  <w:abstractNum w:abstractNumId="69">
    <w:nsid w:val="EAD6F57"/>
    <w:multiLevelType w:val="hybridMultilevel"/>
    <w:lvl w:ilvl="0">
      <w:lvlJc w:val="left"/>
      <w:lvlText w:val="(%1)"/>
      <w:numFmt w:val="lowerRoman"/>
      <w:start w:val="3"/>
    </w:lvl>
  </w:abstractNum>
  <w:abstractNum w:abstractNumId="70">
    <w:nsid w:val="6EC9D844"/>
    <w:multiLevelType w:val="hybridMultilevel"/>
    <w:lvl w:ilvl="0">
      <w:lvlJc w:val="left"/>
      <w:lvlText w:val="(%1)"/>
      <w:numFmt w:val="lowerLetter"/>
      <w:start w:val="1"/>
    </w:lvl>
  </w:abstractNum>
  <w:abstractNum w:abstractNumId="71">
    <w:nsid w:val="5C49EAEE"/>
    <w:multiLevelType w:val="hybridMultilevel"/>
    <w:lvl w:ilvl="0">
      <w:lvlJc w:val="left"/>
      <w:lvlText w:val="(%1)"/>
      <w:numFmt w:val="lowerRoman"/>
      <w:start w:val="3"/>
    </w:lvl>
  </w:abstractNum>
  <w:abstractNum w:abstractNumId="72">
    <w:nsid w:val="64AF49B"/>
    <w:multiLevelType w:val="hybridMultilevel"/>
    <w:lvl w:ilvl="0">
      <w:lvlJc w:val="left"/>
      <w:lvlText w:val="(%1)"/>
      <w:numFmt w:val="lowerLetter"/>
      <w:start w:val="1"/>
    </w:lvl>
  </w:abstractNum>
  <w:abstractNum w:abstractNumId="73">
    <w:nsid w:val="397C46BC"/>
    <w:multiLevelType w:val="hybridMultilevel"/>
    <w:lvl w:ilvl="0">
      <w:lvlJc w:val="left"/>
      <w:lvlText w:val="(%1)"/>
      <w:numFmt w:val="lowerLetter"/>
      <w:start w:val="1"/>
    </w:lvl>
  </w:abstractNum>
  <w:abstractNum w:abstractNumId="74">
    <w:nsid w:val="7E448DE9"/>
    <w:multiLevelType w:val="hybridMultilevel"/>
    <w:lvl w:ilvl="0">
      <w:lvlJc w:val="left"/>
      <w:lvlText w:val="(%1)"/>
      <w:numFmt w:val="lowerLetter"/>
      <w:start w:val="3"/>
    </w:lvl>
  </w:abstractNum>
  <w:abstractNum w:abstractNumId="75">
    <w:nsid w:val="5A9CC3E5"/>
    <w:multiLevelType w:val="hybridMultilevel"/>
    <w:lvl w:ilvl="0">
      <w:lvlJc w:val="left"/>
      <w:lvlText w:val="(%1)"/>
      <w:numFmt w:val="lowerLetter"/>
      <w:start w:val="1"/>
    </w:lvl>
  </w:abstractNum>
  <w:abstractNum w:abstractNumId="76">
    <w:nsid w:val="1AFE3625"/>
    <w:multiLevelType w:val="hybridMultilevel"/>
    <w:lvl w:ilvl="0">
      <w:lvlJc w:val="left"/>
      <w:lvlText w:val="(%1)"/>
      <w:numFmt w:val="lowerLetter"/>
      <w:start w:val="7"/>
    </w:lvl>
  </w:abstractNum>
  <w:abstractNum w:abstractNumId="77">
    <w:nsid w:val="3CA88ECF"/>
    <w:multiLevelType w:val="hybridMultilevel"/>
    <w:lvl w:ilvl="0">
      <w:lvlJc w:val="left"/>
      <w:lvlText w:val="(%1)"/>
      <w:numFmt w:val="lowerLetter"/>
      <w:start w:val="26"/>
    </w:lvl>
    <w:lvl w:ilvl="1">
      <w:lvlJc w:val="left"/>
      <w:lvlText w:val="(%2)"/>
      <w:numFmt w:val="lowerLetter"/>
      <w:start w:val="10"/>
    </w:lvl>
    <w:lvl w:ilvl="2">
      <w:lvlJc w:val="left"/>
      <w:lvlText w:val="(%3)"/>
      <w:numFmt w:val="lowerRoman"/>
      <w:start w:val="1"/>
    </w:lvl>
  </w:abstractNum>
  <w:abstractNum w:abstractNumId="78">
    <w:nsid w:val="6EBE4208"/>
    <w:multiLevelType w:val="hybridMultilevel"/>
    <w:lvl w:ilvl="0">
      <w:lvlJc w:val="left"/>
      <w:lvlText w:val="(%1)"/>
      <w:numFmt w:val="lowerLetter"/>
      <w:start w:val="16"/>
    </w:lvl>
  </w:abstractNum>
  <w:abstractNum w:abstractNumId="79">
    <w:nsid w:val="C058DF5"/>
    <w:multiLevelType w:val="hybridMultilevel"/>
    <w:lvl w:ilvl="0">
      <w:lvlJc w:val="left"/>
      <w:lvlText w:val="(%1)"/>
      <w:numFmt w:val="lowerLetter"/>
      <w:start w:val="1"/>
    </w:lvl>
  </w:abstractNum>
  <w:abstractNum w:abstractNumId="80">
    <w:nsid w:val="CBE5BE9"/>
    <w:multiLevelType w:val="hybridMultilevel"/>
    <w:lvl w:ilvl="0">
      <w:lvlJc w:val="left"/>
      <w:lvlText w:val="(%1)"/>
      <w:numFmt w:val="lowerLetter"/>
      <w:start w:val="2"/>
    </w:lvl>
  </w:abstractNum>
  <w:abstractNum w:abstractNumId="81">
    <w:nsid w:val="3102BBE2"/>
    <w:multiLevelType w:val="hybridMultilevel"/>
    <w:lvl w:ilvl="0">
      <w:lvlJc w:val="left"/>
      <w:lvlText w:val="(%1)"/>
      <w:numFmt w:val="lowerRoman"/>
      <w:start w:val="3"/>
    </w:lvl>
  </w:abstractNum>
  <w:abstractNum w:abstractNumId="82">
    <w:nsid w:val="26A02C5E"/>
    <w:multiLevelType w:val="hybridMultilevel"/>
    <w:lvl w:ilvl="0">
      <w:lvlJc w:val="left"/>
      <w:lvlText w:val="(%1)"/>
      <w:numFmt w:val="lowerLetter"/>
      <w:start w:val="1"/>
    </w:lvl>
  </w:abstractNum>
  <w:abstractNum w:abstractNumId="83">
    <w:nsid w:val="541C8153"/>
    <w:multiLevelType w:val="hybridMultilevel"/>
    <w:lvl w:ilvl="0">
      <w:lvlJc w:val="left"/>
      <w:lvlText w:val="(%1)"/>
      <w:numFmt w:val="lowerLetter"/>
      <w:start w:val="2"/>
    </w:lvl>
    <w:lvl w:ilvl="1">
      <w:lvlJc w:val="left"/>
      <w:lvlText w:val="(%2)"/>
      <w:numFmt w:val="lowerRoman"/>
      <w:start w:val="1"/>
    </w:lvl>
  </w:abstractNum>
  <w:abstractNum w:abstractNumId="84">
    <w:nsid w:val="67906F60"/>
    <w:multiLevelType w:val="hybridMultilevel"/>
    <w:lvl w:ilvl="0">
      <w:lvlJc w:val="left"/>
      <w:lvlText w:val="%1"/>
      <w:numFmt w:val="lowerRoman"/>
      <w:start w:val="1"/>
    </w:lvl>
    <w:lvl w:ilvl="1">
      <w:lvlJc w:val="left"/>
      <w:lvlText w:val="(%2)"/>
      <w:numFmt w:val="lowerRoman"/>
      <w:start w:val="3"/>
    </w:lvl>
  </w:abstractNum>
  <w:abstractNum w:abstractNumId="85">
    <w:nsid w:val="10DB9DAA"/>
    <w:multiLevelType w:val="hybridMultilevel"/>
    <w:lvl w:ilvl="0">
      <w:lvlJc w:val="left"/>
      <w:lvlText w:val="(%1)"/>
      <w:numFmt w:val="lowerRoman"/>
      <w:start w:val="10"/>
    </w:lvl>
    <w:lvl w:ilvl="1">
      <w:lvlJc w:val="left"/>
      <w:lvlText w:val="%2"/>
      <w:numFmt w:val="lowerRoman"/>
      <w:start w:val="1"/>
    </w:lvl>
  </w:abstractNum>
  <w:abstractNum w:abstractNumId="86">
    <w:nsid w:val="697D2D2"/>
    <w:multiLevelType w:val="hybridMultilevel"/>
    <w:lvl w:ilvl="0">
      <w:lvlJc w:val="left"/>
      <w:lvlText w:val="(%1)"/>
      <w:numFmt w:val="lowerLetter"/>
      <w:start w:val="4"/>
    </w:lvl>
  </w:abstractNum>
  <w:abstractNum w:abstractNumId="87">
    <w:nsid w:val="6D68AB2"/>
    <w:multiLevelType w:val="hybridMultilevel"/>
    <w:lvl w:ilvl="0">
      <w:lvlJc w:val="left"/>
      <w:lvlText w:val="(%1)"/>
      <w:numFmt w:val="lowerLetter"/>
      <w:start w:val="1"/>
    </w:lvl>
  </w:abstractNum>
  <w:abstractNum w:abstractNumId="88">
    <w:nsid w:val="3A966CD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9">
    <w:nsid w:val="63F37E85"/>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3"/>
    </w:lvl>
  </w:abstractNum>
  <w:abstractNum w:abstractNumId="90">
    <w:nsid w:val="5895F5FA"/>
    <w:multiLevelType w:val="hybridMultilevel"/>
    <w:lvl w:ilvl="0">
      <w:lvlJc w:val="left"/>
      <w:lvlText w:val="%1"/>
      <w:numFmt w:val="lowerRoman"/>
      <w:start w:val="1"/>
    </w:lvl>
    <w:lvl w:ilvl="1">
      <w:lvlJc w:val="left"/>
      <w:lvlText w:val="(%2)"/>
      <w:numFmt w:val="lowerRoman"/>
      <w:start w:val="1"/>
    </w:lvl>
  </w:abstractNum>
  <w:abstractNum w:abstractNumId="91">
    <w:nsid w:val="38A5D054"/>
    <w:multiLevelType w:val="hybridMultilevel"/>
    <w:lvl w:ilvl="0">
      <w:lvlJc w:val="left"/>
      <w:lvlText w:val="(%1)"/>
      <w:numFmt w:val="lowerRoman"/>
      <w:start w:val="2"/>
    </w:lvl>
    <w:lvl w:ilvl="1">
      <w:lvlJc w:val="left"/>
      <w:lvlText w:val="(%2)"/>
      <w:numFmt w:val="lowerRoman"/>
      <w:start w:val="3"/>
    </w:lvl>
  </w:abstractNum>
  <w:abstractNum w:abstractNumId="92">
    <w:nsid w:val="F3F09D8"/>
    <w:multiLevelType w:val="hybridMultilevel"/>
    <w:lvl w:ilvl="0">
      <w:lvlJc w:val="left"/>
      <w:lvlText w:val="(%1)"/>
      <w:numFmt w:val="lowerLetter"/>
      <w:start w:val="4"/>
    </w:lvl>
  </w:abstractNum>
  <w:abstractNum w:abstractNumId="93">
    <w:nsid w:val="4B793735"/>
    <w:multiLevelType w:val="hybridMultilevel"/>
    <w:lvl w:ilvl="0">
      <w:lvlJc w:val="left"/>
      <w:lvlText w:val="%1"/>
      <w:numFmt w:val="upperLetter"/>
      <w:start w:val="1"/>
    </w:lvl>
    <w:lvl w:ilvl="1">
      <w:lvlJc w:val="left"/>
      <w:lvlText w:val="(%2)"/>
      <w:numFmt w:val="lowerLetter"/>
      <w:start w:val="6"/>
    </w:lvl>
  </w:abstractNum>
  <w:abstractNum w:abstractNumId="94">
    <w:nsid w:val="4A10B4E8"/>
    <w:multiLevelType w:val="hybridMultilevel"/>
    <w:lvl w:ilvl="0">
      <w:lvlJc w:val="left"/>
      <w:lvlText w:val="(%1)"/>
      <w:numFmt w:val="upperLetter"/>
      <w:start w:val="2"/>
    </w:lvl>
    <w:lvl w:ilvl="1">
      <w:lvlJc w:val="left"/>
      <w:lvlText w:val="(%2)"/>
      <w:numFmt w:val="lowerLetter"/>
      <w:start w:val="7"/>
    </w:lvl>
  </w:abstractNum>
  <w:abstractNum w:abstractNumId="95">
    <w:nsid w:val="43D3BCD4"/>
    <w:multiLevelType w:val="hybridMultilevel"/>
    <w:lvl w:ilvl="0">
      <w:lvlJc w:val="left"/>
      <w:lvlText w:val="(%1)"/>
      <w:numFmt w:val="lowerLetter"/>
      <w:start w:val="10"/>
    </w:lvl>
  </w:abstractNum>
  <w:abstractNum w:abstractNumId="96">
    <w:nsid w:val="4C2A7166"/>
    <w:multiLevelType w:val="hybridMultilevel"/>
    <w:lvl w:ilvl="0">
      <w:lvlJc w:val="left"/>
      <w:lvlText w:val="(%1)"/>
      <w:numFmt w:val="lowerLetter"/>
      <w:start w:val="1"/>
    </w:lvl>
  </w:abstractNum>
  <w:abstractNum w:abstractNumId="97">
    <w:nsid w:val="2E534A82"/>
    <w:multiLevelType w:val="hybridMultilevel"/>
    <w:lvl w:ilvl="0">
      <w:lvlJc w:val="left"/>
      <w:lvlText w:val="(%1)"/>
      <w:numFmt w:val="lowerLetter"/>
      <w:start w:val="2"/>
    </w:lvl>
  </w:abstractNum>
  <w:abstractNum w:abstractNumId="98">
    <w:nsid w:val="26F2D364"/>
    <w:multiLevelType w:val="hybridMultilevel"/>
    <w:lvl w:ilvl="0">
      <w:lvlJc w:val="left"/>
      <w:lvlText w:val="(%1)"/>
      <w:numFmt w:val="lowerRoman"/>
      <w:start w:val="1"/>
    </w:lvl>
  </w:abstractNum>
  <w:abstractNum w:abstractNumId="99">
    <w:nsid w:val="71C1AF98"/>
    <w:multiLevelType w:val="hybridMultilevel"/>
    <w:lvl w:ilvl="0">
      <w:lvlJc w:val="left"/>
      <w:lvlText w:val="(%1)"/>
      <w:numFmt w:val="lowerRoman"/>
      <w:start w:val="1"/>
    </w:lvl>
  </w:abstractNum>
  <w:abstractNum w:abstractNumId="100">
    <w:nsid w:val="3D00B9D9"/>
    <w:multiLevelType w:val="hybridMultilevel"/>
    <w:lvl w:ilvl="0">
      <w:lvlJc w:val="left"/>
      <w:lvlText w:val="(%1)"/>
      <w:numFmt w:val="lowerRoman"/>
      <w:start w:val="8"/>
    </w:lvl>
  </w:abstractNum>
  <w:abstractNum w:abstractNumId="101">
    <w:nsid w:val="15BCABA8"/>
    <w:multiLevelType w:val="hybridMultilevel"/>
    <w:lvl w:ilvl="0">
      <w:lvlJc w:val="left"/>
      <w:lvlText w:val="(%1)"/>
      <w:numFmt w:val="lowerLetter"/>
      <w:start w:val="1"/>
    </w:lvl>
    <w:lvl w:ilvl="1">
      <w:lvlJc w:val="left"/>
      <w:lvlText w:val="(%2)"/>
      <w:numFmt w:val="lowerRoman"/>
      <w:start w:val="1"/>
    </w:lvl>
  </w:abstractNum>
  <w:abstractNum w:abstractNumId="102">
    <w:nsid w:val="4E0B9A87"/>
    <w:multiLevelType w:val="hybridMultilevel"/>
    <w:lvl w:ilvl="0">
      <w:lvlJc w:val="left"/>
      <w:lvlText w:val="(%1)"/>
      <w:numFmt w:val="lowerLetter"/>
      <w:start w:val="1"/>
    </w:lvl>
  </w:abstractNum>
  <w:abstractNum w:abstractNumId="103">
    <w:nsid w:val="434BAE75"/>
    <w:multiLevelType w:val="hybridMultilevel"/>
    <w:lvl w:ilvl="0">
      <w:lvlJc w:val="left"/>
      <w:lvlText w:val="(%1)"/>
      <w:numFmt w:val="lowerLetter"/>
      <w:start w:val="1"/>
    </w:lvl>
  </w:abstractNum>
  <w:abstractNum w:abstractNumId="104">
    <w:nsid w:val="4F38F265"/>
    <w:multiLevelType w:val="hybridMultilevel"/>
    <w:lvl w:ilvl="0">
      <w:lvlJc w:val="left"/>
      <w:lvlText w:val="(%1)"/>
      <w:numFmt w:val="lowerLetter"/>
      <w:start w:val="2"/>
    </w:lvl>
  </w:abstractNum>
  <w:abstractNum w:abstractNumId="105">
    <w:nsid w:val="4C502870"/>
    <w:multiLevelType w:val="hybridMultilevel"/>
    <w:lvl w:ilvl="0">
      <w:lvlJc w:val="left"/>
      <w:lvlText w:val="(%1)"/>
      <w:numFmt w:val="lowerLetter"/>
      <w:start w:val="1"/>
    </w:lvl>
  </w:abstractNum>
  <w:abstractNum w:abstractNumId="106">
    <w:nsid w:val="1DE8725A"/>
    <w:multiLevelType w:val="hybridMultilevel"/>
    <w:lvl w:ilvl="0">
      <w:lvlJc w:val="left"/>
      <w:lvlText w:val="(%1)"/>
      <w:numFmt w:val="lowerLetter"/>
      <w:start w:val="2"/>
    </w:lvl>
  </w:abstractNum>
  <w:abstractNum w:abstractNumId="107">
    <w:nsid w:val="6A37288A"/>
    <w:multiLevelType w:val="hybridMultilevel"/>
    <w:lvl w:ilvl="0">
      <w:lvlJc w:val="left"/>
      <w:lvlText w:val="(%1)"/>
      <w:numFmt w:val="lowerLetter"/>
      <w:start w:val="1"/>
    </w:lvl>
  </w:abstractNum>
  <w:abstractNum w:abstractNumId="108">
    <w:nsid w:val="8F8B73F"/>
    <w:multiLevelType w:val="hybridMultilevel"/>
    <w:lvl w:ilvl="0">
      <w:lvlJc w:val="left"/>
      <w:lvlText w:val="%1"/>
      <w:numFmt w:val="lowerRoman"/>
      <w:start w:val="1"/>
    </w:lvl>
    <w:lvl w:ilvl="1">
      <w:lvlJc w:val="left"/>
      <w:lvlText w:val="(%2)"/>
      <w:numFmt w:val="upperLetter"/>
      <w:start w:val="1"/>
    </w:lvl>
  </w:abstractNum>
  <w:abstractNum w:abstractNumId="109">
    <w:nsid w:val="CA6B462"/>
    <w:multiLevelType w:val="hybridMultilevel"/>
    <w:lvl w:ilvl="0">
      <w:lvlJc w:val="left"/>
      <w:lvlText w:val="(%1)"/>
      <w:numFmt w:val="lowerRoman"/>
      <w:start w:val="2"/>
    </w:lvl>
    <w:lvl w:ilvl="1">
      <w:lvlJc w:val="left"/>
      <w:lvlText w:val="%2"/>
      <w:numFmt w:val="upperLetter"/>
      <w:start w:val="1"/>
    </w:lvl>
  </w:abstractNum>
  <w:abstractNum w:abstractNumId="110">
    <w:nsid w:val="763CB680"/>
    <w:multiLevelType w:val="hybridMultilevel"/>
    <w:lvl w:ilvl="0">
      <w:lvlJc w:val="left"/>
      <w:lvlText w:val="%1"/>
      <w:numFmt w:val="upperLetter"/>
      <w:start w:val="1"/>
    </w:lvl>
    <w:lvl w:ilvl="1">
      <w:lvlJc w:val="left"/>
      <w:lvlText w:val="(%2)"/>
      <w:numFmt w:val="lowerRoman"/>
      <w:start w:val="6"/>
    </w:lvl>
  </w:abstractNum>
  <w:abstractNum w:abstractNumId="111">
    <w:nsid w:val="15B71329"/>
    <w:multiLevelType w:val="hybridMultilevel"/>
    <w:lvl w:ilvl="0">
      <w:lvlJc w:val="left"/>
      <w:lvlText w:val="(%1)"/>
      <w:numFmt w:val="upperLetter"/>
      <w:start w:val="35"/>
    </w:lvl>
    <w:lvl w:ilvl="1">
      <w:lvlJc w:val="left"/>
      <w:lvlText w:val="%2"/>
      <w:numFmt w:val="lowerRoman"/>
      <w:start w:val="1"/>
    </w:lvl>
  </w:abstractNum>
  <w:abstractNum w:abstractNumId="112">
    <w:nsid w:val="3DA97044"/>
    <w:multiLevelType w:val="hybridMultilevel"/>
    <w:lvl w:ilvl="0">
      <w:lvlJc w:val="left"/>
      <w:lvlText w:val="(%1)"/>
      <w:numFmt w:val="lowerLetter"/>
      <w:start w:val="1"/>
    </w:lvl>
  </w:abstractNum>
  <w:abstractNum w:abstractNumId="113">
    <w:nsid w:val="1CDCE2DE"/>
    <w:multiLevelType w:val="hybridMultilevel"/>
    <w:lvl w:ilvl="0">
      <w:lvlJc w:val="left"/>
      <w:lvlText w:val="(%1)"/>
      <w:numFmt w:val="lowerLetter"/>
      <w:start w:val="2"/>
    </w:lvl>
  </w:abstractNum>
  <w:abstractNum w:abstractNumId="114">
    <w:nsid w:val="69D3947C"/>
    <w:multiLevelType w:val="hybridMultilevel"/>
    <w:lvl w:ilvl="0">
      <w:lvlJc w:val="left"/>
      <w:lvlText w:val="%1"/>
      <w:numFmt w:val="lowerLetter"/>
      <w:start w:val="1"/>
    </w:lvl>
    <w:lvl w:ilvl="1">
      <w:lvlJc w:val="left"/>
      <w:lvlText w:val="(%2)"/>
      <w:numFmt w:val="lowerLetter"/>
      <w:start w:val="1"/>
    </w:lvl>
  </w:abstractNum>
  <w:abstractNum w:abstractNumId="115">
    <w:nsid w:val="2539DFA5"/>
    <w:multiLevelType w:val="hybridMultilevel"/>
    <w:lvl w:ilvl="0">
      <w:lvlJc w:val="left"/>
      <w:lvlText w:val="(%1)"/>
      <w:numFmt w:val="lowerLetter"/>
      <w:start w:val="9"/>
    </w:lvl>
    <w:lvl w:ilvl="1">
      <w:lvlJc w:val="left"/>
      <w:lvlText w:val="%2"/>
      <w:numFmt w:val="lowerLetter"/>
      <w:start w:val="1"/>
    </w:lvl>
  </w:abstractNum>
  <w:abstractNum w:abstractNumId="116">
    <w:nsid w:val="2DB88089"/>
    <w:multiLevelType w:val="hybridMultilevel"/>
    <w:lvl w:ilvl="0">
      <w:lvlJc w:val="left"/>
      <w:lvlText w:val="(%1)"/>
      <w:numFmt w:val="upperLetter"/>
      <w:start w:val="1"/>
    </w:lvl>
    <w:lvl w:ilvl="1">
      <w:lvlJc w:val="left"/>
      <w:lvlText w:val="(%2)"/>
      <w:numFmt w:val="lowerLetter"/>
      <w:start w:val="4"/>
    </w:lvl>
  </w:abstractNum>
  <w:abstractNum w:abstractNumId="117">
    <w:nsid w:val="706B674E"/>
    <w:multiLevelType w:val="hybridMultilevel"/>
    <w:lvl w:ilvl="0">
      <w:lvlJc w:val="left"/>
      <w:lvlText w:val="(%1)"/>
      <w:numFmt w:val="lowerLetter"/>
      <w:start w:val="1"/>
    </w:lvl>
  </w:abstractNum>
  <w:abstractNum w:abstractNumId="118">
    <w:nsid w:val="2C106A57"/>
    <w:multiLevelType w:val="hybridMultilevel"/>
    <w:lvl w:ilvl="0">
      <w:lvlJc w:val="left"/>
      <w:lvlText w:val="(%1)"/>
      <w:numFmt w:val="lowerLetter"/>
      <w:start w:val="1"/>
    </w:lvl>
  </w:abstractNum>
  <w:abstractNum w:abstractNumId="119">
    <w:nsid w:val="684EED59"/>
    <w:multiLevelType w:val="hybridMultilevel"/>
    <w:lvl w:ilvl="0">
      <w:lvlJc w:val="left"/>
      <w:lvlText w:val="%1"/>
      <w:numFmt w:val="lowerLetter"/>
      <w:start w:val="1"/>
    </w:lvl>
    <w:lvl w:ilvl="1">
      <w:lvlJc w:val="left"/>
      <w:lvlText w:val="(%2)"/>
      <w:numFmt w:val="lowerLetter"/>
      <w:start w:val="1"/>
    </w:lvl>
  </w:abstractNum>
  <w:abstractNum w:abstractNumId="120">
    <w:nsid w:val="545EE5D3"/>
    <w:multiLevelType w:val="hybridMultilevel"/>
    <w:lvl w:ilvl="0">
      <w:lvlJc w:val="left"/>
      <w:lvlText w:val="(%1)"/>
      <w:numFmt w:val="lowerLetter"/>
      <w:start w:val="61"/>
    </w:lvl>
    <w:lvl w:ilvl="1">
      <w:lvlJc w:val="left"/>
      <w:lvlText w:val="%2"/>
      <w:numFmt w:val="lowerLetter"/>
      <w:start w:val="1"/>
    </w:lvl>
  </w:abstractNum>
  <w:abstractNum w:abstractNumId="121">
    <w:nsid w:val="4A66051"/>
    <w:multiLevelType w:val="hybridMultilevel"/>
    <w:lvl w:ilvl="0">
      <w:lvlJc w:val="left"/>
      <w:lvlText w:val="(%1)"/>
      <w:numFmt w:val="lowerLetter"/>
      <w:start w:val="2"/>
    </w:lvl>
  </w:abstractNum>
  <w:abstractNum w:abstractNumId="122">
    <w:nsid w:val="20F4BDAD"/>
    <w:multiLevelType w:val="hybridMultilevel"/>
    <w:lvl w:ilvl="0">
      <w:lvlJc w:val="left"/>
      <w:lvlText w:val="(%1)"/>
      <w:numFmt w:val="lowerRoman"/>
      <w:start w:val="1"/>
    </w:lvl>
  </w:abstractNum>
  <w:abstractNum w:abstractNumId="123">
    <w:nsid w:val="639DEFAC"/>
    <w:multiLevelType w:val="hybridMultilevel"/>
    <w:lvl w:ilvl="0">
      <w:lvlJc w:val="left"/>
      <w:lvlText w:val="(%1)"/>
      <w:numFmt w:val="lowerLetter"/>
      <w:start w:val="1"/>
    </w:lvl>
  </w:abstractNum>
  <w:abstractNum w:abstractNumId="124">
    <w:nsid w:val="501F9786"/>
    <w:multiLevelType w:val="hybridMultilevel"/>
    <w:lvl w:ilvl="0">
      <w:lvlJc w:val="left"/>
      <w:lvlText w:val="(%1)"/>
      <w:numFmt w:val="lowerLetter"/>
      <w:start w:val="2"/>
    </w:lvl>
  </w:abstractNum>
  <w:abstractNum w:abstractNumId="125">
    <w:nsid w:val="6B057295"/>
    <w:multiLevelType w:val="hybridMultilevel"/>
    <w:lvl w:ilvl="0">
      <w:lvlJc w:val="left"/>
      <w:lvlText w:val="%1"/>
      <w:numFmt w:val="lowerLetter"/>
      <w:start w:val="1"/>
    </w:lvl>
    <w:lvl w:ilvl="1">
      <w:lvlJc w:val="left"/>
      <w:lvlText w:val="(%2)"/>
      <w:numFmt w:val="lowerLetter"/>
      <w:start w:val="1"/>
    </w:lvl>
  </w:abstractNum>
  <w:abstractNum w:abstractNumId="126">
    <w:nsid w:val="2771AC80"/>
    <w:multiLevelType w:val="hybridMultilevel"/>
    <w:lvl w:ilvl="0">
      <w:lvlJc w:val="left"/>
      <w:lvlText w:val="(%1)"/>
      <w:numFmt w:val="lowerLetter"/>
      <w:start w:val="4"/>
    </w:lvl>
    <w:lvl w:ilvl="1">
      <w:lvlJc w:val="left"/>
      <w:lvlText w:val="(%2)"/>
      <w:numFmt w:val="lowerLetter"/>
      <w:start w:val="3"/>
    </w:lvl>
  </w:abstractNum>
  <w:abstractNum w:abstractNumId="127">
    <w:nsid w:val="1C4A08EC"/>
    <w:multiLevelType w:val="hybridMultilevel"/>
    <w:lvl w:ilvl="0">
      <w:lvlJc w:val="left"/>
      <w:lvlText w:val="(%1)"/>
      <w:numFmt w:val="lowerLetter"/>
      <w:start w:val="4"/>
    </w:lvl>
  </w:abstractNum>
  <w:abstractNum w:abstractNumId="128">
    <w:nsid w:val="1958BD17"/>
    <w:multiLevelType w:val="hybridMultilevel"/>
    <w:lvl w:ilvl="0">
      <w:lvlJc w:val="left"/>
      <w:lvlText w:val="(%1)"/>
      <w:numFmt w:val="lowerLetter"/>
      <w:start w:val="1"/>
    </w:lvl>
  </w:abstractNum>
  <w:abstractNum w:abstractNumId="129">
    <w:nsid w:val="4E647FE4"/>
    <w:multiLevelType w:val="hybridMultilevel"/>
    <w:lvl w:ilvl="0">
      <w:lvlJc w:val="left"/>
      <w:lvlText w:val="(%1)"/>
      <w:numFmt w:val="lowerLetter"/>
      <w:start w:val="2"/>
    </w:lvl>
  </w:abstractNum>
  <w:abstractNum w:abstractNumId="130">
    <w:nsid w:val="E0BB885"/>
    <w:multiLevelType w:val="hybridMultilevel"/>
    <w:lvl w:ilvl="0">
      <w:lvlJc w:val="left"/>
      <w:lvlText w:val="(%1)"/>
      <w:numFmt w:val="lowerLetter"/>
      <w:start w:val="1"/>
    </w:lvl>
  </w:abstractNum>
  <w:abstractNum w:abstractNumId="131">
    <w:nsid w:val="565976F1"/>
    <w:multiLevelType w:val="hybridMultilevel"/>
    <w:lvl w:ilvl="0">
      <w:lvlJc w:val="left"/>
      <w:lvlText w:val="(%1)"/>
      <w:numFmt w:val="lowerRoman"/>
      <w:start w:val="2"/>
    </w:lvl>
  </w:abstractNum>
  <w:abstractNum w:abstractNumId="132">
    <w:nsid w:val="64212B8C"/>
    <w:multiLevelType w:val="hybridMultilevel"/>
    <w:lvl w:ilvl="0">
      <w:lvlJc w:val="left"/>
      <w:lvlText w:val="%1."/>
      <w:numFmt w:val="decimal"/>
      <w:start w:val="1"/>
    </w:lvl>
  </w:abstractNum>
  <w:abstractNum w:abstractNumId="133">
    <w:nsid w:val="5C17530C"/>
    <w:multiLevelType w:val="hybridMultilevel"/>
    <w:lvl w:ilvl="0">
      <w:lvlJc w:val="left"/>
      <w:lvlText w:val="(%1)"/>
      <w:numFmt w:val="lowerLetter"/>
      <w:start w:val="1"/>
    </w:lvl>
  </w:abstractNum>
  <w:abstractNum w:abstractNumId="134">
    <w:nsid w:val="19A52566"/>
    <w:multiLevelType w:val="hybridMultilevel"/>
    <w:lvl w:ilvl="0">
      <w:lvlJc w:val="left"/>
      <w:lvlText w:val="(%1)"/>
      <w:numFmt w:val="lowerLetter"/>
      <w:start w:val="4"/>
    </w:lvl>
  </w:abstractNum>
  <w:abstractNum w:abstractNumId="135">
    <w:nsid w:val="335A1DF1"/>
    <w:multiLevelType w:val="hybridMultilevel"/>
    <w:lvl w:ilvl="0">
      <w:lvlJc w:val="left"/>
      <w:lvlText w:val="(%1)"/>
      <w:numFmt w:val="lowerLetter"/>
      <w:start w:val="1"/>
    </w:lvl>
    <w:lvl w:ilvl="1">
      <w:lvlJc w:val="left"/>
      <w:lvlText w:val="(%2)"/>
      <w:numFmt w:val="lowerRoman"/>
      <w:start w:val="1"/>
    </w:lvl>
  </w:abstractNum>
  <w:abstractNum w:abstractNumId="136">
    <w:nsid w:val="28677B7C"/>
    <w:multiLevelType w:val="hybridMultilevel"/>
    <w:lvl w:ilvl="0">
      <w:lvlJc w:val="left"/>
      <w:lvlText w:val="(%1)"/>
      <w:numFmt w:val="decimal"/>
      <w:start w:val="1"/>
    </w:lvl>
  </w:abstractNum>
  <w:abstractNum w:abstractNumId="137">
    <w:nsid w:val="378D97C0"/>
    <w:multiLevelType w:val="hybridMultilevel"/>
    <w:lvl w:ilvl="0">
      <w:lvlJc w:val="left"/>
      <w:lvlText w:val="(%1)"/>
      <w:numFmt w:val="lowerLetter"/>
      <w:start w:val="9"/>
    </w:lvl>
    <w:lvl w:ilvl="1">
      <w:lvlJc w:val="left"/>
      <w:lvlText w:val="(%2)"/>
      <w:numFmt w:val="lowerLetter"/>
      <w:start w:val="1"/>
    </w:lvl>
  </w:abstractNum>
  <w:abstractNum w:abstractNumId="138">
    <w:nsid w:val="1D91467C"/>
    <w:multiLevelType w:val="hybridMultilevel"/>
    <w:lvl w:ilvl="0">
      <w:lvlJc w:val="left"/>
      <w:lvlText w:val="(%1)"/>
      <w:numFmt w:val="lowerLetter"/>
      <w:start w:val="7"/>
    </w:lvl>
  </w:abstractNum>
  <w:abstractNum w:abstractNumId="139">
    <w:nsid w:val="316032BB"/>
    <w:multiLevelType w:val="hybridMultilevel"/>
    <w:lvl w:ilvl="0">
      <w:lvlJc w:val="left"/>
      <w:lvlText w:val="(%1)"/>
      <w:numFmt w:val="lowerLetter"/>
      <w:start w:val="1"/>
    </w:lvl>
  </w:abstractNum>
  <w:abstractNum w:abstractNumId="140">
    <w:nsid w:val="44344C22"/>
    <w:multiLevelType w:val="hybridMultilevel"/>
    <w:lvl w:ilvl="0">
      <w:lvlJc w:val="left"/>
      <w:lvlText w:val="(%1)"/>
      <w:numFmt w:val="lowerLetter"/>
      <w:start w:val="1"/>
    </w:lvl>
  </w:abstractNum>
  <w:abstractNum w:abstractNumId="141">
    <w:nsid w:val="13CDFCFC"/>
    <w:multiLevelType w:val="hybridMultilevel"/>
    <w:lvl w:ilvl="0">
      <w:lvlJc w:val="left"/>
      <w:lvlText w:val="(%1)"/>
      <w:numFmt w:val="lowerLetter"/>
      <w:start w:val="1"/>
    </w:lvl>
  </w:abstractNum>
  <w:abstractNum w:abstractNumId="142">
    <w:nsid w:val="471745E4"/>
    <w:multiLevelType w:val="hybridMultilevel"/>
    <w:lvl w:ilvl="0">
      <w:lvlJc w:val="left"/>
      <w:lvlText w:val="(%1)"/>
      <w:numFmt w:val="lowerLetter"/>
      <w:start w:val="1"/>
    </w:lvl>
  </w:abstractNum>
  <w:abstractNum w:abstractNumId="143">
    <w:nsid w:val="1DDBC66"/>
    <w:multiLevelType w:val="hybridMultilevel"/>
    <w:lvl w:ilvl="0">
      <w:lvlJc w:val="left"/>
      <w:lvlText w:val="(%1)"/>
      <w:numFmt w:val="lowerLetter"/>
      <w:start w:val="3"/>
    </w:lvl>
  </w:abstractNum>
  <w:abstractNum w:abstractNumId="144">
    <w:nsid w:val="30AADFDA"/>
    <w:multiLevelType w:val="hybridMultilevel"/>
    <w:lvl w:ilvl="0">
      <w:lvlJc w:val="left"/>
      <w:lvlText w:val="(%1)"/>
      <w:numFmt w:val="lowerLetter"/>
      <w:start w:val="1"/>
    </w:lvl>
  </w:abstractNum>
  <w:abstractNum w:abstractNumId="145">
    <w:nsid w:val="30EADA61"/>
    <w:multiLevelType w:val="hybridMultilevel"/>
    <w:lvl w:ilvl="0">
      <w:lvlJc w:val="left"/>
      <w:lvlText w:val="%1."/>
      <w:numFmt w:val="decimal"/>
      <w:start w:val="1"/>
    </w:lvl>
  </w:abstractNum>
  <w:abstractNum w:abstractNumId="146">
    <w:nsid w:val="27179C0B"/>
    <w:multiLevelType w:val="hybridMultilevel"/>
    <w:lvl w:ilvl="0">
      <w:lvlJc w:val="left"/>
      <w:lvlText w:val="(%1)"/>
      <w:numFmt w:val="lowerRoman"/>
      <w:start w:val="2"/>
    </w:lvl>
  </w:abstractNum>
  <w:abstractNum w:abstractNumId="147">
    <w:nsid w:val="5E636063"/>
    <w:multiLevelType w:val="hybridMultilevel"/>
    <w:lvl w:ilvl="0">
      <w:lvlJc w:val="left"/>
      <w:lvlText w:val="(%1)"/>
      <w:numFmt w:val="lowerLetter"/>
      <w:start w:val="1"/>
    </w:lvl>
  </w:abstractNum>
  <w:abstractNum w:abstractNumId="148">
    <w:nsid w:val="215641AF"/>
    <w:multiLevelType w:val="hybridMultilevel"/>
    <w:lvl w:ilvl="0">
      <w:lvlJc w:val="left"/>
      <w:lvlText w:val="%1"/>
      <w:numFmt w:val="upperLetter"/>
      <w:start w:val="1"/>
    </w:lvl>
    <w:lvl w:ilvl="1">
      <w:lvlJc w:val="left"/>
      <w:lvlText w:val="(%2)"/>
      <w:numFmt w:val="lowerLetter"/>
      <w:start w:val="2"/>
    </w:lvl>
  </w:abstractNum>
  <w:abstractNum w:abstractNumId="149">
    <w:nsid w:val="53280662"/>
    <w:multiLevelType w:val="hybridMultilevel"/>
    <w:lvl w:ilvl="0">
      <w:lvlJc w:val="left"/>
      <w:lvlText w:val="(%1)"/>
      <w:numFmt w:val="upperLetter"/>
      <w:start w:val="1"/>
    </w:lvl>
    <w:lvl w:ilvl="1">
      <w:lvlJc w:val="left"/>
      <w:lvlText w:val="%2"/>
      <w:numFmt w:val="lowerLetter"/>
      <w:start w:val="1"/>
    </w:lvl>
  </w:abstractNum>
  <w:abstractNum w:abstractNumId="150">
    <w:nsid w:val="46B24DBC"/>
    <w:multiLevelType w:val="hybridMultilevel"/>
    <w:lvl w:ilvl="0">
      <w:lvlJc w:val="left"/>
      <w:lvlText w:val="(%1)"/>
      <w:numFmt w:val="lowerLetter"/>
      <w:start w:val="4"/>
    </w:lvl>
    <w:lvl w:ilvl="1">
      <w:lvlJc w:val="left"/>
      <w:lvlText w:val="(%2)"/>
      <w:numFmt w:val="lowerRoman"/>
      <w:start w:val="1"/>
    </w:lvl>
  </w:abstractNum>
  <w:abstractNum w:abstractNumId="151">
    <w:nsid w:val="75B52783"/>
    <w:multiLevelType w:val="hybridMultilevel"/>
    <w:lvl w:ilvl="0">
      <w:lvlJc w:val="left"/>
      <w:lvlText w:val="(%1)"/>
      <w:numFmt w:val="lowerLetter"/>
      <w:start w:val="1"/>
    </w:lvl>
  </w:abstractNum>
  <w:abstractNum w:abstractNumId="152">
    <w:nsid w:val="57CE66B4"/>
    <w:multiLevelType w:val="hybridMultilevel"/>
    <w:lvl w:ilvl="0">
      <w:lvlJc w:val="left"/>
      <w:lvlText w:val="(%1)"/>
      <w:numFmt w:val="lowerLetter"/>
      <w:start w:val="2"/>
    </w:lvl>
  </w:abstractNum>
  <w:abstractNum w:abstractNumId="153">
    <w:nsid w:val="67A70B69"/>
    <w:multiLevelType w:val="hybridMultilevel"/>
    <w:lvl w:ilvl="0">
      <w:lvlJc w:val="left"/>
      <w:lvlText w:val="(%1)"/>
      <w:numFmt w:val="lowerRoman"/>
      <w:start w:val="3"/>
    </w:lvl>
  </w:abstractNum>
  <w:abstractNum w:abstractNumId="154">
    <w:nsid w:val="5953172F"/>
    <w:multiLevelType w:val="hybridMultilevel"/>
    <w:lvl w:ilvl="0">
      <w:lvlJc w:val="left"/>
      <w:lvlText w:val="(%1)"/>
      <w:numFmt w:val="lowerRoman"/>
      <w:start w:val="4"/>
    </w:lvl>
  </w:abstractNum>
  <w:abstractNum w:abstractNumId="155">
    <w:nsid w:val="27EDFE3A"/>
    <w:multiLevelType w:val="hybridMultilevel"/>
    <w:lvl w:ilvl="0">
      <w:lvlJc w:val="left"/>
      <w:lvlText w:val="(%1)"/>
      <w:numFmt w:val="lowerLetter"/>
      <w:start w:val="1"/>
    </w:lvl>
  </w:abstractNum>
  <w:abstractNum w:abstractNumId="156">
    <w:nsid w:val="52AC7DFF"/>
    <w:multiLevelType w:val="hybridMultilevel"/>
    <w:lvl w:ilvl="0">
      <w:lvlJc w:val="left"/>
      <w:lvlText w:val="(%1)"/>
      <w:numFmt w:val="lowerLetter"/>
      <w:start w:val="3"/>
    </w:lvl>
  </w:abstractNum>
  <w:abstractNum w:abstractNumId="157">
    <w:nsid w:val="C4C3AF"/>
    <w:multiLevelType w:val="hybridMultilevel"/>
    <w:lvl w:ilvl="0">
      <w:lvlJc w:val="left"/>
      <w:lvlText w:val="(%1)"/>
      <w:numFmt w:val="lowerLetter"/>
      <w:start w:val="1"/>
    </w:lvl>
  </w:abstractNum>
  <w:abstractNum w:abstractNumId="158">
    <w:nsid w:val="44380727"/>
    <w:multiLevelType w:val="hybridMultilevel"/>
    <w:lvl w:ilvl="0">
      <w:lvlJc w:val="left"/>
      <w:lvlText w:val="(%1)"/>
      <w:numFmt w:val="lowerLetter"/>
      <w:start w:val="2"/>
    </w:lvl>
  </w:abstractNum>
  <w:abstractNum w:abstractNumId="159">
    <w:nsid w:val="6C053B16"/>
    <w:multiLevelType w:val="hybridMultilevel"/>
    <w:lvl w:ilvl="0">
      <w:lvlJc w:val="left"/>
      <w:lvlText w:val="(%1)"/>
      <w:numFmt w:val="lowerRoman"/>
      <w:start w:val="6"/>
    </w:lvl>
  </w:abstractNum>
  <w:abstractNum w:abstractNumId="160">
    <w:nsid w:val="4F294393"/>
    <w:multiLevelType w:val="hybridMultilevel"/>
    <w:lvl w:ilvl="0">
      <w:lvlJc w:val="left"/>
      <w:lvlText w:val="(%1)"/>
      <w:numFmt w:val="lowerLetter"/>
      <w:start w:val="1"/>
    </w:lvl>
  </w:abstractNum>
  <w:abstractNum w:abstractNumId="161">
    <w:nsid w:val="5243BFAC"/>
    <w:multiLevelType w:val="hybridMultilevel"/>
    <w:lvl w:ilvl="0">
      <w:lvlJc w:val="left"/>
      <w:lvlText w:val="%1"/>
      <w:numFmt w:val="decimal"/>
      <w:start w:val="1"/>
    </w:lvl>
    <w:lvl w:ilvl="1">
      <w:lvlJc w:val="left"/>
      <w:lvlText w:val="(%2)"/>
      <w:numFmt w:val="lowerRoman"/>
      <w:start w:val="1"/>
    </w:lvl>
  </w:abstractNum>
  <w:abstractNum w:abstractNumId="162">
    <w:nsid w:val="425EB207"/>
    <w:multiLevelType w:val="hybridMultilevel"/>
    <w:lvl w:ilvl="0">
      <w:lvlJc w:val="left"/>
      <w:lvlText w:val="(%1)"/>
      <w:numFmt w:val="decimal"/>
      <w:start w:val="120"/>
    </w:lvl>
    <w:lvl w:ilvl="1">
      <w:lvlJc w:val="left"/>
      <w:lvlText w:val="%2"/>
      <w:numFmt w:val="lowerRoman"/>
      <w:start w:val="1"/>
    </w:lvl>
  </w:abstractNum>
  <w:abstractNum w:abstractNumId="163">
    <w:nsid w:val="334A6F1F"/>
    <w:multiLevelType w:val="hybridMultilevel"/>
    <w:lvl w:ilvl="0">
      <w:lvlJc w:val="left"/>
      <w:lvlText w:val="(%1)"/>
      <w:numFmt w:val="lowerLetter"/>
      <w:start w:val="2"/>
    </w:lvl>
  </w:abstractNum>
  <w:abstractNum w:abstractNumId="164">
    <w:nsid w:val="2E5B12B8"/>
    <w:multiLevelType w:val="hybridMultilevel"/>
    <w:lvl w:ilvl="0">
      <w:lvlJc w:val="left"/>
      <w:lvlText w:val="(%1)"/>
      <w:numFmt w:val="lowerLetter"/>
      <w:start w:val="3"/>
    </w:lvl>
    <w:lvl w:ilvl="1">
      <w:lvlJc w:val="left"/>
      <w:lvlText w:val="(%2)"/>
      <w:numFmt w:val="lowerLetter"/>
      <w:start w:val="9"/>
    </w:lvl>
  </w:abstractNum>
  <w:abstractNum w:abstractNumId="165">
    <w:nsid w:val="5C03D76D"/>
    <w:multiLevelType w:val="hybridMultilevel"/>
    <w:lvl w:ilvl="0">
      <w:lvlJc w:val="left"/>
      <w:lvlText w:val="(%1)"/>
      <w:numFmt w:val="lowerRoman"/>
      <w:start w:val="2"/>
    </w:lvl>
  </w:abstractNum>
  <w:abstractNum w:abstractNumId="166">
    <w:nsid w:val="66A48D11"/>
    <w:multiLevelType w:val="hybridMultilevel"/>
    <w:lvl w:ilvl="0">
      <w:lvlJc w:val="left"/>
      <w:lvlText w:val="(%1)"/>
      <w:numFmt w:val="lowerLetter"/>
      <w:start w:val="1"/>
    </w:lvl>
    <w:lvl w:ilvl="1">
      <w:lvlJc w:val="left"/>
      <w:lvlText w:val="(%2)"/>
      <w:numFmt w:val="lowerRoman"/>
      <w:start w:val="1"/>
    </w:lvl>
  </w:abstractNum>
  <w:abstractNum w:abstractNumId="167">
    <w:nsid w:val="56C28E34"/>
    <w:multiLevelType w:val="hybridMultilevel"/>
    <w:lvl w:ilvl="0">
      <w:lvlJc w:val="left"/>
      <w:lvlText w:val="(%1)"/>
      <w:numFmt w:val="lowerLetter"/>
      <w:start w:val="2"/>
    </w:lvl>
  </w:abstractNum>
  <w:abstractNum w:abstractNumId="168">
    <w:nsid w:val="13916F2D"/>
    <w:multiLevelType w:val="hybridMultilevel"/>
    <w:lvl w:ilvl="0">
      <w:lvlJc w:val="left"/>
      <w:lvlText w:val="(%1)"/>
      <w:numFmt w:val="lowerLetter"/>
      <w:start w:val="3"/>
    </w:lvl>
  </w:abstractNum>
  <w:abstractNum w:abstractNumId="169">
    <w:nsid w:val="435D38D"/>
    <w:multiLevelType w:val="hybridMultilevel"/>
    <w:lvl w:ilvl="0">
      <w:lvlJc w:val="left"/>
      <w:lvlText w:val="(%1)"/>
      <w:numFmt w:val="lowerLetter"/>
      <w:start w:val="1"/>
    </w:lvl>
  </w:abstractNum>
  <w:abstractNum w:abstractNumId="170">
    <w:nsid w:val="822C0EF"/>
    <w:multiLevelType w:val="hybridMultilevel"/>
    <w:lvl w:ilvl="0">
      <w:lvlJc w:val="left"/>
      <w:lvlText w:val="(%1)"/>
      <w:numFmt w:val="lowerLetter"/>
      <w:start w:val="8"/>
    </w:lvl>
  </w:abstractNum>
  <w:abstractNum w:abstractNumId="171">
    <w:nsid w:val="57C5BB4F"/>
    <w:multiLevelType w:val="hybridMultilevel"/>
    <w:lvl w:ilvl="0">
      <w:lvlJc w:val="left"/>
      <w:lvlText w:val="%1"/>
      <w:numFmt w:val="decimal"/>
      <w:start w:val="1"/>
    </w:lvl>
    <w:lvl w:ilvl="1">
      <w:lvlJc w:val="left"/>
      <w:lvlText w:val="(%2)"/>
      <w:numFmt w:val="lowerLetter"/>
      <w:start w:val="13"/>
    </w:lvl>
  </w:abstractNum>
  <w:abstractNum w:abstractNumId="172">
    <w:nsid w:val="1803D089"/>
    <w:multiLevelType w:val="hybridMultilevel"/>
    <w:lvl w:ilvl="0">
      <w:lvlJc w:val="left"/>
      <w:lvlText w:val="(%1)"/>
      <w:numFmt w:val="decimal"/>
      <w:start w:val="2"/>
    </w:lvl>
    <w:lvl w:ilvl="1">
      <w:lvlJc w:val="left"/>
      <w:lvlText w:val="(%2)"/>
      <w:numFmt w:val="lowerLetter"/>
      <w:start w:val="18"/>
    </w:lvl>
  </w:abstractNum>
  <w:abstractNum w:abstractNumId="173">
    <w:nsid w:val="4F3A06D4"/>
    <w:multiLevelType w:val="hybridMultilevel"/>
    <w:lvl w:ilvl="0">
      <w:lvlJc w:val="left"/>
      <w:lvlText w:val="(%1)"/>
      <w:numFmt w:val="lowerLetter"/>
      <w:start w:val="1"/>
    </w:lvl>
  </w:abstractNum>
  <w:abstractNum w:abstractNumId="174">
    <w:nsid w:val="59A377B6"/>
    <w:multiLevelType w:val="hybridMultilevel"/>
    <w:lvl w:ilvl="0">
      <w:lvlJc w:val="left"/>
      <w:lvlText w:val="(%1)"/>
      <w:numFmt w:val="lowerLetter"/>
      <w:start w:val="2"/>
    </w:lvl>
  </w:abstractNum>
  <w:abstractNum w:abstractNumId="175">
    <w:nsid w:val="48AEB063"/>
    <w:multiLevelType w:val="hybridMultilevel"/>
    <w:lvl w:ilvl="0">
      <w:lvlJc w:val="left"/>
      <w:lvlText w:val="(%1)"/>
      <w:numFmt w:val="lowerLetter"/>
      <w:start w:val="9"/>
    </w:lvl>
    <w:lvl w:ilvl="1">
      <w:lvlJc w:val="left"/>
      <w:lvlText w:val="(%2)"/>
      <w:numFmt w:val="lowerLetter"/>
      <w:start w:val="3"/>
    </w:lvl>
  </w:abstractNum>
  <w:abstractNum w:abstractNumId="176">
    <w:nsid w:val="24E135"/>
    <w:multiLevelType w:val="hybridMultilevel"/>
    <w:lvl w:ilvl="0">
      <w:lvlJc w:val="left"/>
      <w:lvlText w:val="(%1)"/>
      <w:numFmt w:val="lowerLetter"/>
      <w:start w:val="1"/>
    </w:lvl>
  </w:abstractNum>
  <w:abstractNum w:abstractNumId="177">
    <w:nsid w:val="BB13C1"/>
    <w:multiLevelType w:val="hybridMultilevel"/>
    <w:lvl w:ilvl="0">
      <w:lvlJc w:val="left"/>
      <w:lvlText w:val="(%1)"/>
      <w:numFmt w:val="lowerLetter"/>
      <w:start w:val="1"/>
    </w:lvl>
  </w:abstractNum>
  <w:abstractNum w:abstractNumId="178">
    <w:nsid w:val="271210C7"/>
    <w:multiLevelType w:val="hybridMultilevel"/>
    <w:lvl w:ilvl="0">
      <w:lvlJc w:val="left"/>
      <w:lvlText w:val="(%1)"/>
      <w:numFmt w:val="lowerLetter"/>
      <w:start w:val="1"/>
    </w:lvl>
  </w:abstractNum>
  <w:abstractNum w:abstractNumId="179">
    <w:nsid w:val="217B22E4"/>
    <w:multiLevelType w:val="hybridMultilevel"/>
    <w:lvl w:ilvl="0">
      <w:lvlJc w:val="left"/>
      <w:lvlText w:val="(%1)"/>
      <w:numFmt w:val="lowerLetter"/>
      <w:start w:val="6"/>
    </w:lvl>
  </w:abstractNum>
  <w:abstractNum w:abstractNumId="180">
    <w:nsid w:val="53E31A24"/>
    <w:multiLevelType w:val="hybridMultilevel"/>
    <w:lvl w:ilvl="0">
      <w:lvlJc w:val="left"/>
      <w:lvlText w:val="(%1)"/>
      <w:numFmt w:val="lowerLetter"/>
      <w:start w:val="7"/>
    </w:lvl>
  </w:abstractNum>
  <w:abstractNum w:abstractNumId="181">
    <w:nsid w:val="6DC45E83"/>
    <w:multiLevelType w:val="hybridMultilevel"/>
    <w:lvl w:ilvl="0">
      <w:lvlJc w:val="left"/>
      <w:lvlText w:val="(%1)"/>
      <w:numFmt w:val="lowerLetter"/>
      <w:start w:val="10"/>
    </w:lvl>
  </w:abstractNum>
  <w:abstractNum w:abstractNumId="182">
    <w:nsid w:val="17304A67"/>
    <w:multiLevelType w:val="hybridMultilevel"/>
    <w:lvl w:ilvl="0">
      <w:lvlJc w:val="left"/>
      <w:lvlText w:val="(%1)"/>
      <w:numFmt w:val="lowerLetter"/>
      <w:start w:val="15"/>
    </w:lvl>
  </w:abstractNum>
  <w:abstractNum w:abstractNumId="183">
    <w:nsid w:val="2BB180D8"/>
    <w:multiLevelType w:val="hybridMultilevel"/>
    <w:lvl w:ilvl="0">
      <w:lvlJc w:val="left"/>
      <w:lvlText w:val="(%1)"/>
      <w:numFmt w:val="lowerLetter"/>
      <w:start w:val="1"/>
    </w:lvl>
    <w:lvl w:ilvl="1">
      <w:lvlJc w:val="left"/>
      <w:lvlText w:val="(%2)"/>
      <w:numFmt w:val="lowerRoman"/>
      <w:start w:val="1"/>
    </w:lvl>
  </w:abstractNum>
  <w:abstractNum w:abstractNumId="184">
    <w:nsid w:val="556B69ED"/>
    <w:multiLevelType w:val="hybridMultilevel"/>
    <w:lvl w:ilvl="0">
      <w:lvlJc w:val="left"/>
      <w:lvlText w:val="%1"/>
      <w:numFmt w:val="lowerLetter"/>
      <w:start w:val="1"/>
    </w:lvl>
    <w:lvl w:ilvl="1">
      <w:lvlJc w:val="left"/>
      <w:lvlText w:val="(%2)"/>
      <w:numFmt w:val="lowerLetter"/>
      <w:start w:val="61"/>
    </w:lvl>
  </w:abstractNum>
  <w:abstractNum w:abstractNumId="185">
    <w:nsid w:val="70836196"/>
    <w:multiLevelType w:val="hybridMultilevel"/>
    <w:lvl w:ilvl="0">
      <w:lvlJc w:val="left"/>
      <w:lvlText w:val="(%1)"/>
      <w:numFmt w:val="lowerLetter"/>
      <w:start w:val="4"/>
    </w:lvl>
    <w:lvl w:ilvl="1">
      <w:lvlJc w:val="left"/>
      <w:lvlText w:val="%2"/>
      <w:numFmt w:val="lowerLetter"/>
      <w:start w:val="1"/>
    </w:lvl>
  </w:abstractNum>
  <w:abstractNum w:abstractNumId="186">
    <w:nsid w:val="539F7F12"/>
    <w:multiLevelType w:val="hybridMultilevel"/>
    <w:lvl w:ilvl="0">
      <w:lvlJc w:val="left"/>
      <w:lvlText w:val="(%1)"/>
      <w:numFmt w:val="lowerLetter"/>
      <w:start w:val="1"/>
    </w:lvl>
  </w:abstractNum>
  <w:abstractNum w:abstractNumId="187">
    <w:nsid w:val="2817E7EC"/>
    <w:multiLevelType w:val="hybridMultilevel"/>
    <w:lvl w:ilvl="0">
      <w:lvlJc w:val="left"/>
      <w:lvlText w:val="(%1)"/>
      <w:numFmt w:val="lowerLetter"/>
      <w:start w:val="2"/>
    </w:lvl>
  </w:abstractNum>
  <w:abstractNum w:abstractNumId="188">
    <w:nsid w:val="71482545"/>
    <w:multiLevelType w:val="hybridMultilevel"/>
    <w:lvl w:ilvl="0">
      <w:lvlJc w:val="left"/>
      <w:lvlText w:val="(%1)"/>
      <w:numFmt w:val="upperLetter"/>
      <w:start w:val="3"/>
    </w:lvl>
  </w:abstractNum>
  <w:abstractNum w:abstractNumId="189">
    <w:nsid w:val="17D78639"/>
    <w:multiLevelType w:val="hybridMultilevel"/>
    <w:lvl w:ilvl="0">
      <w:lvlJc w:val="left"/>
      <w:lvlText w:val="(%1)"/>
      <w:numFmt w:val="lowerLetter"/>
      <w:start w:val="2"/>
    </w:lvl>
  </w:abstractNum>
  <w:abstractNum w:abstractNumId="190">
    <w:nsid w:val="141D2302"/>
    <w:multiLevelType w:val="hybridMultilevel"/>
    <w:lvl w:ilvl="0">
      <w:lvlJc w:val="left"/>
      <w:lvlText w:val="(%1)"/>
      <w:numFmt w:val="lowerLetter"/>
      <w:start w:val="3"/>
    </w:lvl>
  </w:abstractNum>
  <w:abstractNum w:abstractNumId="191">
    <w:nsid w:val="407168D8"/>
    <w:multiLevelType w:val="hybridMultilevel"/>
    <w:lvl w:ilvl="0">
      <w:lvlJc w:val="left"/>
      <w:lvlText w:val="(%1)"/>
      <w:numFmt w:val="lowerLetter"/>
      <w:start w:val="6"/>
    </w:lvl>
  </w:abstractNum>
  <w:abstractNum w:abstractNumId="192">
    <w:nsid w:val="6A1B45E5"/>
    <w:multiLevelType w:val="hybridMultilevel"/>
    <w:lvl w:ilvl="0">
      <w:lvlJc w:val="left"/>
      <w:lvlText w:val="(%1)"/>
      <w:numFmt w:val="lowerLetter"/>
      <w:start w:val="2"/>
    </w:lvl>
  </w:abstractNum>
  <w:abstractNum w:abstractNumId="193">
    <w:nsid w:val="567BD50A"/>
    <w:multiLevelType w:val="hybridMultilevel"/>
    <w:lvl w:ilvl="0">
      <w:lvlJc w:val="left"/>
      <w:lvlText w:val="(%1)"/>
      <w:numFmt w:val="decimal"/>
      <w:start w:val="10"/>
    </w:lvl>
  </w:abstractNum>
  <w:abstractNum w:abstractNumId="194">
    <w:nsid w:val="73BBD7F8"/>
    <w:multiLevelType w:val="hybridMultilevel"/>
    <w:lvl w:ilvl="0">
      <w:lvlJc w:val="left"/>
      <w:lvlText w:val="(%1)"/>
      <w:numFmt w:val="lowerLetter"/>
      <w:start w:val="1"/>
    </w:lvl>
  </w:abstractNum>
  <w:abstractNum w:abstractNumId="195">
    <w:nsid w:val="1876589D"/>
    <w:multiLevelType w:val="hybridMultilevel"/>
    <w:lvl w:ilvl="0">
      <w:lvlJc w:val="left"/>
      <w:lvlText w:val="(%1)"/>
      <w:numFmt w:val="lowerLetter"/>
      <w:start w:val="1"/>
    </w:lvl>
    <w:lvl w:ilvl="1">
      <w:lvlJc w:val="left"/>
      <w:lvlText w:val="(%2)"/>
      <w:numFmt w:val="lowerLetter"/>
      <w:start w:val="9"/>
    </w:lvl>
  </w:abstractNum>
  <w:abstractNum w:abstractNumId="196">
    <w:nsid w:val="327FAC77"/>
    <w:multiLevelType w:val="hybridMultilevel"/>
    <w:lvl w:ilvl="0">
      <w:lvlJc w:val="left"/>
      <w:lvlText w:val="%1"/>
      <w:numFmt w:val="lowerLetter"/>
      <w:start w:val="1"/>
    </w:lvl>
    <w:lvl w:ilvl="1">
      <w:lvlJc w:val="left"/>
      <w:lvlText w:val="(%2)"/>
      <w:numFmt w:val="lowerRoman"/>
      <w:start w:val="2"/>
    </w:lvl>
  </w:abstractNum>
  <w:abstractNum w:abstractNumId="197">
    <w:nsid w:val="5A606509"/>
    <w:multiLevelType w:val="hybridMultilevel"/>
    <w:lvl w:ilvl="0">
      <w:lvlJc w:val="left"/>
      <w:lvlText w:val="(%1)"/>
      <w:numFmt w:val="lowerLetter"/>
      <w:start w:val="2"/>
    </w:lvl>
    <w:lvl w:ilvl="1">
      <w:lvlJc w:val="left"/>
      <w:lvlText w:val="%2"/>
      <w:numFmt w:val="lowerRoman"/>
      <w:start w:val="1"/>
    </w:lvl>
  </w:abstractNum>
  <w:abstractNum w:abstractNumId="198">
    <w:nsid w:val="6F38E6D1"/>
    <w:multiLevelType w:val="hybridMultilevel"/>
    <w:lvl w:ilvl="0">
      <w:lvlJc w:val="left"/>
      <w:lvlText w:val="(%1)"/>
      <w:numFmt w:val="lowerLetter"/>
      <w:start w:val="1"/>
    </w:lvl>
  </w:abstractNum>
  <w:abstractNum w:abstractNumId="199">
    <w:nsid w:val="46111BA5"/>
    <w:multiLevelType w:val="hybridMultilevel"/>
    <w:lvl w:ilvl="0">
      <w:lvlJc w:val="left"/>
      <w:lvlText w:val="(%1)"/>
      <w:numFmt w:val="lowerLetter"/>
      <w:start w:val="1"/>
    </w:lvl>
  </w:abstractNum>
  <w:abstractNum w:abstractNumId="200">
    <w:nsid w:val="5E963896"/>
    <w:multiLevelType w:val="hybridMultilevel"/>
    <w:lvl w:ilvl="0">
      <w:lvlJc w:val="left"/>
      <w:lvlText w:val="(%1)"/>
      <w:numFmt w:val="lowerLetter"/>
      <w:start w:val="7"/>
    </w:lvl>
  </w:abstractNum>
  <w:abstractNum w:abstractNumId="201">
    <w:nsid w:val="775BA7C1"/>
    <w:multiLevelType w:val="hybridMultilevel"/>
    <w:lvl w:ilvl="0">
      <w:lvlJc w:val="left"/>
      <w:lvlText w:val="(%1)"/>
      <w:numFmt w:val="lowerLetter"/>
      <w:start w:val="1"/>
    </w:lvl>
  </w:abstractNum>
  <w:abstractNum w:abstractNumId="202">
    <w:nsid w:val="1DD6D6F4"/>
    <w:multiLevelType w:val="hybridMultilevel"/>
    <w:lvl w:ilvl="0">
      <w:lvlJc w:val="left"/>
      <w:lvlText w:val="(%1)"/>
      <w:numFmt w:val="lowerLetter"/>
      <w:start w:val="1"/>
    </w:lvl>
  </w:abstractNum>
  <w:abstractNum w:abstractNumId="203">
    <w:nsid w:val="769A091F"/>
    <w:multiLevelType w:val="hybridMultilevel"/>
    <w:lvl w:ilvl="0">
      <w:lvlJc w:val="left"/>
      <w:lvlText w:val="%1"/>
      <w:numFmt w:val="lowerLetter"/>
      <w:start w:val="1"/>
    </w:lvl>
    <w:lvl w:ilvl="1">
      <w:lvlJc w:val="left"/>
      <w:lvlText w:val="(%2)"/>
      <w:numFmt w:val="lowerLetter"/>
      <w:start w:val="1"/>
    </w:lvl>
  </w:abstractNum>
  <w:abstractNum w:abstractNumId="204">
    <w:nsid w:val="4695AE95"/>
    <w:multiLevelType w:val="hybridMultilevel"/>
    <w:lvl w:ilvl="0">
      <w:lvlJc w:val="left"/>
      <w:lvlText w:val="(%1)"/>
      <w:numFmt w:val="lowerLetter"/>
      <w:start w:val="9"/>
    </w:lvl>
    <w:lvl w:ilvl="1">
      <w:lvlJc w:val="left"/>
      <w:lvlText w:val="(%2)"/>
      <w:numFmt w:val="lowerLetter"/>
      <w:start w:val="2"/>
    </w:lvl>
  </w:abstractNum>
  <w:abstractNum w:abstractNumId="205">
    <w:nsid w:val="777A4EAA"/>
    <w:multiLevelType w:val="hybridMultilevel"/>
    <w:lvl w:ilvl="0">
      <w:lvlJc w:val="left"/>
      <w:lvlText w:val="%1"/>
      <w:numFmt w:val="lowerLetter"/>
      <w:start w:val="1"/>
    </w:lvl>
    <w:lvl w:ilvl="1">
      <w:lvlJc w:val="left"/>
      <w:lvlText w:val="(%2)"/>
      <w:numFmt w:val="lowerRoman"/>
      <w:start w:val="1"/>
    </w:lvl>
  </w:abstractNum>
  <w:abstractNum w:abstractNumId="206">
    <w:nsid w:val="3F48B982"/>
    <w:multiLevelType w:val="hybridMultilevel"/>
    <w:lvl w:ilvl="0">
      <w:lvlJc w:val="left"/>
      <w:lvlText w:val="(%1)"/>
      <w:numFmt w:val="lowerLetter"/>
      <w:start w:val="3"/>
    </w:lvl>
    <w:lvl w:ilvl="1">
      <w:lvlJc w:val="left"/>
      <w:lvlText w:val="(%2)"/>
      <w:numFmt w:val="lowerRoman"/>
      <w:start w:val="1"/>
    </w:lvl>
  </w:abstractNum>
  <w:abstractNum w:abstractNumId="207">
    <w:nsid w:val="46BA8FCA"/>
    <w:multiLevelType w:val="hybridMultilevel"/>
    <w:lvl w:ilvl="0">
      <w:lvlJc w:val="left"/>
      <w:lvlText w:val="(%1)"/>
      <w:numFmt w:val="lowerLetter"/>
      <w:start w:val="4"/>
    </w:lvl>
  </w:abstractNum>
  <w:abstractNum w:abstractNumId="208">
    <w:nsid w:val="7835626C"/>
    <w:multiLevelType w:val="hybridMultilevel"/>
    <w:lvl w:ilvl="0">
      <w:lvlJc w:val="left"/>
      <w:lvlText w:val="(%1)"/>
      <w:numFmt w:val="lowerLetter"/>
      <w:start w:val="9"/>
    </w:lvl>
  </w:abstractNum>
  <w:abstractNum w:abstractNumId="209">
    <w:nsid w:val="665ACA49"/>
    <w:multiLevelType w:val="hybridMultilevel"/>
    <w:lvl w:ilvl="0">
      <w:lvlJc w:val="left"/>
      <w:lvlText w:val="(%1)"/>
      <w:numFmt w:val="lowerRoman"/>
      <w:start w:val="1"/>
    </w:lvl>
  </w:abstractNum>
  <w:abstractNum w:abstractNumId="210">
    <w:nsid w:val="6835B2AE"/>
    <w:multiLevelType w:val="hybridMultilevel"/>
    <w:lvl w:ilvl="0">
      <w:lvlJc w:val="left"/>
      <w:lvlText w:val="%1"/>
      <w:numFmt w:val="upperLetter"/>
      <w:start w:val="1"/>
    </w:lvl>
    <w:lvl w:ilvl="1">
      <w:lvlJc w:val="left"/>
      <w:lvlText w:val="(%2)"/>
      <w:numFmt w:val="lowerLetter"/>
      <w:start w:val="1"/>
    </w:lvl>
  </w:abstractNum>
  <w:abstractNum w:abstractNumId="211">
    <w:nsid w:val="4C187C90"/>
    <w:multiLevelType w:val="hybridMultilevel"/>
    <w:lvl w:ilvl="0">
      <w:lvlJc w:val="left"/>
      <w:lvlText w:val="(%1)"/>
      <w:numFmt w:val="upperLetter"/>
      <w:start w:val="1"/>
    </w:lvl>
    <w:lvl w:ilvl="1">
      <w:lvlJc w:val="left"/>
      <w:lvlText w:val="(%2)"/>
      <w:numFmt w:val="lowerLetter"/>
      <w:start w:val="3"/>
    </w:lvl>
  </w:abstractNum>
  <w:abstractNum w:abstractNumId="212">
    <w:nsid w:val="541F28CD"/>
    <w:multiLevelType w:val="hybridMultilevel"/>
    <w:lvl w:ilvl="0">
      <w:lvlJc w:val="left"/>
      <w:lvlText w:val="(%1)"/>
      <w:numFmt w:val="lowerLetter"/>
      <w:start w:val="1"/>
    </w:lvl>
  </w:abstractNum>
  <w:abstractNum w:abstractNumId="213">
    <w:nsid w:val="7F65FD16"/>
    <w:multiLevelType w:val="hybridMultilevel"/>
    <w:lvl w:ilvl="0">
      <w:lvlJc w:val="left"/>
      <w:lvlText w:val="["/>
      <w:numFmt w:val="bullet"/>
      <w:start w:val="1"/>
    </w:lvl>
  </w:abstractNum>
  <w:abstractNum w:abstractNumId="214">
    <w:nsid w:val="77C9FD68"/>
    <w:multiLevelType w:val="hybridMultilevel"/>
    <w:lvl w:ilvl="0">
      <w:lvlJc w:val="left"/>
      <w:lvlText w:val="(%1)"/>
      <w:numFmt w:val="lowerLetter"/>
      <w:start w:val="1"/>
    </w:lvl>
  </w:abstractNum>
  <w:abstractNum w:abstractNumId="215">
    <w:nsid w:val="298A92BA"/>
    <w:multiLevelType w:val="hybridMultilevel"/>
    <w:lvl w:ilvl="0">
      <w:lvlJc w:val="left"/>
      <w:lvlText w:val="(%1)"/>
      <w:numFmt w:val="lowerLetter"/>
      <w:start w:val="1"/>
    </w:lvl>
  </w:abstractNum>
  <w:abstractNum w:abstractNumId="216">
    <w:nsid w:val="6FE95EAC"/>
    <w:multiLevelType w:val="hybridMultilevel"/>
    <w:lvl w:ilvl="0">
      <w:lvlJc w:val="left"/>
      <w:lvlText w:val="(%1)"/>
      <w:numFmt w:val="lowerLetter"/>
      <w:start w:val="1"/>
    </w:lvl>
  </w:abstractNum>
  <w:abstractNum w:abstractNumId="217">
    <w:nsid w:val="4B697C7A"/>
    <w:multiLevelType w:val="hybridMultilevel"/>
    <w:lvl w:ilvl="0">
      <w:lvlJc w:val="left"/>
      <w:lvlText w:val="(%1)"/>
      <w:numFmt w:val="lowerRoman"/>
      <w:start w:val="2"/>
    </w:lvl>
  </w:abstractNum>
  <w:abstractNum w:abstractNumId="218">
    <w:nsid w:val="51A27AA6"/>
    <w:multiLevelType w:val="hybridMultilevel"/>
    <w:lvl w:ilvl="0">
      <w:lvlJc w:val="left"/>
      <w:lvlText w:val="(%1)"/>
      <w:numFmt w:val="lowerRoman"/>
      <w:start w:val="2"/>
    </w:lvl>
  </w:abstractNum>
  <w:abstractNum w:abstractNumId="219">
    <w:nsid w:val="613183F2"/>
    <w:multiLevelType w:val="hybridMultilevel"/>
    <w:lvl w:ilvl="0">
      <w:lvlJc w:val="left"/>
      <w:lvlText w:val="(%1)"/>
      <w:numFmt w:val="lowerLetter"/>
      <w:start w:val="1"/>
    </w:lvl>
  </w:abstractNum>
  <w:abstractNum w:abstractNumId="220">
    <w:nsid w:val="634102B4"/>
    <w:multiLevelType w:val="hybridMultilevel"/>
    <w:lvl w:ilvl="0">
      <w:lvlJc w:val="left"/>
      <w:lvlText w:val="(%1)"/>
      <w:numFmt w:val="lowerLetter"/>
      <w:start w:val="1"/>
    </w:lvl>
  </w:abstractNum>
  <w:abstractNum w:abstractNumId="221">
    <w:nsid w:val="65BF9DA8"/>
    <w:multiLevelType w:val="hybridMultilevel"/>
    <w:lvl w:ilvl="0">
      <w:lvlJc w:val="left"/>
      <w:lvlText w:val="(%1)"/>
      <w:numFmt w:val="lowerLetter"/>
      <w:start w:val="1"/>
    </w:lvl>
  </w:abstractNum>
  <w:abstractNum w:abstractNumId="222">
    <w:nsid w:val="21A2ECCA"/>
    <w:multiLevelType w:val="hybridMultilevel"/>
    <w:lvl w:ilvl="0">
      <w:lvlJc w:val="left"/>
      <w:lvlText w:val="(%1)"/>
      <w:numFmt w:val="lowerLetter"/>
      <w:start w:val="6"/>
    </w:lvl>
  </w:abstractNum>
  <w:abstractNum w:abstractNumId="223">
    <w:nsid w:val="4D5C4899"/>
    <w:multiLevelType w:val="hybridMultilevel"/>
    <w:lvl w:ilvl="0">
      <w:lvlJc w:val="left"/>
      <w:lvlText w:val="(%1)"/>
      <w:numFmt w:val="lowerLetter"/>
      <w:start w:val="1"/>
    </w:lvl>
  </w:abstractNum>
  <w:abstractNum w:abstractNumId="224">
    <w:nsid w:val="3C3B72B2"/>
    <w:multiLevelType w:val="hybridMultilevel"/>
    <w:lvl w:ilvl="0">
      <w:lvlJc w:val="left"/>
      <w:lvlText w:val="(%1)"/>
      <w:numFmt w:val="lowerLetter"/>
      <w:start w:val="1"/>
    </w:lvl>
    <w:lvl w:ilvl="1">
      <w:lvlJc w:val="left"/>
      <w:lvlText w:val="%2."/>
      <w:numFmt w:val="lowerRoman"/>
      <w:start w:val="1"/>
    </w:lvl>
  </w:abstractNum>
  <w:abstractNum w:abstractNumId="225">
    <w:nsid w:val="155EC4C2"/>
    <w:multiLevelType w:val="hybridMultilevel"/>
    <w:lvl w:ilvl="0">
      <w:lvlJc w:val="left"/>
      <w:lvlText w:val="%1."/>
      <w:numFmt w:val="lowerRoman"/>
      <w:start w:val="3"/>
    </w:lvl>
  </w:abstractNum>
  <w:abstractNum w:abstractNumId="226">
    <w:nsid w:val="65D2A137"/>
    <w:multiLevelType w:val="hybridMultilevel"/>
    <w:lvl w:ilvl="0">
      <w:lvlJc w:val="left"/>
      <w:lvlText w:val="1"/>
      <w:numFmt w:val="bullet"/>
      <w:start w:val="1"/>
    </w:lvl>
  </w:abstractNum>
  <w:abstractNum w:abstractNumId="227">
    <w:nsid w:val="6EBB1F2A"/>
    <w:multiLevelType w:val="hybridMultilevel"/>
    <w:lvl w:ilvl="0">
      <w:lvlJc w:val="left"/>
      <w:lvlText w:val="2"/>
      <w:numFmt w:val="bullet"/>
      <w:start w:val="1"/>
    </w:lvl>
  </w:abstractNum>
  <w:abstractNum w:abstractNumId="228">
    <w:nsid w:val="6FBF29CB"/>
    <w:multiLevelType w:val="hybridMultilevel"/>
    <w:lvl w:ilvl="0">
      <w:lvlJc w:val="left"/>
      <w:lvlText w:val="(%1)"/>
      <w:numFmt w:val="lowerLetter"/>
      <w:start w:val="3"/>
    </w:lvl>
    <w:lvl w:ilvl="1">
      <w:lvlJc w:val="left"/>
      <w:lvlText w:val="3"/>
      <w:numFmt w:val="bullet"/>
      <w:start w:val="1"/>
    </w:lvl>
  </w:abstractNum>
  <w:abstractNum w:abstractNumId="229">
    <w:nsid w:val="550B8808"/>
    <w:multiLevelType w:val="hybridMultilevel"/>
    <w:lvl w:ilvl="0">
      <w:lvlJc w:val="left"/>
      <w:lvlText w:val="(%1)"/>
      <w:numFmt w:val="lowerLetter"/>
      <w:start w:val="6"/>
    </w:lvl>
  </w:abstractNum>
  <w:abstractNum w:abstractNumId="230">
    <w:nsid w:val="34CC3ACF"/>
    <w:multiLevelType w:val="hybridMultilevel"/>
    <w:lvl w:ilvl="0">
      <w:lvlJc w:val="left"/>
      <w:lvlText w:val="%1"/>
      <w:numFmt w:val="lowerLetter"/>
      <w:start w:val="1"/>
    </w:lvl>
    <w:lvl w:ilvl="1">
      <w:lvlJc w:val="left"/>
      <w:lvlText w:val="(%2)"/>
      <w:numFmt w:val="lowerLetter"/>
      <w:start w:val="1"/>
    </w:lvl>
  </w:abstractNum>
  <w:abstractNum w:abstractNumId="231">
    <w:nsid w:val="4E556261"/>
    <w:multiLevelType w:val="hybridMultilevel"/>
    <w:lvl w:ilvl="0">
      <w:lvlJc w:val="left"/>
      <w:lvlText w:val="(%1)"/>
      <w:numFmt w:val="lowerLetter"/>
      <w:start w:val="35"/>
    </w:lvl>
    <w:lvl w:ilvl="1">
      <w:lvlJc w:val="left"/>
      <w:lvlText w:val="(%2)"/>
      <w:numFmt w:val="lowerLetter"/>
      <w:start w:val="3"/>
    </w:lvl>
  </w:abstractNum>
  <w:abstractNum w:abstractNumId="232">
    <w:nsid w:val="4C672FC9"/>
    <w:multiLevelType w:val="hybridMultilevel"/>
    <w:lvl w:ilvl="0">
      <w:lvlJc w:val="left"/>
      <w:lvlText w:val="(%1)"/>
      <w:numFmt w:val="lowerLetter"/>
      <w:start w:val="1"/>
    </w:lvl>
  </w:abstractNum>
  <w:abstractNum w:abstractNumId="233">
    <w:nsid w:val="52A311C3"/>
    <w:multiLevelType w:val="hybridMultilevel"/>
    <w:lvl w:ilvl="0">
      <w:lvlJc w:val="left"/>
      <w:lvlText w:val="(%1)"/>
      <w:numFmt w:val="lowerLetter"/>
      <w:start w:val="2"/>
    </w:lvl>
  </w:abstractNum>
  <w:abstractNum w:abstractNumId="234">
    <w:nsid w:val="44EF6B80"/>
    <w:multiLevelType w:val="hybridMultilevel"/>
    <w:lvl w:ilvl="0">
      <w:lvlJc w:val="left"/>
      <w:lvlText w:val="(%1)"/>
      <w:numFmt w:val="lowerLetter"/>
      <w:start w:val="1"/>
    </w:lvl>
  </w:abstractNum>
  <w:abstractNum w:abstractNumId="235">
    <w:nsid w:val="12FCDE5E"/>
    <w:multiLevelType w:val="hybridMultilevel"/>
    <w:lvl w:ilvl="0">
      <w:lvlJc w:val="left"/>
      <w:lvlText w:val="(%1)"/>
      <w:numFmt w:val="lowerLetter"/>
      <w:start w:val="1"/>
    </w:lvl>
    <w:lvl w:ilvl="1">
      <w:lvlJc w:val="left"/>
      <w:lvlText w:val="%2."/>
      <w:numFmt w:val="lowerRoman"/>
      <w:start w:val="1"/>
    </w:lvl>
  </w:abstractNum>
  <w:abstractNum w:abstractNumId="236">
    <w:nsid w:val="4A1D606E"/>
    <w:multiLevelType w:val="hybridMultilevel"/>
    <w:lvl w:ilvl="0">
      <w:lvlJc w:val="left"/>
      <w:lvlText w:val="%1"/>
      <w:numFmt w:val="decimal"/>
      <w:start w:val="1"/>
    </w:lvl>
    <w:lvl w:ilvl="1">
      <w:lvlJc w:val="left"/>
      <w:lvlText w:val="(%2)"/>
      <w:numFmt w:val="lowerLetter"/>
      <w:start w:val="3"/>
    </w:lvl>
  </w:abstractNum>
  <w:abstractNum w:abstractNumId="237">
    <w:nsid w:val="4382503"/>
    <w:multiLevelType w:val="hybridMultilevel"/>
    <w:lvl w:ilvl="0">
      <w:lvlJc w:val="left"/>
      <w:lvlText w:val="(%1)"/>
      <w:numFmt w:val="decimal"/>
      <w:start w:val="60"/>
    </w:lvl>
    <w:lvl w:ilvl="1">
      <w:lvlJc w:val="left"/>
      <w:lvlText w:val="%2"/>
      <w:numFmt w:val="lowerLetter"/>
      <w:start w:val="1"/>
    </w:lvl>
  </w:abstractNum>
  <w:abstractNum w:abstractNumId="238">
    <w:nsid w:val="59B76E28"/>
    <w:multiLevelType w:val="hybridMultilevel"/>
    <w:lvl w:ilvl="0">
      <w:lvlJc w:val="left"/>
      <w:lvlText w:val="(%1)"/>
      <w:numFmt w:val="lowerLetter"/>
      <w:start w:val="1"/>
    </w:lvl>
  </w:abstractNum>
  <w:abstractNum w:abstractNumId="239">
    <w:nsid w:val="4252C2DA"/>
    <w:multiLevelType w:val="hybridMultilevel"/>
    <w:lvl w:ilvl="0">
      <w:lvlJc w:val="left"/>
      <w:lvlText w:val="%1"/>
      <w:numFmt w:val="decimal"/>
      <w:start w:val="1"/>
    </w:lvl>
    <w:lvl w:ilvl="1">
      <w:lvlJc w:val="left"/>
      <w:lvlText w:val="(%2)"/>
      <w:numFmt w:val="lowerLetter"/>
      <w:start w:val="2"/>
    </w:lvl>
  </w:abstractNum>
  <w:abstractNum w:abstractNumId="240">
    <w:nsid w:val="6A92EF4C"/>
    <w:multiLevelType w:val="hybridMultilevel"/>
    <w:lvl w:ilvl="0">
      <w:lvlJc w:val="left"/>
      <w:lvlText w:val="(%1)"/>
      <w:numFmt w:val="decimal"/>
      <w:start w:val="60"/>
    </w:lvl>
    <w:lvl w:ilvl="1">
      <w:lvlJc w:val="left"/>
      <w:lvlText w:val="(%2)"/>
      <w:numFmt w:val="lowerLetter"/>
      <w:start w:val="3"/>
    </w:lvl>
  </w:abstractNum>
  <w:abstractNum w:abstractNumId="241">
    <w:nsid w:val="41ED20D7"/>
    <w:multiLevelType w:val="hybridMultilevel"/>
    <w:lvl w:ilvl="0">
      <w:lvlJc w:val="left"/>
      <w:lvlText w:val="(%1)"/>
      <w:numFmt w:val="lowerLetter"/>
      <w:start w:val="1"/>
    </w:lvl>
  </w:abstractNum>
  <w:abstractNum w:abstractNumId="242">
    <w:nsid w:val="E6B3F6A"/>
    <w:multiLevelType w:val="hybridMultilevel"/>
    <w:lvl w:ilvl="0">
      <w:lvlJc w:val="left"/>
      <w:lvlText w:val="(%1)"/>
      <w:numFmt w:val="lowerLetter"/>
      <w:start w:val="5"/>
    </w:lvl>
  </w:abstractNum>
  <w:abstractNum w:abstractNumId="243">
    <w:nsid w:val="3EB21819"/>
    <w:multiLevelType w:val="hybridMultilevel"/>
    <w:lvl w:ilvl="0">
      <w:lvlJc w:val="left"/>
      <w:lvlText w:val="(%1)"/>
      <w:numFmt w:val="lowerLetter"/>
      <w:start w:val="1"/>
    </w:lvl>
  </w:abstractNum>
  <w:abstractNum w:abstractNumId="244">
    <w:nsid w:val="41531DED"/>
    <w:multiLevelType w:val="hybridMultilevel"/>
    <w:lvl w:ilvl="0">
      <w:lvlJc w:val="left"/>
      <w:lvlText w:val="%1."/>
      <w:numFmt w:val="lowerRoman"/>
      <w:start w:val="1"/>
    </w:lvl>
    <w:lvl w:ilvl="1">
      <w:lvlJc w:val="left"/>
      <w:lvlText w:val="%2)"/>
      <w:numFmt w:val="decimal"/>
      <w:start w:val="1"/>
    </w:lvl>
  </w:abstractNum>
  <w:abstractNum w:abstractNumId="245">
    <w:nsid w:val="6353CD2"/>
    <w:multiLevelType w:val="hybridMultilevel"/>
    <w:lvl w:ilvl="0">
      <w:lvlJc w:val="left"/>
      <w:lvlText w:val="(%1)"/>
      <w:numFmt w:val="lowerLetter"/>
      <w:start w:val="3"/>
    </w:lvl>
  </w:abstractNum>
  <w:abstractNum w:abstractNumId="246">
    <w:nsid w:val="683CAAD3"/>
    <w:multiLevelType w:val="hybridMultilevel"/>
    <w:lvl w:ilvl="0">
      <w:lvlJc w:val="left"/>
      <w:lvlText w:val="(%1)"/>
      <w:numFmt w:val="lowerLetter"/>
      <w:start w:val="4"/>
    </w:lvl>
  </w:abstractNum>
  <w:abstractNum w:abstractNumId="247">
    <w:nsid w:val="313C7C99"/>
    <w:multiLevelType w:val="hybridMultilevel"/>
    <w:lvl w:ilvl="0">
      <w:lvlJc w:val="left"/>
      <w:lvlText w:val="(%1)"/>
      <w:numFmt w:val="lowerLetter"/>
      <w:start w:val="1"/>
    </w:lvl>
  </w:abstractNum>
  <w:abstractNum w:abstractNumId="248">
    <w:nsid w:val="519EB94C"/>
    <w:multiLevelType w:val="hybridMultilevel"/>
    <w:lvl w:ilvl="0">
      <w:lvlJc w:val="left"/>
      <w:lvlText w:val="(%1)"/>
      <w:numFmt w:val="lowerLetter"/>
      <w:start w:val="2"/>
    </w:lvl>
  </w:abstractNum>
  <w:abstractNum w:abstractNumId="249">
    <w:nsid w:val="39DF2579"/>
    <w:multiLevelType w:val="hybridMultilevel"/>
    <w:lvl w:ilvl="0">
      <w:lvlJc w:val="left"/>
      <w:lvlText w:val="(%1)"/>
      <w:numFmt w:val="decimal"/>
      <w:start w:val="30"/>
    </w:lvl>
  </w:abstractNum>
  <w:abstractNum w:abstractNumId="250">
    <w:nsid w:val="126E008B"/>
    <w:multiLevelType w:val="hybridMultilevel"/>
    <w:lvl w:ilvl="0">
      <w:lvlJc w:val="left"/>
      <w:lvlText w:val="(%1)"/>
      <w:numFmt w:val="lowerLetter"/>
      <w:start w:val="1"/>
    </w:lvl>
  </w:abstractNum>
  <w:abstractNum w:abstractNumId="251">
    <w:nsid w:val="34DFBC00"/>
    <w:multiLevelType w:val="hybridMultilevel"/>
    <w:lvl w:ilvl="0">
      <w:lvlJc w:val="left"/>
      <w:lvlText w:val="(%1)"/>
      <w:numFmt w:val="lowerLetter"/>
      <w:start w:val="2"/>
    </w:lvl>
  </w:abstractNum>
  <w:abstractNum w:abstractNumId="252">
    <w:nsid w:val="1F9EC322"/>
    <w:multiLevelType w:val="hybridMultilevel"/>
    <w:lvl w:ilvl="0">
      <w:lvlJc w:val="left"/>
      <w:lvlText w:val="(%1)"/>
      <w:numFmt w:val="lowerLetter"/>
      <w:start w:val="4"/>
    </w:lvl>
  </w:abstractNum>
  <w:abstractNum w:abstractNumId="253">
    <w:nsid w:val="3410ED56"/>
    <w:multiLevelType w:val="hybridMultilevel"/>
    <w:lvl w:ilvl="0">
      <w:lvlJc w:val="left"/>
      <w:lvlText w:val="(%1)"/>
      <w:numFmt w:val="lowerLetter"/>
      <w:start w:val="1"/>
    </w:lvl>
  </w:abstractNum>
  <w:abstractNum w:abstractNumId="254">
    <w:nsid w:val="23C049A"/>
    <w:multiLevelType w:val="hybridMultilevel"/>
    <w:lvl w:ilvl="0">
      <w:lvlJc w:val="left"/>
      <w:lvlText w:val="(%1)"/>
      <w:numFmt w:val="lowerLetter"/>
      <w:start w:val="1"/>
    </w:lvl>
  </w:abstractNum>
  <w:abstractNum w:abstractNumId="255">
    <w:nsid w:val="5BDA35D4"/>
    <w:multiLevelType w:val="hybridMultilevel"/>
    <w:lvl w:ilvl="0">
      <w:lvlJc w:val="left"/>
      <w:lvlText w:val="(%1)"/>
      <w:numFmt w:val="lowerLetter"/>
      <w:start w:val="1"/>
    </w:lvl>
  </w:abstractNum>
  <w:abstractNum w:abstractNumId="256">
    <w:nsid w:val="496FB218"/>
    <w:multiLevelType w:val="hybridMultilevel"/>
    <w:lvl w:ilvl="0">
      <w:lvlJc w:val="left"/>
      <w:lvlText w:val="(%1)"/>
      <w:numFmt w:val="lowerLetter"/>
      <w:start w:val="1"/>
    </w:lvl>
  </w:abstractNum>
  <w:abstractNum w:abstractNumId="257">
    <w:nsid w:val="680EA5D1"/>
    <w:multiLevelType w:val="hybridMultilevel"/>
    <w:lvl w:ilvl="0">
      <w:lvlJc w:val="left"/>
      <w:lvlText w:val="(%1)"/>
      <w:numFmt w:val="lowerLetter"/>
      <w:start w:val="1"/>
    </w:lvl>
    <w:lvl w:ilvl="1">
      <w:lvlJc w:val="left"/>
      <w:lvlText w:val="(%2)"/>
      <w:numFmt w:val="lowerRoman"/>
      <w:start w:val="1"/>
    </w:lvl>
  </w:abstractNum>
  <w:abstractNum w:abstractNumId="258">
    <w:nsid w:val="4A9554FE"/>
    <w:multiLevelType w:val="hybridMultilevel"/>
    <w:lvl w:ilvl="0">
      <w:lvlJc w:val="left"/>
      <w:lvlText w:val="(%1)"/>
      <w:numFmt w:val="lowerLetter"/>
      <w:start w:val="3"/>
    </w:lvl>
    <w:lvl w:ilvl="1">
      <w:lvlJc w:val="left"/>
      <w:lvlText w:val="(%2)"/>
      <w:numFmt w:val="lowerRoman"/>
      <w:start w:val="1"/>
    </w:lvl>
  </w:abstractNum>
  <w:abstractNum w:abstractNumId="259">
    <w:nsid w:val="392EDBE4"/>
    <w:multiLevelType w:val="hybridMultilevel"/>
    <w:lvl w:ilvl="0">
      <w:lvlJc w:val="left"/>
      <w:lvlText w:val="(%1)"/>
      <w:numFmt w:val="lowerRoman"/>
      <w:start w:val="2"/>
    </w:lvl>
  </w:abstractNum>
  <w:abstractNum w:abstractNumId="260">
    <w:nsid w:val="3D1A2DD9"/>
    <w:multiLevelType w:val="hybridMultilevel"/>
    <w:lvl w:ilvl="0">
      <w:lvlJc w:val="left"/>
      <w:lvlText w:val="(%1)"/>
      <w:numFmt w:val="lowerLetter"/>
      <w:start w:val="1"/>
    </w:lvl>
  </w:abstractNum>
  <w:abstractNum w:abstractNumId="261">
    <w:nsid w:val="7F618FCD"/>
    <w:multiLevelType w:val="hybridMultilevel"/>
    <w:lvl w:ilvl="0">
      <w:lvlJc w:val="left"/>
      <w:lvlText w:val="(%1)"/>
      <w:numFmt w:val="lowerLetter"/>
      <w:start w:val="1"/>
    </w:lvl>
  </w:abstractNum>
  <w:abstractNum w:abstractNumId="262">
    <w:nsid w:val="7843E45"/>
    <w:multiLevelType w:val="hybridMultilevel"/>
    <w:lvl w:ilvl="0">
      <w:lvlJc w:val="left"/>
      <w:lvlText w:val="(%1)"/>
      <w:numFmt w:val="lowerLetter"/>
      <w:start w:val="1"/>
    </w:lvl>
  </w:abstractNum>
  <w:abstractNum w:abstractNumId="263">
    <w:nsid w:val="9815DA3"/>
    <w:multiLevelType w:val="hybridMultilevel"/>
    <w:lvl w:ilvl="0">
      <w:lvlJc w:val="left"/>
      <w:lvlText w:val="1"/>
      <w:numFmt w:val="bullet"/>
      <w:start w:val="1"/>
    </w:lvl>
  </w:abstractNum>
  <w:abstractNum w:abstractNumId="264">
    <w:nsid w:val="5204A191"/>
    <w:multiLevelType w:val="hybridMultilevel"/>
    <w:lvl w:ilvl="0">
      <w:lvlJc w:val="left"/>
      <w:lvlText w:val="2"/>
      <w:numFmt w:val="bullet"/>
      <w:start w:val="1"/>
    </w:lvl>
  </w:abstractNum>
  <w:abstractNum w:abstractNumId="265">
    <w:nsid w:val="4C73A9C6"/>
    <w:multiLevelType w:val="hybridMultilevel"/>
    <w:lvl w:ilvl="0">
      <w:lvlJc w:val="left"/>
      <w:lvlText w:val="3"/>
      <w:numFmt w:val="bullet"/>
      <w:start w:val="1"/>
    </w:lvl>
  </w:abstractNum>
  <w:abstractNum w:abstractNumId="266">
    <w:nsid w:val="1C7E3C01"/>
    <w:multiLevelType w:val="hybridMultilevel"/>
    <w:lvl w:ilvl="0">
      <w:lvlJc w:val="left"/>
      <w:lvlText w:val="(%1)"/>
      <w:numFmt w:val="lowerRoman"/>
      <w:start w:val="1"/>
    </w:lvl>
  </w:abstractNum>
  <w:abstractNum w:abstractNumId="267">
    <w:nsid w:val="1C2201FF"/>
    <w:multiLevelType w:val="hybridMultilevel"/>
    <w:lvl w:ilvl="0">
      <w:lvlJc w:val="left"/>
      <w:lvlText w:val="(%1)"/>
      <w:numFmt w:val="lowerLetter"/>
      <w:start w:val="3"/>
    </w:lvl>
  </w:abstractNum>
  <w:abstractNum w:abstractNumId="268">
    <w:nsid w:val="50ABCEC9"/>
    <w:multiLevelType w:val="hybridMultilevel"/>
    <w:lvl w:ilvl="0">
      <w:lvlJc w:val="left"/>
      <w:lvlText w:val="(%1)"/>
      <w:numFmt w:val="lowerLetter"/>
      <w:start w:val="4"/>
    </w:lvl>
    <w:lvl w:ilvl="1">
      <w:lvlJc w:val="left"/>
      <w:lvlText w:val="(%2)"/>
      <w:numFmt w:val="lowerRoman"/>
      <w:start w:val="1"/>
    </w:lvl>
  </w:abstractNum>
  <w:abstractNum w:abstractNumId="269">
    <w:nsid w:val="7635AA2A"/>
    <w:multiLevelType w:val="hybridMultilevel"/>
    <w:lvl w:ilvl="0">
      <w:lvlJc w:val="left"/>
      <w:lvlText w:val="(%1)"/>
      <w:numFmt w:val="lowerLetter"/>
      <w:start w:val="10"/>
    </w:lvl>
  </w:abstractNum>
  <w:abstractNum w:abstractNumId="270">
    <w:nsid w:val="5E74C4D9"/>
    <w:multiLevelType w:val="hybridMultilevel"/>
    <w:lvl w:ilvl="0">
      <w:lvlJc w:val="left"/>
      <w:lvlText w:val="["/>
      <w:numFmt w:val="bullet"/>
      <w:start w:val="1"/>
    </w:lvl>
  </w:abstractNum>
  <w:abstractNum w:abstractNumId="271">
    <w:nsid w:val="3B3EBE15"/>
    <w:multiLevelType w:val="hybridMultilevel"/>
    <w:lvl w:ilvl="0">
      <w:lvlJc w:val="left"/>
      <w:lvlText w:val="4"/>
      <w:numFmt w:val="bullet"/>
      <w:start w:val="1"/>
    </w:lvl>
  </w:abstractNum>
  <w:abstractNum w:abstractNumId="272">
    <w:nsid w:val="3822CB01"/>
    <w:multiLevelType w:val="hybridMultilevel"/>
    <w:lvl w:ilvl="0">
      <w:lvlJc w:val="left"/>
      <w:lvlText w:val="5"/>
      <w:numFmt w:val="bullet"/>
      <w:start w:val="1"/>
    </w:lvl>
  </w:abstractNum>
  <w:abstractNum w:abstractNumId="273">
    <w:nsid w:val="6CE00443"/>
    <w:multiLevelType w:val="hybridMultilevel"/>
    <w:lvl w:ilvl="0">
      <w:lvlJc w:val="left"/>
      <w:lvlText w:val="(%1)"/>
      <w:numFmt w:val="lowerLetter"/>
      <w:start w:val="1"/>
    </w:lvl>
  </w:abstractNum>
  <w:abstractNum w:abstractNumId="274">
    <w:nsid w:val="79F0D62F"/>
    <w:multiLevelType w:val="hybridMultilevel"/>
    <w:lvl w:ilvl="0">
      <w:lvlJc w:val="left"/>
      <w:lvlText w:val="6"/>
      <w:numFmt w:val="bullet"/>
      <w:start w:val="1"/>
    </w:lvl>
  </w:abstractNum>
  <w:abstractNum w:abstractNumId="275">
    <w:nsid w:val="7975E8EE"/>
    <w:multiLevelType w:val="hybridMultilevel"/>
    <w:lvl w:ilvl="0">
      <w:lvlJc w:val="left"/>
      <w:lvlText w:val="7"/>
      <w:numFmt w:val="bullet"/>
      <w:start w:val="1"/>
    </w:lvl>
  </w:abstractNum>
  <w:abstractNum w:abstractNumId="276">
    <w:nsid w:val="73154115"/>
    <w:multiLevelType w:val="hybridMultilevel"/>
    <w:lvl w:ilvl="0">
      <w:lvlJc w:val="left"/>
      <w:lvlText w:val="8"/>
      <w:numFmt w:val="bullet"/>
      <w:start w:val="1"/>
    </w:lvl>
  </w:abstractNum>
  <w:abstractNum w:abstractNumId="277">
    <w:nsid w:val="622D8102"/>
    <w:multiLevelType w:val="hybridMultilevel"/>
    <w:lvl w:ilvl="0">
      <w:lvlJc w:val="left"/>
      <w:lvlText w:val="9"/>
      <w:numFmt w:val="bullet"/>
      <w:start w:val="1"/>
    </w:lvl>
  </w:abstractNum>
  <w:abstractNum w:abstractNumId="278">
    <w:nsid w:val="2AB26587"/>
    <w:multiLevelType w:val="hybridMultilevel"/>
    <w:lvl w:ilvl="0">
      <w:lvlJc w:val="left"/>
      <w:lvlText w:val="%1"/>
      <w:numFmt w:val="decimal"/>
      <w:start w:val="10"/>
    </w:lvl>
  </w:abstractNum>
  <w:abstractNum w:abstractNumId="279">
    <w:nsid w:val="44B3FA61"/>
    <w:multiLevelType w:val="hybridMultilevel"/>
    <w:lvl w:ilvl="0">
      <w:lvlJc w:val="left"/>
      <w:lvlText w:val="(%1)"/>
      <w:numFmt w:val="lowerLetter"/>
      <w:start w:val="2"/>
    </w:lvl>
  </w:abstractNum>
  <w:abstractNum w:abstractNumId="280">
    <w:nsid w:val="1C0CA67C"/>
    <w:multiLevelType w:val="hybridMultilevel"/>
    <w:lvl w:ilvl="0">
      <w:lvlJc w:val="left"/>
      <w:lvlText w:val="%1"/>
      <w:numFmt w:val="decimal"/>
      <w:start w:val="11"/>
    </w:lvl>
  </w:abstractNum>
  <w:abstractNum w:abstractNumId="281">
    <w:nsid w:val="3D206613"/>
    <w:multiLevelType w:val="hybridMultilevel"/>
    <w:lvl w:ilvl="0">
      <w:lvlJc w:val="left"/>
      <w:lvlText w:val="(%1)"/>
      <w:numFmt w:val="lowerRoman"/>
      <w:start w:val="2"/>
    </w:lvl>
  </w:abstractNum>
  <w:abstractNum w:abstractNumId="282">
    <w:nsid w:val="7993B662"/>
    <w:multiLevelType w:val="hybridMultilevel"/>
    <w:lvl w:ilvl="0">
      <w:lvlJc w:val="left"/>
      <w:lvlText w:val="(%1)"/>
      <w:numFmt w:val="lowerLetter"/>
      <w:start w:val="3"/>
    </w:lvl>
  </w:abstractNum>
  <w:abstractNum w:abstractNumId="283">
    <w:nsid w:val="3BAB699E"/>
    <w:multiLevelType w:val="hybridMultilevel"/>
    <w:lvl w:ilvl="0">
      <w:lvlJc w:val="left"/>
      <w:lvlText w:val="(%1)"/>
      <w:numFmt w:val="lowerLetter"/>
      <w:start w:val="4"/>
    </w:lvl>
  </w:abstractNum>
  <w:abstractNum w:abstractNumId="284">
    <w:nsid w:val="71315369"/>
    <w:multiLevelType w:val="hybridMultilevel"/>
    <w:lvl w:ilvl="0">
      <w:lvlJc w:val="left"/>
      <w:lvlText w:val="%1."/>
      <w:numFmt w:val="decimal"/>
      <w:start w:val="1"/>
    </w:lvl>
  </w:abstractNum>
  <w:abstractNum w:abstractNumId="285">
    <w:nsid w:val="7BCFBAFC"/>
    <w:multiLevelType w:val="hybridMultilevel"/>
    <w:lvl w:ilvl="0">
      <w:lvlJc w:val="left"/>
      <w:lvlText w:val="%1."/>
      <w:numFmt w:val="decimal"/>
      <w:start w:val="3"/>
    </w:lvl>
  </w:abstractNum>
  <w:abstractNum w:abstractNumId="286">
    <w:nsid w:val="17859F72"/>
    <w:multiLevelType w:val="hybridMultilevel"/>
    <w:lvl w:ilvl="0">
      <w:lvlJc w:val="left"/>
      <w:lvlText w:val="%1."/>
      <w:numFmt w:val="decimal"/>
      <w:start w:val="1"/>
    </w:lvl>
  </w:abstractNum>
  <w:abstractNum w:abstractNumId="287">
    <w:nsid w:val="3AA10581"/>
    <w:multiLevelType w:val="hybridMultilevel"/>
    <w:lvl w:ilvl="0">
      <w:lvlJc w:val="left"/>
      <w:lvlText w:val="%1"/>
      <w:numFmt w:val="decimal"/>
      <w:start w:val="12"/>
    </w:lvl>
  </w:abstractNum>
  <w:abstractNum w:abstractNumId="288">
    <w:nsid w:val="63DE60CD"/>
    <w:multiLevelType w:val="hybridMultilevel"/>
    <w:lvl w:ilvl="0">
      <w:lvlJc w:val="left"/>
      <w:lvlText w:val="(%1)"/>
      <w:numFmt w:val="lowerLetter"/>
      <w:start w:val="1"/>
    </w:lvl>
  </w:abstractNum>
  <w:abstractNum w:abstractNumId="289">
    <w:nsid w:val="621AF471"/>
    <w:multiLevelType w:val="hybridMultilevel"/>
    <w:lvl w:ilvl="0">
      <w:lvlJc w:val="left"/>
      <w:lvlText w:val="6"/>
      <w:numFmt w:val="bullet"/>
      <w:start w:val="1"/>
    </w:lvl>
  </w:abstractNum>
  <w:abstractNum w:abstractNumId="290">
    <w:nsid w:val="73CFE165"/>
    <w:multiLevelType w:val="hybridMultilevel"/>
    <w:lvl w:ilvl="0">
      <w:lvlJc w:val="left"/>
      <w:lvlText w:val="7"/>
      <w:numFmt w:val="bullet"/>
      <w:start w:val="1"/>
    </w:lvl>
  </w:abstractNum>
  <w:abstractNum w:abstractNumId="291">
    <w:nsid w:val="20F88EA6"/>
    <w:multiLevelType w:val="hybridMultilevel"/>
    <w:lvl w:ilvl="0">
      <w:lvlJc w:val="left"/>
      <w:lvlText w:val="8"/>
      <w:numFmt w:val="bullet"/>
      <w:start w:val="1"/>
    </w:lvl>
  </w:abstractNum>
  <w:abstractNum w:abstractNumId="292">
    <w:nsid w:val="617C843E"/>
    <w:multiLevelType w:val="hybridMultilevel"/>
    <w:lvl w:ilvl="0">
      <w:lvlJc w:val="left"/>
      <w:lvlText w:val="9"/>
      <w:numFmt w:val="bullet"/>
      <w:start w:val="1"/>
    </w:lvl>
  </w:abstractNum>
  <w:abstractNum w:abstractNumId="293">
    <w:nsid w:val="7B541FAB"/>
    <w:multiLevelType w:val="hybridMultilevel"/>
    <w:lvl w:ilvl="0">
      <w:lvlJc w:val="left"/>
      <w:lvlText w:val="%1"/>
      <w:numFmt w:val="decimal"/>
      <w:start w:val="10"/>
    </w:lvl>
  </w:abstractNum>
  <w:abstractNum w:abstractNumId="294">
    <w:nsid w:val="2A79EC49"/>
    <w:multiLevelType w:val="hybridMultilevel"/>
    <w:lvl w:ilvl="0">
      <w:lvlJc w:val="left"/>
      <w:lvlText w:val="%1"/>
      <w:numFmt w:val="lowerLetter"/>
      <w:start w:val="1"/>
    </w:lvl>
    <w:lvl w:ilvl="1">
      <w:lvlJc w:val="left"/>
      <w:lvlText w:val="(%2)"/>
      <w:numFmt w:val="lowerLetter"/>
      <w:start w:val="2"/>
    </w:lvl>
  </w:abstractNum>
  <w:abstractNum w:abstractNumId="295">
    <w:nsid w:val="338125CF"/>
    <w:multiLevelType w:val="hybridMultilevel"/>
    <w:lvl w:ilvl="0">
      <w:lvlJc w:val="left"/>
      <w:lvlText w:val="(%1)"/>
      <w:numFmt w:val="lowerLetter"/>
      <w:start w:val="9"/>
    </w:lvl>
    <w:lvl w:ilvl="1">
      <w:lvlJc w:val="left"/>
      <w:lvlText w:val="%2"/>
      <w:numFmt w:val="lowerLetter"/>
      <w:start w:val="1"/>
    </w:lvl>
  </w:abstractNum>
  <w:abstractNum w:abstractNumId="296">
    <w:nsid w:val="47C7C971"/>
    <w:multiLevelType w:val="hybridMultilevel"/>
    <w:lvl w:ilvl="0">
      <w:lvlJc w:val="left"/>
      <w:lvlText w:val="%1"/>
      <w:numFmt w:val="decimal"/>
      <w:start w:val="11"/>
    </w:lvl>
  </w:abstractNum>
  <w:abstractNum w:abstractNumId="297">
    <w:nsid w:val="46F8284B"/>
    <w:multiLevelType w:val="hybridMultilevel"/>
    <w:lvl w:ilvl="0">
      <w:lvlJc w:val="left"/>
      <w:lvlText w:val="(%1)"/>
      <w:numFmt w:val="lowerRoman"/>
      <w:start w:val="2"/>
    </w:lvl>
  </w:abstractNum>
  <w:abstractNum w:abstractNumId="298">
    <w:nsid w:val="4FA327CE"/>
    <w:multiLevelType w:val="hybridMultilevel"/>
    <w:lvl w:ilvl="0">
      <w:lvlJc w:val="left"/>
      <w:lvlText w:val="(%1)"/>
      <w:numFmt w:val="lowerLetter"/>
      <w:start w:val="3"/>
    </w:lvl>
  </w:abstractNum>
  <w:abstractNum w:abstractNumId="299">
    <w:nsid w:val="1873983A"/>
    <w:multiLevelType w:val="hybridMultilevel"/>
    <w:lvl w:ilvl="0">
      <w:lvlJc w:val="left"/>
      <w:lvlText w:val="(%1)"/>
      <w:numFmt w:val="lowerLetter"/>
      <w:start w:val="4"/>
    </w:lvl>
  </w:abstractNum>
  <w:abstractNum w:abstractNumId="300">
    <w:nsid w:val="3D2DD275"/>
    <w:multiLevelType w:val="hybridMultilevel"/>
    <w:lvl w:ilvl="0">
      <w:lvlJc w:val="left"/>
      <w:lvlText w:val="%1."/>
      <w:numFmt w:val="decimal"/>
      <w:start w:val="1"/>
    </w:lvl>
  </w:abstractNum>
  <w:abstractNum w:abstractNumId="301">
    <w:nsid w:val="2E17ECA7"/>
    <w:multiLevelType w:val="hybridMultilevel"/>
    <w:lvl w:ilvl="0">
      <w:lvlJc w:val="left"/>
      <w:lvlText w:val="%1."/>
      <w:numFmt w:val="decimal"/>
      <w:start w:val="3"/>
    </w:lvl>
  </w:abstractNum>
  <w:abstractNum w:abstractNumId="302">
    <w:nsid w:val="53B2564F"/>
    <w:multiLevelType w:val="hybridMultilevel"/>
    <w:lvl w:ilvl="0">
      <w:lvlJc w:val="left"/>
      <w:lvlText w:val="%1."/>
      <w:numFmt w:val="decimal"/>
      <w:start w:val="1"/>
    </w:lvl>
  </w:abstractNum>
  <w:abstractNum w:abstractNumId="303">
    <w:nsid w:val="75509D76"/>
    <w:multiLevelType w:val="hybridMultilevel"/>
    <w:lvl w:ilvl="0">
      <w:lvlJc w:val="left"/>
      <w:lvlText w:val="1"/>
      <w:numFmt w:val="bullet"/>
      <w:start w:val="1"/>
    </w:lvl>
  </w:abstractNum>
  <w:abstractNum w:abstractNumId="304">
    <w:nsid w:val="1AF7F0EA"/>
    <w:multiLevelType w:val="hybridMultilevel"/>
    <w:lvl w:ilvl="0">
      <w:lvlJc w:val="left"/>
      <w:lvlText w:val="%1."/>
      <w:numFmt w:val="decimal"/>
      <w:start w:val="1"/>
    </w:lvl>
    <w:lvl w:ilvl="1">
      <w:lvlJc w:val="left"/>
      <w:lvlText w:val="(%2)"/>
      <w:numFmt w:val="lowerLetter"/>
      <w:start w:val="1"/>
    </w:lvl>
  </w:abstractNum>
  <w:abstractNum w:abstractNumId="305">
    <w:nsid w:val="4DA32C7E"/>
    <w:multiLevelType w:val="hybridMultilevel"/>
    <w:lvl w:ilvl="0">
      <w:lvlJc w:val="left"/>
      <w:lvlText w:val="(%1)"/>
      <w:numFmt w:val="lowerLetter"/>
      <w:start w:val="1"/>
    </w:lvl>
  </w:abstractNum>
  <w:abstractNum w:abstractNumId="306">
    <w:nsid w:val="6EC68664"/>
    <w:multiLevelType w:val="hybridMultilevel"/>
    <w:lvl w:ilvl="0">
      <w:lvlJc w:val="left"/>
      <w:lvlText w:val="%1"/>
      <w:numFmt w:val="decimal"/>
      <w:start w:val="1"/>
    </w:lvl>
    <w:lvl w:ilvl="1">
      <w:lvlJc w:val="left"/>
      <w:lvlText w:val="(%2)"/>
      <w:numFmt w:val="lowerLetter"/>
      <w:start w:val="4"/>
    </w:lvl>
  </w:abstractNum>
  <w:abstractNum w:abstractNumId="307">
    <w:nsid w:val="E0D31FF"/>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32" Type="http://schemas.openxmlformats.org/officeDocument/2006/relationships/hyperlink" Target="http://www.sec.gov/Archives/edgar/data/1808220/000119312520173051/d797183dex31.htm" TargetMode="External"/><Relationship Id="rId33" Type="http://schemas.openxmlformats.org/officeDocument/2006/relationships/hyperlink" Target="http://www.sec.gov/Archives/edgar/data/1808220/000119312520173051/d797183dex33.htm" TargetMode="External"/><Relationship Id="rId34" Type="http://schemas.openxmlformats.org/officeDocument/2006/relationships/hyperlink" Target="http://www.sec.gov/Archives/edgar/data/1808220/000119312520173051/d797183dex41.htm" TargetMode="External"/><Relationship Id="rId35" Type="http://schemas.openxmlformats.org/officeDocument/2006/relationships/hyperlink" Target="http://www.sec.gov/Archives/edgar/data/1808220/000119312520173051/d797183dex105.htm" TargetMode="External"/><Relationship Id="rId38" Type="http://schemas.openxmlformats.org/officeDocument/2006/relationships/hyperlink" Target="http://www.sec.gov/Archives/edgar/data/1808220/000119312520173051/d797183dex231.htm" TargetMode="External"/><Relationship Id="rId39" Type="http://schemas.openxmlformats.org/officeDocument/2006/relationships/hyperlink" Target="http://www.sec.gov/Archives/edgar/data/1808220/000119312520173051/d797183dex232.htm" TargetMode="External"/><Relationship Id="rId40" Type="http://schemas.openxmlformats.org/officeDocument/2006/relationships/hyperlink" Target="http://www.sec.gov/Archives/edgar/data/1808220/000119312520173051/d797183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2020-07-06T05:36:18Z</dcterms:created>
  <dcterms:modified xsi:type="dcterms:W3CDTF">2020-07-06T05:36:18Z</dcterms:modified>
</cp:coreProperties>
</file>