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Date of Report (Date of earliest event reported): June 6, 2023</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120" w:after="283"/>
        <w:jc w:val="center"/>
        <w:rPr>
          <w:rFonts w:ascii="Arial;sans-serif" w:hAnsi="Arial;sans-serif"/>
          <w:b/>
          <w:color w:val="000000"/>
          <w:sz w:val="44"/>
        </w:rPr>
      </w:pPr>
      <w:r>
        <w:rPr>
          <w:rFonts w:ascii="Arial;sans-serif" w:hAnsi="Arial;sans-serif"/>
          <w:b/>
          <w:color w:val="000000"/>
          <w:sz w:val="44"/>
        </w:rPr>
        <w:t>GoHealth, Inc.</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_________________________</w:t>
      </w:r>
    </w:p>
    <w:tbl>
      <w:tblPr>
        <w:tblW w:w="8817" w:type="dxa"/>
        <w:jc w:val="left"/>
        <w:tblInd w:w="0" w:type="dxa"/>
        <w:tblLayout w:type="fixed"/>
        <w:tblCellMar>
          <w:top w:w="28" w:type="dxa"/>
          <w:left w:w="28" w:type="dxa"/>
          <w:bottom w:w="28" w:type="dxa"/>
          <w:right w:w="28" w:type="dxa"/>
        </w:tblCellMar>
      </w:tblPr>
      <w:tblGrid>
        <w:gridCol w:w="1295"/>
        <w:gridCol w:w="1137"/>
        <w:gridCol w:w="1152"/>
        <w:gridCol w:w="762"/>
        <w:gridCol w:w="762"/>
        <w:gridCol w:w="770"/>
        <w:gridCol w:w="857"/>
        <w:gridCol w:w="857"/>
        <w:gridCol w:w="1225"/>
      </w:tblGrid>
      <w:tr>
        <w:trPr/>
        <w:tc>
          <w:tcPr>
            <w:tcW w:w="129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001-39390</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85-0563805</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bl>
    <w:tbl>
      <w:tblPr>
        <w:tblW w:w="4272" w:type="dxa"/>
        <w:jc w:val="left"/>
        <w:tblInd w:w="0" w:type="dxa"/>
        <w:tblLayout w:type="fixed"/>
        <w:tblCellMar>
          <w:top w:w="28" w:type="dxa"/>
          <w:left w:w="28" w:type="dxa"/>
          <w:bottom w:w="28" w:type="dxa"/>
          <w:right w:w="28" w:type="dxa"/>
        </w:tblCellMar>
      </w:tblPr>
      <w:tblGrid>
        <w:gridCol w:w="602"/>
        <w:gridCol w:w="530"/>
        <w:gridCol w:w="530"/>
        <w:gridCol w:w="530"/>
        <w:gridCol w:w="530"/>
        <w:gridCol w:w="530"/>
        <w:gridCol w:w="299"/>
        <w:gridCol w:w="299"/>
        <w:gridCol w:w="422"/>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25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214 West Huron St.</w:t>
            </w:r>
          </w:p>
        </w:tc>
        <w:tc>
          <w:tcPr>
            <w:tcW w:w="102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60654</w:t>
            </w:r>
          </w:p>
        </w:tc>
      </w:tr>
      <w:tr>
        <w:trPr/>
        <w:tc>
          <w:tcPr>
            <w:tcW w:w="16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Chicago,</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Illinois</w:t>
            </w:r>
          </w:p>
        </w:tc>
        <w:tc>
          <w:tcPr>
            <w:tcW w:w="10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5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(312) 386-8200</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N/A</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611" w:type="dxa"/>
        <w:jc w:val="left"/>
        <w:tblInd w:w="0" w:type="dxa"/>
        <w:tblLayout w:type="fixed"/>
        <w:tblCellMar>
          <w:top w:w="28" w:type="dxa"/>
          <w:left w:w="28" w:type="dxa"/>
          <w:bottom w:w="28" w:type="dxa"/>
          <w:right w:w="28" w:type="dxa"/>
        </w:tblCellMar>
      </w:tblPr>
      <w:tblGrid>
        <w:gridCol w:w="124"/>
        <w:gridCol w:w="109"/>
        <w:gridCol w:w="109"/>
        <w:gridCol w:w="2713"/>
        <w:gridCol w:w="2713"/>
        <w:gridCol w:w="38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38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76" w:before="12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7087" w:type="dxa"/>
        <w:jc w:val="left"/>
        <w:tblInd w:w="0" w:type="dxa"/>
        <w:tblLayout w:type="fixed"/>
        <w:tblCellMar>
          <w:top w:w="28" w:type="dxa"/>
          <w:left w:w="28" w:type="dxa"/>
          <w:bottom w:w="28" w:type="dxa"/>
          <w:right w:w="28" w:type="dxa"/>
        </w:tblCellMar>
      </w:tblPr>
      <w:tblGrid>
        <w:gridCol w:w="879"/>
        <w:gridCol w:w="771"/>
        <w:gridCol w:w="780"/>
        <w:gridCol w:w="109"/>
        <w:gridCol w:w="109"/>
        <w:gridCol w:w="109"/>
        <w:gridCol w:w="554"/>
        <w:gridCol w:w="554"/>
        <w:gridCol w:w="556"/>
        <w:gridCol w:w="109"/>
        <w:gridCol w:w="109"/>
        <w:gridCol w:w="109"/>
        <w:gridCol w:w="684"/>
        <w:gridCol w:w="684"/>
        <w:gridCol w:w="971"/>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Name of each exchange </w:t>
              <w:br/>
              <w:t>on which registered</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Class A Common Stock,</w:t>
              <w:br/>
              <w:t>$0.0001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GOCO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The Nasdaq Global Market</w:t>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Emerging growth company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Item 5.02(b).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On June 6, 2023, GoHealth, Inc. (the “Company”) announced the departure of Shane Cruz, the current Chief Strategy Officer, whose employment will terminate as of June 30, 2023. Mr. Cruz has served in various leadership roles at the Company for nearly 20 years and the Company is grateful for his service.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separation of employment will be pursuant to Mr. Cruz’s current Amended &amp; Restated Employment Agreement dated as of August 1, 2022 (the “Employment Agreement”). Pursuant to the Employment Agreement, Mr. Cruz is entitled to (i) a continuation of base salary for a two (2) year period, (ii) a cash bonus for 2023 at 100% of the targeted bonus (provided, however, that if there is a change of control within 12 months of separation, such bonus shall be multiplied by two), (iii) acceleration of any unvested LLC profits interests granted to Mr. Cruz prior to the 2020 initial public offering, (iv) acceleration of any unvested equity awards issued by the Company that would have vested within the 24 month period beginning on the separation date had Mr. Cruz remained employed by the Company, and (v) up to 24 months of COBRA premium reimbursement. The separation benefits under the Employment Agreement are subject to the Mr. Cruz’s execution and non-revocation of a release of claims in favor of the Company and continued compliance with applicable restrictive covenants.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tbl>
      <w:tblPr>
        <w:tblW w:w="4138" w:type="dxa"/>
        <w:jc w:val="left"/>
        <w:tblInd w:w="0" w:type="dxa"/>
        <w:tblLayout w:type="fixed"/>
        <w:tblCellMar>
          <w:top w:w="28" w:type="dxa"/>
          <w:left w:w="28" w:type="dxa"/>
          <w:bottom w:w="28" w:type="dxa"/>
          <w:right w:w="28" w:type="dxa"/>
        </w:tblCellMar>
      </w:tblPr>
      <w:tblGrid>
        <w:gridCol w:w="201"/>
        <w:gridCol w:w="176"/>
        <w:gridCol w:w="178"/>
        <w:gridCol w:w="389"/>
        <w:gridCol w:w="389"/>
        <w:gridCol w:w="391"/>
        <w:gridCol w:w="250"/>
        <w:gridCol w:w="250"/>
        <w:gridCol w:w="250"/>
        <w:gridCol w:w="486"/>
        <w:gridCol w:w="486"/>
        <w:gridCol w:w="692"/>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GOHEALTH,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June 6, 2023</w:t>
            </w:r>
          </w:p>
        </w:tc>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Brian Farley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7" w:before="0" w:after="0"/>
              <w:jc w:val="left"/>
              <w:rPr>
                <w:rFonts w:ascii="Arial;sans-serif" w:hAnsi="Arial;sans-serif"/>
                <w:b w:val="false"/>
                <w:color w:val="000000"/>
                <w:sz w:val="18"/>
              </w:rPr>
            </w:pPr>
            <w:r>
              <w:rPr>
                <w:rFonts w:ascii="Arial;sans-serif" w:hAnsi="Arial;sans-serif"/>
                <w:b w:val="false"/>
                <w:color w:val="000000"/>
                <w:sz w:val="18"/>
              </w:rPr>
              <w:t>Brian Farley</w:t>
            </w:r>
          </w:p>
          <w:p>
            <w:pPr>
              <w:pStyle w:val="TableContents"/>
              <w:bidi w:val="0"/>
              <w:spacing w:lineRule="auto" w:line="247" w:before="0" w:after="0"/>
              <w:jc w:val="left"/>
              <w:rPr>
                <w:rFonts w:ascii="Arial;sans-serif" w:hAnsi="Arial;sans-serif"/>
                <w:b w:val="false"/>
                <w:color w:val="000000"/>
                <w:sz w:val="18"/>
              </w:rPr>
            </w:pPr>
            <w:r>
              <w:rPr>
                <w:rFonts w:ascii="Arial;sans-serif" w:hAnsi="Arial;sans-serif"/>
                <w:b w:val="false"/>
                <w:color w:val="000000"/>
                <w:sz w:val="18"/>
              </w:rPr>
              <w:t>Chief Legal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598</Words>
  <Characters>3270</Characters>
  <CharactersWithSpaces>3811</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