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6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CCP III Cayman GP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963"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963"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jc w:val="center"/>
              <w:ind w:right="209"/>
              <w:spacing w:after="0"/>
              <w:rPr>
                <w:sz w:val="20"/>
                <w:szCs w:val="20"/>
                <w:color w:val="auto"/>
              </w:rPr>
            </w:pPr>
            <w:r>
              <w:rPr>
                <w:rFonts w:ascii="Arial" w:cs="Arial" w:eastAsia="Arial" w:hAnsi="Arial"/>
                <w:sz w:val="12"/>
                <w:szCs w:val="12"/>
                <w:b w:val="1"/>
                <w:bCs w:val="1"/>
                <w:color w:val="auto"/>
                <w:w w:val="98"/>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gridSpan w:val="2"/>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11/25/2022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4,154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8.9792</w:t>
            </w:r>
            <w:r>
              <w:rPr>
                <w:rFonts w:ascii="Times New Roman" w:cs="Times New Roman" w:eastAsia="Times New Roman" w:hAnsi="Times New Roman"/>
                <w:sz w:val="22"/>
                <w:szCs w:val="22"/>
                <w:color w:val="008000"/>
                <w:w w:val="95"/>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3,515,923</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11/25/2022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4,657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9.0698</w:t>
            </w:r>
            <w:r>
              <w:rPr>
                <w:rFonts w:ascii="Times New Roman" w:cs="Times New Roman" w:eastAsia="Times New Roman" w:hAnsi="Times New Roman"/>
                <w:sz w:val="22"/>
                <w:szCs w:val="22"/>
                <w:color w:val="008000"/>
                <w:w w:val="95"/>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3,520,580</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11/28/2022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16,754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9.707</w:t>
            </w:r>
            <w:r>
              <w:rPr>
                <w:rFonts w:ascii="Times New Roman" w:cs="Times New Roman" w:eastAsia="Times New Roman" w:hAnsi="Times New Roman"/>
                <w:sz w:val="22"/>
                <w:szCs w:val="22"/>
                <w:color w:val="008000"/>
                <w:w w:val="92"/>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3,537,334</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11/28/2022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21,765</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10.3146</w:t>
            </w:r>
            <w:r>
              <w:rPr>
                <w:rFonts w:ascii="Times New Roman" w:cs="Times New Roman" w:eastAsia="Times New Roman" w:hAnsi="Times New Roman"/>
                <w:sz w:val="22"/>
                <w:szCs w:val="22"/>
                <w:color w:val="008000"/>
                <w:w w:val="97"/>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3,559,099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7"/>
          </w:tcPr>
          <w:p>
            <w:pPr>
              <w:jc w:val="center"/>
              <w:ind w:righ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20" w:type="dxa"/>
            <w:vAlign w:val="bottom"/>
            <w:gridSpan w:val="14"/>
          </w:tcPr>
          <w:p>
            <w:pPr>
              <w:jc w:val="center"/>
              <w:ind w:righ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jc w:val="center"/>
              <w:ind w:right="229"/>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CCP III Cayman GP Ltd.</w:t>
              </w:r>
            </w:hyperlink>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jc w:val="center"/>
              <w:ind w:right="89"/>
              <w:spacing w:after="0"/>
              <w:rPr>
                <w:sz w:val="20"/>
                <w:szCs w:val="20"/>
                <w:color w:val="auto"/>
              </w:rPr>
            </w:pPr>
            <w:r>
              <w:rPr>
                <w:rFonts w:ascii="Times New Roman" w:cs="Times New Roman" w:eastAsia="Times New Roman" w:hAnsi="Times New Roman"/>
                <w:sz w:val="17"/>
                <w:szCs w:val="17"/>
                <w:color w:val="0000FF"/>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jc w:val="center"/>
              <w:ind w:right="48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Centerbridge Associates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jc w:val="center"/>
              <w:ind w:right="89"/>
              <w:spacing w:after="0"/>
              <w:rPr>
                <w:sz w:val="20"/>
                <w:szCs w:val="20"/>
                <w:color w:val="auto"/>
              </w:rPr>
            </w:pPr>
            <w:r>
              <w:rPr>
                <w:rFonts w:ascii="Times New Roman" w:cs="Times New Roman" w:eastAsia="Times New Roman" w:hAnsi="Times New Roman"/>
                <w:sz w:val="17"/>
                <w:szCs w:val="17"/>
                <w:color w:val="0000FF"/>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jc w:val="center"/>
              <w:ind w:right="48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CCP III AIV VII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CB Blizzard Co-Invest Holdings,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Aronson Jeffrey</w:t>
              </w:r>
            </w:hyperlink>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CB Blizzard Lower Holdings GP 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CB Blizzard Lower Holdings A,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CB Blizzard Lower Holdings GP B, LLC</w:t>
        </w:r>
      </w:hyperlink>
    </w:p>
    <w:p>
      <w:pPr>
        <w:sectPr>
          <w:pgSz w:w="11900" w:h="16838" w:orient="portrait"/>
          <w:cols w:equalWidth="0" w:num="1">
            <w:col w:w="9979"/>
          </w:cols>
          <w:pgMar w:left="480" w:top="139" w:right="1440" w:bottom="0" w:gutter="0" w:footer="0" w:header="0"/>
        </w:sectPr>
      </w:pPr>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39" w:right="1440" w:bottom="0" w:gutter="0" w:footer="0" w:header="0"/>
          <w:type w:val="continuous"/>
        </w:sectPr>
      </w:pPr>
    </w:p>
    <w:bookmarkStart w:id="2" w:name="page3"/>
    <w:bookmarkEnd w:id="2"/>
    <w:p>
      <w:pPr>
        <w:ind w:left="8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2635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CB Blizzard Lower Holdings B,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$8.79 to $8.995.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846,902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$9.00 to $9.23.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$9.30 to $9.98.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$10.08 to $10.77.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CB Blizzard Holdings C, L.P. is filing on a separate Form 4.</w:t>
      </w:r>
    </w:p>
    <w:p>
      <w:pPr>
        <w:sectPr>
          <w:pgSz w:w="11900" w:h="16838" w:orient="portrait"/>
          <w:cols w:equalWidth="0" w:num="1">
            <w:col w:w="10900"/>
          </w:cols>
          <w:pgMar w:left="500" w:top="125" w:right="49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5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36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5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48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BLIZZARD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23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0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601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00" w:space="40"/>
            <w:col w:w="2160"/>
          </w:cols>
          <w:pgMar w:left="500" w:top="125"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3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1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4" Type="http://schemas.openxmlformats.org/officeDocument/2006/relationships/hyperlink" Target="http://www.sec.gov/cgi-bin/browse-edgar?action=getcompany&amp;CIK=0001818016" TargetMode="External"/><Relationship Id="rId17" Type="http://schemas.openxmlformats.org/officeDocument/2006/relationships/hyperlink" Target="http://www.sec.gov/cgi-bin/browse-edgar?action=getcompany&amp;CIK=0001818077" TargetMode="External"/><Relationship Id="rId19" Type="http://schemas.openxmlformats.org/officeDocument/2006/relationships/hyperlink" Target="http://www.sec.gov/cgi-bin/browse-edgar?action=getcompany&amp;CIK=0001785522" TargetMode="External"/><Relationship Id="rId20" Type="http://schemas.openxmlformats.org/officeDocument/2006/relationships/hyperlink" Target="http://www.sec.gov/cgi-bin/browse-edgar?action=getcompany&amp;CIK=0001818020" TargetMode="External"/><Relationship Id="rId21" Type="http://schemas.openxmlformats.org/officeDocument/2006/relationships/hyperlink" Target="http://www.sec.gov/cgi-bin/browse-edgar?action=getcompany&amp;CIK=0001425800" TargetMode="External"/><Relationship Id="rId22" Type="http://schemas.openxmlformats.org/officeDocument/2006/relationships/hyperlink" Target="http://www.sec.gov/cgi-bin/browse-edgar?action=getcompany&amp;CIK=0001852144" TargetMode="External"/><Relationship Id="rId23" Type="http://schemas.openxmlformats.org/officeDocument/2006/relationships/hyperlink" Target="http://www.sec.gov/cgi-bin/browse-edgar?action=getcompany&amp;CIK=0001852252" TargetMode="External"/><Relationship Id="rId24" Type="http://schemas.openxmlformats.org/officeDocument/2006/relationships/hyperlink" Target="http://www.sec.gov/cgi-bin/browse-edgar?action=getcompany&amp;CIK=0001852159" TargetMode="External"/><Relationship Id="rId26"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2022-11-29T17:36:24Z</dcterms:created>
  <dcterms:modified xsi:type="dcterms:W3CDTF">2022-11-29T17:36:24Z</dcterms:modified>
</cp:coreProperties>
</file>