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333-239287 and 333-239861</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43,500,000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2204085</wp:posOffset>
            </wp:positionH>
            <wp:positionV relativeFrom="paragraph">
              <wp:posOffset>1270</wp:posOffset>
            </wp:positionV>
            <wp:extent cx="2743200" cy="568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568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59"/>
        <w:spacing w:after="0"/>
        <w:rPr>
          <w:sz w:val="20"/>
          <w:szCs w:val="20"/>
          <w:color w:val="auto"/>
        </w:rPr>
      </w:pPr>
      <w:r>
        <w:rPr>
          <w:rFonts w:ascii="Arial" w:cs="Arial" w:eastAsia="Arial" w:hAnsi="Arial"/>
          <w:sz w:val="37"/>
          <w:szCs w:val="37"/>
          <w:b w:val="1"/>
          <w:bCs w:val="1"/>
          <w:color w:val="auto"/>
        </w:rPr>
        <w:t>GoHealth, Inc.</w:t>
      </w:r>
    </w:p>
    <w:p>
      <w:pPr>
        <w:spacing w:after="0" w:line="79"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140970</wp:posOffset>
            </wp:positionV>
            <wp:extent cx="1460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72" w:lineRule="exact"/>
        <w:rPr>
          <w:sz w:val="24"/>
          <w:szCs w:val="24"/>
          <w:color w:val="auto"/>
        </w:rPr>
      </w:pPr>
    </w:p>
    <w:p>
      <w:pPr>
        <w:ind w:left="160"/>
        <w:spacing w:after="0"/>
        <w:rPr>
          <w:sz w:val="20"/>
          <w:szCs w:val="20"/>
          <w:color w:val="auto"/>
        </w:rPr>
      </w:pPr>
      <w:r>
        <w:rPr>
          <w:rFonts w:ascii="Arial" w:cs="Arial" w:eastAsia="Arial" w:hAnsi="Arial"/>
          <w:sz w:val="16"/>
          <w:szCs w:val="16"/>
          <w:color w:val="auto"/>
        </w:rPr>
        <w:t>This is an initial public offering of shares of Class A common stock of GoHealth, Inc. We are selling 43,500,000 shares of Class A common stock.</w:t>
      </w:r>
    </w:p>
    <w:p>
      <w:pPr>
        <w:spacing w:after="0" w:line="97" w:lineRule="exact"/>
        <w:rPr>
          <w:sz w:val="24"/>
          <w:szCs w:val="24"/>
          <w:color w:val="auto"/>
        </w:rPr>
      </w:pPr>
    </w:p>
    <w:p>
      <w:pPr>
        <w:ind w:left="160" w:right="220"/>
        <w:spacing w:after="0" w:line="289" w:lineRule="auto"/>
        <w:rPr>
          <w:sz w:val="20"/>
          <w:szCs w:val="20"/>
          <w:color w:val="auto"/>
        </w:rPr>
      </w:pPr>
      <w:r>
        <w:rPr>
          <w:rFonts w:ascii="Arial" w:cs="Arial" w:eastAsia="Arial" w:hAnsi="Arial"/>
          <w:sz w:val="16"/>
          <w:szCs w:val="16"/>
          <w:color w:val="auto"/>
        </w:rPr>
        <w:t>Prior to this offering, there has been no public market for the Class A common stock. We have been approved to list our Class A common stock on The Nasdaq Global Select Market under the symbol “GOCO.”</w:t>
      </w:r>
    </w:p>
    <w:p>
      <w:pPr>
        <w:spacing w:after="0" w:line="25" w:lineRule="exact"/>
        <w:rPr>
          <w:sz w:val="24"/>
          <w:szCs w:val="24"/>
          <w:color w:val="auto"/>
        </w:rPr>
      </w:pPr>
    </w:p>
    <w:p>
      <w:pPr>
        <w:ind w:left="160" w:right="120"/>
        <w:spacing w:after="0" w:line="290" w:lineRule="auto"/>
        <w:rPr>
          <w:sz w:val="20"/>
          <w:szCs w:val="20"/>
          <w:color w:val="auto"/>
        </w:rPr>
      </w:pPr>
      <w:r>
        <w:rPr>
          <w:rFonts w:ascii="Arial" w:cs="Arial" w:eastAsia="Arial" w:hAnsi="Arial"/>
          <w:sz w:val="15"/>
          <w:szCs w:val="15"/>
          <w:color w:val="auto"/>
        </w:rPr>
        <w:t>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all of the outstanding shares of our Class B common stock will be held directly or indirectly by the Continuing Equity Owners (as defined below), which will represent in the aggregate approximately 73.2% of the voting power of our outstanding common stock after this offering (or approximately 71.4% if the underwriters exercise in full their option to purchase additional shares).</w:t>
      </w:r>
    </w:p>
    <w:p>
      <w:pPr>
        <w:spacing w:after="0" w:line="28" w:lineRule="exact"/>
        <w:rPr>
          <w:sz w:val="24"/>
          <w:szCs w:val="24"/>
          <w:color w:val="auto"/>
        </w:rPr>
      </w:pPr>
    </w:p>
    <w:p>
      <w:pPr>
        <w:ind w:left="160" w:right="60"/>
        <w:spacing w:after="0" w:line="265" w:lineRule="auto"/>
        <w:rPr>
          <w:sz w:val="20"/>
          <w:szCs w:val="20"/>
          <w:color w:val="auto"/>
        </w:rPr>
      </w:pPr>
      <w:r>
        <w:rPr>
          <w:rFonts w:ascii="Arial" w:cs="Arial" w:eastAsia="Arial" w:hAnsi="Arial"/>
          <w:sz w:val="16"/>
          <w:szCs w:val="16"/>
          <w:color w:val="auto"/>
        </w:rPr>
        <w:t>We will be a holding company, and upon consummation of this offering and the application of proceeds therefrom, our principal asset will consist of LLC Interests (as defined below) we acquire directly from GoHealth Holdings, LLC and indirectly from certain of the Continuing Equity Owners and the Blocker Shareholders with the proceeds from this offering, collectively representing an aggregate 26.8% economic interest in GoHealth Holdings, LLC. Of the remaining 73.2% economic interest in GoHealth Holdings, LLC, 30.9% will be beneficially owned by the Founders (as defined below) through their ownership of LLC Interests, 25.8% will be beneficially owned by Centerbridge (as defined below) through their ownership of LLC Interests and 16.5% will be beneficially owned by the Continuing Equity Owners (other than the Founders and Centerbridge) through their ownership of LLC Interests. Centerbridge’s ownership of LLC Interests and Class A common stock (through the Blocker Shareholders) will collectively represent an aggregate 38.7% economic interest in GoHealth Holdings, LLC, and Centerbridge’s ownership of Class A common stock (through the Blocker Shareholders) and Class B common stock will represent in the aggregate approximately 38.7% of the voting power of our outstanding common stock after this offering.</w:t>
      </w:r>
    </w:p>
    <w:p>
      <w:pPr>
        <w:spacing w:after="0" w:line="57" w:lineRule="exact"/>
        <w:rPr>
          <w:sz w:val="24"/>
          <w:szCs w:val="24"/>
          <w:color w:val="auto"/>
        </w:rPr>
      </w:pPr>
    </w:p>
    <w:p>
      <w:pPr>
        <w:ind w:left="160" w:right="240"/>
        <w:spacing w:after="0" w:line="324" w:lineRule="auto"/>
        <w:rPr>
          <w:sz w:val="20"/>
          <w:szCs w:val="20"/>
          <w:color w:val="auto"/>
        </w:rPr>
      </w:pPr>
      <w:r>
        <w:rPr>
          <w:rFonts w:ascii="Arial" w:cs="Arial" w:eastAsia="Arial" w:hAnsi="Arial"/>
          <w:sz w:val="15"/>
          <w:szCs w:val="15"/>
          <w:color w:val="auto"/>
        </w:rPr>
        <w:t>GoHealth, Inc. will be the sole managing member of GoHealth Holdings, LLC. We will operate and control all of the business and affairs of GoHealth Holdings, LLC and its direct and indirect subsidiaries and, through GoHealth Holdings, LLC and its direct and indirect subsidiaries, conduct our business.</w:t>
      </w:r>
    </w:p>
    <w:p>
      <w:pPr>
        <w:spacing w:after="0" w:line="2" w:lineRule="exact"/>
        <w:rPr>
          <w:sz w:val="24"/>
          <w:szCs w:val="24"/>
          <w:color w:val="auto"/>
        </w:rPr>
      </w:pPr>
    </w:p>
    <w:p>
      <w:pPr>
        <w:ind w:left="160" w:right="120"/>
        <w:spacing w:after="0" w:line="289" w:lineRule="auto"/>
        <w:rPr>
          <w:sz w:val="20"/>
          <w:szCs w:val="20"/>
          <w:color w:val="auto"/>
        </w:rPr>
      </w:pPr>
      <w:r>
        <w:rPr>
          <w:rFonts w:ascii="Arial" w:cs="Arial" w:eastAsia="Arial" w:hAnsi="Arial"/>
          <w:sz w:val="16"/>
          <w:szCs w:val="16"/>
          <w:color w:val="auto"/>
        </w:rPr>
        <w:t>Following this offering, we will be a “controlled company” within the meaning of the Nasdaq rules. See “Our Organizational Structure” and “Management—Controlled Company Exception.”</w:t>
      </w:r>
    </w:p>
    <w:p>
      <w:pPr>
        <w:spacing w:after="0" w:line="25" w:lineRule="exact"/>
        <w:rPr>
          <w:sz w:val="24"/>
          <w:szCs w:val="24"/>
          <w:color w:val="auto"/>
        </w:rPr>
      </w:pPr>
    </w:p>
    <w:p>
      <w:pPr>
        <w:ind w:left="160" w:right="540"/>
        <w:spacing w:after="0" w:line="364"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disclosure and public reporting requirements. This prospectus complies with the requirements that apply to an issuer that is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78105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61" w:lineRule="exact"/>
        <w:rPr>
          <w:sz w:val="24"/>
          <w:szCs w:val="24"/>
          <w:color w:val="auto"/>
        </w:rPr>
      </w:pPr>
    </w:p>
    <w:p>
      <w:pPr>
        <w:ind w:left="160" w:right="220"/>
        <w:spacing w:after="0" w:line="263" w:lineRule="auto"/>
        <w:rPr>
          <w:rFonts w:ascii="Arial" w:cs="Arial" w:eastAsia="Arial" w:hAnsi="Arial"/>
          <w:sz w:val="20"/>
          <w:szCs w:val="20"/>
          <w:b w:val="1"/>
          <w:bCs w:val="1"/>
          <w:color w:val="auto"/>
        </w:rPr>
      </w:pPr>
      <w:r>
        <w:rPr>
          <w:rFonts w:ascii="Arial" w:cs="Arial" w:eastAsia="Arial" w:hAnsi="Arial"/>
          <w:sz w:val="20"/>
          <w:szCs w:val="20"/>
          <w:b w:val="1"/>
          <w:bCs w:val="1"/>
          <w:color w:val="auto"/>
        </w:rPr>
        <w:t>See “</w:t>
      </w:r>
      <w:hyperlink w:anchor="page42">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32 to read about factors you should consider before buying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102235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0" w:lineRule="exact"/>
        <w:rPr>
          <w:sz w:val="24"/>
          <w:szCs w:val="24"/>
          <w:color w:val="auto"/>
        </w:rPr>
      </w:pPr>
    </w:p>
    <w:p>
      <w:pPr>
        <w:ind w:left="160" w:right="160"/>
        <w:spacing w:after="0" w:line="294"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96520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9" w:lineRule="exact"/>
        <w:rPr>
          <w:sz w:val="24"/>
          <w:szCs w:val="24"/>
          <w:color w:val="auto"/>
        </w:rPr>
      </w:pPr>
    </w:p>
    <w:tbl>
      <w:tblPr>
        <w:tblLayout w:type="fixed"/>
        <w:tblInd w:w="14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Per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1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913,500,000.00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20" w:type="dxa"/>
            <w:vAlign w:val="bottom"/>
          </w:tcPr>
          <w:p>
            <w:pPr>
              <w:spacing w:after="0" w:line="201"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1.155</w:t>
            </w:r>
          </w:p>
        </w:tc>
        <w:tc>
          <w:tcPr>
            <w:tcW w:w="400" w:type="dxa"/>
            <w:vAlign w:val="bottom"/>
            <w:gridSpan w:val="2"/>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50,242,500.00</w:t>
            </w:r>
          </w:p>
        </w:tc>
        <w:tc>
          <w:tcPr>
            <w:tcW w:w="0" w:type="dxa"/>
            <w:vAlign w:val="bottom"/>
          </w:tcPr>
          <w:p>
            <w:pPr>
              <w:spacing w:after="0"/>
              <w:rPr>
                <w:sz w:val="1"/>
                <w:szCs w:val="1"/>
                <w:color w:val="auto"/>
              </w:rPr>
            </w:pPr>
          </w:p>
        </w:tc>
      </w:tr>
      <w:tr>
        <w:trPr>
          <w:trHeight w:val="201"/>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GoHealth, Inc.</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3"/>
              </w:rPr>
              <w:t>19.845</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863,257,500.00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4" w:lineRule="exact"/>
        <w:rPr>
          <w:sz w:val="24"/>
          <w:szCs w:val="24"/>
          <w:color w:val="auto"/>
        </w:rPr>
      </w:pPr>
    </w:p>
    <w:p>
      <w:pPr>
        <w:ind w:left="600" w:hanging="433"/>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in connection with this offering. See “Underwriting.”</w:t>
      </w:r>
    </w:p>
    <w:p>
      <w:pPr>
        <w:spacing w:after="0" w:line="97" w:lineRule="exact"/>
        <w:rPr>
          <w:sz w:val="24"/>
          <w:szCs w:val="24"/>
          <w:color w:val="auto"/>
        </w:rPr>
      </w:pPr>
    </w:p>
    <w:p>
      <w:pPr>
        <w:ind w:left="160" w:right="260"/>
        <w:spacing w:after="0" w:line="289" w:lineRule="auto"/>
        <w:rPr>
          <w:sz w:val="20"/>
          <w:szCs w:val="20"/>
          <w:color w:val="auto"/>
        </w:rPr>
      </w:pPr>
      <w:r>
        <w:rPr>
          <w:rFonts w:ascii="Arial" w:cs="Arial" w:eastAsia="Arial" w:hAnsi="Arial"/>
          <w:sz w:val="16"/>
          <w:szCs w:val="16"/>
          <w:color w:val="auto"/>
        </w:rPr>
        <w:t>The underwriters have the option to purchase up to an additional 6,525,000 shares of Class A common stock from us at the initial price to public less the underwriting discount within 30 days of the date of this prospectus.</w:t>
      </w:r>
    </w:p>
    <w:p>
      <w:pPr>
        <w:spacing w:after="0" w:line="25" w:lineRule="exact"/>
        <w:rPr>
          <w:sz w:val="24"/>
          <w:szCs w:val="24"/>
          <w:color w:val="auto"/>
        </w:rPr>
      </w:pPr>
    </w:p>
    <w:p>
      <w:pPr>
        <w:ind w:left="160"/>
        <w:spacing w:after="0"/>
        <w:rPr>
          <w:sz w:val="20"/>
          <w:szCs w:val="20"/>
          <w:color w:val="auto"/>
        </w:rPr>
      </w:pPr>
      <w:r>
        <w:rPr>
          <w:rFonts w:ascii="Arial" w:cs="Arial" w:eastAsia="Arial" w:hAnsi="Arial"/>
          <w:sz w:val="16"/>
          <w:szCs w:val="16"/>
          <w:color w:val="auto"/>
        </w:rPr>
        <w:t>The underwriters expect to deliver the shares of Class A common stock against payment in New York, New York on July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135890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04" w:lineRule="exact"/>
        <w:rPr>
          <w:sz w:val="24"/>
          <w:szCs w:val="24"/>
          <w:color w:val="auto"/>
        </w:rPr>
      </w:pPr>
    </w:p>
    <w:p>
      <w:pPr>
        <w:ind w:left="160"/>
        <w:spacing w:after="0"/>
        <w:tabs>
          <w:tab w:leader="none" w:pos="5620" w:val="left"/>
          <w:tab w:leader="none" w:pos="93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3"/>
          <w:szCs w:val="23"/>
          <w:b w:val="1"/>
          <w:bCs w:val="1"/>
          <w:color w:val="auto"/>
        </w:rPr>
        <w:t>Morgan Stanley</w:t>
      </w:r>
    </w:p>
    <w:p>
      <w:pPr>
        <w:spacing w:after="0" w:line="123" w:lineRule="exact"/>
        <w:rPr>
          <w:sz w:val="24"/>
          <w:szCs w:val="24"/>
          <w:color w:val="auto"/>
        </w:rPr>
      </w:pPr>
    </w:p>
    <w:p>
      <w:pPr>
        <w:ind w:left="160"/>
        <w:spacing w:after="0"/>
        <w:tabs>
          <w:tab w:leader="none" w:pos="1760" w:val="left"/>
          <w:tab w:leader="none" w:pos="4060" w:val="left"/>
          <w:tab w:leader="none" w:pos="6480" w:val="left"/>
          <w:tab w:leader="none" w:pos="9820" w:val="left"/>
        </w:tabs>
        <w:rPr>
          <w:sz w:val="20"/>
          <w:szCs w:val="20"/>
          <w:color w:val="auto"/>
        </w:rPr>
      </w:pPr>
      <w:r>
        <w:rPr>
          <w:rFonts w:ascii="Arial" w:cs="Arial" w:eastAsia="Arial" w:hAnsi="Arial"/>
          <w:sz w:val="21"/>
          <w:szCs w:val="21"/>
          <w:b w:val="1"/>
          <w:bCs w:val="1"/>
          <w:color w:val="auto"/>
        </w:rPr>
        <w:t>Barclays</w:t>
      </w:r>
      <w:r>
        <w:rPr>
          <w:sz w:val="20"/>
          <w:szCs w:val="20"/>
          <w:color w:val="auto"/>
        </w:rPr>
        <w:tab/>
      </w:r>
      <w:r>
        <w:rPr>
          <w:rFonts w:ascii="Arial" w:cs="Arial" w:eastAsia="Arial" w:hAnsi="Arial"/>
          <w:sz w:val="21"/>
          <w:szCs w:val="21"/>
          <w:b w:val="1"/>
          <w:bCs w:val="1"/>
          <w:color w:val="auto"/>
        </w:rPr>
        <w:t>Credit Suisse</w:t>
      </w:r>
      <w:r>
        <w:rPr>
          <w:sz w:val="20"/>
          <w:szCs w:val="20"/>
          <w:color w:val="auto"/>
        </w:rPr>
        <w:tab/>
      </w:r>
      <w:r>
        <w:rPr>
          <w:rFonts w:ascii="Arial" w:cs="Arial" w:eastAsia="Arial" w:hAnsi="Arial"/>
          <w:sz w:val="21"/>
          <w:szCs w:val="21"/>
          <w:b w:val="1"/>
          <w:bCs w:val="1"/>
          <w:color w:val="auto"/>
        </w:rPr>
        <w:t>Evercore ISI</w:t>
      </w:r>
      <w:r>
        <w:rPr>
          <w:sz w:val="20"/>
          <w:szCs w:val="20"/>
          <w:color w:val="auto"/>
        </w:rPr>
        <w:tab/>
      </w:r>
      <w:r>
        <w:rPr>
          <w:rFonts w:ascii="Arial" w:cs="Arial" w:eastAsia="Arial" w:hAnsi="Arial"/>
          <w:sz w:val="21"/>
          <w:szCs w:val="21"/>
          <w:b w:val="1"/>
          <w:bCs w:val="1"/>
          <w:color w:val="auto"/>
        </w:rPr>
        <w:t>RBC Capital Markets</w:t>
      </w:r>
      <w:r>
        <w:rPr>
          <w:sz w:val="20"/>
          <w:szCs w:val="20"/>
          <w:color w:val="auto"/>
        </w:rPr>
        <w:tab/>
      </w:r>
      <w:r>
        <w:rPr>
          <w:rFonts w:ascii="Arial" w:cs="Arial" w:eastAsia="Arial" w:hAnsi="Arial"/>
          <w:sz w:val="20"/>
          <w:szCs w:val="20"/>
          <w:b w:val="1"/>
          <w:bCs w:val="1"/>
          <w:color w:val="auto"/>
        </w:rPr>
        <w:t>William Blair</w:t>
      </w:r>
    </w:p>
    <w:p>
      <w:pPr>
        <w:spacing w:after="0" w:line="124" w:lineRule="exact"/>
        <w:rPr>
          <w:sz w:val="24"/>
          <w:szCs w:val="24"/>
          <w:color w:val="auto"/>
        </w:rPr>
      </w:pPr>
    </w:p>
    <w:p>
      <w:pPr>
        <w:ind w:left="160"/>
        <w:spacing w:after="0"/>
        <w:tabs>
          <w:tab w:leader="none" w:pos="3500" w:val="left"/>
          <w:tab w:leader="none" w:pos="9200" w:val="left"/>
        </w:tabs>
        <w:rPr>
          <w:sz w:val="20"/>
          <w:szCs w:val="20"/>
          <w:color w:val="auto"/>
        </w:rPr>
      </w:pPr>
      <w:r>
        <w:rPr>
          <w:rFonts w:ascii="Arial" w:cs="Arial" w:eastAsia="Arial" w:hAnsi="Arial"/>
          <w:sz w:val="20"/>
          <w:szCs w:val="20"/>
          <w:b w:val="1"/>
          <w:bCs w:val="1"/>
          <w:color w:val="auto"/>
        </w:rPr>
        <w:t>Cantor</w:t>
      </w:r>
      <w:r>
        <w:rPr>
          <w:sz w:val="20"/>
          <w:szCs w:val="20"/>
          <w:color w:val="auto"/>
        </w:rPr>
        <w:tab/>
      </w:r>
      <w:r>
        <w:rPr>
          <w:rFonts w:ascii="Arial" w:cs="Arial" w:eastAsia="Arial" w:hAnsi="Arial"/>
          <w:sz w:val="20"/>
          <w:szCs w:val="20"/>
          <w:b w:val="1"/>
          <w:bCs w:val="1"/>
          <w:color w:val="auto"/>
        </w:rPr>
        <w:t>SunTrust Robinson Humphrey</w:t>
      </w:r>
      <w:r>
        <w:rPr>
          <w:sz w:val="20"/>
          <w:szCs w:val="20"/>
          <w:color w:val="auto"/>
        </w:rPr>
        <w:tab/>
      </w:r>
      <w:r>
        <w:rPr>
          <w:rFonts w:ascii="Arial" w:cs="Arial" w:eastAsia="Arial" w:hAnsi="Arial"/>
          <w:sz w:val="17"/>
          <w:szCs w:val="17"/>
          <w:b w:val="1"/>
          <w:bCs w:val="1"/>
          <w:color w:val="auto"/>
        </w:rPr>
        <w:t>Loop Capital Markets</w:t>
      </w:r>
    </w:p>
    <w:p>
      <w:pPr>
        <w:sectPr>
          <w:pgSz w:w="11900" w:h="16838" w:orient="portrait"/>
          <w:cols w:equalWidth="0" w:num="1">
            <w:col w:w="11080"/>
          </w:cols>
          <w:pgMar w:left="320" w:top="229" w:right="499" w:bottom="1440" w:gutter="0" w:footer="0" w:header="0"/>
        </w:sectPr>
      </w:pP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Prospectus dated July 14, 2020.</w:t>
      </w:r>
    </w:p>
    <w:p>
      <w:pPr>
        <w:sectPr>
          <w:pgSz w:w="11900" w:h="16838" w:orient="portrait"/>
          <w:cols w:equalWidth="0" w:num="1">
            <w:col w:w="11080"/>
          </w:cols>
          <w:pgMar w:left="320" w:top="229" w:right="49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231775</wp:posOffset>
            </wp:positionV>
            <wp:extent cx="5137785" cy="6649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37785" cy="664972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202565</wp:posOffset>
            </wp:positionV>
            <wp:extent cx="5434965" cy="638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4965" cy="638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0" w:hanging="433"/>
        <w:spacing w:after="0" w:line="245" w:lineRule="auto"/>
        <w:tabs>
          <w:tab w:leader="none" w:pos="600" w:val="left"/>
        </w:tabs>
        <w:numPr>
          <w:ilvl w:val="0"/>
          <w:numId w:val="2"/>
        </w:numPr>
        <w:rPr>
          <w:rFonts w:ascii="Arial" w:cs="Arial" w:eastAsia="Arial" w:hAnsi="Arial"/>
          <w:sz w:val="13"/>
          <w:szCs w:val="13"/>
          <w:color w:val="143DAF"/>
        </w:rPr>
      </w:pPr>
      <w:r>
        <w:rPr>
          <w:rFonts w:ascii="Arial" w:cs="Arial" w:eastAsia="Arial" w:hAnsi="Arial"/>
          <w:sz w:val="13"/>
          <w:szCs w:val="13"/>
          <w:color w:val="143DAF"/>
        </w:rPr>
        <w:t>See “Prospectus Summary—Summary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1" w:lineRule="exact"/>
        <w:rPr>
          <w:rFonts w:ascii="Arial" w:cs="Arial" w:eastAsia="Arial" w:hAnsi="Arial"/>
          <w:sz w:val="13"/>
          <w:szCs w:val="13"/>
          <w:color w:val="143DAF"/>
        </w:rPr>
      </w:pPr>
    </w:p>
    <w:p>
      <w:pPr>
        <w:ind w:left="600" w:hanging="433"/>
        <w:spacing w:after="0"/>
        <w:tabs>
          <w:tab w:leader="none" w:pos="600" w:val="left"/>
        </w:tabs>
        <w:numPr>
          <w:ilvl w:val="0"/>
          <w:numId w:val="2"/>
        </w:numPr>
        <w:rPr>
          <w:rFonts w:ascii="Arial" w:cs="Arial" w:eastAsia="Arial" w:hAnsi="Arial"/>
          <w:sz w:val="14"/>
          <w:szCs w:val="14"/>
          <w:color w:val="143DAF"/>
        </w:rPr>
      </w:pPr>
      <w:r>
        <w:rPr>
          <w:rFonts w:ascii="Arial" w:cs="Arial" w:eastAsia="Arial" w:hAnsi="Arial"/>
          <w:sz w:val="14"/>
          <w:szCs w:val="14"/>
          <w:color w:val="143DAF"/>
        </w:rPr>
        <w:t>See “Basis of Presentation—Key Terms and Performance Indicators Used in this Prospectus; Non-GAAP Financial Measures” for a definition of LTV/CAC.</w:t>
      </w:r>
    </w:p>
    <w:p>
      <w:pPr>
        <w:sectPr>
          <w:pgSz w:w="11900" w:h="16838" w:orient="portrait"/>
          <w:cols w:equalWidth="0" w:num="1">
            <w:col w:w="11060"/>
          </w:cols>
          <w:pgMar w:left="320" w:top="456"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900" w:type="dxa"/>
            <w:vAlign w:val="bottom"/>
          </w:tcPr>
          <w:p>
            <w:pPr>
              <w:spacing w:after="0"/>
              <w:rPr>
                <w:sz w:val="20"/>
                <w:szCs w:val="20"/>
                <w:color w:val="auto"/>
              </w:rPr>
            </w:pPr>
          </w:p>
        </w:tc>
      </w:tr>
      <w:tr>
        <w:trPr>
          <w:trHeight w:val="508"/>
        </w:trPr>
        <w:tc>
          <w:tcPr>
            <w:tcW w:w="101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42"/>
        </w:trPr>
        <w:tc>
          <w:tcPr>
            <w:tcW w:w="10120" w:type="dxa"/>
            <w:vAlign w:val="bottom"/>
          </w:tcPr>
          <w:p>
            <w:pPr>
              <w:ind w:left="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SUMMARY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CAUTIONARY NOTE REGARDING FORWARD-LOOKING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OUR ORGANIZATIONAL STRUCTURE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CAPITALIZATION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DIVIDEND POLICY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DILUTION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SELECTED HISTORICAL CONDENSED CONSOLIDATED FINANCIAL DATA</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UNAUDITED PRO FORMA CONDENSED CONSOLIDATED 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MANAGEMENT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CERTAIN RELATIONSHIPS AND RELATED PARTY TRANSACTIONS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PRINCIPAL STOCKHOLDERS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DESCRIPTION OF CAPITAL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DESCRIPTION OF INDEBTEDNESS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SHARES ELIGIBLE FOR FUTURE SALE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MATERIAL U.S. FEDERAL INCOME TAX CONSIDERATIONS TO NON-U.S. HOLDERS OF CLASS A COMMON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UNDERWRITING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LEGAL MATTERS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EXPERTS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WHERE YOU CAN FIND MORE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7"/>
        </w:trPr>
        <w:tc>
          <w:tcPr>
            <w:tcW w:w="10120" w:type="dxa"/>
            <w:vAlign w:val="bottom"/>
          </w:tcPr>
          <w:p>
            <w:pPr>
              <w:ind w:left="16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INDEX TO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left="160"/>
        <w:spacing w:after="0" w:line="267" w:lineRule="auto"/>
        <w:rPr>
          <w:sz w:val="20"/>
          <w:szCs w:val="20"/>
          <w:color w:val="auto"/>
        </w:rPr>
      </w:pPr>
      <w:r>
        <w:rPr>
          <w:rFonts w:ascii="Arial" w:cs="Arial" w:eastAsia="Arial" w:hAnsi="Arial"/>
          <w:sz w:val="17"/>
          <w:szCs w:val="17"/>
          <w:color w:val="auto"/>
        </w:rPr>
        <w:t>You should rely only on the information contained in this prospectus and any free writing prospectus prepared by or on behalf of us or to which we have referred you. No dealer, salesperson or other person is authorized to give any information or to represent anything not contained in this prospectus or in any free writing prospectus that we file with the Securities and Exchange Commission. 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179" w:lineRule="exact"/>
        <w:rPr>
          <w:sz w:val="20"/>
          <w:szCs w:val="20"/>
          <w:color w:val="auto"/>
        </w:rPr>
      </w:pPr>
    </w:p>
    <w:p>
      <w:pPr>
        <w:ind w:left="160" w:right="320"/>
        <w:spacing w:after="0" w:line="284" w:lineRule="auto"/>
        <w:rPr>
          <w:sz w:val="20"/>
          <w:szCs w:val="20"/>
          <w:color w:val="auto"/>
        </w:rPr>
      </w:pPr>
      <w:r>
        <w:rPr>
          <w:rFonts w:ascii="Arial" w:cs="Arial" w:eastAsia="Arial" w:hAnsi="Arial"/>
          <w:sz w:val="17"/>
          <w:szCs w:val="17"/>
          <w:b w:val="1"/>
          <w:bCs w:val="1"/>
          <w:color w:val="auto"/>
        </w:rPr>
        <w:t>Through and including August 8,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40"/>
          </w:cols>
          <w:pgMar w:left="320" w:top="456"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w:t>
      </w:r>
    </w:p>
    <w:p>
      <w:pPr>
        <w:spacing w:after="0" w:line="118" w:lineRule="exact"/>
        <w:rPr>
          <w:sz w:val="20"/>
          <w:szCs w:val="20"/>
          <w:color w:val="auto"/>
        </w:rPr>
      </w:pPr>
    </w:p>
    <w:p>
      <w:pPr>
        <w:jc w:val="both"/>
        <w:ind w:left="160" w:right="580"/>
        <w:spacing w:after="0" w:line="255" w:lineRule="auto"/>
        <w:rPr>
          <w:sz w:val="20"/>
          <w:szCs w:val="20"/>
          <w:color w:val="auto"/>
        </w:rPr>
      </w:pPr>
      <w:r>
        <w:rPr>
          <w:rFonts w:ascii="Arial" w:cs="Arial" w:eastAsia="Arial" w:hAnsi="Arial"/>
          <w:sz w:val="18"/>
          <w:szCs w:val="18"/>
          <w:color w:val="auto"/>
        </w:rPr>
        <w:t>In connection with the closing of this offering, we will undertake certain organizational transactions to reorganize our corporate structure. Unless otherwise stated or the context otherwise requires, all information in this prospectus reflects the consummation of the organizational transactions described in the section titled “Our Organizational Structure” and this offering, and the application of the proceeds therefrom, which we refer to collectively as the “Transactions.”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“Our Organizational Structure” for a diagram depicting our organizational structure after giving effect to the Transactions, including this offering.</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Definitions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used in this prospectus, unless the context otherwise requires:</w:t>
      </w:r>
    </w:p>
    <w:p>
      <w:pPr>
        <w:spacing w:after="0" w:line="127" w:lineRule="exact"/>
        <w:rPr>
          <w:sz w:val="20"/>
          <w:szCs w:val="20"/>
          <w:color w:val="auto"/>
        </w:rPr>
      </w:pPr>
    </w:p>
    <w:p>
      <w:pPr>
        <w:ind w:left="1140" w:right="200" w:hanging="438"/>
        <w:spacing w:after="0" w:line="297"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(1) following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this offering, to GoHealth, Inc., and, unless otherwise stated, all of its direct and indirect subsidiaries, including GoHealth Holdings, LLC (formerly known as Blizzard Parent, LLC), and (2) prior to the completion of the Transactions, including this offering, to GoHealth Holdings, LLC and, unless otherwise stated, all of its direct and indirect subsidiaries, or, as applicable, the Predecessor.</w:t>
      </w:r>
    </w:p>
    <w:p>
      <w:pPr>
        <w:spacing w:after="0" w:line="65" w:lineRule="exact"/>
        <w:rPr>
          <w:rFonts w:ascii="Arial" w:cs="Arial" w:eastAsia="Arial" w:hAnsi="Arial"/>
          <w:sz w:val="16"/>
          <w:szCs w:val="16"/>
          <w:color w:val="auto"/>
        </w:rPr>
      </w:pPr>
    </w:p>
    <w:p>
      <w:pPr>
        <w:ind w:left="1140" w:right="160" w:hanging="438"/>
        <w:spacing w:after="0" w:line="27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Company</w:t>
      </w:r>
      <w:r>
        <w:rPr>
          <w:rFonts w:ascii="Arial" w:cs="Arial" w:eastAsia="Arial" w:hAnsi="Arial"/>
          <w:sz w:val="18"/>
          <w:szCs w:val="18"/>
          <w:color w:val="auto"/>
        </w:rPr>
        <w:t>” refers to an entity affiliated with Centerbridge that is an indirect owner of LLC Interests in GoHealth Holdings, LLC prior to the Transactions and is taxable as a corporation for U.S. federal income tax purposes.</w:t>
      </w:r>
    </w:p>
    <w:p>
      <w:pPr>
        <w:spacing w:after="0" w:line="80" w:lineRule="exact"/>
        <w:rPr>
          <w:rFonts w:ascii="Arial" w:cs="Arial" w:eastAsia="Arial" w:hAnsi="Arial"/>
          <w:sz w:val="18"/>
          <w:szCs w:val="18"/>
          <w:color w:val="auto"/>
        </w:rPr>
      </w:pPr>
    </w:p>
    <w:p>
      <w:pPr>
        <w:ind w:left="1140" w:right="260" w:hanging="438"/>
        <w:spacing w:after="0" w:line="259"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Shareholders</w:t>
      </w:r>
      <w:r>
        <w:rPr>
          <w:rFonts w:ascii="Arial" w:cs="Arial" w:eastAsia="Arial" w:hAnsi="Arial"/>
          <w:sz w:val="18"/>
          <w:szCs w:val="18"/>
          <w:color w:val="auto"/>
        </w:rPr>
        <w:t>” refer to entities affiliated with Centerbridge, the owners of the Blocker Company prior to the Transactions, who will exchange their interests in the Blocker Company for shares of our Class A common stock and cash in connection with the consummation of the Transactions.</w:t>
      </w:r>
    </w:p>
    <w:p>
      <w:pPr>
        <w:spacing w:after="0" w:line="92" w:lineRule="exact"/>
        <w:rPr>
          <w:rFonts w:ascii="Arial" w:cs="Arial" w:eastAsia="Arial" w:hAnsi="Arial"/>
          <w:sz w:val="18"/>
          <w:szCs w:val="18"/>
          <w:color w:val="auto"/>
        </w:rPr>
      </w:pPr>
    </w:p>
    <w:p>
      <w:pPr>
        <w:ind w:left="1140" w:right="240" w:hanging="438"/>
        <w:spacing w:after="0" w:line="281"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“Centerbridge” </w:t>
      </w:r>
      <w:r>
        <w:rPr>
          <w:rFonts w:ascii="Arial" w:cs="Arial" w:eastAsia="Arial" w:hAnsi="Arial"/>
          <w:sz w:val="17"/>
          <w:szCs w:val="17"/>
          <w:color w:val="auto"/>
        </w:rPr>
        <w:t>refers to Centerbridge Capital Partners III, L.P., our sponsor and a Delaware limited partnership, certain funds affiliated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Centerbridge Capital Partners III, L.P. and other entities over which Centerbridge Capital Partners III, L.P. has voting control (including any such fund or entity formed to hold shares of Class A common stock for the Blocker Shareholders).</w:t>
      </w:r>
    </w:p>
    <w:p>
      <w:pPr>
        <w:spacing w:after="0" w:line="75" w:lineRule="exact"/>
        <w:rPr>
          <w:rFonts w:ascii="Arial" w:cs="Arial" w:eastAsia="Arial" w:hAnsi="Arial"/>
          <w:sz w:val="17"/>
          <w:szCs w:val="17"/>
          <w:color w:val="auto"/>
        </w:rPr>
      </w:pPr>
    </w:p>
    <w:p>
      <w:pPr>
        <w:ind w:left="1140" w:right="20" w:hanging="438"/>
        <w:spacing w:after="0" w:line="267"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“Continuing Equity Owners” </w:t>
      </w:r>
      <w:r>
        <w:rPr>
          <w:rFonts w:ascii="Arial" w:cs="Arial" w:eastAsia="Arial" w:hAnsi="Arial"/>
          <w:sz w:val="17"/>
          <w:szCs w:val="17"/>
          <w:color w:val="auto"/>
        </w:rPr>
        <w:t>refer collectively to direct or indirect holders of LLC Interests and our Class B common stock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this offering,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by at least two or our independent directors (within the meaning of the Nasdaq rules) who are disinterested), cash or newly-issued shares of our Class A common stock as described in “Certain Relationships and Related Party Transactions—GoHealth Holdings, LLC Agreement—Agreement in Effect Upon Consummation of the Transactions.”</w:t>
      </w:r>
    </w:p>
    <w:p>
      <w:pPr>
        <w:spacing w:after="0" w:line="89" w:lineRule="exact"/>
        <w:rPr>
          <w:rFonts w:ascii="Arial" w:cs="Arial" w:eastAsia="Arial" w:hAnsi="Arial"/>
          <w:sz w:val="17"/>
          <w:szCs w:val="17"/>
          <w:color w:val="auto"/>
        </w:rPr>
      </w:pPr>
    </w:p>
    <w:p>
      <w:pPr>
        <w:ind w:left="1140" w:hanging="438"/>
        <w:spacing w:after="0" w:line="335"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M. Cruz, our Co-Founder, Chief Strategy Officer and Special Advisor to the Executive Team and Co-Chair of the Board of Directors, and Clinton P. Jones, our Co-Founder and Chief Executive Officer and Co-Chair of the Board of Directors.</w:t>
      </w:r>
    </w:p>
    <w:p>
      <w:pPr>
        <w:spacing w:after="0" w:line="34" w:lineRule="exact"/>
        <w:rPr>
          <w:rFonts w:ascii="Arial" w:cs="Arial" w:eastAsia="Arial" w:hAnsi="Arial"/>
          <w:sz w:val="16"/>
          <w:szCs w:val="16"/>
          <w:color w:val="auto"/>
        </w:rPr>
      </w:pPr>
    </w:p>
    <w:p>
      <w:pPr>
        <w:ind w:left="1140" w:right="20" w:hanging="438"/>
        <w:spacing w:after="0" w:line="259"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“Former Profits Unit Holders” </w:t>
      </w:r>
      <w:r>
        <w:rPr>
          <w:rFonts w:ascii="Arial" w:cs="Arial" w:eastAsia="Arial" w:hAnsi="Arial"/>
          <w:sz w:val="18"/>
          <w:szCs w:val="18"/>
          <w:color w:val="auto"/>
        </w:rPr>
        <w:t>refers collectively to certain of our directors and certain current and former officers and employees,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who directly or indirectly hold existing vested and unvested profits units, which are comprised of profits units that have time-based vesting conditions and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spacing w:after="0" w:line="275" w:lineRule="auto"/>
        <w:rPr>
          <w:sz w:val="20"/>
          <w:szCs w:val="20"/>
          <w:color w:val="auto"/>
        </w:rPr>
      </w:pPr>
      <w:r>
        <w:rPr>
          <w:rFonts w:ascii="Arial" w:cs="Arial" w:eastAsia="Arial" w:hAnsi="Arial"/>
          <w:sz w:val="17"/>
          <w:szCs w:val="17"/>
          <w:color w:val="auto"/>
        </w:rPr>
        <w:t>profits units that have performance-based vesting conditions, of GoHealth Holdings, LLC pursuant to GoHealth Holdings, LLC’s existing profits unit plan and who will receive LLC Interests in exchange for their profits units in connection with the Transactions. LLC Interests received in exchange for unvested profits units will remain subject to their existing time-based vesting requirements, but will not be subject to the performance-based vesting conditions as such conditions will be met in connection with this offering.</w:t>
      </w:r>
    </w:p>
    <w:p>
      <w:pPr>
        <w:spacing w:after="0" w:line="80" w:lineRule="exact"/>
        <w:rPr>
          <w:sz w:val="20"/>
          <w:szCs w:val="20"/>
          <w:color w:val="auto"/>
        </w:rPr>
      </w:pPr>
    </w:p>
    <w:p>
      <w:pPr>
        <w:ind w:left="1140" w:right="18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“GoHealth Holdings, LLC Agreement” </w:t>
      </w:r>
      <w:r>
        <w:rPr>
          <w:rFonts w:ascii="Arial" w:cs="Arial" w:eastAsia="Arial" w:hAnsi="Arial"/>
          <w:sz w:val="18"/>
          <w:szCs w:val="18"/>
          <w:color w:val="auto"/>
        </w:rPr>
        <w:t>refers to GoHealth Holdings, LLC’s amended and restated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become effective substantially concurrently with or prior to the consummation of this offering.</w:t>
      </w:r>
    </w:p>
    <w:p>
      <w:pPr>
        <w:spacing w:after="0" w:line="80" w:lineRule="exact"/>
        <w:rPr>
          <w:rFonts w:ascii="Arial" w:cs="Arial" w:eastAsia="Arial" w:hAnsi="Arial"/>
          <w:sz w:val="18"/>
          <w:szCs w:val="18"/>
          <w:color w:val="auto"/>
        </w:rPr>
      </w:pPr>
    </w:p>
    <w:p>
      <w:pPr>
        <w:ind w:left="1140" w:right="58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common units of GoHealth Holdings, LLC, including those that we purchase with a portion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this offering.</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Norwest</w:t>
      </w:r>
      <w:r>
        <w:rPr>
          <w:rFonts w:ascii="Arial" w:cs="Arial" w:eastAsia="Arial" w:hAnsi="Arial"/>
          <w:sz w:val="18"/>
          <w:szCs w:val="18"/>
          <w:color w:val="auto"/>
        </w:rPr>
        <w:t>” refers to Norwest Equity Partners and certain funds affiliated with Norwest Equity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“Norvax” or “Predecessor” </w:t>
      </w:r>
      <w:r>
        <w:rPr>
          <w:rFonts w:ascii="Arial" w:cs="Arial" w:eastAsia="Arial" w:hAnsi="Arial"/>
          <w:sz w:val="17"/>
          <w:szCs w:val="17"/>
          <w:color w:val="auto"/>
        </w:rPr>
        <w:t>refers to Norvax, LLC, a Delaware limited liability company and a subsidiary of GoHealth Holdings, LLC.</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“NVX Holdings” </w:t>
      </w:r>
      <w:r>
        <w:rPr>
          <w:rFonts w:ascii="Arial" w:cs="Arial" w:eastAsia="Arial" w:hAnsi="Arial"/>
          <w:sz w:val="18"/>
          <w:szCs w:val="18"/>
          <w:color w:val="auto"/>
        </w:rPr>
        <w:t>refers to NVX Holdings, Inc., a Delaware corporation that is controlled by the Founders.</w:t>
      </w:r>
    </w:p>
    <w:p>
      <w:pPr>
        <w:spacing w:after="0" w:line="127" w:lineRule="exact"/>
        <w:rPr>
          <w:rFonts w:ascii="Arial" w:cs="Arial" w:eastAsia="Arial" w:hAnsi="Arial"/>
          <w:sz w:val="18"/>
          <w:szCs w:val="18"/>
          <w:color w:val="auto"/>
        </w:rPr>
      </w:pPr>
    </w:p>
    <w:p>
      <w:pPr>
        <w:ind w:left="1140" w:right="560" w:hanging="438"/>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“Original Equity Owners” </w:t>
      </w:r>
      <w:r>
        <w:rPr>
          <w:rFonts w:ascii="Arial" w:cs="Arial" w:eastAsia="Arial" w:hAnsi="Arial"/>
          <w:sz w:val="18"/>
          <w:szCs w:val="18"/>
          <w:color w:val="auto"/>
        </w:rPr>
        <w:t>refer to the owners of LLC Interests in GoHealth Holdings, LLC prior to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collectively, which include Centerbridge, Norwest, our Founders and certain executive officers, employees and other minority investors.</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refer to the organizational transactions and this offering, and the application of the net proceeds therefrom.</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GoHealth, Inc. will be a holding company and the sole managing member of GoHealth Holdings, LLC, and upon consummation of the Transactions, its principal asset will consist of LLC Interests.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18"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GoHealth Holdings, LLC is the accounting predecessor of GoHealth, Inc. for financial reporting purposes. GoHealth, Inc. will be the audited financial reporting entity following this offering. Accordingly, this prospectus contains the following historical financial statements:</w:t>
      </w:r>
    </w:p>
    <w:p>
      <w:pPr>
        <w:spacing w:after="0" w:line="58" w:lineRule="exact"/>
        <w:rPr>
          <w:sz w:val="20"/>
          <w:szCs w:val="20"/>
          <w:color w:val="auto"/>
        </w:rPr>
      </w:pPr>
    </w:p>
    <w:p>
      <w:pPr>
        <w:ind w:left="1140" w:right="100" w:hanging="438"/>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Inc. </w:t>
      </w:r>
      <w:r>
        <w:rPr>
          <w:rFonts w:ascii="Arial" w:cs="Arial" w:eastAsia="Arial" w:hAnsi="Arial"/>
          <w:sz w:val="18"/>
          <w:szCs w:val="18"/>
          <w:color w:val="auto"/>
        </w:rPr>
        <w:t>Other than the inception balance sheet, dated as of March 27, 2020, the historical financial information of GoHealth,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not been included in this prospectus as it is a newly incorporated entity, has no business transactions or activities to date and had no assets or liabilities during the periods presented in this prospectus.</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Holdings, LLC. </w:t>
      </w:r>
      <w:r>
        <w:rPr>
          <w:rFonts w:ascii="Arial" w:cs="Arial" w:eastAsia="Arial" w:hAnsi="Arial"/>
          <w:sz w:val="18"/>
          <w:szCs w:val="18"/>
          <w:color w:val="auto"/>
        </w:rPr>
        <w:t>Because GoHealth, Inc. will have no interest in any operations other than those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subsidiaries, the historical consolidated financial information included in this prospectus is that of GoHealth Holdings, LLC and its subsidiaries.</w:t>
      </w:r>
    </w:p>
    <w:p>
      <w:pPr>
        <w:spacing w:after="0" w:line="186"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On September 13, 2019, Centerbridge, indirectly through a subsidiary of GoHealth Holdings, LLC (formerly known as Blizzard Parent, LLC), an entity formed in contemplation of the acquisition, acquired a 100% interest in Norvax. We refer to this transaction as the “Centerbridge Acquisition.” As a result of the Centerbridge Acquisition, this prospectus presents certain financial information for two periods, the Predecessor and Successor periods, which relate to the period preceding the Centerbridge Acquisition on September 13, 2019 and the period succeeding the Centerbridge Acquisition, respectively. References to the “Successor 2019 Period” refer to the period from September 13, 2019 through December 31, 2019, and references to the “Predecessor 2019 Period” refer to the period from January 1, 2019 through September 12, 2019. Financial information in the Predecessor 2019 Period principally relates to Norvax and its subsidiaries.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00"/>
          </w:cols>
          <w:pgMar w:left="320" w:top="456"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85" w:lineRule="auto"/>
        <w:rPr>
          <w:sz w:val="20"/>
          <w:szCs w:val="20"/>
          <w:color w:val="auto"/>
        </w:rPr>
      </w:pPr>
      <w:r>
        <w:rPr>
          <w:rFonts w:ascii="Arial" w:cs="Arial" w:eastAsia="Arial" w:hAnsi="Arial"/>
          <w:sz w:val="16"/>
          <w:szCs w:val="16"/>
          <w:color w:val="auto"/>
        </w:rPr>
        <w:t>Except as noted in this prospectus, the unaudited pro forma financial information of GoHealth, Inc. presented in this prospectus has been derived from the application of pro forma adjustments to the historical consolidated financial statements of GoHealth Holdings, LLC and its subsidiaries included elsewhere in this prospectus. These pro forma adjustments give effect to the Centerbridge Acquisition and the Transactions as described in “Our Organizational Structure,” including the consummation of this offering, as if all such transactions had occurred on January 1, 2019 in the case of the unaudited pro forma condensed consolidated statements of operations data, and as of March 31, 2020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2019” refer to the pro forma financial information derived from or presented in the “Unaudited Pro Forma Condensed Consolidated Financial Information” for the year ended December 31, 2019 and references to the “Pro Forma First Quarter 2020” refer to the pro forma financial information derived from or presented in the “Unaudited Pro Forma Condensed Consolidated Financial Information” for the three months ended March 31, 2020.</w:t>
      </w:r>
    </w:p>
    <w:p>
      <w:pPr>
        <w:spacing w:after="0" w:line="169"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Terms and Performance Indicators Used in this Prospectus; Non-GAAP Financial Measures</w:t>
      </w:r>
    </w:p>
    <w:p>
      <w:pPr>
        <w:spacing w:after="0" w:line="118"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Throughout this prospectus, we use a number of key terms and provide a number of key performance indicators used by management. These key performance indicators are discussed in more detail in the section entitled “Management’s Discussion and Analysis of Financial Condition and Results of Operations—Key Business and Operating Metrics by Segment.” We define these terms and key performance indicators as follows:</w:t>
      </w:r>
    </w:p>
    <w:p>
      <w:pPr>
        <w:spacing w:after="0" w:line="56" w:lineRule="exact"/>
        <w:rPr>
          <w:sz w:val="20"/>
          <w:szCs w:val="20"/>
          <w:color w:val="auto"/>
        </w:rPr>
      </w:pPr>
    </w:p>
    <w:p>
      <w:pPr>
        <w:ind w:left="1140" w:hanging="438"/>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Approved Submissions</w:t>
      </w:r>
      <w:r>
        <w:rPr>
          <w:rFonts w:ascii="Arial" w:cs="Arial" w:eastAsia="Arial" w:hAnsi="Arial"/>
          <w:sz w:val="17"/>
          <w:szCs w:val="17"/>
          <w:color w:val="auto"/>
        </w:rPr>
        <w:t>” refer to Submitted Policies approved by carriers for the identified product during the indicated period.</w:t>
      </w:r>
    </w:p>
    <w:p>
      <w:pPr>
        <w:spacing w:after="0" w:line="138" w:lineRule="exact"/>
        <w:rPr>
          <w:rFonts w:ascii="Arial" w:cs="Arial" w:eastAsia="Arial" w:hAnsi="Arial"/>
          <w:sz w:val="17"/>
          <w:szCs w:val="17"/>
          <w:color w:val="auto"/>
        </w:rPr>
      </w:pPr>
    </w:p>
    <w:p>
      <w:pPr>
        <w:ind w:left="1140" w:right="32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represents, as applicable for the period, EBITDA as further adjusted for share-based compensation, change in fair value of contingent consideration liability, Centerbridge Acquisition costs, severance costs and incremental organizational costs in connection with this offering.</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margin</w:t>
      </w:r>
      <w:r>
        <w:rPr>
          <w:rFonts w:ascii="Arial" w:cs="Arial" w:eastAsia="Arial" w:hAnsi="Arial"/>
          <w:sz w:val="18"/>
          <w:szCs w:val="18"/>
          <w:color w:val="auto"/>
        </w:rPr>
        <w:t>” refers to Adjusted EBITDA divided by net revenues.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Consumer interactions</w:t>
      </w:r>
      <w:r>
        <w:rPr>
          <w:rFonts w:ascii="Arial" w:cs="Arial" w:eastAsia="Arial" w:hAnsi="Arial"/>
          <w:sz w:val="18"/>
          <w:szCs w:val="18"/>
          <w:color w:val="auto"/>
        </w:rPr>
        <w:t>” refer to the number of times a consumer calls us or visits us online.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Consumer lead</w:t>
      </w:r>
      <w:r>
        <w:rPr>
          <w:rFonts w:ascii="Arial" w:cs="Arial" w:eastAsia="Arial" w:hAnsi="Arial"/>
          <w:sz w:val="16"/>
          <w:szCs w:val="16"/>
          <w:color w:val="auto"/>
        </w:rPr>
        <w:t>” refers to a consumer for which we have collected some personally identifiable information related to health insurance.</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150" w:lineRule="exact"/>
        <w:rPr>
          <w:rFonts w:ascii="Arial" w:cs="Arial" w:eastAsia="Arial" w:hAnsi="Arial"/>
          <w:sz w:val="16"/>
          <w:szCs w:val="16"/>
          <w:color w:val="auto"/>
        </w:rPr>
      </w:pPr>
    </w:p>
    <w:p>
      <w:pPr>
        <w:ind w:left="1140" w:right="340" w:hanging="438"/>
        <w:spacing w:after="0" w:line="27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Impressions</w:t>
      </w:r>
      <w:r>
        <w:rPr>
          <w:rFonts w:ascii="Arial" w:cs="Arial" w:eastAsia="Arial" w:hAnsi="Arial"/>
          <w:sz w:val="18"/>
          <w:szCs w:val="18"/>
          <w:color w:val="auto"/>
        </w:rPr>
        <w:t>” refer to the number of times our advertisement is shown to consumers through any medium, regardless of whether such consumers have viewed, clicked through or otherwise interacted with the advertisement.</w:t>
      </w:r>
    </w:p>
    <w:p>
      <w:pPr>
        <w:spacing w:after="0" w:line="80" w:lineRule="exact"/>
        <w:rPr>
          <w:rFonts w:ascii="Arial" w:cs="Arial" w:eastAsia="Arial" w:hAnsi="Arial"/>
          <w:sz w:val="18"/>
          <w:szCs w:val="18"/>
          <w:color w:val="auto"/>
        </w:rPr>
      </w:pPr>
    </w:p>
    <w:p>
      <w:pPr>
        <w:ind w:left="1140" w:right="20" w:hanging="438"/>
        <w:spacing w:after="0" w:line="275"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 Per Approved Submission</w:t>
      </w:r>
      <w:r>
        <w:rPr>
          <w:rFonts w:ascii="Arial" w:cs="Arial" w:eastAsia="Arial" w:hAnsi="Arial"/>
          <w:sz w:val="17"/>
          <w:szCs w:val="17"/>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40"/>
          </w:cols>
          <w:pgMar w:left="320" w:top="456"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60" w:hanging="438"/>
        <w:spacing w:after="0" w:line="270"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LTV/CAC</w:t>
      </w:r>
      <w:r>
        <w:rPr>
          <w:rFonts w:ascii="Arial" w:cs="Arial" w:eastAsia="Arial" w:hAnsi="Arial"/>
          <w:sz w:val="17"/>
          <w:szCs w:val="17"/>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w:t>
      </w:r>
    </w:p>
    <w:p>
      <w:pPr>
        <w:spacing w:after="0" w:line="84" w:lineRule="exact"/>
        <w:rPr>
          <w:rFonts w:ascii="Arial" w:cs="Arial" w:eastAsia="Arial" w:hAnsi="Arial"/>
          <w:sz w:val="17"/>
          <w:szCs w:val="17"/>
          <w:color w:val="auto"/>
        </w:rPr>
      </w:pPr>
    </w:p>
    <w:p>
      <w:pPr>
        <w:ind w:left="1140" w:right="20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prospect</w:t>
      </w:r>
      <w:r>
        <w:rPr>
          <w:rFonts w:ascii="Arial" w:cs="Arial" w:eastAsia="Arial" w:hAnsi="Arial"/>
          <w:sz w:val="18"/>
          <w:szCs w:val="18"/>
          <w:color w:val="auto"/>
        </w:rPr>
        <w:t>” refers to a consumer that has confirmed an interest to us in shopping for health insurance over the phone, online or via live transfer to our agents, both through the internal and external channels.</w:t>
      </w:r>
    </w:p>
    <w:p>
      <w:pPr>
        <w:spacing w:after="0" w:line="80" w:lineRule="exact"/>
        <w:rPr>
          <w:rFonts w:ascii="Arial" w:cs="Arial" w:eastAsia="Arial" w:hAnsi="Arial"/>
          <w:sz w:val="18"/>
          <w:szCs w:val="18"/>
          <w:color w:val="auto"/>
        </w:rPr>
      </w:pPr>
    </w:p>
    <w:p>
      <w:pPr>
        <w:ind w:left="1140" w:right="8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Submitted Policies</w:t>
      </w:r>
      <w:r>
        <w:rPr>
          <w:rFonts w:ascii="Arial" w:cs="Arial" w:eastAsia="Arial" w:hAnsi="Arial"/>
          <w:sz w:val="18"/>
          <w:szCs w:val="18"/>
          <w:color w:val="auto"/>
        </w:rPr>
        <w:t>” refer to completed applications that, with respect to each such application, the consumer has authorized us to submit to the carrier.</w:t>
      </w:r>
    </w:p>
    <w:p>
      <w:pPr>
        <w:spacing w:after="0" w:line="175"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We use non-GAAP financial measures, such as EBITDA, Adjusted EBITDA and Adjusted EBITDA margin, to supplement financial information presented in accordance with generally accepted accounting principles in the United States, or GAAP.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 See “Prospectus Summary—Summary Historical and Pro Forma Condensed Consolidated Financial and Other Data” and “Management’s Discussion and Analysis of Financial Condition and Results of Operations.”</w:t>
      </w:r>
    </w:p>
    <w:p>
      <w:pPr>
        <w:spacing w:after="0" w:line="39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 xml:space="preserve">This prospectus includes our trademarks and trade names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225"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320" w:top="456"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20"/>
          </w:cols>
          <w:pgMar w:left="320" w:top="456"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i w:val="1"/>
          <w:iCs w:val="1"/>
          <w:color w:val="auto"/>
        </w:rPr>
        <w:t>This summary highlights selected information included elsewhere in this prospectus. This summary does not contain all of the information that you should consider before deciding to invest in our Class A common stock. You should read the entire prospectus carefully, including the “Risk Factors,”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“Cautionary Note Regarding Forward-Looking Statements.”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34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or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78"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340" w:right="40"/>
        <w:spacing w:after="0" w:line="284"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Pro Forma First Quarter 2020 compared to $69.1 million for the three months ended March 31, 2019 and by</w:t>
      </w:r>
    </w:p>
    <w:p>
      <w:pPr>
        <w:spacing w:after="0" w:line="2" w:lineRule="exact"/>
        <w:rPr>
          <w:sz w:val="20"/>
          <w:szCs w:val="20"/>
          <w:color w:val="auto"/>
        </w:rPr>
      </w:pPr>
    </w:p>
    <w:p>
      <w:pPr>
        <w:ind w:left="340" w:right="600"/>
        <w:spacing w:after="0" w:line="256" w:lineRule="auto"/>
        <w:rPr>
          <w:sz w:val="20"/>
          <w:szCs w:val="20"/>
          <w:color w:val="auto"/>
        </w:rPr>
      </w:pPr>
      <w:r>
        <w:rPr>
          <w:rFonts w:ascii="Arial" w:cs="Arial" w:eastAsia="Arial" w:hAnsi="Arial"/>
          <w:sz w:val="18"/>
          <w:szCs w:val="18"/>
          <w:color w:val="auto"/>
        </w:rPr>
        <w:t>138.5% to $539.5 million for the Pro Forma Fiscal Year 2019 compared to $226.2 million for the year ended December 31, 2018. Adjusted EBITDA grew by 394.0% to $35.2 million for the Pro Forma First Quarter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164" w:lineRule="exact"/>
        <w:rPr>
          <w:sz w:val="20"/>
          <w:szCs w:val="20"/>
          <w:color w:val="auto"/>
        </w:rPr>
      </w:pPr>
    </w:p>
    <w:p>
      <w:pPr>
        <w:ind w:left="340" w:right="40"/>
        <w:spacing w:after="0" w:line="284" w:lineRule="auto"/>
        <w:rPr>
          <w:sz w:val="20"/>
          <w:szCs w:val="20"/>
          <w:color w:val="auto"/>
        </w:rPr>
      </w:pPr>
      <w:r>
        <w:rPr>
          <w:rFonts w:ascii="Arial" w:cs="Arial" w:eastAsia="Arial" w:hAnsi="Arial"/>
          <w:sz w:val="16"/>
          <w:szCs w:val="16"/>
          <w:color w:val="auto"/>
        </w:rPr>
        <w:t>Over the last four years, we have increasingly shifted our focus towards Medicare products and deemphasized individual and family health insurance products. This shift in focus has enabled us to capitalize on (1) strong 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73" w:lineRule="exact"/>
        <w:rPr>
          <w:sz w:val="20"/>
          <w:szCs w:val="20"/>
          <w:color w:val="auto"/>
        </w:rPr>
      </w:pPr>
    </w:p>
    <w:p>
      <w:pPr>
        <w:ind w:left="340"/>
        <w:spacing w:after="0" w:line="265" w:lineRule="auto"/>
        <w:rPr>
          <w:sz w:val="20"/>
          <w:szCs w:val="20"/>
          <w:color w:val="auto"/>
        </w:rPr>
      </w:pPr>
      <w:r>
        <w:rPr>
          <w:rFonts w:ascii="Arial" w:cs="Arial" w:eastAsia="Arial" w:hAnsi="Arial"/>
          <w:sz w:val="17"/>
          <w:szCs w:val="17"/>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84" w:lineRule="exact"/>
        <w:rPr>
          <w:sz w:val="20"/>
          <w:szCs w:val="20"/>
          <w:color w:val="auto"/>
        </w:rPr>
      </w:pPr>
    </w:p>
    <w:p>
      <w:pPr>
        <w:ind w:left="340" w:right="240"/>
        <w:spacing w:after="0" w:line="255" w:lineRule="auto"/>
        <w:rPr>
          <w:sz w:val="20"/>
          <w:szCs w:val="20"/>
          <w:color w:val="auto"/>
        </w:rPr>
      </w:pPr>
      <w:r>
        <w:rPr>
          <w:rFonts w:ascii="Arial" w:cs="Arial" w:eastAsia="Arial" w:hAnsi="Arial"/>
          <w:sz w:val="18"/>
          <w:szCs w:val="18"/>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3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200" cy="64331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Centers for Medicare and Medicaid Services, or CMS,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73"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differentiated value of our data science-driven, fully-integrated platform has facilitated our rapid growth. Net revenues grew by 104.1% to $141.0 million for the Pro Forma First Quarter 2020 compared to $69.1 million for the three months ended March 31, 2019 and by 138.5% to $539.5 million for the Pro Forma Fiscal Year 2019 compared to $226.2 million for the year ended December 31, 2018. Adjusted EBITDA grew by 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6"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09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61099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132,000 Medicare policies for the three months ended March 31, 2020, as compared to over 43,200 Medicare policies the three months ended March 31, 2019 and over 427,000 Medicare policies for the year ended December 31, 2019, as compared to over 118,000 Medicare policies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92" w:lineRule="exact"/>
        <w:rPr>
          <w:sz w:val="20"/>
          <w:szCs w:val="20"/>
          <w:color w:val="auto"/>
        </w:rPr>
      </w:pPr>
    </w:p>
    <w:p>
      <w:pPr>
        <w:jc w:val="both"/>
        <w:ind w:left="1280" w:right="1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280" w:right="56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end-to-end 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ind w:left="12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280" w:right="18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jc w:val="both"/>
        <w:ind w:left="1280" w:right="100" w:hanging="410"/>
        <w:spacing w:after="0" w:line="259"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280" w:right="520" w:hanging="410"/>
        <w:spacing w:after="0" w:line="271"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340" w:right="300"/>
        <w:spacing w:after="0" w:line="259" w:lineRule="auto"/>
        <w:rPr>
          <w:sz w:val="20"/>
          <w:szCs w:val="20"/>
          <w:color w:val="auto"/>
        </w:rPr>
      </w:pPr>
      <w:r>
        <w:rPr>
          <w:rFonts w:ascii="Arial" w:cs="Arial" w:eastAsia="Arial" w:hAnsi="Arial"/>
          <w:sz w:val="18"/>
          <w:szCs w:val="18"/>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6"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72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4200" cy="58724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81" w:lineRule="auto"/>
        <w:rPr>
          <w:sz w:val="20"/>
          <w:szCs w:val="20"/>
          <w:color w:val="auto"/>
        </w:rPr>
      </w:pPr>
      <w:r>
        <w:rPr>
          <w:rFonts w:ascii="Arial" w:cs="Arial" w:eastAsia="Arial" w:hAnsi="Arial"/>
          <w:sz w:val="17"/>
          <w:szCs w:val="17"/>
          <w:color w:val="auto"/>
        </w:rPr>
        <w:t>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9"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 sales of Medicare Advantage, Medicare Supplement, Medicare prescription drug plans, and Medicare Special Needs Plans, or SNPs, for multiple carriers. The Medicare segments are organized by distribution channel, as further described below:</w:t>
      </w:r>
    </w:p>
    <w:p>
      <w:pPr>
        <w:spacing w:after="0" w:line="97" w:lineRule="exact"/>
        <w:rPr>
          <w:sz w:val="20"/>
          <w:szCs w:val="20"/>
          <w:color w:val="auto"/>
        </w:rPr>
      </w:pPr>
    </w:p>
    <w:p>
      <w:pPr>
        <w:ind w:left="1280" w:right="300" w:hanging="410"/>
        <w:spacing w:after="0" w:line="307"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Internal</w:t>
      </w:r>
      <w:r>
        <w:rPr>
          <w:rFonts w:ascii="Arial" w:cs="Arial" w:eastAsia="Arial" w:hAnsi="Arial"/>
          <w:sz w:val="16"/>
          <w:szCs w:val="16"/>
          <w:color w:val="auto"/>
        </w:rPr>
        <w:t>. The internal segments primarily consist of sales of products and plans by GoHealth-employed agents offering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 our agents, which we refer to as DIY.</w:t>
      </w:r>
    </w:p>
    <w:p>
      <w:pPr>
        <w:spacing w:after="0" w:line="56" w:lineRule="exact"/>
        <w:rPr>
          <w:rFonts w:ascii="Arial" w:cs="Arial" w:eastAsia="Arial" w:hAnsi="Arial"/>
          <w:sz w:val="16"/>
          <w:szCs w:val="16"/>
          <w:color w:val="auto"/>
        </w:rPr>
      </w:pPr>
    </w:p>
    <w:p>
      <w:pPr>
        <w:ind w:left="1280" w:right="300" w:hanging="410"/>
        <w:spacing w:after="0" w:line="255"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External</w:t>
      </w:r>
      <w:r>
        <w:rPr>
          <w:rFonts w:ascii="Arial" w:cs="Arial" w:eastAsia="Arial" w:hAnsi="Arial"/>
          <w:sz w:val="18"/>
          <w:szCs w:val="18"/>
          <w:color w:val="auto"/>
        </w:rPr>
        <w:t>. The external segments represent sales of products and plans under GoHealth’s carrier contracts using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90"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4"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color w:val="auto"/>
        </w:rPr>
        <w:t>The IFP and Other segments focus on sales of individual and family plans (which include fixed indemnity and major medical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w:t>
      </w:r>
    </w:p>
    <w:p>
      <w:pPr>
        <w:spacing w:after="0" w:line="176"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For the three months ended March 31, 2020, the Medicare segments represented 88.1% of total revenues compared to 59.7% of total revenues for the three months ended March 31, 2019 and the IFP and Other segments represented 11.9% of total revenues for the three months ended March 31, 2020 compared to 40.3% of total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320" w:top="456"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564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45643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20"/>
        <w:spacing w:after="0" w:line="307" w:lineRule="auto"/>
        <w:rPr>
          <w:sz w:val="20"/>
          <w:szCs w:val="20"/>
          <w:color w:val="auto"/>
        </w:rPr>
      </w:pPr>
      <w:r>
        <w:rPr>
          <w:rFonts w:ascii="Arial" w:cs="Arial" w:eastAsia="Arial" w:hAnsi="Arial"/>
          <w:sz w:val="16"/>
          <w:szCs w:val="16"/>
          <w:color w:val="auto"/>
        </w:rPr>
        <w:t>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 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132,000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6"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57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595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hanging="41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760" w:right="160" w:hanging="412"/>
        <w:spacing w:after="0" w:line="256"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340"/>
        <w:spacing w:after="0" w:line="265" w:lineRule="auto"/>
        <w:rPr>
          <w:sz w:val="20"/>
          <w:szCs w:val="20"/>
          <w:color w:val="auto"/>
        </w:rPr>
      </w:pPr>
      <w:r>
        <w:rPr>
          <w:rFonts w:ascii="Arial" w:cs="Arial" w:eastAsia="Arial" w:hAnsi="Arial"/>
          <w:sz w:val="17"/>
          <w:szCs w:val="17"/>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January 2020, an increase of approximately 124% from a rate of 7.7% in January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6"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340" w:right="60"/>
        <w:spacing w:after="0" w:line="283" w:lineRule="auto"/>
        <w:rPr>
          <w:sz w:val="20"/>
          <w:szCs w:val="20"/>
          <w:color w:val="auto"/>
        </w:rPr>
      </w:pPr>
      <w:r>
        <w:rPr>
          <w:rFonts w:ascii="Arial" w:cs="Arial" w:eastAsia="Arial" w:hAnsi="Arial"/>
          <w:sz w:val="16"/>
          <w:szCs w:val="16"/>
          <w:color w:val="auto"/>
        </w:rPr>
        <w:t>Our carrier relationships allow us to offer a wide variety of products and plans across our platform and offer solutions tailored to consumers’ healthcare needs. We are a critical partner to our top carriers, for which we use 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Best-in-Class Medicare LTV/CAC Ratio Driven by Proprietary Technology, Business Processes, Data and Highly Skilled Agents</w:t>
      </w:r>
    </w:p>
    <w:p>
      <w:pPr>
        <w:spacing w:after="0" w:line="125"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456" w:right="7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8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56686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 data and technology position us well for continuous growth in the future in our current product segments and other insurance products segments we may enter.</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340" w:right="20"/>
        <w:spacing w:after="0" w:line="283" w:lineRule="auto"/>
        <w:rPr>
          <w:sz w:val="20"/>
          <w:szCs w:val="20"/>
          <w:color w:val="auto"/>
        </w:rPr>
      </w:pPr>
      <w:r>
        <w:rPr>
          <w:rFonts w:ascii="Arial" w:cs="Arial" w:eastAsia="Arial" w:hAnsi="Arial"/>
          <w:sz w:val="16"/>
          <w:szCs w:val="16"/>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Continue to Increase Our Profitability By Using our Data to Improve our Technology, Business Processes, and Agent Performance</w:t>
      </w:r>
    </w:p>
    <w:p>
      <w:pPr>
        <w:spacing w:after="0" w:line="137" w:lineRule="exact"/>
        <w:rPr>
          <w:sz w:val="20"/>
          <w:szCs w:val="20"/>
          <w:color w:val="auto"/>
        </w:rPr>
      </w:pPr>
    </w:p>
    <w:p>
      <w:pPr>
        <w:ind w:left="340" w:right="2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280" w:right="40" w:hanging="410"/>
        <w:spacing w:after="0" w:line="255"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280" w:right="120" w:hanging="410"/>
        <w:spacing w:after="0" w:line="255"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LeadScore and Call Routing Technologies</w:t>
      </w:r>
      <w:r>
        <w:rPr>
          <w:rFonts w:ascii="Arial" w:cs="Arial" w:eastAsia="Arial" w:hAnsi="Arial"/>
          <w:sz w:val="18"/>
          <w:szCs w:val="18"/>
          <w:color w:val="auto"/>
        </w:rPr>
        <w:t>. We are improving our LeadScore and call-routing technologies,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business intelligence and analytics staffing to direct qualified prospects to agents or DIY channels that are most likely to result in such qualified prospects enrolling in the health insurance plan that best meets their needs while remaining economically attractive for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6"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0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56603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20"/>
        <w:spacing w:after="0" w:line="293" w:lineRule="auto"/>
        <w:rPr>
          <w:sz w:val="20"/>
          <w:szCs w:val="20"/>
          <w:color w:val="auto"/>
        </w:rPr>
      </w:pPr>
      <w:r>
        <w:rPr>
          <w:rFonts w:ascii="Arial" w:cs="Arial" w:eastAsia="Arial" w:hAnsi="Arial"/>
          <w:sz w:val="16"/>
          <w:szCs w:val="16"/>
          <w:color w:val="auto"/>
        </w:rPr>
        <w:t>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67" w:lineRule="exact"/>
        <w:rPr>
          <w:sz w:val="20"/>
          <w:szCs w:val="20"/>
          <w:color w:val="auto"/>
        </w:rPr>
      </w:pPr>
    </w:p>
    <w:p>
      <w:pPr>
        <w:ind w:left="1280" w:right="20" w:hanging="410"/>
        <w:spacing w:after="0" w:line="269"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Recruiting and Training of Agents</w:t>
      </w:r>
      <w:r>
        <w:rPr>
          <w:rFonts w:ascii="Arial" w:cs="Arial" w:eastAsia="Arial" w:hAnsi="Arial"/>
          <w:sz w:val="17"/>
          <w:szCs w:val="17"/>
          <w:color w:val="auto"/>
        </w:rPr>
        <w:t>. We are improving the recruiting and training of our agents to match the profiles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highest performing agents.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34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6"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Our Founders and management team built our Marketplace technology over a 19-year period of continuous investment and growth. We have developed relationships with over 80 carriers and offer a wide variety of 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8"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340" w:right="34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340" w:right="10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6"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1381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31381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color w:val="auto"/>
        </w:rPr>
        <w:t>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6" w:lineRule="exact"/>
        <w:rPr>
          <w:sz w:val="20"/>
          <w:szCs w:val="20"/>
          <w:color w:val="auto"/>
        </w:rPr>
      </w:pPr>
    </w:p>
    <w:p>
      <w:pPr>
        <w:ind w:left="340"/>
        <w:spacing w:after="0" w:line="266" w:lineRule="auto"/>
        <w:rPr>
          <w:sz w:val="20"/>
          <w:szCs w:val="20"/>
          <w:color w:val="auto"/>
        </w:rPr>
      </w:pPr>
      <w:r>
        <w:rPr>
          <w:rFonts w:ascii="Arial" w:cs="Arial" w:eastAsia="Arial" w:hAnsi="Arial"/>
          <w:sz w:val="17"/>
          <w:szCs w:val="17"/>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 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82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598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2019, the average gross margin per member per month for carriers in the individual market was $122.83, as compared to $14.36 in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00" w:lineRule="exact"/>
        <w:rPr>
          <w:sz w:val="20"/>
          <w:szCs w:val="20"/>
          <w:color w:val="auto"/>
        </w:rPr>
      </w:pP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320" w:top="456" w:right="8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01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61017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Preliminary Results for the Three Months Ended June 30, 2020</w:t>
      </w:r>
    </w:p>
    <w:p>
      <w:pPr>
        <w:spacing w:after="0" w:line="114"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Our results for the three months ended June 30, 2020 are not yet available. Below we have presented preliminary estimated ranges of certain of our financial results for the three months ended June 30, 2020, based solely on preliminary information currently available to management. We have not yet completed our closing procedures for the three months ended June 30, 2020. The preliminary estimated ranges of certain of our financial results set forth below have been prepared by, and are the responsibility of, management and are based on a number of assumptions. Our independent registered public accounting firm has not audited, reviewed, compiled, or performed any procedures with respect to our results for the three months ended June 30, 2020 and 2019. Our actual results may differ materially from these estimates due to the completion of our financial closing procedures, final adjustments and other developments that may arise between now and the time the financial results for our interim period are finalized. You should not place undue reliance on these preliminary estimates. In addition, the preliminary estimated financial results set forth below are not necessarily indicative of results we may achieve in any future period. See “Risk Factors,” “Management’s Discussion and Analysis of Financial Condition and Results of Operations,” and “Cautionary Note Regarding Forward-Looking Statements” for additional information regarding factors that could result in differences between the preliminary estimated ranges of certain of our financial results that are presented below and the actual financial results we will report.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preliminary estimates for the three months ended June 30, 2020:</w:t>
      </w:r>
    </w:p>
    <w:p>
      <w:pPr>
        <w:spacing w:after="0" w:line="127" w:lineRule="exact"/>
        <w:rPr>
          <w:sz w:val="20"/>
          <w:szCs w:val="20"/>
          <w:color w:val="auto"/>
        </w:rPr>
      </w:pPr>
    </w:p>
    <w:p>
      <w:pPr>
        <w:ind w:left="1280" w:right="300" w:hanging="410"/>
        <w:spacing w:after="0" w:line="270"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revenues are expected to be between $118.0 million and $130.0 million, an increase of 66.4% at the midpoint of this range, as compared to $74.5 million for the three months ended June 30, 2019. The estimated increase in net revenues compared to the corresponding period in 2019 is primarily due to an increase in net revenues in the Medicare—Internal segment driven by higher Medicare-Internal commissionable Approved Submissions for Medicare Advantage products due to the implementation of new marketing strategies to generate a greater number of prospects, an improvement in the efficiency of our agents driven by improvements in our technology, and the hiring of additional agents.</w:t>
      </w:r>
    </w:p>
    <w:p>
      <w:pPr>
        <w:spacing w:after="0" w:line="84" w:lineRule="exact"/>
        <w:rPr>
          <w:rFonts w:ascii="Arial" w:cs="Arial" w:eastAsia="Arial" w:hAnsi="Arial"/>
          <w:sz w:val="17"/>
          <w:szCs w:val="17"/>
          <w:color w:val="auto"/>
        </w:rPr>
      </w:pPr>
    </w:p>
    <w:p>
      <w:pPr>
        <w:ind w:left="1280" w:right="60" w:hanging="410"/>
        <w:spacing w:after="0" w:line="275"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Total segment profit is expected to be between $30.0 million and $36.0 million, an increase of 65.0% at the midpoint of this range, as compared to total segment profit of $20.0 million for the three months ended June 30, 2019. The estimated increase in total segment profit compared to the corresponding period in 2019 is primarily due to the increase in Medicare-Internal commissionable Approved Submissions for Medicare Advantage products for the same reasons mentioned above.</w:t>
      </w:r>
    </w:p>
    <w:p>
      <w:pPr>
        <w:spacing w:after="0" w:line="80" w:lineRule="exact"/>
        <w:rPr>
          <w:rFonts w:ascii="Arial" w:cs="Arial" w:eastAsia="Arial" w:hAnsi="Arial"/>
          <w:sz w:val="17"/>
          <w:szCs w:val="17"/>
          <w:color w:val="auto"/>
        </w:rPr>
      </w:pPr>
    </w:p>
    <w:p>
      <w:pPr>
        <w:ind w:left="1280" w:right="40" w:hanging="410"/>
        <w:spacing w:after="0" w:line="275"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loss is expected to be between $20.0 million and $26.0 million, as compared to net income of $15.3 million for the three months ended June 30, 2019. The estimated decrease in net income compared to the corresponding period in 2019 is primarily due to the change in fair value of the contingent consideration liability, amortization of intangible assets, an increase in interest expense, and the incurrence of incremental organizational costs in connection with this offering.</w:t>
      </w:r>
    </w:p>
    <w:p>
      <w:pPr>
        <w:spacing w:after="0" w:line="80" w:lineRule="exact"/>
        <w:rPr>
          <w:rFonts w:ascii="Arial" w:cs="Arial" w:eastAsia="Arial" w:hAnsi="Arial"/>
          <w:sz w:val="17"/>
          <w:szCs w:val="17"/>
          <w:color w:val="auto"/>
        </w:rPr>
      </w:pPr>
    </w:p>
    <w:p>
      <w:pPr>
        <w:ind w:left="1280" w:right="20" w:hanging="410"/>
        <w:spacing w:after="0" w:line="253"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Commissionable Approved Submissions for the Medicare segments are expected to be between 95,000 and 105,000, an increase of 86.7% at the midpoint of this range, as compared to Commissionable Approved Submissions for the Medicare segments of 53,556 for the three months ended June 30, 2019. The estimated increase in Commissionable Approved Submissions for the Medicare segments compared to the corresponding period in 2019 is primarily due to an increase in internal agent headcount in the Medicare segments compared to the prior period.</w:t>
      </w:r>
    </w:p>
    <w:p>
      <w:pPr>
        <w:spacing w:after="0" w:line="99" w:lineRule="exact"/>
        <w:rPr>
          <w:rFonts w:ascii="Arial" w:cs="Arial" w:eastAsia="Arial" w:hAnsi="Arial"/>
          <w:sz w:val="18"/>
          <w:szCs w:val="18"/>
          <w:color w:val="auto"/>
        </w:rPr>
      </w:pPr>
    </w:p>
    <w:p>
      <w:pPr>
        <w:ind w:left="1280" w:right="160" w:hanging="410"/>
        <w:spacing w:after="0" w:line="255"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is expected to be between $24.0 million and $28.0 million, an increase of 51.2% at the midpoint of this range, as compared to $17.2 million for the three months ended June 30, 2019. The estimated increase in Adjusted EBITDA compared to the corresponding period in 2019 is primarily due to an increase in segment profit driven by the Medicare—Internal segment and the change in the fair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320" w:top="456" w:right="7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891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68916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00"/>
        <w:spacing w:after="0" w:line="271" w:lineRule="auto"/>
        <w:rPr>
          <w:sz w:val="20"/>
          <w:szCs w:val="20"/>
          <w:color w:val="auto"/>
        </w:rPr>
      </w:pPr>
      <w:r>
        <w:rPr>
          <w:rFonts w:ascii="Arial" w:cs="Arial" w:eastAsia="Arial" w:hAnsi="Arial"/>
          <w:sz w:val="18"/>
          <w:szCs w:val="18"/>
          <w:color w:val="auto"/>
        </w:rPr>
        <w:t>value of the earnout liability due to the predecessor owners of the Company arising from the Centerbridge Acquisition which liability will be settled in connection with the offering.</w:t>
      </w:r>
    </w:p>
    <w:p>
      <w:pPr>
        <w:spacing w:after="0" w:line="175" w:lineRule="exact"/>
        <w:rPr>
          <w:sz w:val="20"/>
          <w:szCs w:val="20"/>
          <w:color w:val="auto"/>
        </w:rPr>
      </w:pPr>
    </w:p>
    <w:p>
      <w:pPr>
        <w:ind w:left="340" w:right="360"/>
        <w:spacing w:after="0" w:line="271" w:lineRule="auto"/>
        <w:rPr>
          <w:sz w:val="20"/>
          <w:szCs w:val="20"/>
          <w:color w:val="auto"/>
        </w:rPr>
      </w:pPr>
      <w:r>
        <w:rPr>
          <w:rFonts w:ascii="Arial" w:cs="Arial" w:eastAsia="Arial" w:hAnsi="Arial"/>
          <w:sz w:val="18"/>
          <w:szCs w:val="18"/>
          <w:color w:val="auto"/>
        </w:rPr>
        <w:t>See below for a reconciliation of Adjusted EBITDA to the most directly comparable measure calculated in accordance with GAAP, net income (loss).</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114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77"/>
              <w:spacing w:after="0"/>
              <w:rPr>
                <w:sz w:val="20"/>
                <w:szCs w:val="20"/>
                <w:color w:val="auto"/>
              </w:rPr>
            </w:pPr>
            <w:r>
              <w:rPr>
                <w:rFonts w:ascii="Arial" w:cs="Arial" w:eastAsia="Arial" w:hAnsi="Arial"/>
                <w:sz w:val="14"/>
                <w:szCs w:val="14"/>
                <w:color w:val="auto"/>
              </w:rPr>
              <w:t>Three Months Ended 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6"/>
              <w:spacing w:after="0" w:line="122" w:lineRule="exact"/>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0"/>
                <w:szCs w:val="10"/>
                <w:color w:val="auto"/>
              </w:rPr>
            </w:pPr>
          </w:p>
        </w:tc>
        <w:tc>
          <w:tcPr>
            <w:tcW w:w="1460" w:type="dxa"/>
            <w:vAlign w:val="bottom"/>
            <w:gridSpan w:val="5"/>
            <w:vMerge w:val="restart"/>
          </w:tcPr>
          <w:p>
            <w:pPr>
              <w:jc w:val="right"/>
              <w:ind w:right="340"/>
              <w:spacing w:after="0"/>
              <w:rPr>
                <w:sz w:val="20"/>
                <w:szCs w:val="20"/>
                <w:color w:val="auto"/>
              </w:rPr>
            </w:pPr>
            <w:r>
              <w:rPr>
                <w:rFonts w:ascii="Arial" w:cs="Arial" w:eastAsia="Arial" w:hAnsi="Arial"/>
                <w:sz w:val="14"/>
                <w:szCs w:val="14"/>
                <w:color w:val="auto"/>
              </w:rPr>
              <w:t>2020 Estimated</w:t>
            </w:r>
          </w:p>
        </w:tc>
        <w:tc>
          <w:tcPr>
            <w:tcW w:w="0" w:type="dxa"/>
            <w:vAlign w:val="bottom"/>
          </w:tcPr>
          <w:p>
            <w:pPr>
              <w:spacing w:after="0"/>
              <w:rPr>
                <w:sz w:val="1"/>
                <w:szCs w:val="1"/>
                <w:color w:val="auto"/>
              </w:rPr>
            </w:pPr>
          </w:p>
        </w:tc>
      </w:tr>
      <w:tr>
        <w:trPr>
          <w:trHeight w:val="80"/>
        </w:trPr>
        <w:tc>
          <w:tcPr>
            <w:tcW w:w="1140" w:type="dxa"/>
            <w:vAlign w:val="bottom"/>
          </w:tcPr>
          <w:p>
            <w:pPr>
              <w:spacing w:after="0"/>
              <w:rPr>
                <w:sz w:val="6"/>
                <w:szCs w:val="6"/>
                <w:color w:val="auto"/>
              </w:rPr>
            </w:pPr>
          </w:p>
        </w:tc>
        <w:tc>
          <w:tcPr>
            <w:tcW w:w="6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center"/>
              <w:ind w:right="56"/>
              <w:spacing w:after="0" w:line="147" w:lineRule="exact"/>
              <w:rPr>
                <w:sz w:val="20"/>
                <w:szCs w:val="20"/>
                <w:color w:val="auto"/>
              </w:rPr>
            </w:pPr>
            <w:r>
              <w:rPr>
                <w:rFonts w:ascii="Arial" w:cs="Arial" w:eastAsia="Arial" w:hAnsi="Arial"/>
                <w:sz w:val="14"/>
                <w:szCs w:val="14"/>
                <w:color w:val="auto"/>
                <w:w w:val="97"/>
              </w:rPr>
              <w:t>Actual</w:t>
            </w:r>
          </w:p>
        </w:tc>
        <w:tc>
          <w:tcPr>
            <w:tcW w:w="36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6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460" w:type="dxa"/>
            <w:vAlign w:val="bottom"/>
            <w:gridSpan w:val="5"/>
            <w:vMerge w:val="restart"/>
          </w:tcPr>
          <w:p>
            <w:pPr>
              <w:jc w:val="right"/>
              <w:ind w:right="240"/>
              <w:spacing w:after="0"/>
              <w:rPr>
                <w:sz w:val="20"/>
                <w:szCs w:val="20"/>
                <w:color w:val="auto"/>
              </w:rPr>
            </w:pPr>
            <w:r>
              <w:rPr>
                <w:rFonts w:ascii="Arial" w:cs="Arial" w:eastAsia="Arial" w:hAnsi="Arial"/>
                <w:sz w:val="14"/>
                <w:szCs w:val="14"/>
                <w:color w:val="auto"/>
              </w:rPr>
              <w:t>(Successor Period)</w:t>
            </w: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color w:val="auto"/>
                <w:w w:val="84"/>
              </w:rPr>
              <w:t>(Predecessor</w:t>
            </w:r>
          </w:p>
        </w:tc>
        <w:tc>
          <w:tcPr>
            <w:tcW w:w="36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6"/>
              <w:spacing w:after="0"/>
              <w:rPr>
                <w:sz w:val="20"/>
                <w:szCs w:val="20"/>
                <w:color w:val="auto"/>
              </w:rPr>
            </w:pPr>
            <w:r>
              <w:rPr>
                <w:rFonts w:ascii="Arial" w:cs="Arial" w:eastAsia="Arial" w:hAnsi="Arial"/>
                <w:sz w:val="14"/>
                <w:szCs w:val="14"/>
                <w:color w:val="auto"/>
                <w:w w:val="88"/>
              </w:rPr>
              <w:t>Period)</w:t>
            </w:r>
          </w:p>
        </w:tc>
        <w:tc>
          <w:tcPr>
            <w:tcW w:w="36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Low</w:t>
            </w:r>
          </w:p>
        </w:tc>
        <w:tc>
          <w:tcPr>
            <w:tcW w:w="1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20"/>
              <w:spacing w:after="0" w:line="141" w:lineRule="exact"/>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 liability</w:t>
            </w:r>
            <w:r>
              <w:rPr>
                <w:rFonts w:ascii="Arial" w:cs="Arial" w:eastAsia="Arial" w:hAnsi="Arial"/>
                <w:sz w:val="15"/>
                <w:szCs w:val="15"/>
                <w:color w:val="auto"/>
              </w:rPr>
              <w:t>(b)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Centerbridge Acquisition costs</w:t>
            </w:r>
            <w:r>
              <w:rPr>
                <w:rFonts w:ascii="Arial" w:cs="Arial" w:eastAsia="Arial" w:hAnsi="Arial"/>
                <w:sz w:val="15"/>
                <w:szCs w:val="15"/>
                <w:color w:val="auto"/>
              </w:rPr>
              <w:t>(c)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IPO transaction costs</w:t>
            </w:r>
            <w:r>
              <w:rPr>
                <w:rFonts w:ascii="Arial" w:cs="Arial" w:eastAsia="Arial" w:hAnsi="Arial"/>
                <w:sz w:val="15"/>
                <w:szCs w:val="15"/>
                <w:color w:val="auto"/>
              </w:rPr>
              <w:t>(d)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40" w:type="dxa"/>
            <w:vAlign w:val="bottom"/>
            <w:tcBorders>
              <w:bottom w:val="single" w:sz="8" w:color="auto"/>
            </w:tcBorders>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hanging="4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 and incentive share units.</w:t>
      </w:r>
    </w:p>
    <w:p>
      <w:pPr>
        <w:spacing w:after="0" w:line="19" w:lineRule="exact"/>
        <w:rPr>
          <w:rFonts w:ascii="Arial" w:cs="Arial" w:eastAsia="Arial" w:hAnsi="Arial"/>
          <w:sz w:val="18"/>
          <w:szCs w:val="18"/>
          <w:color w:val="auto"/>
        </w:rPr>
      </w:pPr>
    </w:p>
    <w:p>
      <w:pPr>
        <w:ind w:left="760" w:right="200" w:hanging="412"/>
        <w:spacing w:after="0" w:line="24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change in the fair value of the earnout liability due to the predecessor owners of the Company arising from the Centerbridge Acquisition, which such liability will be settled in connection with this offering. See footnote 4 to the section titled “Unaudited Pro Forma Condensed Consolidated Financial Information.”</w:t>
      </w:r>
    </w:p>
    <w:p>
      <w:pPr>
        <w:ind w:left="760" w:hanging="4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760" w:hanging="4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legal, accounting, consulting, and other indirect costs associated with this offering.</w:t>
      </w:r>
    </w:p>
    <w:p>
      <w:pPr>
        <w:spacing w:after="0" w:line="208" w:lineRule="exact"/>
        <w:rPr>
          <w:sz w:val="20"/>
          <w:szCs w:val="20"/>
          <w:color w:val="auto"/>
        </w:rPr>
      </w:pPr>
    </w:p>
    <w:p>
      <w:pPr>
        <w:ind w:left="340" w:right="140"/>
        <w:spacing w:after="0" w:line="275" w:lineRule="auto"/>
        <w:rPr>
          <w:sz w:val="20"/>
          <w:szCs w:val="20"/>
          <w:color w:val="auto"/>
        </w:rPr>
      </w:pPr>
      <w:r>
        <w:rPr>
          <w:rFonts w:ascii="Arial" w:cs="Arial" w:eastAsia="Arial" w:hAnsi="Arial"/>
          <w:sz w:val="17"/>
          <w:szCs w:val="17"/>
          <w:color w:val="auto"/>
        </w:rPr>
        <w:t>We include Adjusted EBITDA in this prospectus for the reasons as described in the section titled “Summary Historical and Pro Forma Condensed Consolidated Financial and Other Data.” Adjusted EBITDA has certain limitations in that it does not reflect all expense items that affect our results. These and other limitations are described in “Summary Historical and Pro Forma Condensed Consolidated Financial and Other Data.” We encourage you to review our financial information in its entirety and not rely on a single financial measure.</w:t>
      </w:r>
    </w:p>
    <w:p>
      <w:pPr>
        <w:spacing w:after="0" w:line="174" w:lineRule="exact"/>
        <w:rPr>
          <w:sz w:val="20"/>
          <w:szCs w:val="20"/>
          <w:color w:val="auto"/>
        </w:rPr>
      </w:pPr>
    </w:p>
    <w:p>
      <w:pPr>
        <w:ind w:left="340" w:right="80"/>
        <w:spacing w:after="0" w:line="251" w:lineRule="auto"/>
        <w:rPr>
          <w:sz w:val="20"/>
          <w:szCs w:val="20"/>
          <w:color w:val="auto"/>
        </w:rPr>
      </w:pPr>
      <w:r>
        <w:rPr>
          <w:rFonts w:ascii="Arial" w:cs="Arial" w:eastAsia="Arial" w:hAnsi="Arial"/>
          <w:sz w:val="18"/>
          <w:szCs w:val="18"/>
          <w:color w:val="auto"/>
        </w:rPr>
        <w:t>We have provided a range for the preliminary results described above primarily because our financial closing procedures for the three months ended June 30, 2020 are not yet complete. As a result, there is a possibility that our final results will vary materially from these preliminary estimates. We currently expect that our final results will be within the ranges described above. It is possible, however, that our final results will not be within the ranges we currently estimate. We undertake no obligation to update or supplement the information provided above until we release our results of operation for the three months ended June 30, 2020 and 2019. Ernst &amp; Young LLP has not audited, reviewed, compiled or performed any procedures with respect to this financial data. Accordingly, Ernst &amp; Young LLP does not express an opinion or any other form of assurance with respect thereto.</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Centerbridge</w:t>
      </w:r>
    </w:p>
    <w:p>
      <w:pPr>
        <w:spacing w:after="0" w:line="225" w:lineRule="exact"/>
        <w:rPr>
          <w:sz w:val="20"/>
          <w:szCs w:val="20"/>
          <w:color w:val="auto"/>
        </w:rPr>
      </w:pPr>
    </w:p>
    <w:p>
      <w:pPr>
        <w:ind w:left="340" w:right="120"/>
        <w:spacing w:after="0" w:line="297" w:lineRule="auto"/>
        <w:rPr>
          <w:sz w:val="20"/>
          <w:szCs w:val="20"/>
          <w:color w:val="auto"/>
        </w:rPr>
      </w:pPr>
      <w:r>
        <w:rPr>
          <w:rFonts w:ascii="Arial" w:cs="Arial" w:eastAsia="Arial" w:hAnsi="Arial"/>
          <w:sz w:val="16"/>
          <w:szCs w:val="16"/>
          <w:color w:val="auto"/>
        </w:rPr>
        <w:t>On September 13, 2019, Centerbridge, indirectly through a subsidiary of GoHealth Holdings, LLC, acquired a 100% interest in Norvax, the predecessor company. Centerbridge is a global private investment firm with over $25 billion in assets under management and offices in New York and London. The firm manages capital through varied investment funds and special purpose partnerships. For additional information regarding Centerbridge’s ownership in us before and after the Transactions, see “—Summary of the Transactions” and “Principal Stockholders.”</w:t>
      </w: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6" w:right="6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509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65093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18" w:lineRule="exact"/>
        <w:rPr>
          <w:sz w:val="20"/>
          <w:szCs w:val="20"/>
          <w:color w:val="auto"/>
        </w:rPr>
      </w:pPr>
    </w:p>
    <w:p>
      <w:pPr>
        <w:ind w:left="340"/>
        <w:spacing w:after="0" w:line="307" w:lineRule="auto"/>
        <w:rPr>
          <w:sz w:val="20"/>
          <w:szCs w:val="20"/>
          <w:color w:val="auto"/>
        </w:rPr>
      </w:pPr>
      <w:r>
        <w:rPr>
          <w:rFonts w:ascii="Arial" w:cs="Arial" w:eastAsia="Arial" w:hAnsi="Arial"/>
          <w:sz w:val="16"/>
          <w:szCs w:val="16"/>
          <w:color w:val="auto"/>
        </w:rPr>
        <w:t>Participating in this offering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we face include the following:</w:t>
      </w:r>
    </w:p>
    <w:p>
      <w:pPr>
        <w:spacing w:after="0" w:line="56" w:lineRule="exact"/>
        <w:rPr>
          <w:sz w:val="20"/>
          <w:szCs w:val="20"/>
          <w:color w:val="auto"/>
        </w:rPr>
      </w:pPr>
    </w:p>
    <w:p>
      <w:pPr>
        <w:ind w:left="1280" w:hanging="410"/>
        <w:spacing w:after="0"/>
        <w:tabs>
          <w:tab w:leader="none" w:pos="12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comply with the numerous, complex and frequently changing laws regulating the marketing and sale of Medicare plans;</w:t>
      </w:r>
    </w:p>
    <w:p>
      <w:pPr>
        <w:spacing w:after="0" w:line="150" w:lineRule="exact"/>
        <w:rPr>
          <w:rFonts w:ascii="Arial" w:cs="Arial" w:eastAsia="Arial" w:hAnsi="Arial"/>
          <w:sz w:val="16"/>
          <w:szCs w:val="16"/>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technology system failures or capacity constraints interrupting our operations;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280" w:right="80" w:hanging="410"/>
        <w:spacing w:after="0" w:line="271"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significant influence the Founders and Centerbridge will have over us after the Transactions, including control over decisions that require the approval of stockholders.</w:t>
      </w:r>
    </w:p>
    <w:p>
      <w:pPr>
        <w:spacing w:after="0" w:line="175" w:lineRule="exact"/>
        <w:rPr>
          <w:sz w:val="20"/>
          <w:szCs w:val="20"/>
          <w:color w:val="auto"/>
        </w:rPr>
      </w:pPr>
    </w:p>
    <w:p>
      <w:pPr>
        <w:ind w:left="340" w:right="260"/>
        <w:spacing w:after="0" w:line="271" w:lineRule="auto"/>
        <w:rPr>
          <w:sz w:val="20"/>
          <w:szCs w:val="20"/>
          <w:color w:val="auto"/>
        </w:rPr>
      </w:pPr>
      <w:r>
        <w:rPr>
          <w:rFonts w:ascii="Arial" w:cs="Arial" w:eastAsia="Arial" w:hAnsi="Arial"/>
          <w:sz w:val="18"/>
          <w:szCs w:val="18"/>
          <w:color w:val="auto"/>
        </w:rPr>
        <w:t>Before you invest in our Class A common stock, you should carefully consider all the information in this prospectus, including matters set forth under the heading “Risk Factors.”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the Transactions</w:t>
      </w:r>
    </w:p>
    <w:p>
      <w:pPr>
        <w:spacing w:after="0" w:line="118"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GoHealth, Inc., a Delaware corporation, was formed on March 27, 2020 and is the issuer of the Class A common stock offered by this prospectus. Prior to this offering and the Transactions, all of our business operations have been conducted through GoHealth Holdings, LLC and its direct and indirect subsidiaries, and there has been only one holder of common stock of GoHealth, Inc. We will consummate the following organizational transactions in connection with this offering:</w:t>
      </w:r>
    </w:p>
    <w:p>
      <w:pPr>
        <w:spacing w:after="0" w:line="97" w:lineRule="exact"/>
        <w:rPr>
          <w:sz w:val="20"/>
          <w:szCs w:val="20"/>
          <w:color w:val="auto"/>
        </w:rPr>
      </w:pPr>
    </w:p>
    <w:p>
      <w:pPr>
        <w:ind w:left="1280" w:right="60" w:hanging="410"/>
        <w:spacing w:after="0" w:line="253"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 interests in GoHealth Holdings, LLC (including profits units awarded under the existing limited liability company agreement of GoHealth Holdings, LLC) and (2) appoint GoHealth, Inc. as the sole managing member of GoHealth Holdings, LLC upon its acquisition of LLC Interests in connection with this offering;</w:t>
      </w:r>
    </w:p>
    <w:p>
      <w:pPr>
        <w:spacing w:after="0" w:line="99" w:lineRule="exact"/>
        <w:rPr>
          <w:rFonts w:ascii="Arial" w:cs="Arial" w:eastAsia="Arial" w:hAnsi="Arial"/>
          <w:sz w:val="18"/>
          <w:szCs w:val="18"/>
          <w:color w:val="auto"/>
        </w:rPr>
      </w:pPr>
    </w:p>
    <w:p>
      <w:pPr>
        <w:ind w:left="1280" w:hanging="410"/>
        <w:spacing w:after="0" w:line="284" w:lineRule="auto"/>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will amend and restate GoHealth, Inc.’s certificate of incorporation to, among other things, provide for (1) the recapitalization of our outstanding shares of existing common stock into one share of Class A common stock, (2) Class A common stock, with each share of our Class A common stock entitling its holder to one vote per share on all matters presented to our stockholders generally and</w:t>
      </w:r>
    </w:p>
    <w:p>
      <w:pPr>
        <w:spacing w:after="0" w:line="1" w:lineRule="exact"/>
        <w:rPr>
          <w:rFonts w:ascii="Arial" w:cs="Arial" w:eastAsia="Arial" w:hAnsi="Arial"/>
          <w:sz w:val="16"/>
          <w:szCs w:val="16"/>
          <w:color w:val="auto"/>
        </w:rPr>
      </w:pPr>
    </w:p>
    <w:p>
      <w:pPr>
        <w:ind w:left="1280" w:right="60"/>
        <w:spacing w:after="0" w:line="250" w:lineRule="auto"/>
        <w:rPr>
          <w:rFonts w:ascii="Arial" w:cs="Arial" w:eastAsia="Arial" w:hAnsi="Arial"/>
          <w:sz w:val="16"/>
          <w:szCs w:val="16"/>
          <w:color w:val="auto"/>
        </w:rPr>
      </w:pPr>
      <w:r>
        <w:rPr>
          <w:rFonts w:ascii="Arial" w:cs="Arial" w:eastAsia="Arial" w:hAnsi="Arial"/>
          <w:sz w:val="18"/>
          <w:szCs w:val="18"/>
          <w:color w:val="auto"/>
        </w:rPr>
        <w:t>(3)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6" w:right="7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64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5864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right="300" w:hanging="410"/>
        <w:spacing w:after="0" w:line="259"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issue 229,399,322 shares of our Class B common stock to the Continuing Equity Owners, which is equal to the number of LLC Interests held directly or indirectly by such Continuing Equity Owners immediately following the Transactions, for nominal consideration;</w:t>
      </w:r>
    </w:p>
    <w:p>
      <w:pPr>
        <w:spacing w:after="0" w:line="92" w:lineRule="exact"/>
        <w:rPr>
          <w:rFonts w:ascii="Arial" w:cs="Arial" w:eastAsia="Arial" w:hAnsi="Arial"/>
          <w:sz w:val="18"/>
          <w:szCs w:val="18"/>
          <w:color w:val="auto"/>
        </w:rPr>
      </w:pPr>
    </w:p>
    <w:p>
      <w:pPr>
        <w:ind w:left="1280" w:right="420" w:hanging="410"/>
        <w:spacing w:after="0" w:line="259"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(the “Blocker Merger”) and will issue to the Blocker Shareholders 40,682,961 shares of our Class A common stock and, upon consummation of this offering, $96.2 million in cash to Blocker Shareholders as partial consideration in the Blocker Merger;</w:t>
      </w:r>
    </w:p>
    <w:p>
      <w:pPr>
        <w:spacing w:after="0" w:line="92" w:lineRule="exact"/>
        <w:rPr>
          <w:rFonts w:ascii="Arial" w:cs="Arial" w:eastAsia="Arial" w:hAnsi="Arial"/>
          <w:sz w:val="18"/>
          <w:szCs w:val="18"/>
          <w:color w:val="auto"/>
        </w:rPr>
      </w:pPr>
    </w:p>
    <w:p>
      <w:pPr>
        <w:ind w:left="1280" w:right="20" w:hanging="410"/>
        <w:spacing w:after="0" w:line="297"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will issue 43,500,000 shares of our Class A common stock to the purchasers in this offering (or 50,025,000 shares if the underwriters exercise in full their option to purchase additional shares of Class A common stock) in exchange for net proceeds, after taking into account the underwriting discount and estimated offering expenses payable by us, of approximately $852.0 million (or approximately $981.5 million if the underwriters exercise in full their option to purchase additional shares of Class A common stock);</w:t>
      </w:r>
    </w:p>
    <w:p>
      <w:pPr>
        <w:spacing w:after="0" w:line="65" w:lineRule="exact"/>
        <w:rPr>
          <w:rFonts w:ascii="Arial" w:cs="Arial" w:eastAsia="Arial" w:hAnsi="Arial"/>
          <w:sz w:val="16"/>
          <w:szCs w:val="16"/>
          <w:color w:val="auto"/>
        </w:rPr>
      </w:pPr>
    </w:p>
    <w:p>
      <w:pPr>
        <w:ind w:left="1280" w:hanging="410"/>
        <w:spacing w:after="0" w:line="253"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use the net proceeds from this offering to (i) purchase 38,679,685 newly-issued LLC Interests (or 44,166,647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$96.2 million in cash to the Blocker Shareholders as partial consideration in the Blocker Merger;</w:t>
      </w:r>
    </w:p>
    <w:p>
      <w:pPr>
        <w:spacing w:after="0" w:line="99" w:lineRule="exact"/>
        <w:rPr>
          <w:rFonts w:ascii="Arial" w:cs="Arial" w:eastAsia="Arial" w:hAnsi="Arial"/>
          <w:sz w:val="18"/>
          <w:szCs w:val="18"/>
          <w:color w:val="auto"/>
        </w:rPr>
      </w:pPr>
    </w:p>
    <w:p>
      <w:pPr>
        <w:jc w:val="both"/>
        <w:ind w:left="1280" w:right="60" w:hanging="410"/>
        <w:spacing w:after="0" w:line="293"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GoHealth Holdings, LLC intends to use the net proceeds from the sale of LLC Interests to GoHealth, Inc. (i) to pay $508.3 million in cash to partially redeem certain of the LLC Interests held directly or indirectly by the Continuing Equity Owners, (ii) to satisfy in full $100.0 million in aggregate face amount of an existing equity instrument in connection with the Transactions (see footnote (4) to the section titled “Unaudited Pro Forma Condensed Consolidated Financial Information”) and (iii) for general corporate purposes, to the extent any proceeds remain, to support the growth of the business, in each case, as described under “Use of Proceeds;” and</w:t>
      </w:r>
    </w:p>
    <w:p>
      <w:pPr>
        <w:spacing w:after="0" w:line="67" w:lineRule="exact"/>
        <w:rPr>
          <w:rFonts w:ascii="Arial" w:cs="Arial" w:eastAsia="Arial" w:hAnsi="Arial"/>
          <w:sz w:val="16"/>
          <w:szCs w:val="16"/>
          <w:color w:val="auto"/>
        </w:rPr>
      </w:pPr>
    </w:p>
    <w:p>
      <w:pPr>
        <w:ind w:left="1280" w:right="140" w:hanging="410"/>
        <w:spacing w:after="0" w:line="297"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GoHealth, Inc. will enter into (1) the Stockholders Agreement with Centerbridge and NVX Holdings,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consummation of the Transactions (including this offering):</w:t>
      </w:r>
    </w:p>
    <w:p>
      <w:pPr>
        <w:spacing w:after="0" w:line="127" w:lineRule="exact"/>
        <w:rPr>
          <w:sz w:val="20"/>
          <w:szCs w:val="20"/>
          <w:color w:val="auto"/>
        </w:rPr>
      </w:pPr>
    </w:p>
    <w:p>
      <w:pPr>
        <w:ind w:left="1280" w:right="400" w:hanging="410"/>
        <w:spacing w:after="0" w:line="301"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58" w:lineRule="exact"/>
        <w:rPr>
          <w:rFonts w:ascii="Arial" w:cs="Arial" w:eastAsia="Arial" w:hAnsi="Arial"/>
          <w:sz w:val="17"/>
          <w:szCs w:val="17"/>
          <w:color w:val="auto"/>
        </w:rPr>
      </w:pPr>
    </w:p>
    <w:p>
      <w:pPr>
        <w:ind w:left="1280" w:right="140" w:hanging="410"/>
        <w:spacing w:after="0" w:line="271"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0" w:lineRule="exact"/>
        <w:rPr>
          <w:rFonts w:ascii="Arial" w:cs="Arial" w:eastAsia="Arial" w:hAnsi="Arial"/>
          <w:sz w:val="18"/>
          <w:szCs w:val="18"/>
          <w:color w:val="auto"/>
        </w:rPr>
      </w:pPr>
    </w:p>
    <w:p>
      <w:pPr>
        <w:ind w:left="1280" w:hanging="410"/>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GoHealth, Inc. will own, directly or indirectly, 84,182,961 LLC Interests of GoHealth Holdings, LLC, representing approximately</w:t>
      </w:r>
    </w:p>
    <w:p>
      <w:pPr>
        <w:spacing w:after="0" w:line="31" w:lineRule="exact"/>
        <w:rPr>
          <w:rFonts w:ascii="Arial" w:cs="Arial" w:eastAsia="Arial" w:hAnsi="Arial"/>
          <w:sz w:val="17"/>
          <w:szCs w:val="17"/>
          <w:color w:val="auto"/>
        </w:rPr>
      </w:pPr>
    </w:p>
    <w:p>
      <w:pPr>
        <w:ind w:left="1280" w:right="20"/>
        <w:spacing w:after="0" w:line="252" w:lineRule="auto"/>
        <w:rPr>
          <w:rFonts w:ascii="Arial" w:cs="Arial" w:eastAsia="Arial" w:hAnsi="Arial"/>
          <w:sz w:val="17"/>
          <w:szCs w:val="17"/>
          <w:color w:val="auto"/>
        </w:rPr>
      </w:pPr>
      <w:r>
        <w:rPr>
          <w:rFonts w:ascii="Arial" w:cs="Arial" w:eastAsia="Arial" w:hAnsi="Arial"/>
          <w:sz w:val="18"/>
          <w:szCs w:val="18"/>
          <w:color w:val="auto"/>
        </w:rPr>
        <w:t>26.8% of the economic interest in GoHealth Holdings, LLC (or 89,669,923 LLC Interests, representing approximately 28.6% of the economic interest in GoHealth Holdings, LLC if the underwriters exercise in full their option to purchase additional shares of Class A common stock);</w:t>
      </w:r>
    </w:p>
    <w:p>
      <w:pPr>
        <w:spacing w:after="0" w:line="97" w:lineRule="exact"/>
        <w:rPr>
          <w:rFonts w:ascii="Arial" w:cs="Arial" w:eastAsia="Arial" w:hAnsi="Arial"/>
          <w:sz w:val="17"/>
          <w:szCs w:val="17"/>
          <w:color w:val="auto"/>
        </w:rPr>
      </w:pPr>
    </w:p>
    <w:p>
      <w:pPr>
        <w:ind w:left="1280" w:right="40" w:hanging="410"/>
        <w:spacing w:after="0" w:line="271"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Founders will own (1) 96,885,138 LLC Interests of GoHealth Holdings, LLC (excluding 2,081,670 LLC Interests subject to time-based vesting requirements), representing approximately 30.9% of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320" w:top="456" w:right="7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193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4200" cy="51930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spacing w:after="0" w:line="293" w:lineRule="auto"/>
        <w:rPr>
          <w:sz w:val="20"/>
          <w:szCs w:val="20"/>
          <w:color w:val="auto"/>
        </w:rPr>
      </w:pPr>
      <w:r>
        <w:rPr>
          <w:rFonts w:ascii="Arial" w:cs="Arial" w:eastAsia="Arial" w:hAnsi="Arial"/>
          <w:sz w:val="16"/>
          <w:szCs w:val="16"/>
          <w:color w:val="auto"/>
        </w:rPr>
        <w:t>economic interest in GoHealth Holdings, LLC (or 94,519,313 LLC Interests, representing approximately 30.1% of the economic interest in GoHealth Holdings, LLC if the underwriters exercise in full their option to purchase additional shares of Class A common stock) and (2) 96,885,138 shares of Class B common stock of GoHealth, Inc., representing approximately 30.9% of the combined voting power of all of GoHealth, Inc.’s common stock (or 94,519,313 shares of Class B common stock of GoHealth, Inc., representing approximately 30.1% if the underwriters exercise in full their option to purchase additional shares of Class A common stock);</w:t>
      </w:r>
    </w:p>
    <w:p>
      <w:pPr>
        <w:spacing w:after="0" w:line="67" w:lineRule="exact"/>
        <w:rPr>
          <w:sz w:val="20"/>
          <w:szCs w:val="20"/>
          <w:color w:val="auto"/>
        </w:rPr>
      </w:pPr>
    </w:p>
    <w:p>
      <w:pPr>
        <w:ind w:left="1280" w:right="80" w:hanging="410"/>
        <w:spacing w:after="0" w:line="265"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Centerbridge (through the Blocker Shareholders) will own (1) 40,682,961 shares of Class A common stock of GoHealth, Inc. (or 39,644,923 shares of Class A common stock of GoHealth, Inc. if the underwriters exercise in full their option to purchase additional shares of Class A common stock), representing approximately 13.0% of the combined voting power of all of GoHealth, Inc.’s common stock and approximately 48.3% of the economic interest in GoHealth, Inc. (or approximately 12.6% of the combined voting power and approximately 44.2% of the economic interest if the underwriters exercise in full their option to purchase additional shares of Class A common stock), (2) directly through Centerbridge’s ownership of LLC Interests and indirectly through GoHealth, Inc.’s ownership of LLC Interests, approximately 38.7% of the economic interest in GoHealth Holdings, LLC (or approximately 37.7% of the economic interest in GoHealth Holdings, LLC if the underwriters exercise in full their option to purchase additional shares of Class A common stock) and (3) 80,792,677 shares of Class B common stock of GoHealth, Inc., representing approximately 25.8% (and, together with the shares of Class A common stock, 38.7%) of the combined voting power of all of GoHealth, Inc.’s common stock (or 78,731,227 shares of Class B common stock of GoHealth, Inc., representing approximately 25.1% (and, together with the shares of Class A common stock, 37.7%) if the underwriters exercise in full their option to purchase additional shares of Class A common stock); and</w:t>
      </w:r>
    </w:p>
    <w:p>
      <w:pPr>
        <w:spacing w:after="0" w:line="96" w:lineRule="exact"/>
        <w:rPr>
          <w:rFonts w:ascii="Arial" w:cs="Arial" w:eastAsia="Arial" w:hAnsi="Arial"/>
          <w:sz w:val="17"/>
          <w:szCs w:val="17"/>
          <w:color w:val="auto"/>
        </w:rPr>
      </w:pPr>
    </w:p>
    <w:p>
      <w:pPr>
        <w:ind w:left="1280" w:right="80" w:hanging="410"/>
        <w:spacing w:after="0" w:line="287"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purchasers in this offering will own (1) 43,500,000 shares of Class A common stock of GoHealth, Inc. (or 50,025,000 shares of Class A common stock of GoHealth, Inc. if the underwriters exercise in full their option to purchase additional shares of Class A common stock), representing approximately 13.9% of the combined voting power of all of GoHealth, Inc.’s common stock and approximately 51.7% of the economic interest in GoHealth, Inc. (or approximately 16.0% of the combined voting power and approximately 55.8% of the economic interest in GoHealth, Inc. if the underwriters exercise in full their option to purchase additional shares of Class A common stock), and (2) through GoHealth, Inc.’s ownership of LLC Interests, indirectly will hold approximately 13.9% of the economic interest in GoHealth Holdings, LLC (or approximately 16.0% of the economic interest in GoHealth Holdings, LLC if the underwriters exercise in full their option to purchase additional shares of Class A common stock).</w:t>
      </w:r>
    </w:p>
    <w:p>
      <w:pPr>
        <w:spacing w:after="0" w:line="166" w:lineRule="exact"/>
        <w:rPr>
          <w:sz w:val="20"/>
          <w:szCs w:val="20"/>
          <w:color w:val="auto"/>
        </w:rPr>
      </w:pPr>
    </w:p>
    <w:p>
      <w:pPr>
        <w:ind w:left="340" w:right="80"/>
        <w:spacing w:after="0" w:line="270" w:lineRule="auto"/>
        <w:rPr>
          <w:sz w:val="20"/>
          <w:szCs w:val="20"/>
          <w:color w:val="auto"/>
        </w:rPr>
      </w:pPr>
      <w:r>
        <w:rPr>
          <w:rFonts w:ascii="Arial" w:cs="Arial" w:eastAsia="Arial" w:hAnsi="Arial"/>
          <w:sz w:val="17"/>
          <w:szCs w:val="17"/>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directly or indirectly by the Continuing Equity Owners.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the Transactions and our structure, see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320" w:top="456" w:right="6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19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4200" cy="66198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Ownership Structure</w:t>
      </w:r>
    </w:p>
    <w:p>
      <w:pPr>
        <w:spacing w:after="0" w:line="118"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0" w:right="220" w:hanging="412"/>
        <w:spacing w:after="0" w:line="301"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Investors in this offering will hold approximately 13.9% of the combined voting power of GoHealth, Inc. (or approximately 16.0% of the combined voting power if the underwriters exercise in full their option to purchase additional shares of Class A common stock).</w:t>
      </w:r>
    </w:p>
    <w:p>
      <w:pPr>
        <w:spacing w:after="0" w:line="200" w:lineRule="exact"/>
        <w:rPr>
          <w:sz w:val="20"/>
          <w:szCs w:val="20"/>
          <w:color w:val="auto"/>
        </w:rPr>
      </w:pPr>
    </w:p>
    <w:p>
      <w:pPr>
        <w:spacing w:after="0" w:line="38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80"/>
          </w:cols>
          <w:pgMar w:left="320" w:top="456" w:right="7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22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4200" cy="54222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80"/>
        <w:spacing w:after="0" w:line="255" w:lineRule="auto"/>
        <w:rPr>
          <w:sz w:val="20"/>
          <w:szCs w:val="20"/>
          <w:color w:val="auto"/>
        </w:rPr>
      </w:pPr>
      <w:r>
        <w:rPr>
          <w:rFonts w:ascii="Arial" w:cs="Arial" w:eastAsia="Arial" w:hAnsi="Arial"/>
          <w:sz w:val="18"/>
          <w:szCs w:val="18"/>
          <w:color w:val="auto"/>
        </w:rPr>
        <w:t xml:space="preserve">GoHealth, Inc., the issuer of the Class A common stock in this offering, was incorporated as a Delaware corporation on March 27, 2020. Our corporate headquarters are located at 214 West Huron Street, Chicago, Illinois 60654. Our telephone number is (312) 386-8200. Our principal website address is </w:t>
      </w:r>
      <w:r>
        <w:rPr>
          <w:rFonts w:ascii="Arial" w:cs="Arial" w:eastAsia="Arial" w:hAnsi="Arial"/>
          <w:sz w:val="18"/>
          <w:szCs w:val="18"/>
          <w:i w:val="1"/>
          <w:iCs w:val="1"/>
          <w:color w:val="auto"/>
        </w:rPr>
        <w:t>www.gohealth.com</w:t>
      </w:r>
      <w:r>
        <w:rPr>
          <w:rFonts w:ascii="Arial" w:cs="Arial" w:eastAsia="Arial" w:hAnsi="Arial"/>
          <w:sz w:val="18"/>
          <w:szCs w:val="18"/>
          <w:color w:val="auto"/>
        </w:rPr>
        <w:t>. The information on any of our websites is deemed not to be incorporated in this prospectus or to be part of this prospectus.</w:t>
      </w:r>
    </w:p>
    <w:p>
      <w:pPr>
        <w:spacing w:after="0" w:line="190" w:lineRule="exact"/>
        <w:rPr>
          <w:sz w:val="20"/>
          <w:szCs w:val="20"/>
          <w:color w:val="auto"/>
        </w:rPr>
      </w:pPr>
    </w:p>
    <w:p>
      <w:pPr>
        <w:ind w:left="340" w:right="440"/>
        <w:spacing w:after="0" w:line="259" w:lineRule="auto"/>
        <w:rPr>
          <w:sz w:val="20"/>
          <w:szCs w:val="20"/>
          <w:color w:val="auto"/>
        </w:rPr>
      </w:pPr>
      <w:r>
        <w:rPr>
          <w:rFonts w:ascii="Arial" w:cs="Arial" w:eastAsia="Arial" w:hAnsi="Arial"/>
          <w:sz w:val="18"/>
          <w:szCs w:val="18"/>
          <w:color w:val="auto"/>
        </w:rPr>
        <w:t>After giving effect to the Transactions, including this offering, GoHealth, Inc. will be a holding company whose principal asset will consist of 26.8% of the outstanding LLC Interests of GoHealth Holdings, LLC (or 28.6% if the underwriters exercise in full their option to purchase additional shares of our Class A common stock).</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18" w:lineRule="exact"/>
        <w:rPr>
          <w:sz w:val="20"/>
          <w:szCs w:val="20"/>
          <w:color w:val="auto"/>
        </w:rPr>
      </w:pPr>
    </w:p>
    <w:p>
      <w:pPr>
        <w:ind w:left="340" w:right="480"/>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2" w:lineRule="exact"/>
        <w:rPr>
          <w:sz w:val="20"/>
          <w:szCs w:val="20"/>
          <w:color w:val="auto"/>
        </w:rPr>
      </w:pPr>
    </w:p>
    <w:p>
      <w:pPr>
        <w:ind w:left="1280" w:right="580" w:hanging="410"/>
        <w:spacing w:after="0" w:line="301" w:lineRule="auto"/>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58" w:lineRule="exact"/>
        <w:rPr>
          <w:rFonts w:ascii="Arial" w:cs="Arial" w:eastAsia="Arial" w:hAnsi="Arial"/>
          <w:sz w:val="17"/>
          <w:szCs w:val="17"/>
          <w:color w:val="auto"/>
        </w:rPr>
      </w:pPr>
    </w:p>
    <w:p>
      <w:pPr>
        <w:ind w:left="1280" w:right="340" w:hanging="410"/>
        <w:spacing w:after="0" w:line="271"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80" w:lineRule="exact"/>
        <w:rPr>
          <w:rFonts w:ascii="Arial" w:cs="Arial" w:eastAsia="Arial" w:hAnsi="Arial"/>
          <w:sz w:val="18"/>
          <w:szCs w:val="18"/>
          <w:color w:val="auto"/>
        </w:rPr>
      </w:pPr>
    </w:p>
    <w:p>
      <w:pPr>
        <w:ind w:left="1280" w:right="240" w:hanging="410"/>
        <w:spacing w:after="0" w:line="271"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not required to comply with the requirement of the Public Company Accounting Oversight Board, or PCAOB, regarding the communication of critical audit matters in the auditor’s report on the financial statements;</w:t>
      </w:r>
    </w:p>
    <w:p>
      <w:pPr>
        <w:spacing w:after="0" w:line="80" w:lineRule="exact"/>
        <w:rPr>
          <w:rFonts w:ascii="Arial" w:cs="Arial" w:eastAsia="Arial" w:hAnsi="Arial"/>
          <w:sz w:val="18"/>
          <w:szCs w:val="18"/>
          <w:color w:val="auto"/>
        </w:rPr>
      </w:pPr>
    </w:p>
    <w:p>
      <w:pPr>
        <w:ind w:left="1280" w:right="900" w:hanging="410"/>
        <w:spacing w:after="0" w:line="271" w:lineRule="auto"/>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80" w:lineRule="exact"/>
        <w:rPr>
          <w:rFonts w:ascii="Arial" w:cs="Arial" w:eastAsia="Arial" w:hAnsi="Arial"/>
          <w:sz w:val="18"/>
          <w:szCs w:val="18"/>
          <w:color w:val="auto"/>
        </w:rPr>
      </w:pPr>
    </w:p>
    <w:p>
      <w:pPr>
        <w:ind w:left="1280" w:right="420" w:hanging="410"/>
        <w:spacing w:after="0" w:line="335" w:lineRule="auto"/>
        <w:tabs>
          <w:tab w:leader="none" w:pos="1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present a comparison of our Chief Executive Officer’s compensation to our median employee compensation.</w:t>
      </w:r>
    </w:p>
    <w:p>
      <w:pPr>
        <w:spacing w:after="0" w:line="128"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including if we have more than $1.07 billion in annual revenue, have more than $700 million in market value of our Class A common stock held by non-affiliates, or issue more than $1.0 billion of non-convertible debt over a three-year period. We may choose to take advantage of some but not all of these reduced burdens. We have elected to adopt the reduced requirements with respect to our financial statements and the related selected financial data and “Management’s Discussion and Analysis of Financial Condition and Results of Operations” disclosure, including in this prospectus.</w:t>
      </w:r>
    </w:p>
    <w:p>
      <w:pPr>
        <w:spacing w:after="0" w:line="164" w:lineRule="exact"/>
        <w:rPr>
          <w:sz w:val="20"/>
          <w:szCs w:val="20"/>
          <w:color w:val="auto"/>
        </w:rPr>
      </w:pPr>
    </w:p>
    <w:p>
      <w:pPr>
        <w:jc w:val="both"/>
        <w:ind w:left="340" w:right="180"/>
        <w:spacing w:after="0" w:line="307" w:lineRule="auto"/>
        <w:rPr>
          <w:sz w:val="20"/>
          <w:szCs w:val="20"/>
          <w:color w:val="auto"/>
        </w:rPr>
      </w:pPr>
      <w:r>
        <w:rPr>
          <w:rFonts w:ascii="Arial" w:cs="Arial" w:eastAsia="Arial" w:hAnsi="Arial"/>
          <w:sz w:val="16"/>
          <w:szCs w:val="16"/>
          <w:color w:val="auto"/>
        </w:rPr>
        <w:t>In addition, the JOBS Act permits an emerging growth company like us to take advantage of an extended transition period to comply with new or revised accounting standards applicable to public companies. We have elected to use this extended transition period. As a result, the information that we provide to stockholders may be different than the information you may receive from other public companies in which you hold equity.</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6"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1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4200" cy="61614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GoHealth, Inc.</w:t>
      </w:r>
    </w:p>
    <w:p>
      <w:pPr>
        <w:spacing w:after="0" w:line="261"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Shares of Class A common stock offered by us</w:t>
      </w:r>
      <w:r>
        <w:rPr>
          <w:sz w:val="20"/>
          <w:szCs w:val="20"/>
          <w:color w:val="auto"/>
        </w:rPr>
        <w:tab/>
      </w:r>
      <w:r>
        <w:rPr>
          <w:rFonts w:ascii="Arial" w:cs="Arial" w:eastAsia="Arial" w:hAnsi="Arial"/>
          <w:sz w:val="16"/>
          <w:szCs w:val="16"/>
          <w:color w:val="auto"/>
        </w:rPr>
        <w:t>43,500,000 shares (or 50,025,000 shares if the underwriters exercise in full their option to</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purchase additional shares).</w:t>
      </w:r>
    </w:p>
    <w:p>
      <w:pPr>
        <w:spacing w:after="0" w:line="235"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Underwriters’ option to purchase additional shares of</w:t>
      </w:r>
      <w:r>
        <w:rPr>
          <w:sz w:val="20"/>
          <w:szCs w:val="20"/>
          <w:color w:val="auto"/>
        </w:rPr>
        <w:tab/>
      </w:r>
      <w:r>
        <w:rPr>
          <w:rFonts w:ascii="Arial" w:cs="Arial" w:eastAsia="Arial" w:hAnsi="Arial"/>
          <w:sz w:val="14"/>
          <w:szCs w:val="14"/>
          <w:color w:val="auto"/>
        </w:rPr>
        <w:t>6,525,000 shares.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Class A common stock from us</w:t>
      </w:r>
    </w:p>
    <w:p>
      <w:pPr>
        <w:spacing w:after="0" w:line="248"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Shares of Class A common stock to be outstanding</w:t>
      </w:r>
      <w:r>
        <w:rPr>
          <w:sz w:val="20"/>
          <w:szCs w:val="20"/>
          <w:color w:val="auto"/>
        </w:rPr>
        <w:tab/>
      </w:r>
      <w:r>
        <w:rPr>
          <w:rFonts w:ascii="Arial" w:cs="Arial" w:eastAsia="Arial" w:hAnsi="Arial"/>
          <w:sz w:val="16"/>
          <w:szCs w:val="16"/>
          <w:color w:val="auto"/>
        </w:rPr>
        <w:t>84,182,961 shares, representing approximately 26.8% of the combined voting power of all</w:t>
      </w:r>
    </w:p>
    <w:p>
      <w:pPr>
        <w:spacing w:after="0" w:line="20" w:lineRule="exact"/>
        <w:rPr>
          <w:sz w:val="20"/>
          <w:szCs w:val="20"/>
          <w:color w:val="auto"/>
        </w:rPr>
      </w:pPr>
    </w:p>
    <w:p>
      <w:pPr>
        <w:ind w:left="420"/>
        <w:spacing w:after="0"/>
        <w:tabs>
          <w:tab w:leader="none" w:pos="432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6"/>
          <w:szCs w:val="16"/>
          <w:color w:val="auto"/>
        </w:rPr>
        <w:t>of GoHealth, Inc.’s common stock (or 89,669,923 shares, representing</w:t>
      </w:r>
    </w:p>
    <w:p>
      <w:pPr>
        <w:spacing w:after="0" w:line="7"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approximately 28.6% of the combined voting power of all of GoHealth, Inc.’s common</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stock if the underwriters exercise in full their option to purchase additional shares of</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Class A common stock), 100% of the economic interest in GoHealth, Inc. and 26.8% of the</w:t>
      </w:r>
    </w:p>
    <w:p>
      <w:pPr>
        <w:spacing w:after="0" w:line="3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indirect economic interest in GoHealth Holdings, LLC.</w:t>
      </w:r>
    </w:p>
    <w:p>
      <w:pPr>
        <w:sectPr>
          <w:pgSz w:w="11900" w:h="16838" w:orient="portrait"/>
          <w:cols w:equalWidth="0" w:num="1">
            <w:col w:w="10880"/>
          </w:cols>
          <w:pgMar w:left="320" w:top="456" w:right="699" w:bottom="1440" w:gutter="0" w:footer="0" w:header="0"/>
        </w:sectPr>
      </w:pPr>
    </w:p>
    <w:p>
      <w:pPr>
        <w:spacing w:after="0" w:line="235"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Shares of 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229,399,322 shares, representing approximately 73.2% of the combined voting power of all of GoHealth, Inc.’s common stock (or 223,912,360 shares, representing approximately 71.4% of the combined voting power of all of GoHealth, Inc.’s common stock if the underwriters exercise in full their option to purchase additional shares of Class A common stock) and no economic interest in GoHealth, Inc.</w:t>
      </w:r>
    </w:p>
    <w:p>
      <w:pPr>
        <w:spacing w:after="0" w:line="200" w:lineRule="exact"/>
        <w:rPr>
          <w:sz w:val="20"/>
          <w:szCs w:val="20"/>
          <w:color w:val="auto"/>
        </w:rPr>
      </w:pPr>
    </w:p>
    <w:p>
      <w:pPr>
        <w:sectPr>
          <w:pgSz w:w="11900" w:h="16838" w:orient="portrait"/>
          <w:cols w:equalWidth="0" w:num="2">
            <w:col w:w="3980" w:space="360"/>
            <w:col w:w="6540"/>
          </w:cols>
          <w:pgMar w:left="320" w:top="456" w:right="699" w:bottom="1440" w:gutter="0" w:footer="0" w:header="0"/>
          <w:type w:val="continuous"/>
        </w:sectPr>
      </w:pPr>
    </w:p>
    <w:p>
      <w:pPr>
        <w:spacing w:after="0" w:line="3" w:lineRule="exact"/>
        <w:rPr>
          <w:sz w:val="20"/>
          <w:szCs w:val="20"/>
          <w:color w:val="auto"/>
        </w:rPr>
      </w:pPr>
    </w:p>
    <w:p>
      <w:pPr>
        <w:ind w:left="420" w:right="200" w:hanging="77"/>
        <w:spacing w:after="0" w:line="281" w:lineRule="auto"/>
        <w:rPr>
          <w:sz w:val="20"/>
          <w:szCs w:val="20"/>
          <w:color w:val="auto"/>
        </w:rPr>
      </w:pPr>
      <w:r>
        <w:rPr>
          <w:rFonts w:ascii="Arial" w:cs="Arial" w:eastAsia="Arial" w:hAnsi="Arial"/>
          <w:sz w:val="17"/>
          <w:szCs w:val="17"/>
          <w:color w:val="auto"/>
        </w:rPr>
        <w:t>Shares of Class A common stock to be held by Centerbridge (through the Blocker Shareholders) immediately after this offering</w:t>
      </w:r>
    </w:p>
    <w:p>
      <w:pPr>
        <w:spacing w:after="0" w:line="200" w:lineRule="exact"/>
        <w:rPr>
          <w:sz w:val="20"/>
          <w:szCs w:val="20"/>
          <w:color w:val="auto"/>
        </w:rPr>
      </w:pPr>
    </w:p>
    <w:p>
      <w:pPr>
        <w:spacing w:after="0" w:line="210"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LLC Interests to be held by us immediately after this offering</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Arial" w:cs="Arial" w:eastAsia="Arial" w:hAnsi="Arial"/>
          <w:sz w:val="18"/>
          <w:szCs w:val="18"/>
          <w:color w:val="auto"/>
        </w:rPr>
        <w:t>40,682,961 shares, representing approximately 48.3% of the economic interest in GoHealth, Inc. (or 39,644,923 shares, representing approximately 44.2% of the economic interest in GoHealth, Inc. if the underwriters exercise in full their option to purchase additional shares of Class A common stock).</w:t>
      </w:r>
    </w:p>
    <w:p>
      <w:pPr>
        <w:spacing w:after="0" w:line="2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84,182,961 LLC Interests, representing approximately 26.8% of the economic interest in GoHealth Holdings, LLC (or 89,669,923 LLC Interests, representing approximately 28.6% of the economic interest in GoHealth Holdings, LLC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120" w:space="220"/>
            <w:col w:w="6540"/>
          </w:cols>
          <w:pgMar w:left="320" w:top="456" w:right="699" w:bottom="1440" w:gutter="0" w:footer="0" w:header="0"/>
          <w:type w:val="continuous"/>
        </w:sectPr>
      </w:pPr>
    </w:p>
    <w:p>
      <w:pPr>
        <w:spacing w:after="0" w:line="1" w:lineRule="exact"/>
        <w:rPr>
          <w:sz w:val="20"/>
          <w:szCs w:val="20"/>
          <w:color w:val="auto"/>
        </w:rPr>
      </w:pPr>
    </w:p>
    <w:p>
      <w:pPr>
        <w:ind w:left="420" w:hanging="77"/>
        <w:spacing w:after="0" w:line="301" w:lineRule="auto"/>
        <w:rPr>
          <w:sz w:val="20"/>
          <w:szCs w:val="20"/>
          <w:color w:val="auto"/>
        </w:rPr>
      </w:pPr>
      <w:r>
        <w:rPr>
          <w:rFonts w:ascii="Arial" w:cs="Arial" w:eastAsia="Arial" w:hAnsi="Arial"/>
          <w:sz w:val="17"/>
          <w:szCs w:val="17"/>
          <w:color w:val="auto"/>
        </w:rPr>
        <w:t>LLC Interests to be held directly or indirectly by the Founders immediately after this offering</w:t>
      </w:r>
    </w:p>
    <w:p>
      <w:pPr>
        <w:spacing w:after="0" w:line="20" w:lineRule="exact"/>
        <w:rPr>
          <w:sz w:val="20"/>
          <w:szCs w:val="20"/>
          <w:color w:val="auto"/>
        </w:rPr>
      </w:pPr>
      <w:r>
        <w:rPr>
          <w:sz w:val="20"/>
          <w:szCs w:val="20"/>
          <w:color w:val="auto"/>
        </w:rPr>
        <w:br w:type="column"/>
      </w:r>
    </w:p>
    <w:p>
      <w:pPr>
        <w:ind w:right="40"/>
        <w:spacing w:after="0" w:line="275" w:lineRule="auto"/>
        <w:rPr>
          <w:sz w:val="20"/>
          <w:szCs w:val="20"/>
          <w:color w:val="auto"/>
        </w:rPr>
      </w:pPr>
      <w:r>
        <w:rPr>
          <w:rFonts w:ascii="Arial" w:cs="Arial" w:eastAsia="Arial" w:hAnsi="Arial"/>
          <w:sz w:val="17"/>
          <w:szCs w:val="17"/>
          <w:color w:val="auto"/>
        </w:rPr>
        <w:t>96,885,138 LLC Interests, representing approximately 30.9% of the economic interest in GoHealth Holdings, LLC (or 94,519,313 LLC Interests, representing approximately 30.1% of the economic interest in GoHealth Holdings, LLC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080" w:space="260"/>
            <w:col w:w="6540"/>
          </w:cols>
          <w:pgMar w:left="320" w:top="456" w:right="699" w:bottom="1440" w:gutter="0" w:footer="0" w:header="0"/>
          <w:type w:val="continuous"/>
        </w:sectPr>
      </w:pPr>
    </w:p>
    <w:p>
      <w:pPr>
        <w:spacing w:after="0" w:line="1"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LLC Interests to be held by Centerbridge immediately after this offering</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80,792,677 LLC Interests, representing approximately 25.8% of the economic interest in GoHealth Holdings, LLC (or 78,731,227 LLC Interests, representing approximately 25.1% of the economic interest in GoHealth Holdings, LLC if the underwriters exercise in full their</w:t>
      </w:r>
    </w:p>
    <w:p>
      <w:pPr>
        <w:spacing w:after="0" w:line="200" w:lineRule="exact"/>
        <w:rPr>
          <w:sz w:val="20"/>
          <w:szCs w:val="20"/>
          <w:color w:val="auto"/>
        </w:rPr>
      </w:pPr>
    </w:p>
    <w:p>
      <w:pPr>
        <w:sectPr>
          <w:pgSz w:w="11900" w:h="16838" w:orient="portrait"/>
          <w:cols w:equalWidth="0" w:num="2">
            <w:col w:w="4220" w:space="120"/>
            <w:col w:w="6540"/>
          </w:cols>
          <w:pgMar w:left="320" w:top="456" w:right="69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880"/>
          </w:cols>
          <w:pgMar w:left="320" w:top="456" w:right="69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5676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4200" cy="56769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option to purchase additional shares of Class A common stock). Centerbridge’s ownership of LLC Interests and Class A common stock (through the Blocker Shareholders) will collectively represent an aggregate 38.7% economic interest in GoHealth Holdings, LLC (or 37.7% of the economic interest in GoHealth Holdings, LLC if the underwriters exercise in full their option to purchase additional shares of Class A common stock).</w:t>
      </w:r>
    </w:p>
    <w:p>
      <w:pPr>
        <w:spacing w:after="0" w:line="20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amended and restated certificate of incorporation and the GoHealth Holdings, LLC Agreement will require that we and GoHealth Holdings, LLC at all times maintain a one-to-one ratio between the number of shares of Class A common stock issued by us and the number of LLC Interests owned by us, except as otherwise determined by us.</w:t>
      </w:r>
    </w:p>
    <w:p>
      <w:pPr>
        <w:spacing w:after="0" w:line="186" w:lineRule="exact"/>
        <w:rPr>
          <w:sz w:val="20"/>
          <w:szCs w:val="20"/>
          <w:color w:val="auto"/>
        </w:rPr>
      </w:pPr>
    </w:p>
    <w:p>
      <w:pPr>
        <w:sectPr>
          <w:pgSz w:w="11900" w:h="16838" w:orient="portrait"/>
          <w:cols w:equalWidth="0" w:num="2">
            <w:col w:w="3860" w:space="480"/>
            <w:col w:w="6740"/>
          </w:cols>
          <w:pgMar w:left="320" w:top="456" w:right="499" w:bottom="1440" w:gutter="0" w:footer="0" w:header="0"/>
          <w:type w:val="continuous"/>
        </w:sectPr>
      </w:pPr>
    </w:p>
    <w:p>
      <w:pPr>
        <w:ind w:left="420" w:hanging="77"/>
        <w:spacing w:after="0" w:line="271" w:lineRule="auto"/>
        <w:rPr>
          <w:sz w:val="20"/>
          <w:szCs w:val="20"/>
          <w:color w:val="auto"/>
        </w:rPr>
      </w:pPr>
      <w:r>
        <w:rPr>
          <w:rFonts w:ascii="Arial" w:cs="Arial" w:eastAsia="Arial" w:hAnsi="Arial"/>
          <w:sz w:val="18"/>
          <w:szCs w:val="18"/>
          <w:color w:val="auto"/>
        </w:rPr>
        <w:t>Ratio of shares of Class B common stock to LLC Interests</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7"/>
          <w:szCs w:val="17"/>
          <w:color w:val="auto"/>
        </w:rPr>
        <w:t>Our amended and restated certificate of incorporation and the GoHealth Holdings, LLC Agreement will require that we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 Immediately after the Transactions, the Continuing Equity Owners will together own 100% of the outstanding shares of our Class B common stock.</w:t>
      </w:r>
    </w:p>
    <w:p>
      <w:pPr>
        <w:spacing w:after="0" w:line="200" w:lineRule="exact"/>
        <w:rPr>
          <w:sz w:val="20"/>
          <w:szCs w:val="20"/>
          <w:color w:val="auto"/>
        </w:rPr>
      </w:pPr>
    </w:p>
    <w:p>
      <w:pPr>
        <w:sectPr>
          <w:pgSz w:w="11900" w:h="16838" w:orient="portrait"/>
          <w:cols w:equalWidth="0" w:num="2">
            <w:col w:w="3860" w:space="480"/>
            <w:col w:w="6740"/>
          </w:cols>
          <w:pgMar w:left="320" w:top="456" w:right="499" w:bottom="1440" w:gutter="0" w:footer="0" w:header="0"/>
          <w:type w:val="continuous"/>
        </w:sectPr>
      </w:pP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100" w:type="dxa"/>
            <w:vAlign w:val="bottom"/>
          </w:tcPr>
          <w:p>
            <w:pPr>
              <w:ind w:left="180"/>
              <w:spacing w:after="0"/>
              <w:rPr>
                <w:sz w:val="20"/>
                <w:szCs w:val="20"/>
                <w:color w:val="auto"/>
              </w:rPr>
            </w:pPr>
            <w:r>
              <w:rPr>
                <w:rFonts w:ascii="Arial" w:cs="Arial" w:eastAsia="Arial" w:hAnsi="Arial"/>
                <w:sz w:val="18"/>
                <w:szCs w:val="18"/>
                <w:color w:val="auto"/>
                <w:w w:val="91"/>
              </w:rPr>
              <w:t>Permitted holders of shares of Class B common stock</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Only the Continuing Equity Owners and the permitted transferees of Class B common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stock as described in this prospectus will be permitted to hold shares of our Class B</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6"/>
              </w:rPr>
              <w:t>common stock. Shares of Class B common stock are transferable for shares of Class A</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common stock only together with an equal number of LLC Interests. See “Certain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Relationships and Related Party Transactions—GoHealth Holdings, LLC Agreement—</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Agreement in Effect Upon Consummation of the Transactions.”</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6820" w:type="dxa"/>
            <w:vAlign w:val="bottom"/>
          </w:tcPr>
          <w:p>
            <w:pPr>
              <w:ind w:left="80"/>
              <w:spacing w:after="0"/>
              <w:rPr>
                <w:sz w:val="20"/>
                <w:szCs w:val="20"/>
                <w:color w:val="auto"/>
              </w:rPr>
            </w:pPr>
            <w:r>
              <w:rPr>
                <w:rFonts w:ascii="Arial" w:cs="Arial" w:eastAsia="Arial" w:hAnsi="Arial"/>
                <w:sz w:val="18"/>
                <w:szCs w:val="18"/>
                <w:color w:val="auto"/>
                <w:w w:val="95"/>
              </w:rPr>
              <w:t>Holders of shares of our Class A common stock and our Class B common stock will vote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together as a single class on all matters presented to stockholders for their vote or approval,</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except as otherwise required by law or our amended and restated certificate of</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incorporation. Each share of our Class A common stock entitles its holders to one vote per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share and each share of our Class B common stock entitles its holders to one vote per share</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4"/>
              </w:rPr>
              <w:t>on all matters presented to our stockholders generally. See “Description of Capital Stock.”</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Redemption rights of holders of LLC Interests</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The Continuing Equity Owners may, subject to certain exceptions, from time to time at</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each of their options require GoHealth Holdings, LLC to redeem all or a portion of their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LLC Interests in exchange for, at our election (determined by at least two of our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independent directors (within the meaning of the Nasdaq rules) who are disinterested),</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newly-issued shares of our Class A common stock on a one-for-one</w:t>
            </w:r>
          </w:p>
        </w:tc>
      </w:tr>
      <w:tr>
        <w:trPr>
          <w:trHeight w:val="239"/>
        </w:trPr>
        <w:tc>
          <w:tcPr>
            <w:tcW w:w="4100" w:type="dxa"/>
            <w:vAlign w:val="bottom"/>
            <w:tcBorders>
              <w:bottom w:val="single" w:sz="8" w:color="auto"/>
            </w:tcBorders>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r>
      <w:tr>
        <w:trPr>
          <w:trHeight w:val="597"/>
        </w:trPr>
        <w:tc>
          <w:tcPr>
            <w:tcW w:w="4100" w:type="dxa"/>
            <w:vAlign w:val="bottom"/>
          </w:tcPr>
          <w:p>
            <w:pPr>
              <w:spacing w:after="0"/>
              <w:rPr>
                <w:sz w:val="24"/>
                <w:szCs w:val="24"/>
                <w:color w:val="auto"/>
              </w:rPr>
            </w:pPr>
          </w:p>
        </w:tc>
        <w:tc>
          <w:tcPr>
            <w:tcW w:w="6820" w:type="dxa"/>
            <w:vAlign w:val="bottom"/>
          </w:tcPr>
          <w:p>
            <w:pPr>
              <w:ind w:left="128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8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276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95"/>
              </w:rPr>
              <w:t>basis, or in connection with a redemption exercised in connection with the closing of this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offering, a cash payment equal to price per share for which shares of Class A common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stock are sold in this offering less any applicable underwriters’ discounts or commission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and brokers’ fees or commissions, or to the extent there is cash available from a secondary</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offering, a cash payment equal to a volume weighted average market price of one share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our Class A common stock for each LLC Interest so redeemed, in each case, in accordance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with the terms of the GoHealth Holdings, LLC Agreement; provided that, at our election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(determined by at least two of our independent directors (within the meaning of the Nasdaq</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rules) who are disinterested), we may effect a direct exchange by GoHealth, Inc. of such</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Class A common stock or such cash, as applicable, for such LLC Interests. The Continuing</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Equity Owners may, subject to certain exceptions, exercise such redemption right for as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long as their LLC Interests remain outstanding. See “Certain Relationships and Related</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8"/>
              </w:rPr>
              <w:t>Party Transactions—GoHealth Holdings, LLC Agreement—Agreement in Effect Upon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Consummation of the Transactions.” Simultaneously with the payment of cash or shares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Class A common stock, as applicable, in connection with a redemption or exchange of LLC</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Interests pursuant to the terms of the GoHealth Holdings, LLC Agreement, a number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shares of our Class B common stock registered in the name of the redeeming or exchanging</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Continuing Equity Owner will be transferred to the Company and will be cancelled for no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consideration on a one-for-one basis with the number of LLC Interests so redeemed or</w:t>
            </w:r>
          </w:p>
        </w:tc>
      </w:tr>
      <w:tr>
        <w:trPr>
          <w:trHeight w:val="227"/>
        </w:trPr>
        <w:tc>
          <w:tcPr>
            <w:tcW w:w="276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exchanged.</w:t>
            </w:r>
          </w:p>
        </w:tc>
      </w:tr>
      <w:tr>
        <w:trPr>
          <w:trHeight w:val="455"/>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We estimate that we will receive net proceeds from this offering of approximately</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$852.0 million (or $981.5 million if the underwriters exercise in full their option to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purchase additional shares of Class A common stock), after deducting the underwriting</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discount and estimated offering expenses payable by us. We intend to use the net proceeds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from this offering to (i) purchase 38,679,685 newly-issued LLC Interests (or 44,166,647</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LLC Interests if the underwriters exercise in full their option to purchase additional shares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of Class A common stock) directly from GoHealth Holdings, LLC at a price per unit equal</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to the initial public offering price per share of Class A common stock in this offering less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9"/>
              </w:rPr>
              <w:t>the underwriting discount and estimated offering expenses payable by us and (ii) pay</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$96.2 million in cash to the Blocker Shareholders as partial consideration in the Blocker</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Merger. GoHealth Holdings, LLC intends to use the net proceeds from the sale of LLC</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Interests to GoHealth, Inc. (i) to pay $508.3 million in cash to partially redeem certain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LLC Interests held directly or indirectly by the Continuing Equity Owners, (ii) to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satisfy in full $100.0 million in aggregate face amount of an existing equity instrument in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8"/>
              </w:rPr>
              <w:t>connection with the Transactions (see footnote (4) to the section titled “Unaudited Pro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8"/>
              </w:rPr>
              <w:t>Forma Condensed Consolidated Financial Information”) and (iii) for general corporate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purposes, to the extent any proceeds remain, to support the growth of the business.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GoHealth Holdings, LLC will bear or reimburse GoHealth, Inc. for all of the expenses of</w:t>
            </w:r>
          </w:p>
        </w:tc>
      </w:tr>
      <w:tr>
        <w:trPr>
          <w:trHeight w:val="227"/>
        </w:trPr>
        <w:tc>
          <w:tcPr>
            <w:tcW w:w="276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this offering. See “Use of Proceeds.”</w:t>
            </w:r>
          </w:p>
        </w:tc>
      </w:tr>
      <w:tr>
        <w:trPr>
          <w:trHeight w:val="239"/>
        </w:trPr>
        <w:tc>
          <w:tcPr>
            <w:tcW w:w="2760" w:type="dxa"/>
            <w:vAlign w:val="bottom"/>
            <w:tcBorders>
              <w:left w:val="single" w:sz="8" w:color="auto"/>
              <w:bottom w:val="single" w:sz="8" w:color="auto"/>
            </w:tcBorders>
          </w:tcPr>
          <w:p>
            <w:pPr>
              <w:spacing w:after="0"/>
              <w:rPr>
                <w:sz w:val="20"/>
                <w:szCs w:val="20"/>
                <w:color w:val="auto"/>
              </w:rPr>
            </w:pPr>
          </w:p>
        </w:tc>
        <w:tc>
          <w:tcPr>
            <w:tcW w:w="8160" w:type="dxa"/>
            <w:vAlign w:val="bottom"/>
            <w:tcBorders>
              <w:bottom w:val="single" w:sz="8" w:color="auto"/>
              <w:right w:val="single" w:sz="8" w:color="auto"/>
            </w:tcBorders>
          </w:tcPr>
          <w:p>
            <w:pPr>
              <w:spacing w:after="0"/>
              <w:rPr>
                <w:sz w:val="20"/>
                <w:szCs w:val="20"/>
                <w:color w:val="auto"/>
              </w:rPr>
            </w:pPr>
          </w:p>
        </w:tc>
      </w:tr>
      <w:tr>
        <w:trPr>
          <w:trHeight w:val="597"/>
        </w:trPr>
        <w:tc>
          <w:tcPr>
            <w:tcW w:w="2760" w:type="dxa"/>
            <w:vAlign w:val="bottom"/>
          </w:tcPr>
          <w:p>
            <w:pPr>
              <w:spacing w:after="0"/>
              <w:rPr>
                <w:sz w:val="24"/>
                <w:szCs w:val="24"/>
                <w:color w:val="auto"/>
              </w:rPr>
            </w:pPr>
          </w:p>
        </w:tc>
        <w:tc>
          <w:tcPr>
            <w:tcW w:w="8160" w:type="dxa"/>
            <w:vAlign w:val="bottom"/>
          </w:tcPr>
          <w:p>
            <w:pPr>
              <w:ind w:left="262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080"/>
          </w:cols>
          <w:pgMar w:left="320" w:top="45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32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We currently intend to retain all available funds and any future earnings to fund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development and growth of our business and to repay indebtedness, and therefore, we do</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not anticipate declaring or paying any cash dividends on our Class A common stock in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foreseeable future. Holders of our Class B common stock are not entitled to participate in</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any dividends declared by our board of directors. Because we are a holding company, our</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ability to pay cash dividends on our Class A common stock depends on our receipt of cash</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distributions from GoHealth Holdings, LLC and, through GoHealth Holdings, LLC, cash</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distributions and dividends from our other direct and indirect subsidiaries. Our ability to</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pay any cash dividends on our Class A common stock is limited by restrictions on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ability of GoHealth Holdings, LLC and our other direct and indirect subsidiaries to pay</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dividends or make distributions under the terms of our Credit Facilities. Any future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determination as to the declaration and payment of dividends, if any, will be at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discretion of our board of directors, subject to compliance with contractual restrictions and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covenants in the agreements governing our current and future indebtedness. Any such</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2"/>
              </w:rPr>
              <w:t>determination will also depend upon our business prospects, results of operations, financial</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condition, cash requirements and availability, industry trends and other factors that our</w:t>
            </w:r>
          </w:p>
        </w:tc>
      </w:tr>
      <w:tr>
        <w:trPr>
          <w:trHeight w:val="227"/>
        </w:trPr>
        <w:tc>
          <w:tcPr>
            <w:tcW w:w="32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board of directors may deem relevant. See “Dividend Policy.”</w:t>
            </w:r>
          </w:p>
        </w:tc>
      </w:tr>
      <w:tr>
        <w:trPr>
          <w:trHeight w:val="442"/>
        </w:trPr>
        <w:tc>
          <w:tcPr>
            <w:tcW w:w="32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Controlled company exception</w:t>
            </w: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After the consummation of the Transactions, we will be considered a “controlled company”</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within the meaning of the listing rules of The Nasdaq Global Select Market, or the Nasdaq</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rules, as NVX Holdings and Centerbridge will have more than 50% of the voting power for</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the election of directors. See “Principal Stockholders.” As a “controlled company,” we will</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not be subject to certain corporate governance requirements, including that: (1) a majority</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of our board of directors consists of “independent directors,” as defined under the Nasdaq</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rules; (2) we have a nominating and corporate governance committee that is composed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2"/>
              </w:rPr>
              <w:t>entirely of independent directors with a written charter addressing the committee’s purpose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and responsibilities; (3) we have a compensation committee that is composed entirely of</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9"/>
              </w:rPr>
              <w:t>independent directors with a written charter addressing the committee’s purpose and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responsibilities; and (4) we perform annual performance evaluations of the nominating and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corporate governance and compensation committees. As a result, we may not have a</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majority of independent directors on our board of directors, an entirely independent</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nominating and corporate governance committee, an entirely independent compensation</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committee or perform annual performance evaluations of the nominating and corporate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1"/>
              </w:rPr>
              <w:t>governance and compensation committees unless and until such time as we are required to</w:t>
            </w:r>
          </w:p>
        </w:tc>
      </w:tr>
      <w:tr>
        <w:trPr>
          <w:trHeight w:val="227"/>
        </w:trPr>
        <w:tc>
          <w:tcPr>
            <w:tcW w:w="32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do so.</w:t>
            </w:r>
          </w:p>
        </w:tc>
      </w:tr>
      <w:tr>
        <w:trPr>
          <w:trHeight w:val="442"/>
        </w:trPr>
        <w:tc>
          <w:tcPr>
            <w:tcW w:w="32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w:t>
            </w: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We will enter into a Tax Receivable Agreement with GoHealth Holdings, LLC,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Continuing Equity Owners and the Blocker Shareholders that will provide for the payment</w:t>
            </w:r>
          </w:p>
        </w:tc>
      </w:tr>
      <w:tr>
        <w:trPr>
          <w:trHeight w:val="227"/>
        </w:trPr>
        <w:tc>
          <w:tcPr>
            <w:tcW w:w="32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by GoHealth, Inc. to the Continuing Equity Owners and the Blocker Shareholders of 85%</w:t>
            </w:r>
          </w:p>
        </w:tc>
      </w:tr>
      <w:tr>
        <w:trPr>
          <w:trHeight w:val="239"/>
        </w:trPr>
        <w:tc>
          <w:tcPr>
            <w:tcW w:w="3280" w:type="dxa"/>
            <w:vAlign w:val="bottom"/>
            <w:tcBorders>
              <w:left w:val="single" w:sz="8" w:color="auto"/>
              <w:bottom w:val="single" w:sz="8" w:color="auto"/>
            </w:tcBorders>
          </w:tcPr>
          <w:p>
            <w:pPr>
              <w:spacing w:after="0"/>
              <w:rPr>
                <w:sz w:val="20"/>
                <w:szCs w:val="20"/>
                <w:color w:val="auto"/>
              </w:rPr>
            </w:pPr>
          </w:p>
        </w:tc>
        <w:tc>
          <w:tcPr>
            <w:tcW w:w="7640" w:type="dxa"/>
            <w:vAlign w:val="bottom"/>
            <w:tcBorders>
              <w:bottom w:val="single" w:sz="8" w:color="auto"/>
              <w:right w:val="single" w:sz="8" w:color="auto"/>
            </w:tcBorders>
          </w:tcPr>
          <w:p>
            <w:pPr>
              <w:spacing w:after="0"/>
              <w:rPr>
                <w:sz w:val="20"/>
                <w:szCs w:val="20"/>
                <w:color w:val="auto"/>
              </w:rPr>
            </w:pPr>
          </w:p>
        </w:tc>
      </w:tr>
      <w:tr>
        <w:trPr>
          <w:trHeight w:val="597"/>
        </w:trPr>
        <w:tc>
          <w:tcPr>
            <w:tcW w:w="3280" w:type="dxa"/>
            <w:vAlign w:val="bottom"/>
          </w:tcPr>
          <w:p>
            <w:pPr>
              <w:spacing w:after="0"/>
              <w:rPr>
                <w:sz w:val="24"/>
                <w:szCs w:val="24"/>
                <w:color w:val="auto"/>
              </w:rPr>
            </w:pPr>
          </w:p>
        </w:tc>
        <w:tc>
          <w:tcPr>
            <w:tcW w:w="7640" w:type="dxa"/>
            <w:vAlign w:val="bottom"/>
          </w:tcPr>
          <w:p>
            <w:pPr>
              <w:ind w:left="21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44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4200" cy="61442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20"/>
        <w:spacing w:after="0" w:line="265" w:lineRule="auto"/>
        <w:rPr>
          <w:sz w:val="20"/>
          <w:szCs w:val="20"/>
          <w:color w:val="auto"/>
        </w:rPr>
      </w:pPr>
      <w:r>
        <w:rPr>
          <w:rFonts w:ascii="Arial" w:cs="Arial" w:eastAsia="Arial" w:hAnsi="Arial"/>
          <w:sz w:val="17"/>
          <w:szCs w:val="17"/>
          <w:color w:val="auto"/>
        </w:rPr>
        <w:t>of the amount of tax benefits, if any, that GoHealth, Inc. actually realizes (or in some circumstances is deemed to realize) as a result of (1) GoHealth, Inc.’s allocable share of existing tax basis acquired in connection with the Transactions (including the Blocker Company’s share of existing tax basis) and increases to such allocable share of existing tax basis; (2) increases in tax basis resulting from (a) GoHealth, Inc.’s purchase of LLC Interests directly from GoHealth Holdings, LLC and the partial redemption of LLC Interests by GoHealth Holdings, LLC, as described under “Use of Proceeds,” (b) future redemptions or exchanges (or deemed exchanges in certain circumstances) of LLC Interests for Class A common stock or cash as described above under “—Redemption rights of holders of LLC Interests” and (c) certain distributions (or deemed distributions) by GoHealth Holdings, LLC; and (3) certain additional tax benefits arising from payments made under the Tax Receivable Agreement. See “Certain Relationships and Related Party Transactions—Tax Receivable Agreement” for a discussion of the Tax Receivable Agreement.</w:t>
      </w:r>
    </w:p>
    <w:p>
      <w:pPr>
        <w:sectPr>
          <w:pgSz w:w="11900" w:h="16838" w:orient="portrait"/>
          <w:cols w:equalWidth="0" w:num="1">
            <w:col w:w="10860"/>
          </w:cols>
          <w:pgMar w:left="320" w:top="456" w:right="719" w:bottom="1440" w:gutter="0" w:footer="0" w:header="0"/>
        </w:sect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Registration Rights Agreement, we will, subject to the terms and conditions thereof, agree to register the resale of the shares of our Class A common stock that are issuable to certain of the Continuing Equity Owners in connection with the Transactions. See “Certain Relationships and Related Party Transactions—Registration Rights Agreement” for a discussion of the Registration Rights Agreement.</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See “Risk Factors” beginning on page 32 and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Trading symbol</w:t>
      </w:r>
    </w:p>
    <w:p>
      <w:pPr>
        <w:spacing w:after="0" w:line="20" w:lineRule="exact"/>
        <w:rPr>
          <w:sz w:val="20"/>
          <w:szCs w:val="20"/>
          <w:color w:val="auto"/>
        </w:rPr>
      </w:pPr>
      <w:r>
        <w:rPr>
          <w:sz w:val="20"/>
          <w:szCs w:val="20"/>
          <w:color w:val="auto"/>
        </w:rPr>
        <w:br w:type="column"/>
      </w:r>
    </w:p>
    <w:p>
      <w:pPr>
        <w:ind w:right="260"/>
        <w:spacing w:after="0" w:line="271" w:lineRule="auto"/>
        <w:rPr>
          <w:sz w:val="20"/>
          <w:szCs w:val="20"/>
          <w:color w:val="auto"/>
        </w:rPr>
      </w:pPr>
      <w:r>
        <w:rPr>
          <w:rFonts w:ascii="Arial" w:cs="Arial" w:eastAsia="Arial" w:hAnsi="Arial"/>
          <w:sz w:val="18"/>
          <w:szCs w:val="18"/>
          <w:color w:val="auto"/>
        </w:rPr>
        <w:t>We have been approved to list our Class A common stock on The Nasdaq Global Select Market under the symbol “GOCO.”</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Reserved share program</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Class A common stock offered by this prospectus for sale to some of our directors, officers and employees through a reserved share program, or Reserved Share Program. If these persons purchase reserved shares,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See “Underwriting—Reserved Share Program.”</w:t>
      </w:r>
    </w:p>
    <w:p>
      <w:pPr>
        <w:spacing w:after="0" w:line="166"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Unless we indicate otherwise or the context otherwise requires, all information in this prospectus:</w:t>
      </w:r>
    </w:p>
    <w:p>
      <w:pPr>
        <w:spacing w:after="0" w:line="127" w:lineRule="exact"/>
        <w:rPr>
          <w:sz w:val="20"/>
          <w:szCs w:val="20"/>
          <w:color w:val="auto"/>
        </w:rPr>
      </w:pPr>
    </w:p>
    <w:p>
      <w:pPr>
        <w:ind w:left="1280" w:right="340" w:hanging="410"/>
        <w:spacing w:after="0" w:line="255"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gives effect to the amendment and restatement of the GoHealth Holdings, LLC Agreement that converts all existing ownership interests in GoHealth Holdings, LLC into 300,382,283 LLC Interests (excluding LLC Interests to be held directly or indirectly by certain Former Profits Unit Holders that are subject to time-based vesting requirements), as well as the filing of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60"/>
          </w:cols>
          <w:pgMar w:left="320" w:top="456" w:right="7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256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4200" cy="25692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410"/>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gives effect to the other Transactions, including the consummation of this offering;</w:t>
      </w:r>
    </w:p>
    <w:p>
      <w:pPr>
        <w:spacing w:after="0" w:line="127" w:lineRule="exact"/>
        <w:rPr>
          <w:rFonts w:ascii="Arial" w:cs="Arial" w:eastAsia="Arial" w:hAnsi="Arial"/>
          <w:sz w:val="18"/>
          <w:szCs w:val="18"/>
          <w:color w:val="auto"/>
        </w:rPr>
      </w:pPr>
    </w:p>
    <w:p>
      <w:pPr>
        <w:ind w:left="1280" w:right="280" w:hanging="410"/>
        <w:spacing w:after="0" w:line="253"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6,465,359 shares of Class A common stock reserved for issuance under our 2020 Incentive Award Plan, or 2020 Plan, including approximately 2,426,100 shares of Class A common stock issuable pursuant to stock options and approximately 305,068 shares of Class A common stock issuable pursuant to restricted share units, in each case which we intend to grant to certain of our directors, executive officers and other employees in connection with this offering as described under the caption “Executive Compensation—New Incentive Plans;”</w:t>
      </w:r>
    </w:p>
    <w:p>
      <w:pPr>
        <w:spacing w:after="0" w:line="99" w:lineRule="exact"/>
        <w:rPr>
          <w:rFonts w:ascii="Arial" w:cs="Arial" w:eastAsia="Arial" w:hAnsi="Arial"/>
          <w:sz w:val="18"/>
          <w:szCs w:val="18"/>
          <w:color w:val="auto"/>
        </w:rPr>
      </w:pPr>
    </w:p>
    <w:p>
      <w:pPr>
        <w:ind w:left="1280" w:right="120" w:hanging="410"/>
        <w:spacing w:after="0" w:line="271"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808,170 shares of Class A common stock reserved for issuance under our 2020 Employee Stock Purchase Plan, or ESPP, as described in “Executive Compensation—New Incentive Plans;”</w:t>
      </w:r>
    </w:p>
    <w:p>
      <w:pPr>
        <w:spacing w:after="0" w:line="80" w:lineRule="exact"/>
        <w:rPr>
          <w:rFonts w:ascii="Arial" w:cs="Arial" w:eastAsia="Arial" w:hAnsi="Arial"/>
          <w:sz w:val="18"/>
          <w:szCs w:val="18"/>
          <w:color w:val="auto"/>
        </w:rPr>
      </w:pPr>
    </w:p>
    <w:p>
      <w:pPr>
        <w:ind w:left="1280" w:right="460" w:hanging="410"/>
        <w:spacing w:after="0" w:line="335" w:lineRule="auto"/>
        <w:tabs>
          <w:tab w:leader="none" w:pos="12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gives effect to the vesting of 14,353,431 LLC Interests held directly or indirectly by certain Former Profits Unit Holders that are expected to vest upon the consummation of this offering based upon the satisfaction of performance-vesting targets;</w:t>
      </w:r>
    </w:p>
    <w:p>
      <w:pPr>
        <w:spacing w:after="0" w:line="34" w:lineRule="exact"/>
        <w:rPr>
          <w:rFonts w:ascii="Arial" w:cs="Arial" w:eastAsia="Arial" w:hAnsi="Arial"/>
          <w:sz w:val="16"/>
          <w:szCs w:val="16"/>
          <w:color w:val="auto"/>
        </w:rPr>
      </w:pPr>
    </w:p>
    <w:p>
      <w:pPr>
        <w:ind w:left="1280" w:right="300" w:hanging="410"/>
        <w:spacing w:after="0" w:line="271"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6,525,000 additional shares of Class A common stock from us; and</w:t>
      </w:r>
    </w:p>
    <w:p>
      <w:pPr>
        <w:spacing w:after="0" w:line="80" w:lineRule="exact"/>
        <w:rPr>
          <w:rFonts w:ascii="Arial" w:cs="Arial" w:eastAsia="Arial" w:hAnsi="Arial"/>
          <w:sz w:val="18"/>
          <w:szCs w:val="18"/>
          <w:color w:val="auto"/>
        </w:rPr>
      </w:pPr>
    </w:p>
    <w:p>
      <w:pPr>
        <w:ind w:left="1280" w:hanging="410"/>
        <w:spacing w:after="0" w:line="271"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7,611,109 LLC Interests to be held directly or indirectly by certain Former Profits Unit Holders that are subject to time-based vesting requirements.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320" w:top="456"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81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4200" cy="381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Historical and Pro Forma Condensed Consolidated Financial and Other Data</w:t>
      </w:r>
    </w:p>
    <w:p>
      <w:pPr>
        <w:spacing w:after="0" w:line="225"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The following tables present the summary historical consolidated financial and other data for GoHealth Holdings, LLC and its subsidiaries and the summary pro forma condensed consolidated financial and other data for GoHealth, Inc. GoHealth Holdings, LLC is the predecessor of GoHealth, Inc. for financial reporting purposes. The summary consolidated statements of operations data and statements of cash flows data for the period from September 13, 2019 through December 31, 2019 (Successor), the period from January 1, 2019 through September 12, 2019 (Predecessor) and the year ended December 31, 2018 (Predecessor), and the summary consolidated balance sheet data as of December 31, 2019 are derived from the audited consolidated financial statements of GoHealth Holdings, LLC included elsewhere in this prospectus. The summary condensed consolidated statements of operations data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“Selected Historical Condensed Consolidated Financial Data,” “Management’s Discussion and Analysis of Financial Condition and Results of Operations” and the consolidated financial statements and the accompanying notes included elsewhere in this prospectus.</w:t>
      </w:r>
    </w:p>
    <w:p>
      <w:pPr>
        <w:spacing w:after="0" w:line="169" w:lineRule="exact"/>
        <w:rPr>
          <w:sz w:val="20"/>
          <w:szCs w:val="20"/>
          <w:color w:val="auto"/>
        </w:rPr>
      </w:pPr>
    </w:p>
    <w:p>
      <w:pPr>
        <w:ind w:left="340" w:right="60"/>
        <w:spacing w:after="0" w:line="284" w:lineRule="auto"/>
        <w:rPr>
          <w:sz w:val="20"/>
          <w:szCs w:val="20"/>
          <w:color w:val="auto"/>
        </w:rPr>
      </w:pPr>
      <w:r>
        <w:rPr>
          <w:rFonts w:ascii="Arial" w:cs="Arial" w:eastAsia="Arial" w:hAnsi="Arial"/>
          <w:sz w:val="16"/>
          <w:szCs w:val="16"/>
          <w:color w:val="auto"/>
        </w:rPr>
        <w:t>The summary unaudited pro forma condensed consolidated financial data of GoHealth, Inc. presented below have been derived from our unaudited pro forma condensed consolidated financial information included elsewhere in this prospectus. The summary unaudited pro forma condensed consolidated financial information as of and for the three months ended March 31, 2020, and for the Successor 2019 Period and Predecessor 2019 Period gives effect to the Centerbridge Acquisition and the Transactions, including the consummation of this offering and the use of proceeds therefrom, as described in “Our Organizational Structure” and “Use of Proceeds,” as if all such transactions had occurred on January 1, 2019 in the case of the unaudited pro forma condensed consolidated statements of operations data, and as of March 31, 2020, in the case of the unaudited pro forma condensed consolidated balance sheet data. The unaudited pro forma condensed consolidated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320" w:top="456" w:right="6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9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4200" cy="63906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417" w:lineRule="auto"/>
        <w:rPr>
          <w:sz w:val="20"/>
          <w:szCs w:val="20"/>
          <w:color w:val="auto"/>
        </w:rPr>
      </w:pPr>
      <w:r>
        <w:rPr>
          <w:rFonts w:ascii="Arial" w:cs="Arial" w:eastAsia="Arial" w:hAnsi="Arial"/>
          <w:sz w:val="14"/>
          <w:szCs w:val="14"/>
          <w:color w:val="auto"/>
        </w:rPr>
        <w:t>The summary historical consolidated financial and other data of GoHealth, Inc. has not been presented because GoHealth, Inc. is a newly incorporated entity, has had no business transactions or activities to date and had no assets or liabilities during the periods presented in this section.</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8"/>
            <w:vMerge w:val="restart"/>
          </w:tcPr>
          <w:p>
            <w:pPr>
              <w:jc w:val="right"/>
              <w:ind w:right="340"/>
              <w:spacing w:after="0"/>
              <w:rPr>
                <w:sz w:val="20"/>
                <w:szCs w:val="20"/>
                <w:color w:val="auto"/>
              </w:rPr>
            </w:pPr>
            <w:r>
              <w:rPr>
                <w:rFonts w:ascii="Arial" w:cs="Arial" w:eastAsia="Arial" w:hAnsi="Arial"/>
                <w:sz w:val="14"/>
                <w:szCs w:val="14"/>
                <w:b w:val="1"/>
                <w:bCs w:val="1"/>
                <w:color w:val="auto"/>
                <w:w w:val="97"/>
              </w:rPr>
              <w:t>Historical GoHealth Holdings, LLC</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461"/>
              <w:spacing w:after="0"/>
              <w:rPr>
                <w:sz w:val="20"/>
                <w:szCs w:val="20"/>
                <w:color w:val="auto"/>
              </w:rPr>
            </w:pPr>
            <w:r>
              <w:rPr>
                <w:rFonts w:ascii="Arial" w:cs="Arial" w:eastAsia="Arial" w:hAnsi="Arial"/>
                <w:sz w:val="14"/>
                <w:szCs w:val="14"/>
                <w:b w:val="1"/>
                <w:bCs w:val="1"/>
                <w:color w:val="auto"/>
              </w:rPr>
              <w:t>GoHealth, Inc.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4"/>
              </w:rPr>
              <w:t>Three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1"/>
                <w:szCs w:val="11"/>
                <w:color w:val="auto"/>
              </w:rPr>
            </w:pPr>
          </w:p>
        </w:tc>
        <w:tc>
          <w:tcPr>
            <w:tcW w:w="1940" w:type="dxa"/>
            <w:vAlign w:val="bottom"/>
            <w:gridSpan w:val="6"/>
          </w:tcPr>
          <w:p>
            <w:pPr>
              <w:jc w:val="right"/>
              <w:ind w:right="380"/>
              <w:spacing w:after="0" w:line="127" w:lineRule="exact"/>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Months Ended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18"/>
        </w:trPr>
        <w:tc>
          <w:tcPr>
            <w:tcW w:w="3560" w:type="dxa"/>
            <w:vAlign w:val="bottom"/>
            <w:gridSpan w:val="2"/>
          </w:tcPr>
          <w:p>
            <w:pPr>
              <w:spacing w:after="0" w:line="118" w:lineRule="exact"/>
              <w:rPr>
                <w:sz w:val="20"/>
                <w:szCs w:val="20"/>
                <w:color w:val="auto"/>
              </w:rPr>
            </w:pPr>
            <w:r>
              <w:rPr>
                <w:rFonts w:ascii="Arial" w:cs="Arial" w:eastAsia="Arial" w:hAnsi="Arial"/>
                <w:sz w:val="13"/>
                <w:szCs w:val="13"/>
                <w:i w:val="1"/>
                <w:iCs w:val="1"/>
                <w:color w:val="auto"/>
              </w:rPr>
              <w:t>(in thousands, except share and per share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000" w:type="dxa"/>
            <w:vAlign w:val="bottom"/>
            <w:gridSpan w:val="3"/>
          </w:tcPr>
          <w:p>
            <w:pPr>
              <w:jc w:val="right"/>
              <w:ind w:right="140"/>
              <w:spacing w:after="0" w:line="118"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680" w:type="dxa"/>
            <w:vAlign w:val="bottom"/>
            <w:tcBorders>
              <w:top w:val="single" w:sz="8" w:color="auto"/>
            </w:tcBorders>
          </w:tcPr>
          <w:p>
            <w:pPr>
              <w:jc w:val="right"/>
              <w:ind w:right="125"/>
              <w:spacing w:after="0" w:line="118"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top w:val="single" w:sz="8" w:color="auto"/>
              <w:righ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01"/>
              <w:spacing w:after="0" w:line="11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Arial" w:cs="Arial" w:eastAsia="Arial" w:hAnsi="Arial"/>
                <w:sz w:val="13"/>
                <w:szCs w:val="13"/>
                <w:b w:val="1"/>
                <w:bCs w:val="1"/>
                <w:color w:val="auto"/>
                <w:w w:val="97"/>
              </w:rPr>
              <w:t>Successor</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20"/>
              <w:spacing w:after="0" w:line="118" w:lineRule="exact"/>
              <w:rPr>
                <w:sz w:val="20"/>
                <w:szCs w:val="20"/>
                <w:color w:val="auto"/>
              </w:rPr>
            </w:pPr>
            <w:r>
              <w:rPr>
                <w:rFonts w:ascii="Arial" w:cs="Arial" w:eastAsia="Arial" w:hAnsi="Arial"/>
                <w:sz w:val="13"/>
                <w:szCs w:val="13"/>
                <w:b w:val="1"/>
                <w:bCs w:val="1"/>
                <w:color w:val="auto"/>
                <w:w w:val="92"/>
              </w:rPr>
              <w:t>Predecessor</w:t>
            </w:r>
          </w:p>
        </w:tc>
        <w:tc>
          <w:tcPr>
            <w:tcW w:w="88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w w:val="96"/>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2"/>
              </w:rPr>
              <w:t>(Successor)</w:t>
            </w:r>
          </w:p>
        </w:tc>
        <w:tc>
          <w:tcPr>
            <w:tcW w:w="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(Predecessor)</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2019 Period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2019 Period</w:t>
            </w:r>
          </w:p>
        </w:tc>
        <w:tc>
          <w:tcPr>
            <w:tcW w:w="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112,510</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419,181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$ 112,510</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  243,347</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175,834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144,378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141,010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539,501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141,010</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308,491</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231,010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169,553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42,134</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90,384</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79,169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Marketing and advertising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26,073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61,071</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26,073</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11,411</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24,811</w:t>
            </w:r>
          </w:p>
        </w:tc>
        <w:tc>
          <w:tcPr>
            <w:tcW w:w="120" w:type="dxa"/>
            <w:vAlign w:val="bottom"/>
            <w:tcBorders>
              <w:right w:val="single" w:sz="8" w:color="auto"/>
            </w:tcBorders>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37,769</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care and enrollment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96,065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23,978</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44,356</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49,149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Technology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19,838</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4,593</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4,155</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6,006</w:t>
            </w:r>
          </w:p>
        </w:tc>
        <w:tc>
          <w:tcPr>
            <w:tcW w:w="120" w:type="dxa"/>
            <w:vAlign w:val="bottom"/>
            <w:tcBorders>
              <w:right w:val="single" w:sz="8" w:color="auto"/>
            </w:tcBorders>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40,312</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10,491</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13,674</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79,219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w w:val="95"/>
              </w:rPr>
              <w:t>Change in fair value of contingent consideration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460"/>
              <w:spacing w:after="0"/>
              <w:rPr>
                <w:sz w:val="20"/>
                <w:szCs w:val="20"/>
                <w:color w:val="auto"/>
              </w:rPr>
            </w:pPr>
            <w:r>
              <w:rPr>
                <w:rFonts w:ascii="Arial" w:cs="Arial" w:eastAsia="Arial" w:hAnsi="Arial"/>
                <w:sz w:val="16"/>
                <w:szCs w:val="16"/>
                <w:color w:val="auto"/>
              </w:rPr>
              <w:t>liability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4,400</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70,700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94,057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23,514</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28,217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Arial" w:cs="Arial" w:eastAsia="Arial" w:hAnsi="Arial"/>
                <w:sz w:val="16"/>
                <w:szCs w:val="16"/>
                <w:color w:val="auto"/>
              </w:rPr>
              <w:t>Transaction costs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132,872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481,773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135,183</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284,393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287,885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8,138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57,728</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5,827</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24,098</w:t>
            </w:r>
          </w:p>
        </w:tc>
        <w:tc>
          <w:tcPr>
            <w:tcW w:w="120" w:type="dxa"/>
            <w:vAlign w:val="bottom"/>
            <w:tcBorders>
              <w:right w:val="single" w:sz="8" w:color="auto"/>
            </w:tcBorders>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(56,875)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6,756</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20" w:type="dxa"/>
            <w:vAlign w:val="bottom"/>
            <w:tcBorders>
              <w:right w:val="single" w:sz="8" w:color="auto"/>
            </w:tcBorders>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10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right w:val="single" w:sz="8" w:color="auto"/>
            </w:tcBorders>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(114)</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16,039</w:t>
            </w:r>
          </w:p>
        </w:tc>
        <w:tc>
          <w:tcPr>
            <w:tcW w:w="120" w:type="dxa"/>
            <w:vAlign w:val="bottom"/>
            <w:tcBorders>
              <w:right w:val="single" w:sz="8" w:color="auto"/>
            </w:tcBorders>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(57,129)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10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(66)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ectPr>
          <w:pgSz w:w="11900" w:h="16838" w:orient="portrait"/>
          <w:cols w:equalWidth="0" w:num="1">
            <w:col w:w="10900"/>
          </w:cols>
          <w:pgMar w:left="320" w:top="456" w:right="679" w:bottom="1440" w:gutter="0" w:footer="0" w:header="0"/>
        </w:sectPr>
      </w:pPr>
    </w:p>
    <w:tbl>
      <w:tblPr>
        <w:tblLayout w:type="fixed"/>
        <w:tblInd w:w="360" w:type="dxa"/>
        <w:tblCellMar>
          <w:top w:w="0" w:type="dxa"/>
          <w:left w:w="0" w:type="dxa"/>
          <w:bottom w:w="0" w:type="dxa"/>
          <w:right w:w="0" w:type="dxa"/>
        </w:tblCellMar>
      </w:tblPr>
      <w:tr>
        <w:trPr>
          <w:trHeight w:val="201"/>
        </w:trPr>
        <w:tc>
          <w:tcPr>
            <w:tcW w:w="3620" w:type="dxa"/>
            <w:vAlign w:val="bottom"/>
          </w:tcPr>
          <w:p>
            <w:pPr>
              <w:spacing w:after="0"/>
              <w:rPr>
                <w:sz w:val="20"/>
                <w:szCs w:val="20"/>
                <w:color w:val="auto"/>
              </w:rPr>
            </w:pPr>
            <w:r>
              <w:rPr>
                <w:rFonts w:ascii="Arial" w:cs="Arial" w:eastAsia="Arial" w:hAnsi="Arial"/>
                <w:sz w:val="16"/>
                <w:szCs w:val="16"/>
                <w:color w:val="auto"/>
              </w:rPr>
              <w:t>Net income (loss)</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30,465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w w:val="95"/>
              </w:rPr>
              <w:t>Less: Net income (loss) attributable to non-controlling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20" w:type="dxa"/>
            <w:vAlign w:val="bottom"/>
          </w:tcPr>
          <w:p>
            <w:pPr>
              <w:ind w:left="160"/>
              <w:spacing w:after="0"/>
              <w:rPr>
                <w:sz w:val="20"/>
                <w:szCs w:val="20"/>
                <w:color w:val="auto"/>
              </w:rPr>
            </w:pPr>
            <w:r>
              <w:rPr>
                <w:rFonts w:ascii="Arial" w:cs="Arial" w:eastAsia="Arial" w:hAnsi="Arial"/>
                <w:sz w:val="16"/>
                <w:szCs w:val="16"/>
                <w:color w:val="auto"/>
              </w:rPr>
              <w:t>interests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w w:val="97"/>
              </w:rPr>
              <w:t>Net income (loss) attributable to GoHealth Holdings,</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20" w:type="dxa"/>
            <w:vAlign w:val="bottom"/>
          </w:tcPr>
          <w:p>
            <w:pPr>
              <w:ind w:left="160"/>
              <w:spacing w:after="0"/>
              <w:rPr>
                <w:sz w:val="20"/>
                <w:szCs w:val="20"/>
                <w:color w:val="auto"/>
              </w:rPr>
            </w:pPr>
            <w:r>
              <w:rPr>
                <w:rFonts w:ascii="Arial" w:cs="Arial" w:eastAsia="Arial" w:hAnsi="Arial"/>
                <w:sz w:val="16"/>
                <w:szCs w:val="16"/>
                <w:color w:val="auto"/>
              </w:rPr>
              <w:t>LLC and subsidiaries</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8,179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Pro Forma per Share Data:</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w w:val="90"/>
              </w:rPr>
              <w:t>Pro forma weighted average shares of Class A common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ind w:left="160"/>
              <w:spacing w:after="0"/>
              <w:rPr>
                <w:sz w:val="20"/>
                <w:szCs w:val="20"/>
                <w:color w:val="auto"/>
              </w:rPr>
            </w:pPr>
            <w:r>
              <w:rPr>
                <w:rFonts w:ascii="Arial" w:cs="Arial" w:eastAsia="Arial" w:hAnsi="Arial"/>
                <w:sz w:val="16"/>
                <w:szCs w:val="16"/>
                <w:color w:val="auto"/>
              </w:rPr>
              <w:t>stock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ind w:left="32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84,182,961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84,182,961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313,712,038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313,708,362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w w:val="98"/>
              </w:rPr>
              <w:t>Pro forma net income available to Class A common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ind w:left="160"/>
              <w:spacing w:after="0"/>
              <w:rPr>
                <w:sz w:val="20"/>
                <w:szCs w:val="20"/>
                <w:color w:val="auto"/>
              </w:rPr>
            </w:pPr>
            <w:r>
              <w:rPr>
                <w:rFonts w:ascii="Arial" w:cs="Arial" w:eastAsia="Arial" w:hAnsi="Arial"/>
                <w:sz w:val="16"/>
                <w:szCs w:val="16"/>
                <w:color w:val="auto"/>
              </w:rPr>
              <w:t>stock per share: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ind w:left="320"/>
              <w:spacing w:after="0"/>
              <w:rPr>
                <w:sz w:val="20"/>
                <w:szCs w:val="20"/>
                <w:color w:val="auto"/>
              </w:rPr>
            </w:pPr>
            <w:r>
              <w:rPr>
                <w:rFonts w:ascii="Arial" w:cs="Arial" w:eastAsia="Arial" w:hAnsi="Arial"/>
                <w:sz w:val="16"/>
                <w:szCs w:val="16"/>
                <w:color w:val="auto"/>
              </w:rPr>
              <w:t>Basic</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tcPr>
          <w:p>
            <w:pPr>
              <w:ind w:left="320"/>
              <w:spacing w:after="0"/>
              <w:rPr>
                <w:sz w:val="20"/>
                <w:szCs w:val="20"/>
                <w:color w:val="auto"/>
              </w:rPr>
            </w:pPr>
            <w:r>
              <w:rPr>
                <w:rFonts w:ascii="Arial" w:cs="Arial" w:eastAsia="Arial" w:hAnsi="Arial"/>
                <w:sz w:val="16"/>
                <w:szCs w:val="16"/>
                <w:color w:val="auto"/>
              </w:rPr>
              <w:t>Diluted</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2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 Data: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rPr>
              <w:t>Net cash (used in) provided by operating activities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23,587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(3,522)</w:t>
            </w:r>
          </w:p>
        </w:tc>
        <w:tc>
          <w:tcPr>
            <w:tcW w:w="0" w:type="dxa"/>
            <w:vAlign w:val="bottom"/>
          </w:tcPr>
          <w:p>
            <w:pPr>
              <w:spacing w:after="0"/>
              <w:rPr>
                <w:sz w:val="1"/>
                <w:szCs w:val="1"/>
                <w:color w:val="auto"/>
              </w:rPr>
            </w:pPr>
          </w:p>
        </w:tc>
      </w:tr>
      <w:tr>
        <w:trPr>
          <w:trHeight w:val="205"/>
        </w:trPr>
        <w:tc>
          <w:tcPr>
            <w:tcW w:w="36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120,167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tcPr>
          <w:p>
            <w:pPr>
              <w:jc w:val="center"/>
              <w:ind w:left="120"/>
              <w:spacing w:after="0"/>
              <w:rPr>
                <w:sz w:val="20"/>
                <w:szCs w:val="20"/>
                <w:color w:val="auto"/>
              </w:rPr>
            </w:pPr>
            <w:r>
              <w:rPr>
                <w:rFonts w:ascii="Arial" w:cs="Arial" w:eastAsia="Arial" w:hAnsi="Arial"/>
                <w:sz w:val="16"/>
                <w:szCs w:val="16"/>
                <w:color w:val="auto"/>
                <w:w w:val="89"/>
              </w:rPr>
              <w:t>5,002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(57,063)</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28,114</w:t>
            </w:r>
          </w:p>
        </w:tc>
        <w:tc>
          <w:tcPr>
            <w:tcW w:w="60" w:type="dxa"/>
            <w:vAlign w:val="bottom"/>
          </w:tcPr>
          <w:p>
            <w:pPr>
              <w:spacing w:after="0"/>
              <w:rPr>
                <w:sz w:val="19"/>
                <w:szCs w:val="19"/>
                <w:color w:val="auto"/>
              </w:rPr>
            </w:pPr>
          </w:p>
        </w:tc>
      </w:tr>
      <w:tr>
        <w:trPr>
          <w:trHeight w:val="367"/>
        </w:trPr>
        <w:tc>
          <w:tcPr>
            <w:tcW w:w="280" w:type="dxa"/>
            <w:vAlign w:val="bottom"/>
          </w:tcPr>
          <w:p>
            <w:pPr>
              <w:spacing w:after="0"/>
              <w:rPr>
                <w:sz w:val="24"/>
                <w:szCs w:val="24"/>
                <w:color w:val="auto"/>
              </w:rPr>
            </w:pPr>
          </w:p>
        </w:tc>
        <w:tc>
          <w:tcPr>
            <w:tcW w:w="560" w:type="dxa"/>
            <w:vAlign w:val="bottom"/>
          </w:tcPr>
          <w:p>
            <w:pPr>
              <w:jc w:val="center"/>
              <w:ind w:left="16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560" w:type="dxa"/>
            <w:vAlign w:val="bottom"/>
          </w:tcPr>
          <w:p>
            <w:pPr>
              <w:jc w:val="center"/>
              <w:ind w:left="120"/>
              <w:spacing w:after="0"/>
              <w:rPr>
                <w:sz w:val="20"/>
                <w:szCs w:val="20"/>
                <w:color w:val="auto"/>
              </w:rPr>
            </w:pPr>
            <w:r>
              <w:rPr>
                <w:rFonts w:ascii="Arial" w:cs="Arial" w:eastAsia="Arial" w:hAnsi="Arial"/>
                <w:sz w:val="16"/>
                <w:szCs w:val="16"/>
                <w:color w:val="auto"/>
                <w:w w:val="89"/>
              </w:rPr>
              <w:t>5,002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(57,063)</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28,117</w:t>
            </w:r>
          </w:p>
        </w:tc>
        <w:tc>
          <w:tcPr>
            <w:tcW w:w="60" w:type="dxa"/>
            <w:vAlign w:val="bottom"/>
          </w:tcPr>
          <w:p>
            <w:pPr>
              <w:spacing w:after="0"/>
              <w:rPr>
                <w:sz w:val="24"/>
                <w:szCs w:val="24"/>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0"/>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(9,284)</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9,281</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5,443</w:t>
            </w:r>
          </w:p>
        </w:tc>
      </w:tr>
      <w:tr>
        <w:trPr>
          <w:trHeight w:val="201"/>
        </w:trPr>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(1,944)</w:t>
            </w:r>
          </w:p>
        </w:tc>
        <w:tc>
          <w:tcPr>
            <w:tcW w:w="160" w:type="dxa"/>
            <w:vAlign w:val="bottom"/>
          </w:tcPr>
          <w:p>
            <w:pPr>
              <w:spacing w:after="0"/>
              <w:rPr>
                <w:sz w:val="17"/>
                <w:szCs w:val="17"/>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3"/>
              </w:rPr>
              <w:t>(810,010)</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(5,597)</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(6,170)</w:t>
            </w:r>
          </w:p>
        </w:tc>
      </w:tr>
      <w:tr>
        <w:trPr>
          <w:trHeight w:val="210"/>
        </w:trPr>
        <w:tc>
          <w:tcPr>
            <w:tcW w:w="26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1,147</w:t>
            </w:r>
          </w:p>
        </w:tc>
        <w:tc>
          <w:tcPr>
            <w:tcW w:w="160" w:type="dxa"/>
            <w:vAlign w:val="bottom"/>
          </w:tcPr>
          <w:p>
            <w:pPr>
              <w:spacing w:after="0"/>
              <w:rPr>
                <w:sz w:val="18"/>
                <w:szCs w:val="18"/>
                <w:color w:val="auto"/>
              </w:rPr>
            </w:pPr>
          </w:p>
        </w:tc>
        <w:tc>
          <w:tcPr>
            <w:tcW w:w="7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830,879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r>
    </w:tbl>
    <w:p>
      <w:pPr>
        <w:spacing w:after="0" w:line="200" w:lineRule="exact"/>
        <w:rPr>
          <w:sz w:val="20"/>
          <w:szCs w:val="20"/>
          <w:color w:val="auto"/>
        </w:rPr>
      </w:pPr>
    </w:p>
    <w:p>
      <w:pPr>
        <w:sectPr>
          <w:pgSz w:w="11900" w:h="16838" w:orient="portrait"/>
          <w:cols w:equalWidth="0" w:num="2">
            <w:col w:w="6920" w:space="260"/>
            <w:col w:w="3720"/>
          </w:cols>
          <w:pgMar w:left="320" w:top="456" w:right="67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900"/>
          </w:cols>
          <w:pgMar w:left="320" w:top="456" w:right="6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772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4200" cy="677291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360" w:type="dxa"/>
            <w:vAlign w:val="bottom"/>
          </w:tcPr>
          <w:p>
            <w:pPr>
              <w:spacing w:after="0"/>
              <w:rPr>
                <w:sz w:val="14"/>
                <w:szCs w:val="14"/>
                <w:color w:val="auto"/>
              </w:rPr>
            </w:pPr>
          </w:p>
        </w:tc>
        <w:tc>
          <w:tcPr>
            <w:tcW w:w="23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Historical GoHealth Holdings,</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LLC</w:t>
            </w: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March 31,</w:t>
            </w:r>
          </w:p>
        </w:tc>
        <w:tc>
          <w:tcPr>
            <w:tcW w:w="460" w:type="dxa"/>
            <w:vAlign w:val="bottom"/>
            <w:tcBorders>
              <w:top w:val="single" w:sz="8" w:color="auto"/>
              <w:right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40" w:type="dxa"/>
            <w:vAlign w:val="bottom"/>
            <w:gridSpan w:val="2"/>
          </w:tcPr>
          <w:p>
            <w:pPr>
              <w:jc w:val="center"/>
              <w:ind w:left="274"/>
              <w:spacing w:after="0" w:line="147"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right w:val="single" w:sz="8" w:color="auto"/>
            </w:tcBorders>
          </w:tcPr>
          <w:p>
            <w:pPr>
              <w:spacing w:after="0"/>
              <w:rPr>
                <w:sz w:val="12"/>
                <w:szCs w:val="12"/>
                <w:color w:val="auto"/>
              </w:rPr>
            </w:pPr>
          </w:p>
        </w:tc>
        <w:tc>
          <w:tcPr>
            <w:tcW w:w="1100" w:type="dxa"/>
            <w:vAlign w:val="bottom"/>
            <w:gridSpan w:val="2"/>
          </w:tcPr>
          <w:p>
            <w:pPr>
              <w:jc w:val="center"/>
              <w:ind w:left="174"/>
              <w:spacing w:after="0" w:line="147"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80" w:type="dxa"/>
            <w:vAlign w:val="bottom"/>
            <w:gridSpan w:val="2"/>
          </w:tcPr>
          <w:p>
            <w:pPr>
              <w:jc w:val="center"/>
              <w:ind w:left="2094"/>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4"/>
        </w:trPr>
        <w:tc>
          <w:tcPr>
            <w:tcW w:w="4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Balance Sheet Data:</w:t>
            </w:r>
          </w:p>
        </w:tc>
        <w:tc>
          <w:tcPr>
            <w:tcW w:w="2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right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   299,959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$ 152,423</w:t>
            </w:r>
          </w:p>
        </w:tc>
        <w:tc>
          <w:tcPr>
            <w:tcW w:w="460" w:type="dxa"/>
            <w:vAlign w:val="bottom"/>
            <w:tcBorders>
              <w:right w:val="single" w:sz="8" w:color="auto"/>
            </w:tcBorders>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   12,276</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1,857,185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29,964</w:t>
            </w:r>
          </w:p>
        </w:tc>
        <w:tc>
          <w:tcPr>
            <w:tcW w:w="46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592,947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840,047</w:t>
            </w:r>
          </w:p>
        </w:tc>
        <w:tc>
          <w:tcPr>
            <w:tcW w:w="460" w:type="dxa"/>
            <w:vAlign w:val="bottom"/>
            <w:tcBorders>
              <w:right w:val="single" w:sz="8" w:color="auto"/>
            </w:tcBorders>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742,151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stockholders’/members’ equity</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1,264,238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869,602</w:t>
            </w:r>
          </w:p>
        </w:tc>
        <w:tc>
          <w:tcPr>
            <w:tcW w:w="46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320" w:top="456" w:right="679" w:bottom="1440" w:gutter="0" w:footer="0" w:header="0"/>
        </w:sectPr>
      </w:pPr>
    </w:p>
    <w:p>
      <w:pPr>
        <w:spacing w:after="0" w:line="1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Pro Forma GoHealth,</w:t>
      </w:r>
    </w:p>
    <w:p>
      <w:pPr>
        <w:jc w:val="center"/>
        <w:ind w:right="260"/>
        <w:spacing w:after="0" w:line="232" w:lineRule="auto"/>
        <w:rPr>
          <w:sz w:val="20"/>
          <w:szCs w:val="20"/>
          <w:color w:val="auto"/>
        </w:rPr>
      </w:pPr>
      <w:r>
        <w:rPr>
          <w:rFonts w:ascii="Arial" w:cs="Arial" w:eastAsia="Arial" w:hAnsi="Arial"/>
          <w:sz w:val="14"/>
          <w:szCs w:val="14"/>
          <w:b w:val="1"/>
          <w:bCs w:val="1"/>
          <w:color w:val="auto"/>
        </w:rPr>
        <w:t>Inc.</w:t>
      </w:r>
    </w:p>
    <w:tbl>
      <w:tblPr>
        <w:tblLayout w:type="fixed"/>
        <w:tblInd w:w="360" w:type="dxa"/>
        <w:tblCellMar>
          <w:top w:w="0" w:type="dxa"/>
          <w:left w:w="0" w:type="dxa"/>
          <w:bottom w:w="0" w:type="dxa"/>
          <w:right w:w="0" w:type="dxa"/>
        </w:tblCellMar>
      </w:tblPr>
      <w:tr>
        <w:trPr>
          <w:trHeight w:val="118"/>
        </w:trPr>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Three</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6"/>
            <w:vMerge w:val="restart"/>
          </w:tcPr>
          <w:p>
            <w:pPr>
              <w:jc w:val="center"/>
              <w:ind w:right="36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2"/>
            <w:vMerge w:val="restart"/>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4"/>
            <w:vMerge w:val="restart"/>
          </w:tcPr>
          <w:p>
            <w:pPr>
              <w:jc w:val="center"/>
              <w:ind w:left="400"/>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1"/>
                <w:szCs w:val="11"/>
                <w:color w:val="auto"/>
              </w:rPr>
            </w:pPr>
          </w:p>
        </w:tc>
        <w:tc>
          <w:tcPr>
            <w:tcW w:w="1020" w:type="dxa"/>
            <w:vAlign w:val="bottom"/>
            <w:gridSpan w:val="3"/>
          </w:tcPr>
          <w:p>
            <w:pPr>
              <w:ind w:left="40"/>
              <w:spacing w:after="0" w:line="127"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10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40"/>
              <w:spacing w:after="0" w:line="147"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5"/>
              <w:spacing w:after="0" w:line="147"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70"/>
        </w:trPr>
        <w:tc>
          <w:tcPr>
            <w:tcW w:w="25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8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0" w:type="dxa"/>
            <w:vAlign w:val="bottom"/>
          </w:tcPr>
          <w:p>
            <w:pPr>
              <w:spacing w:after="0"/>
              <w:rPr>
                <w:sz w:val="1"/>
                <w:szCs w:val="1"/>
                <w:color w:val="auto"/>
              </w:rPr>
            </w:pPr>
          </w:p>
        </w:tc>
      </w:tr>
      <w:tr>
        <w:trPr>
          <w:trHeight w:val="176"/>
        </w:trPr>
        <w:tc>
          <w:tcPr>
            <w:tcW w:w="2540" w:type="dxa"/>
            <w:vAlign w:val="bottom"/>
          </w:tcPr>
          <w:p>
            <w:pPr>
              <w:spacing w:after="0" w:line="176" w:lineRule="exact"/>
              <w:rPr>
                <w:sz w:val="20"/>
                <w:szCs w:val="20"/>
                <w:color w:val="auto"/>
              </w:rPr>
            </w:pPr>
            <w:r>
              <w:rPr>
                <w:rFonts w:ascii="Arial" w:cs="Arial" w:eastAsia="Arial" w:hAnsi="Arial"/>
                <w:sz w:val="18"/>
                <w:szCs w:val="18"/>
                <w:b w:val="1"/>
                <w:bCs w:val="1"/>
                <w:color w:val="auto"/>
                <w:w w:val="98"/>
              </w:rPr>
              <w:t>Selected Non-GAAP Financial</w:t>
            </w:r>
          </w:p>
        </w:tc>
        <w:tc>
          <w:tcPr>
            <w:tcW w:w="2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Data:</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$ 32,275</w:t>
            </w:r>
          </w:p>
        </w:tc>
        <w:tc>
          <w:tcPr>
            <w:tcW w:w="2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156,456</w:t>
            </w:r>
          </w:p>
        </w:tc>
        <w:tc>
          <w:tcPr>
            <w:tcW w:w="2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29,964</w:t>
            </w:r>
          </w:p>
        </w:tc>
        <w:tc>
          <w:tcPr>
            <w:tcW w:w="280" w:type="dxa"/>
            <w:vAlign w:val="bottom"/>
            <w:tcBorders>
              <w:right w:val="single" w:sz="8" w:color="auto"/>
            </w:tcBorders>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6,570</w:t>
            </w:r>
          </w:p>
        </w:tc>
        <w:tc>
          <w:tcPr>
            <w:tcW w:w="2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52,853</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$ 35,249</w:t>
            </w:r>
          </w:p>
        </w:tc>
        <w:tc>
          <w:tcPr>
            <w:tcW w:w="2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169,995</w:t>
            </w:r>
          </w:p>
        </w:tc>
        <w:tc>
          <w:tcPr>
            <w:tcW w:w="2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34,920</w:t>
            </w:r>
          </w:p>
        </w:tc>
        <w:tc>
          <w:tcPr>
            <w:tcW w:w="280" w:type="dxa"/>
            <w:vAlign w:val="bottom"/>
            <w:tcBorders>
              <w:right w:val="single" w:sz="8" w:color="auto"/>
            </w:tcBorders>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7,136</w:t>
            </w:r>
          </w:p>
        </w:tc>
        <w:tc>
          <w:tcPr>
            <w:tcW w:w="2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130,465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40" w:type="dxa"/>
            <w:vAlign w:val="bottom"/>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(1)</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140" w:type="dxa"/>
            <w:vAlign w:val="bottom"/>
            <w:gridSpan w:val="2"/>
            <w:vMerge w:val="continue"/>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2019 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2"/>
              </w:rPr>
              <w:t>(52,742)</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34,544</w:t>
            </w:r>
          </w:p>
        </w:tc>
      </w:tr>
      <w:tr>
        <w:trPr>
          <w:trHeight w:val="214"/>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39,973</w:t>
            </w:r>
          </w:p>
        </w:tc>
        <w:tc>
          <w:tcPr>
            <w:tcW w:w="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34,863</w:t>
            </w:r>
          </w:p>
        </w:tc>
      </w:tr>
      <w:tr>
        <w:trPr>
          <w:trHeight w:val="227"/>
        </w:trPr>
        <w:tc>
          <w:tcPr>
            <w:tcW w:w="1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01" w:lineRule="exact"/>
        <w:rPr>
          <w:sz w:val="20"/>
          <w:szCs w:val="20"/>
          <w:color w:val="auto"/>
        </w:rPr>
      </w:pPr>
    </w:p>
    <w:p>
      <w:pPr>
        <w:sectPr>
          <w:pgSz w:w="11900" w:h="16838" w:orient="portrait"/>
          <w:cols w:equalWidth="0" w:num="2">
            <w:col w:w="8440" w:space="280"/>
            <w:col w:w="2180"/>
          </w:cols>
          <w:pgMar w:left="320" w:top="456" w:right="679" w:bottom="1440" w:gutter="0" w:footer="0" w:header="0"/>
          <w:type w:val="continuous"/>
        </w:sectPr>
      </w:pPr>
    </w:p>
    <w:p>
      <w:pPr>
        <w:spacing w:after="0" w:line="8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4"/>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LTV/CAC (Medicare—Internal segment)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1.7x</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Cost per Qualified Prospect (Medicare—Internal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segment)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Total Medicare Submitted Policies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43,283</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Medicare—Internal Commissionable Approved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22,114</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Medicare—External Commissionable Approved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20,319</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w w:val="96"/>
              </w:rPr>
              <w:t>LTV Per Approved Submission—Medicare Advantage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w w:val="94"/>
              </w:rPr>
              <w:t>LTV Per Approved Submission—Medicare Supplement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LTV Per Approved Submission—Prescription Drug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Plans (Medicare segments)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Total Submitted Policies (IFP and Other segments)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Successor</w:t>
            </w:r>
          </w:p>
        </w:tc>
        <w:tc>
          <w:tcPr>
            <w:tcW w:w="0" w:type="dxa"/>
            <w:vAlign w:val="bottom"/>
          </w:tcPr>
          <w:p>
            <w:pPr>
              <w:spacing w:after="0"/>
              <w:rPr>
                <w:sz w:val="1"/>
                <w:szCs w:val="1"/>
                <w:color w:val="auto"/>
              </w:rPr>
            </w:pPr>
          </w:p>
        </w:tc>
      </w:tr>
      <w:tr>
        <w:trPr>
          <w:trHeight w:val="147"/>
        </w:trPr>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3.9x</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5.1x</w:t>
            </w:r>
          </w:p>
        </w:tc>
        <w:tc>
          <w:tcPr>
            <w:tcW w:w="0" w:type="dxa"/>
            <w:vAlign w:val="bottom"/>
          </w:tcPr>
          <w:p>
            <w:pPr>
              <w:spacing w:after="0"/>
              <w:rPr>
                <w:sz w:val="1"/>
                <w:szCs w:val="1"/>
                <w:color w:val="auto"/>
              </w:rPr>
            </w:pPr>
          </w:p>
        </w:tc>
      </w:tr>
      <w:tr>
        <w:trPr>
          <w:trHeight w:val="41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427,697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268,882</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265,584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170,764</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120,676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62,673</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41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296,772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Predecessor</w:t>
            </w:r>
          </w:p>
        </w:tc>
        <w:tc>
          <w:tcPr>
            <w:tcW w:w="38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7"/>
        </w:trPr>
        <w:tc>
          <w:tcPr>
            <w:tcW w:w="7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3"/>
              <w:spacing w:after="0" w:line="14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2019 Period</w:t>
            </w:r>
          </w:p>
        </w:tc>
        <w:tc>
          <w:tcPr>
            <w:tcW w:w="3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406"/>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2.7x</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2.7x</w:t>
            </w:r>
          </w:p>
        </w:tc>
        <w:tc>
          <w:tcPr>
            <w:tcW w:w="0" w:type="dxa"/>
            <w:vAlign w:val="bottom"/>
          </w:tcPr>
          <w:p>
            <w:pPr>
              <w:spacing w:after="0"/>
              <w:rPr>
                <w:sz w:val="1"/>
                <w:szCs w:val="1"/>
                <w:color w:val="auto"/>
              </w:rPr>
            </w:pPr>
          </w:p>
        </w:tc>
      </w:tr>
      <w:tr>
        <w:trPr>
          <w:trHeight w:val="415"/>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158,815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118,376</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94,820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58,003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906</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415"/>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150,544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207,695</w:t>
            </w: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3">
            <w:col w:w="6100" w:space="560"/>
            <w:col w:w="1780" w:space="480"/>
            <w:col w:w="1980"/>
          </w:cols>
          <w:pgMar w:left="320" w:top="456" w:right="679" w:bottom="1440" w:gutter="0" w:footer="0" w:header="0"/>
          <w:type w:val="continuous"/>
        </w:sectPr>
      </w:pPr>
    </w:p>
    <w:p>
      <w:pPr>
        <w:ind w:left="760" w:right="120" w:hanging="412"/>
        <w:spacing w:after="0" w:line="25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85" w:lineRule="exact"/>
        <w:rPr>
          <w:rFonts w:ascii="Arial" w:cs="Arial" w:eastAsia="Arial" w:hAnsi="Arial"/>
          <w:sz w:val="18"/>
          <w:szCs w:val="18"/>
          <w:color w:val="auto"/>
        </w:rPr>
      </w:pPr>
    </w:p>
    <w:p>
      <w:pPr>
        <w:ind w:left="780" w:right="880"/>
        <w:spacing w:after="0" w:line="335" w:lineRule="auto"/>
        <w:rPr>
          <w:rFonts w:ascii="Arial" w:cs="Arial" w:eastAsia="Arial" w:hAnsi="Arial"/>
          <w:sz w:val="18"/>
          <w:szCs w:val="18"/>
          <w:color w:val="auto"/>
        </w:rPr>
      </w:pPr>
      <w:r>
        <w:rPr>
          <w:rFonts w:ascii="Arial" w:cs="Arial" w:eastAsia="Arial" w:hAnsi="Arial"/>
          <w:sz w:val="16"/>
          <w:szCs w:val="16"/>
          <w:color w:val="auto"/>
        </w:rPr>
        <w:t>Adjusted EBITDA represents EBITDA as further adjusted for share-based compensation, change in fair value of earnout liability, Centerbridge Acquisition costs, severance costs and incremental organizational costs in connection with this offering.</w:t>
      </w: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320" w:top="456" w:right="6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90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4200" cy="54902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Adjusted EBITDA margin represents Adjusted EBITDA divided by net revenues.</w:t>
      </w:r>
    </w:p>
    <w:p>
      <w:pPr>
        <w:spacing w:after="0" w:line="114" w:lineRule="exact"/>
        <w:rPr>
          <w:sz w:val="20"/>
          <w:szCs w:val="20"/>
          <w:color w:val="auto"/>
        </w:rPr>
      </w:pPr>
    </w:p>
    <w:p>
      <w:pPr>
        <w:ind w:left="780" w:right="20"/>
        <w:spacing w:after="0" w:line="267"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76" w:lineRule="exact"/>
        <w:rPr>
          <w:sz w:val="20"/>
          <w:szCs w:val="20"/>
          <w:color w:val="auto"/>
        </w:rPr>
      </w:pPr>
    </w:p>
    <w:p>
      <w:pPr>
        <w:ind w:left="780"/>
        <w:spacing w:after="0" w:line="269"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 The table below provides reconciliations of EBITDA and Adjusted EBITDA to net income (loss) on a consolidated basis for the periods indicated.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
        </w:trPr>
        <w:tc>
          <w:tcPr>
            <w:tcW w:w="1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5"/>
            <w:vMerge w:val="restart"/>
          </w:tcPr>
          <w:p>
            <w:pPr>
              <w:jc w:val="right"/>
              <w:ind w:right="81"/>
              <w:spacing w:after="0"/>
              <w:rPr>
                <w:sz w:val="20"/>
                <w:szCs w:val="20"/>
                <w:color w:val="auto"/>
              </w:rPr>
            </w:pPr>
            <w:r>
              <w:rPr>
                <w:rFonts w:ascii="Arial" w:cs="Arial" w:eastAsia="Arial" w:hAnsi="Arial"/>
                <w:sz w:val="14"/>
                <w:szCs w:val="14"/>
                <w:b w:val="1"/>
                <w:bCs w:val="1"/>
                <w:color w:val="auto"/>
                <w:w w:val="97"/>
              </w:rPr>
              <w:t>Pro Forma GoHealth, Inc.</w:t>
            </w:r>
          </w:p>
        </w:tc>
        <w:tc>
          <w:tcPr>
            <w:tcW w:w="2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line="20" w:lineRule="exact"/>
              <w:rPr>
                <w:sz w:val="1"/>
                <w:szCs w:val="1"/>
                <w:color w:val="auto"/>
              </w:rPr>
            </w:pPr>
          </w:p>
        </w:tc>
      </w:tr>
      <w:tr>
        <w:trPr>
          <w:trHeight w:val="147"/>
        </w:trPr>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00" w:type="dxa"/>
            <w:vAlign w:val="bottom"/>
            <w:gridSpan w:val="4"/>
          </w:tcPr>
          <w:p>
            <w:pPr>
              <w:jc w:val="center"/>
              <w:ind w:right="200"/>
              <w:spacing w:after="0" w:line="114" w:lineRule="exact"/>
              <w:rPr>
                <w:sz w:val="20"/>
                <w:szCs w:val="20"/>
                <w:color w:val="auto"/>
              </w:rPr>
            </w:pPr>
            <w:r>
              <w:rPr>
                <w:rFonts w:ascii="Arial" w:cs="Arial" w:eastAsia="Arial" w:hAnsi="Arial"/>
                <w:sz w:val="13"/>
                <w:szCs w:val="13"/>
                <w:b w:val="1"/>
                <w:bCs w:val="1"/>
                <w:color w:val="auto"/>
              </w:rPr>
              <w:t>Three Months</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center"/>
              <w:ind w:left="342"/>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540" w:type="dxa"/>
            <w:vAlign w:val="bottom"/>
          </w:tcPr>
          <w:p>
            <w:pPr>
              <w:jc w:val="right"/>
              <w:ind w:right="122"/>
              <w:spacing w:after="0" w:line="118"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0"/>
                <w:szCs w:val="10"/>
                <w:color w:val="auto"/>
              </w:rPr>
            </w:pPr>
          </w:p>
        </w:tc>
        <w:tc>
          <w:tcPr>
            <w:tcW w:w="840" w:type="dxa"/>
            <w:vAlign w:val="bottom"/>
            <w:tcBorders>
              <w:right w:val="single" w:sz="8" w:color="auto"/>
            </w:tcBorders>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10"/>
                <w:szCs w:val="10"/>
                <w:color w:val="auto"/>
              </w:rPr>
            </w:pPr>
          </w:p>
        </w:tc>
        <w:tc>
          <w:tcPr>
            <w:tcW w:w="64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6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(Successor)</w:t>
            </w:r>
          </w:p>
        </w:tc>
        <w:tc>
          <w:tcPr>
            <w:tcW w:w="1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(Predecessor)</w:t>
            </w: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9"/>
              </w:rPr>
              <w:t>(Predecessor)</w:t>
            </w:r>
          </w:p>
        </w:tc>
        <w:tc>
          <w:tcPr>
            <w:tcW w:w="0" w:type="dxa"/>
            <w:vAlign w:val="bottom"/>
          </w:tcPr>
          <w:p>
            <w:pPr>
              <w:spacing w:after="0"/>
              <w:rPr>
                <w:sz w:val="1"/>
                <w:szCs w:val="1"/>
                <w:color w:val="auto"/>
              </w:rPr>
            </w:pPr>
          </w:p>
        </w:tc>
      </w:tr>
      <w:tr>
        <w:trPr>
          <w:trHeight w:val="194"/>
        </w:trPr>
        <w:tc>
          <w:tcPr>
            <w:tcW w:w="2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30,465</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(57,063)</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6,756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27,172</w:t>
            </w:r>
          </w:p>
        </w:tc>
        <w:tc>
          <w:tcPr>
            <w:tcW w:w="14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6,756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1"/>
        </w:trPr>
        <w:tc>
          <w:tcPr>
            <w:tcW w:w="284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40" w:type="dxa"/>
            <w:vAlign w:val="bottom"/>
            <w:gridSpan w:val="2"/>
          </w:tcPr>
          <w:p>
            <w:pPr>
              <w:ind w:left="50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24,147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1,538</w:t>
            </w:r>
          </w:p>
        </w:tc>
        <w:tc>
          <w:tcPr>
            <w:tcW w:w="16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28,738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4,247</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6,570</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52,853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(52,742)</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34,544</w:t>
            </w:r>
          </w:p>
        </w:tc>
        <w:tc>
          <w:tcPr>
            <w:tcW w:w="0" w:type="dxa"/>
            <w:vAlign w:val="bottom"/>
          </w:tcPr>
          <w:p>
            <w:pPr>
              <w:spacing w:after="0"/>
              <w:rPr>
                <w:sz w:val="1"/>
                <w:szCs w:val="1"/>
                <w:color w:val="auto"/>
              </w:rPr>
            </w:pPr>
          </w:p>
        </w:tc>
      </w:tr>
      <w:tr>
        <w:trPr>
          <w:trHeight w:val="201"/>
        </w:trPr>
        <w:tc>
          <w:tcPr>
            <w:tcW w:w="2840" w:type="dxa"/>
            <w:vAlign w:val="bottom"/>
            <w:gridSpan w:val="2"/>
          </w:tcPr>
          <w:p>
            <w:pPr>
              <w:ind w:left="340"/>
              <w:spacing w:after="0" w:line="201" w:lineRule="exact"/>
              <w:rPr>
                <w:sz w:val="20"/>
                <w:szCs w:val="20"/>
                <w:color w:val="auto"/>
              </w:rPr>
            </w:pPr>
            <w:r>
              <w:rPr>
                <w:rFonts w:ascii="Arial" w:cs="Arial" w:eastAsia="Arial" w:hAnsi="Arial"/>
                <w:sz w:val="14"/>
                <w:szCs w:val="14"/>
                <w:color w:val="auto"/>
              </w:rPr>
              <w:t>Share-based compensation</w:t>
            </w:r>
            <w:r>
              <w:rPr>
                <w:rFonts w:ascii="Arial" w:cs="Arial" w:eastAsia="Arial" w:hAnsi="Arial"/>
                <w:sz w:val="23"/>
                <w:szCs w:val="23"/>
                <w:color w:val="auto"/>
                <w:vertAlign w:val="superscript"/>
              </w:rPr>
              <w:t>(a)</w:t>
            </w: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2,897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12,573</w:t>
            </w:r>
          </w:p>
        </w:tc>
        <w:tc>
          <w:tcPr>
            <w:tcW w:w="14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87,060</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contingent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gridSpan w:val="2"/>
            <w:shd w:val="clear" w:color="auto" w:fill="CCEEFF"/>
          </w:tcPr>
          <w:p>
            <w:pPr>
              <w:ind w:left="500"/>
              <w:spacing w:after="0" w:line="213" w:lineRule="exact"/>
              <w:rPr>
                <w:sz w:val="20"/>
                <w:szCs w:val="20"/>
                <w:color w:val="auto"/>
              </w:rPr>
            </w:pPr>
            <w:r>
              <w:rPr>
                <w:rFonts w:ascii="Arial" w:cs="Arial" w:eastAsia="Arial" w:hAnsi="Arial"/>
                <w:sz w:val="15"/>
                <w:szCs w:val="15"/>
                <w:color w:val="auto"/>
              </w:rPr>
              <w:t>consideration liability</w:t>
            </w:r>
            <w:r>
              <w:rPr>
                <w:rFonts w:ascii="Arial" w:cs="Arial" w:eastAsia="Arial" w:hAnsi="Arial"/>
                <w:sz w:val="24"/>
                <w:szCs w:val="24"/>
                <w:color w:val="auto"/>
                <w:vertAlign w:val="superscript"/>
              </w:rPr>
              <w:t>(b)</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40" w:type="dxa"/>
            <w:vAlign w:val="bottom"/>
            <w:gridSpan w:val="2"/>
          </w:tcPr>
          <w:p>
            <w:pPr>
              <w:ind w:left="340"/>
              <w:spacing w:after="0" w:line="201" w:lineRule="exact"/>
              <w:rPr>
                <w:sz w:val="20"/>
                <w:szCs w:val="20"/>
                <w:color w:val="auto"/>
              </w:rPr>
            </w:pPr>
            <w:r>
              <w:rPr>
                <w:rFonts w:ascii="Arial" w:cs="Arial" w:eastAsia="Arial" w:hAnsi="Arial"/>
                <w:sz w:val="14"/>
                <w:szCs w:val="14"/>
                <w:color w:val="auto"/>
              </w:rPr>
              <w:t>Centerbridge Acquisition costs</w:t>
            </w:r>
            <w:r>
              <w:rPr>
                <w:rFonts w:ascii="Arial" w:cs="Arial" w:eastAsia="Arial" w:hAnsi="Arial"/>
                <w:sz w:val="23"/>
                <w:szCs w:val="23"/>
                <w:color w:val="auto"/>
                <w:vertAlign w:val="superscript"/>
              </w:rPr>
              <w:t>(c)</w:t>
            </w:r>
          </w:p>
        </w:tc>
        <w:tc>
          <w:tcPr>
            <w:tcW w:w="12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6,245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4,908</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4"/>
                <w:szCs w:val="14"/>
                <w:color w:val="auto"/>
              </w:rPr>
              <w:t>Severance costs</w:t>
            </w:r>
            <w:r>
              <w:rPr>
                <w:rFonts w:ascii="Arial" w:cs="Arial" w:eastAsia="Arial" w:hAnsi="Arial"/>
                <w:sz w:val="23"/>
                <w:szCs w:val="23"/>
                <w:color w:val="auto"/>
                <w:vertAlign w:val="superscript"/>
              </w:rPr>
              <w:t>(d)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566</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747</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4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35,249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169,995</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34,920</w:t>
            </w:r>
          </w:p>
        </w:tc>
        <w:tc>
          <w:tcPr>
            <w:tcW w:w="12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7,136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6"/>
              </w:rPr>
              <w:t>130,465</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39,973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34,863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8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1280" w:right="340" w:hanging="517"/>
        <w:spacing w:after="0" w:line="259"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 and incentive share units, except with respect to the Pro Forma Fiscal Year 2019 and Pro Forma First Quarter 2020 periods, where share-based compensation expense is attributable to stock options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320" w:top="456" w:right="6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8554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4200" cy="18554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spacing w:after="0" w:line="283" w:lineRule="auto"/>
        <w:rPr>
          <w:sz w:val="20"/>
          <w:szCs w:val="20"/>
          <w:color w:val="auto"/>
        </w:rPr>
      </w:pPr>
      <w:r>
        <w:rPr>
          <w:rFonts w:ascii="Arial" w:cs="Arial" w:eastAsia="Arial" w:hAnsi="Arial"/>
          <w:sz w:val="16"/>
          <w:szCs w:val="16"/>
          <w:color w:val="auto"/>
        </w:rPr>
        <w:t>restricted stock units to be granted to our directors and employees in connection with this offering.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1" w:lineRule="exact"/>
        <w:rPr>
          <w:sz w:val="20"/>
          <w:szCs w:val="20"/>
          <w:color w:val="auto"/>
        </w:rPr>
      </w:pPr>
    </w:p>
    <w:p>
      <w:pPr>
        <w:ind w:left="1280" w:right="320" w:hanging="517"/>
        <w:spacing w:after="0" w:line="248" w:lineRule="auto"/>
        <w:tabs>
          <w:tab w:leader="none" w:pos="1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Represents the change in fair value of the earnout liability due to the predecessor owners of the Company arising from the Centerbridge Acquisition, which such liability will be settled in connection with this offering. See footnote (4) to the section titled “Unaudited Pro Forma Condensed Consolidated Financial Information.”</w:t>
      </w:r>
    </w:p>
    <w:p>
      <w:pPr>
        <w:ind w:left="1280" w:hanging="517"/>
        <w:spacing w:after="0"/>
        <w:tabs>
          <w:tab w:leader="none" w:pos="1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1280" w:hanging="517"/>
        <w:spacing w:after="0"/>
        <w:tabs>
          <w:tab w:leader="none" w:pos="1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114" w:lineRule="exact"/>
        <w:rPr>
          <w:rFonts w:ascii="Arial" w:cs="Arial" w:eastAsia="Arial" w:hAnsi="Arial"/>
          <w:sz w:val="18"/>
          <w:szCs w:val="18"/>
          <w:color w:val="auto"/>
        </w:rPr>
      </w:pPr>
    </w:p>
    <w:p>
      <w:pPr>
        <w:ind w:left="760" w:right="180" w:hanging="412"/>
        <w:spacing w:after="0" w:line="27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definitions and further information about how we calculate other operating data, please see “Management’s Discussion and Analysis of Financial Condition and Results of Operations—Key Business and Operating Metrics by Segment.”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320" w:top="456" w:right="6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160" w:right="600"/>
        <w:spacing w:after="0" w:line="398" w:lineRule="auto"/>
        <w:rPr>
          <w:sz w:val="20"/>
          <w:szCs w:val="20"/>
          <w:color w:val="auto"/>
        </w:rPr>
      </w:pPr>
      <w:r>
        <w:rPr>
          <w:rFonts w:ascii="Arial" w:cs="Arial" w:eastAsia="Arial" w:hAnsi="Arial"/>
          <w:sz w:val="14"/>
          <w:szCs w:val="14"/>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75"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193"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456" w:right="5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80"/>
        <w:spacing w:after="0" w:line="301" w:lineRule="auto"/>
        <w:rPr>
          <w:sz w:val="20"/>
          <w:szCs w:val="20"/>
          <w:color w:val="auto"/>
        </w:rPr>
      </w:pPr>
      <w:r>
        <w:rPr>
          <w:rFonts w:ascii="Arial" w:cs="Arial" w:eastAsia="Arial" w:hAnsi="Arial"/>
          <w:sz w:val="17"/>
          <w:szCs w:val="17"/>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45"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6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93"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6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90"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301"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b w:val="1"/>
          <w:bCs w:val="1"/>
          <w:i w:val="1"/>
          <w:iCs w:val="1"/>
          <w:color w:val="auto"/>
        </w:rPr>
        <w:t>Our failure to grow our customer base or retain our existing customers could adversely impact our business, operating results and financial condition.</w:t>
      </w:r>
    </w:p>
    <w:p>
      <w:pPr>
        <w:spacing w:after="0" w:line="68"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6"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74"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190"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In general, the growth in our customer base is highly dependent upon our success in attracting new customers during the Medicare annual enrollment period. In 2019, approximately 61% of our Medicare Advantage and Medicare Supplement policies were submitted during the three months ended December 31, 2019.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273" w:lineRule="exact"/>
        <w:rPr>
          <w:sz w:val="20"/>
          <w:szCs w:val="20"/>
          <w:color w:val="auto"/>
        </w:rPr>
      </w:pPr>
    </w:p>
    <w:p>
      <w:pPr>
        <w:ind w:left="160" w:right="140"/>
        <w:spacing w:after="0" w:line="398" w:lineRule="auto"/>
        <w:rPr>
          <w:sz w:val="20"/>
          <w:szCs w:val="20"/>
          <w:color w:val="auto"/>
        </w:rPr>
      </w:pPr>
      <w:r>
        <w:rPr>
          <w:rFonts w:ascii="Arial" w:cs="Arial" w:eastAsia="Arial" w:hAnsi="Arial"/>
          <w:sz w:val="14"/>
          <w:szCs w:val="14"/>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 w:lineRule="exact"/>
        <w:rPr>
          <w:sz w:val="20"/>
          <w:szCs w:val="20"/>
          <w:color w:val="auto"/>
        </w:rPr>
      </w:pPr>
    </w:p>
    <w:p>
      <w:pPr>
        <w:ind w:left="160" w:right="80"/>
        <w:spacing w:after="0" w:line="285" w:lineRule="auto"/>
        <w:rPr>
          <w:sz w:val="20"/>
          <w:szCs w:val="20"/>
          <w:color w:val="auto"/>
        </w:rPr>
      </w:pPr>
      <w:r>
        <w:rPr>
          <w:rFonts w:ascii="Arial" w:cs="Arial" w:eastAsia="Arial" w:hAnsi="Arial"/>
          <w:sz w:val="16"/>
          <w:szCs w:val="16"/>
          <w:color w:val="auto"/>
        </w:rPr>
        <w:t>Our commission rates from carriers are either set by each carrier or negotiated between us and each carrier. The commission rates we are paid are, for any given plan for a given customer, based on a number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2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b w:val="1"/>
          <w:bCs w:val="1"/>
          <w:i w:val="1"/>
          <w:iCs w:val="1"/>
          <w:color w:val="auto"/>
        </w:rPr>
        <w:t>Significant consolidation in the health insurance industry could adversely alter our relationships with carriers and harm our business, operating results and financial condition.</w:t>
      </w:r>
    </w:p>
    <w:p>
      <w:pPr>
        <w:spacing w:after="0" w:line="68" w:lineRule="exact"/>
        <w:rPr>
          <w:sz w:val="20"/>
          <w:szCs w:val="20"/>
          <w:color w:val="auto"/>
        </w:rPr>
      </w:pPr>
    </w:p>
    <w:p>
      <w:pPr>
        <w:ind w:left="160" w:right="340"/>
        <w:spacing w:after="0" w:line="253" w:lineRule="auto"/>
        <w:rPr>
          <w:sz w:val="20"/>
          <w:szCs w:val="20"/>
          <w:color w:val="auto"/>
        </w:rPr>
      </w:pPr>
      <w:r>
        <w:rPr>
          <w:rFonts w:ascii="Arial" w:cs="Arial" w:eastAsia="Arial" w:hAnsi="Arial"/>
          <w:sz w:val="18"/>
          <w:szCs w:val="18"/>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6"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Additionally, mergers among carriers or an acquisition of one carrier by another carrier may trigger changes to 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28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Information technology system failures could interrupt our operations and have a material adverse effect on our business, financial condition and results of operations.</w:t>
      </w:r>
    </w:p>
    <w:p>
      <w:pPr>
        <w:spacing w:after="0" w:line="6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be adversely impacted by factors that impact our estimate of LTV.</w:t>
      </w:r>
    </w:p>
    <w:p>
      <w:pPr>
        <w:spacing w:after="0" w:line="114"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color w:val="auto"/>
        </w:rPr>
        <w:t xml:space="preserve">As a result of the adoption of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recognize revenue at the time a Submitted Policy becomes an Approved Policy by applying the latest estimated LTV for that product. We estimate commission revenue for each product by using a portfolio approach to a group of approved customers that are organized based on a variety of attributes, which we refer to as “cohorts.” We estimate the cash commissions we expect to collect for each approved customer cohort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cohort level for all outstanding cohorts, review and monitor changes in the data used to estimate LTV as well as the cash received for each cohort as compared to our original estimates. The fluctuations of cash received for each cohort and LTV may be significant and may or may not be indicative of the need to adjust LTVs for prior period cohorts. Management analyzes these fluctuations and, to the extent we see changes in our estimates of the cash commission collections that we believe are indicative of an increase or decrease to prior period LTVs, we will adjust LTVs for the affected cohorts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190"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56"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80"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w:t>
      </w:r>
    </w:p>
    <w:p>
      <w:pPr>
        <w:spacing w:after="0" w:line="194"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System failures or capacity constraints could harm our business, financial condition and operating results.</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66"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6"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190"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sell Medicare-related health insurance plans is largely dependent on our licensed health insurance agents.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18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93"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4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173"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 We expect there will be continuing efforts to challenge, repeal, or replace the ACA, which may have a material impact on our business by eliminating Medicaid eligibility for certain patients and reducing the size of the SNP-eligible population.</w:t>
      </w:r>
    </w:p>
    <w:p>
      <w:pPr>
        <w:spacing w:after="0" w:line="167"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86"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See “—The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76"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Additionally, some carriers provide us with marketing development funds,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Various aspects of healthcare reform could also cause carriers to discontinue certain health insurance products or prohibit us from distributing certain health insurance products in particular jurisdictions. Our business, operating results, financial condition and prospects may be materially and adversely affected if we are unable to adapt to developments in healthcare reform in the United States.</w:t>
      </w:r>
    </w:p>
    <w:p>
      <w:pPr>
        <w:spacing w:after="0" w:line="276" w:lineRule="exact"/>
        <w:rPr>
          <w:sz w:val="20"/>
          <w:szCs w:val="20"/>
          <w:color w:val="auto"/>
        </w:rPr>
      </w:pPr>
    </w:p>
    <w:p>
      <w:pPr>
        <w:ind w:left="160" w:right="640"/>
        <w:spacing w:after="0" w:line="271" w:lineRule="auto"/>
        <w:rPr>
          <w:sz w:val="20"/>
          <w:szCs w:val="20"/>
          <w:color w:val="auto"/>
        </w:rPr>
      </w:pPr>
      <w:r>
        <w:rPr>
          <w:rFonts w:ascii="Arial" w:cs="Arial" w:eastAsia="Arial" w:hAnsi="Arial"/>
          <w:sz w:val="18"/>
          <w:szCs w:val="18"/>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6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 example, we expect a significant increase in the demand for television and radio advertisements as we approach the U.S. presidential election in November 2020. The election coincides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167" w:lineRule="exact"/>
        <w:rPr>
          <w:sz w:val="20"/>
          <w:szCs w:val="20"/>
          <w:color w:val="auto"/>
        </w:rPr>
      </w:pPr>
    </w:p>
    <w:p>
      <w:pPr>
        <w:ind w:left="160" w:right="120"/>
        <w:spacing w:after="0" w:line="267" w:lineRule="auto"/>
        <w:rPr>
          <w:sz w:val="20"/>
          <w:szCs w:val="20"/>
          <w:color w:val="auto"/>
        </w:rPr>
      </w:pPr>
      <w:r>
        <w:rPr>
          <w:rFonts w:ascii="Arial" w:cs="Arial" w:eastAsia="Arial" w:hAnsi="Arial"/>
          <w:sz w:val="17"/>
          <w:szCs w:val="17"/>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179"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7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We also use telephones to communicate with and market to customers and prospective customers and some of these communications may be subject to the Telephone Consumer Protection Act, or TCPA, and other telemarketing laws. The TCPA and other laws, including state laws, relating to telemarketing restrict our ability to market and engage in other communications using the telephone in certain 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currently depend on a small group of carriers for a substantial portion of our revenue.</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derive a large portion of our revenue from a limited number of carriers. Carriers owned by Humana and Anthem accounted for (i) approximately 42% and 32%, respectively, of net revenues for the three months ended March 31, 2020 and 28% and 15%, respectively, of net revenues for the three months ended March 31, 2019, approximately 40% and 20%, respectively, of net revenues for the Pro Forma Fiscal Year 2019 and 25% and 8%, respectively, of net revenues for the year ended December 31, 2018; (ii) approximately 47% and 38%, respectively, of Medicare—Internal segment revenue for the three months ended March 31, 2020, and 60% and 22%, respectively, of Medicare—Internal segment revenue for the three months ended March 31, 2019, approximately 51% and 23%, respectively, of Medicare—Internal segment revenue for the Pro Forma Fiscal Year 2019, and 63% and 15%, respectively, of Medicare—Internal segment revenue for the year ended December 31, 2018; and (iii) approximately 55% and 31%, respectively, of Medicare—External segment revenue for the three months ended March 31, 2020 and 36% and 27%, respectively, of Medicare— External segment revenue for the three months ended March 31, 2019,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37% and 29% of IFP and Other—Internal segment revenue for the three months ended March 31, 2020 and for the three months ended March 31, 2019, respectively, approximately 27% and 11% of IFP and Other— Internal segment revenue for the Pro Forma Fiscal Year 2019 and for the year ended December 31, 2018, respectively, and 55% and 37% of IFP and Other—External segment revenue for the three months ended March 31, 2020 and 2019, respectively, and 41% and 19% of IFP and Other—External segment revenue for the Pro Forma Fiscal Year 2019 and year ended December 31, 2018, respectively.</w:t>
      </w:r>
    </w:p>
    <w:p>
      <w:pPr>
        <w:spacing w:after="0" w:line="169" w:lineRule="exact"/>
        <w:rPr>
          <w:sz w:val="20"/>
          <w:szCs w:val="20"/>
          <w:color w:val="auto"/>
        </w:rPr>
      </w:pPr>
    </w:p>
    <w:p>
      <w:pPr>
        <w:ind w:left="160" w:right="320"/>
        <w:spacing w:after="0" w:line="297" w:lineRule="auto"/>
        <w:rPr>
          <w:sz w:val="20"/>
          <w:szCs w:val="20"/>
          <w:color w:val="auto"/>
        </w:rPr>
      </w:pPr>
      <w:r>
        <w:rPr>
          <w:rFonts w:ascii="Arial" w:cs="Arial" w:eastAsia="Arial" w:hAnsi="Arial"/>
          <w:sz w:val="16"/>
          <w:szCs w:val="16"/>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68" w:lineRule="exact"/>
        <w:rPr>
          <w:sz w:val="20"/>
          <w:szCs w:val="20"/>
          <w:color w:val="auto"/>
        </w:rPr>
      </w:pPr>
    </w:p>
    <w:p>
      <w:pPr>
        <w:ind w:left="160" w:right="500"/>
        <w:spacing w:after="0" w:line="270" w:lineRule="auto"/>
        <w:rPr>
          <w:sz w:val="20"/>
          <w:szCs w:val="20"/>
          <w:color w:val="auto"/>
        </w:rPr>
      </w:pPr>
      <w:r>
        <w:rPr>
          <w:rFonts w:ascii="Arial" w:cs="Arial" w:eastAsia="Arial" w:hAnsi="Arial"/>
          <w:sz w:val="17"/>
          <w:szCs w:val="17"/>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carriers to prepare accurate commission reports and send them to us in a timely manner.</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76"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6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quarterly results of operations may fluctuate significantly due to seasonality.</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Medicare annual enrollment period occurs from October 15</w:t>
      </w:r>
      <w:r>
        <w:rPr>
          <w:rFonts w:ascii="Arial" w:cs="Arial" w:eastAsia="Arial" w:hAnsi="Arial"/>
          <w:sz w:val="14"/>
          <w:szCs w:val="14"/>
          <w:color w:val="auto"/>
        </w:rPr>
        <w:t>th</w:t>
      </w:r>
      <w:r>
        <w:rPr>
          <w:rFonts w:ascii="Arial" w:cs="Arial" w:eastAsia="Arial" w:hAnsi="Arial"/>
          <w:sz w:val="17"/>
          <w:szCs w:val="17"/>
          <w:color w:val="auto"/>
        </w:rPr>
        <w:t xml:space="preserve"> to December 7</w:t>
      </w:r>
      <w:r>
        <w:rPr>
          <w:rFonts w:ascii="Arial" w:cs="Arial" w:eastAsia="Arial" w:hAnsi="Arial"/>
          <w:sz w:val="14"/>
          <w:szCs w:val="14"/>
          <w:color w:val="auto"/>
        </w:rPr>
        <w:t>th</w:t>
      </w:r>
      <w:r>
        <w:rPr>
          <w:rFonts w:ascii="Arial" w:cs="Arial" w:eastAsia="Arial" w:hAnsi="Arial"/>
          <w:sz w:val="17"/>
          <w:szCs w:val="17"/>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4"/>
          <w:szCs w:val="14"/>
          <w:color w:val="auto"/>
        </w:rPr>
        <w:t>st</w:t>
      </w:r>
      <w:r>
        <w:rPr>
          <w:rFonts w:ascii="Arial" w:cs="Arial" w:eastAsia="Arial" w:hAnsi="Arial"/>
          <w:sz w:val="17"/>
          <w:szCs w:val="17"/>
          <w:color w:val="auto"/>
        </w:rPr>
        <w:t xml:space="preserve"> to March 31</w:t>
      </w:r>
      <w:r>
        <w:rPr>
          <w:rFonts w:ascii="Arial" w:cs="Arial" w:eastAsia="Arial" w:hAnsi="Arial"/>
          <w:sz w:val="14"/>
          <w:szCs w:val="14"/>
          <w:color w:val="auto"/>
        </w:rPr>
        <w:t>st</w:t>
      </w:r>
      <w:r>
        <w:rPr>
          <w:rFonts w:ascii="Arial" w:cs="Arial" w:eastAsia="Arial" w:hAnsi="Arial"/>
          <w:sz w:val="17"/>
          <w:szCs w:val="17"/>
          <w:color w:val="auto"/>
        </w:rPr>
        <w:t>, commission revenue is typically second-highest in our first quarter. The individual and family health insurance open enrollment period runs from November 1</w:t>
      </w:r>
      <w:r>
        <w:rPr>
          <w:rFonts w:ascii="Arial" w:cs="Arial" w:eastAsia="Arial" w:hAnsi="Arial"/>
          <w:sz w:val="14"/>
          <w:szCs w:val="14"/>
          <w:color w:val="auto"/>
        </w:rPr>
        <w:t>st</w:t>
      </w:r>
      <w:r>
        <w:rPr>
          <w:rFonts w:ascii="Arial" w:cs="Arial" w:eastAsia="Arial" w:hAnsi="Arial"/>
          <w:sz w:val="17"/>
          <w:szCs w:val="17"/>
          <w:color w:val="auto"/>
        </w:rPr>
        <w:t xml:space="preserve"> through December 15</w:t>
      </w:r>
      <w:r>
        <w:rPr>
          <w:rFonts w:ascii="Arial" w:cs="Arial" w:eastAsia="Arial" w:hAnsi="Arial"/>
          <w:sz w:val="14"/>
          <w:szCs w:val="14"/>
          <w:color w:val="auto"/>
        </w:rPr>
        <w:t>th</w:t>
      </w:r>
      <w:r>
        <w:rPr>
          <w:rFonts w:ascii="Arial" w:cs="Arial" w:eastAsia="Arial" w:hAnsi="Arial"/>
          <w:sz w:val="17"/>
          <w:szCs w:val="17"/>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56"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Pressure from existing and new competitors may adversely affect our business, operating results and financial condition.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competitors provide services designed to help customers shop for insurance. Some of these competitors include:</w:t>
      </w:r>
    </w:p>
    <w:p>
      <w:pPr>
        <w:spacing w:after="0" w:line="127" w:lineRule="exact"/>
        <w:rPr>
          <w:sz w:val="20"/>
          <w:szCs w:val="20"/>
          <w:color w:val="auto"/>
        </w:rPr>
      </w:pPr>
    </w:p>
    <w:p>
      <w:pPr>
        <w:ind w:left="1140" w:right="380" w:hanging="438"/>
        <w:spacing w:after="0" w:line="27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companies that operate insurance search websites or websites that provide quote information or the opportunity to purchase insurance products online, including aggregators and lead generators;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companies that advertise primarily through the television;</w:t>
      </w:r>
    </w:p>
    <w:p>
      <w:pPr>
        <w:spacing w:after="0" w:line="127" w:lineRule="exact"/>
        <w:rPr>
          <w:rFonts w:ascii="Arial" w:cs="Arial" w:eastAsia="Arial" w:hAnsi="Arial"/>
          <w:sz w:val="18"/>
          <w:szCs w:val="18"/>
          <w:color w:val="auto"/>
        </w:rPr>
      </w:pPr>
    </w:p>
    <w:p>
      <w:pPr>
        <w:ind w:left="1140" w:right="940" w:hanging="438"/>
        <w:spacing w:after="0" w:line="27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 insurance carriers, including through the operation of their own websites, physical storefront operations and broker arrangements;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traditional insurance agents or brokers;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field marketing organizations.</w:t>
      </w:r>
    </w:p>
    <w:p>
      <w:pPr>
        <w:spacing w:after="0" w:line="221"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production bonuses or marketing payments and our revenue would likely be reduced and our business, operating results and financial condition would be adversely affected.</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do not successfully compete with government-run health insurance exchanges, our business may be harmed.</w:t>
      </w:r>
    </w:p>
    <w:p>
      <w:pPr>
        <w:spacing w:after="0" w:line="114" w:lineRule="exact"/>
        <w:rPr>
          <w:sz w:val="20"/>
          <w:szCs w:val="20"/>
          <w:color w:val="auto"/>
        </w:rPr>
      </w:pPr>
    </w:p>
    <w:p>
      <w:pPr>
        <w:ind w:left="160" w:right="120"/>
        <w:spacing w:after="0" w:line="293"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68"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76" w:lineRule="exact"/>
        <w:rPr>
          <w:sz w:val="20"/>
          <w:szCs w:val="20"/>
          <w:color w:val="auto"/>
        </w:rPr>
      </w:pPr>
    </w:p>
    <w:p>
      <w:pPr>
        <w:ind w:left="1140" w:right="540" w:hanging="438"/>
        <w:spacing w:after="0" w:line="27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6"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line="283" w:lineRule="auto"/>
        <w:rPr>
          <w:sz w:val="20"/>
          <w:szCs w:val="20"/>
          <w:color w:val="auto"/>
        </w:rPr>
      </w:pPr>
      <w:r>
        <w:rPr>
          <w:rFonts w:ascii="Arial" w:cs="Arial" w:eastAsia="Arial" w:hAnsi="Arial"/>
          <w:sz w:val="16"/>
          <w:szCs w:val="16"/>
          <w:color w:val="auto"/>
        </w:rPr>
        <w:t>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The term remuneration has been interpreted broadly to include anything of value. The federal Anti-Kickback Statute has been interpreted to apply to, among others, financial arrangements between entities that have the ability to refer and generate business that is subject to reimbursement under federal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ordering,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federal Anti-Kickback Statute or specific intent to violate it in order to have committed a violation, and a claim including items or services resulting from a violation of the federal Anti-Kickback Statute constitutes a false or fraudulent claim for purposes of the False Claims Act (described immediately below);</w:t>
      </w:r>
    </w:p>
    <w:p>
      <w:pPr>
        <w:spacing w:after="0" w:line="76" w:lineRule="exact"/>
        <w:rPr>
          <w:sz w:val="20"/>
          <w:szCs w:val="20"/>
          <w:color w:val="auto"/>
        </w:rPr>
      </w:pPr>
    </w:p>
    <w:p>
      <w:pPr>
        <w:ind w:left="1140" w:right="40" w:hanging="438"/>
        <w:spacing w:after="0" w:line="270" w:lineRule="auto"/>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84" w:lineRule="exact"/>
        <w:rPr>
          <w:rFonts w:ascii="Arial" w:cs="Arial" w:eastAsia="Arial" w:hAnsi="Arial"/>
          <w:sz w:val="17"/>
          <w:szCs w:val="17"/>
          <w:color w:val="auto"/>
        </w:rPr>
      </w:pPr>
    </w:p>
    <w:p>
      <w:pPr>
        <w:ind w:left="1140" w:right="20" w:hanging="438"/>
        <w:spacing w:after="0" w:line="253"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beneficiary inducement civil monetary laws, which generally prohibit giving something of value to an individual if the remuneration is likely to influence that beneficiary’s choice of a particular provider, supplier or practitioner for services covered by applicable federal healthcare programs. There are a number of exceptions, such as, remuneration that “promotes access to care and poses a low risk of harm to patients and federal healthcare programs.” A violation of this statute includes fines or exclusion from federal healthcare programs;</w:t>
      </w:r>
    </w:p>
    <w:p>
      <w:pPr>
        <w:spacing w:after="0" w:line="99" w:lineRule="exact"/>
        <w:rPr>
          <w:rFonts w:ascii="Arial" w:cs="Arial" w:eastAsia="Arial" w:hAnsi="Arial"/>
          <w:sz w:val="18"/>
          <w:szCs w:val="18"/>
          <w:color w:val="auto"/>
        </w:rPr>
      </w:pPr>
    </w:p>
    <w:p>
      <w:pPr>
        <w:ind w:left="1140" w:right="80" w:hanging="438"/>
        <w:spacing w:after="0" w:line="288"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72" w:lineRule="exact"/>
        <w:rPr>
          <w:rFonts w:ascii="Arial" w:cs="Arial" w:eastAsia="Arial" w:hAnsi="Arial"/>
          <w:sz w:val="16"/>
          <w:szCs w:val="16"/>
          <w:color w:val="auto"/>
        </w:rPr>
      </w:pPr>
    </w:p>
    <w:p>
      <w:pPr>
        <w:ind w:left="1140" w:right="20" w:hanging="438"/>
        <w:spacing w:after="0" w:line="259"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86"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21"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offer, sale and purchase of health insurance is heavily regulated by various states and the regulatory landscape is constantly changing. States have adopted and will continue to adopt new laws and regulations, including in response to healthcare reform 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For example, certain states have adopted or are contemplating rules and regulations that would either ban the sale of individual and family plans that do not qualify as minimum essential coverage under the ACA (such as short-term health insurance), limit the duration and renewability of those plans, or apply certain aspects of the ACA to those plans, such as the essential health benefits or requiring that such plans cover pre-existing conditions. Rules and regulations, such as these could adversely impact our sale of individual and family plans for several reasons, including because carriers may exit the market of selling such plans due to regulatory concerns, determine it is not profitable to sell the plans or increase plan premiums to a degree that reduces customer demand for them.</w:t>
      </w:r>
    </w:p>
    <w:p>
      <w:pPr>
        <w:spacing w:after="0" w:line="179"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Additionally,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6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D-SNP, which could have a material adverse impact on our business, operating results and financial condition.</w:t>
      </w:r>
    </w:p>
    <w:p>
      <w:pPr>
        <w:spacing w:after="0" w:line="186" w:lineRule="exact"/>
        <w:rPr>
          <w:sz w:val="20"/>
          <w:szCs w:val="20"/>
          <w:color w:val="auto"/>
        </w:rPr>
      </w:pPr>
    </w:p>
    <w:p>
      <w:pPr>
        <w:jc w:val="both"/>
        <w:ind w:left="160" w:right="80"/>
        <w:spacing w:after="0" w:line="252" w:lineRule="auto"/>
        <w:rPr>
          <w:sz w:val="20"/>
          <w:szCs w:val="20"/>
          <w:color w:val="auto"/>
        </w:rPr>
      </w:pPr>
      <w:r>
        <w:rPr>
          <w:rFonts w:ascii="Arial" w:cs="Arial" w:eastAsia="Arial" w:hAnsi="Arial"/>
          <w:sz w:val="18"/>
          <w:szCs w:val="18"/>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Each jurisdiction’s insurance department typically has the power, among other things, to:</w:t>
      </w:r>
    </w:p>
    <w:p>
      <w:pPr>
        <w:spacing w:after="0" w:line="100" w:lineRule="exact"/>
        <w:rPr>
          <w:sz w:val="20"/>
          <w:szCs w:val="20"/>
          <w:color w:val="auto"/>
        </w:rPr>
      </w:pPr>
    </w:p>
    <w:p>
      <w:pPr>
        <w:ind w:left="1140" w:hanging="438"/>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27"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sold;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21"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50"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80"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68" w:lineRule="exact"/>
        <w:rPr>
          <w:sz w:val="20"/>
          <w:szCs w:val="20"/>
          <w:color w:val="auto"/>
        </w:rPr>
      </w:pPr>
    </w:p>
    <w:p>
      <w:pPr>
        <w:ind w:left="160" w:right="60"/>
        <w:spacing w:after="0" w:line="272" w:lineRule="auto"/>
        <w:rPr>
          <w:sz w:val="20"/>
          <w:szCs w:val="20"/>
          <w:color w:val="auto"/>
        </w:rPr>
      </w:pPr>
      <w:r>
        <w:rPr>
          <w:rFonts w:ascii="Arial" w:cs="Arial" w:eastAsia="Arial" w:hAnsi="Arial"/>
          <w:sz w:val="17"/>
          <w:szCs w:val="17"/>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83" w:lineRule="exact"/>
        <w:rPr>
          <w:sz w:val="20"/>
          <w:szCs w:val="20"/>
          <w:color w:val="auto"/>
        </w:rPr>
      </w:pPr>
    </w:p>
    <w:p>
      <w:pPr>
        <w:ind w:left="1140" w:right="260" w:hanging="438"/>
        <w:spacing w:after="0" w:line="255"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6"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quality of, and changes to, the customer experience on our platform;</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requirements, including those that make the experience on our platform cumbersome or difficult to navigate or reduce the ability of customers to purchase plans outside of enrollment periods;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variety, competitiveness and affordability of the health insurance plans that we offer;</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system failures or interruptions in the operation of our technology platform or call center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mix of customers who are referred to us through our direct, marketing partner and online advertising customer acquisition channels;</w:t>
      </w:r>
    </w:p>
    <w:p>
      <w:pPr>
        <w:spacing w:after="0" w:line="80"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carriers offering health insurance plans for which customers have expressed interest, and the degree to which our technology is integrated with those carriers;</w:t>
      </w:r>
    </w:p>
    <w:p>
      <w:pPr>
        <w:spacing w:after="0" w:line="80"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carrier guidelines applicable to applications submitted by customers, the amount of time a carrier takes to make a decision on that application and the percentage of submitted applications approved by carriers;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agents in assisting customers; and</w:t>
      </w:r>
    </w:p>
    <w:p>
      <w:pPr>
        <w:spacing w:after="0" w:line="127" w:lineRule="exact"/>
        <w:rPr>
          <w:rFonts w:ascii="Arial" w:cs="Arial" w:eastAsia="Arial" w:hAnsi="Arial"/>
          <w:sz w:val="18"/>
          <w:szCs w:val="18"/>
          <w:color w:val="auto"/>
        </w:rPr>
      </w:pPr>
    </w:p>
    <w:p>
      <w:pPr>
        <w:ind w:left="1140" w:right="440" w:hanging="438"/>
        <w:spacing w:after="0" w:line="271"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enroll subsidy-eligible individuals in qualified health plans through government-run health insurance exchanges and the efficacy of the process we are required to use to do so.</w:t>
      </w:r>
    </w:p>
    <w:p>
      <w:pPr>
        <w:spacing w:after="0" w:line="17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receive commission payments from carriers over time, but incur significant upfront expenses to enroll customers.</w:t>
      </w:r>
    </w:p>
    <w:p>
      <w:pPr>
        <w:spacing w:after="0" w:line="114"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268" w:lineRule="exact"/>
        <w:rPr>
          <w:sz w:val="20"/>
          <w:szCs w:val="20"/>
          <w:color w:val="auto"/>
        </w:rPr>
      </w:pPr>
    </w:p>
    <w:p>
      <w:pPr>
        <w:ind w:left="160" w:right="840"/>
        <w:spacing w:after="0" w:line="335" w:lineRule="auto"/>
        <w:rPr>
          <w:sz w:val="20"/>
          <w:szCs w:val="20"/>
          <w:color w:val="auto"/>
        </w:rPr>
      </w:pPr>
      <w:r>
        <w:rPr>
          <w:rFonts w:ascii="Arial" w:cs="Arial" w:eastAsia="Arial" w:hAnsi="Arial"/>
          <w:sz w:val="16"/>
          <w:szCs w:val="16"/>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21"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76"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87"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If we lose key management or fail to meet our need for qualified employees, our business, financial condition and results of operations could be materially adversely affected.</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3"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301"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7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Numerous federal, state and international laws and regulations govern the collection, use, disclosure, storage, processing, transmission and destruction of personal information, including individually identifiable health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information. These laws and regulations, including their interpretation by governmental agencies and regulators, are subject to frequent change. These regulations could have a negative impact on our business, for example:</w:t>
      </w:r>
    </w:p>
    <w:p>
      <w:pPr>
        <w:spacing w:after="0" w:line="81" w:lineRule="exact"/>
        <w:rPr>
          <w:sz w:val="20"/>
          <w:szCs w:val="20"/>
          <w:color w:val="auto"/>
        </w:rPr>
      </w:pPr>
    </w:p>
    <w:p>
      <w:pPr>
        <w:ind w:left="1140" w:hanging="438"/>
        <w:spacing w:after="0" w:line="25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102" w:lineRule="exact"/>
        <w:rPr>
          <w:rFonts w:ascii="Arial" w:cs="Arial" w:eastAsia="Arial" w:hAnsi="Arial"/>
          <w:sz w:val="18"/>
          <w:szCs w:val="18"/>
          <w:color w:val="auto"/>
        </w:rPr>
      </w:pPr>
    </w:p>
    <w:p>
      <w:pPr>
        <w:ind w:left="1140" w:hanging="438"/>
        <w:spacing w:after="0" w:line="288"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72" w:lineRule="exact"/>
        <w:rPr>
          <w:rFonts w:ascii="Arial" w:cs="Arial" w:eastAsia="Arial" w:hAnsi="Arial"/>
          <w:sz w:val="16"/>
          <w:szCs w:val="16"/>
          <w:color w:val="auto"/>
        </w:rPr>
      </w:pPr>
    </w:p>
    <w:p>
      <w:pPr>
        <w:ind w:left="1140" w:right="12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federal and state laws restricting the use and protecting the privacy and security of individually identifiable information may apply, many of which are not preempted by HIPAA; and</w:t>
      </w:r>
    </w:p>
    <w:p>
      <w:pPr>
        <w:spacing w:after="0" w:line="8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spacing w:after="0" w:line="186" w:lineRule="exact"/>
        <w:rPr>
          <w:sz w:val="20"/>
          <w:szCs w:val="20"/>
          <w:color w:val="auto"/>
        </w:rPr>
      </w:pPr>
    </w:p>
    <w:p>
      <w:pPr>
        <w:jc w:val="both"/>
        <w:ind w:left="160" w:right="80"/>
        <w:spacing w:after="0" w:line="282" w:lineRule="auto"/>
        <w:rPr>
          <w:sz w:val="20"/>
          <w:szCs w:val="20"/>
          <w:color w:val="auto"/>
        </w:rPr>
      </w:pPr>
      <w:r>
        <w:rPr>
          <w:rFonts w:ascii="Arial" w:cs="Arial" w:eastAsia="Arial" w:hAnsi="Arial"/>
          <w:sz w:val="16"/>
          <w:szCs w:val="16"/>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w:t>
      </w:r>
    </w:p>
    <w:p>
      <w:pPr>
        <w:spacing w:after="0" w:line="2"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177"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6"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186"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State and federal laws may apply to our collection, use, handling, processing, destruction, disclosure, and storage as well. For example, the California Consumer Privacy Act of 2018, or the CCPA, effective as of January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190"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19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285"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9"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enact new legislation and promulgate new regulations governing collection, use, disclosure, storage, processing, transmission and destruction of personal information and other data.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9"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New York Department of Financial Services, or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or SHIELD Act, both require companies to implement a written information security program that contains appropriate administrative, technical, and physical safeguards as defined in the respective statute.</w:t>
      </w:r>
    </w:p>
    <w:p>
      <w:pPr>
        <w:spacing w:after="0" w:line="167"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In October 2017, the National Association of Insurance Commissioners, or NAIC, adopted the Insurance Data Security Model Law, or the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9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Risks from third-party products could adversely affect our businesses.</w:t>
      </w:r>
    </w:p>
    <w:p>
      <w:pPr>
        <w:spacing w:after="0" w:line="114" w:lineRule="exact"/>
        <w:rPr>
          <w:sz w:val="20"/>
          <w:szCs w:val="20"/>
          <w:color w:val="auto"/>
        </w:rPr>
      </w:pPr>
    </w:p>
    <w:p>
      <w:pPr>
        <w:ind w:left="160" w:right="120"/>
        <w:spacing w:after="0" w:line="297" w:lineRule="auto"/>
        <w:rPr>
          <w:sz w:val="20"/>
          <w:szCs w:val="20"/>
          <w:color w:val="auto"/>
        </w:rPr>
      </w:pPr>
      <w:r>
        <w:rPr>
          <w:rFonts w:ascii="Arial" w:cs="Arial" w:eastAsia="Arial" w:hAnsi="Arial"/>
          <w:sz w:val="16"/>
          <w:szCs w:val="16"/>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carriers, it may be difficult to maintain existing business with, and attract new business from, them. Significant declines in the performance of these third-party products could subject us to reputational damage and litigation risk.</w:t>
      </w:r>
    </w:p>
    <w:p>
      <w:pPr>
        <w:spacing w:after="0" w:line="266"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b w:val="1"/>
          <w:bCs w:val="1"/>
          <w:i w:val="1"/>
          <w:iCs w:val="1"/>
          <w:color w:val="auto"/>
        </w:rPr>
        <w:t>Our ability to match consumers to insurance products that suit their needs is dependent upon their provision of accurate information during the insurance shopping process.</w:t>
      </w:r>
    </w:p>
    <w:p>
      <w:pPr>
        <w:spacing w:after="0" w:line="6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business depends on consumers’ provision of accurate information during the insurance shopping process. To the extent consumers provide us with inaccurate information, the quality of their insurance shopping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6"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297"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Our international operations subject us to additional risks which could have an adverse effect on our business, operating results and financial condition.</w:t>
      </w:r>
    </w:p>
    <w:p>
      <w:pPr>
        <w:spacing w:after="0" w:line="68"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Slovakia and Honduras and we may in the future expand our reliance on offshore labor to other countries. As of March 31, 2020, 47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66"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76"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90"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281"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45"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relationships with carriers, marketing partners or customers, which would harm our business, operating results and financial condition.</w:t>
      </w:r>
    </w:p>
    <w:p>
      <w:pPr>
        <w:spacing w:after="0" w:line="221"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273"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179" w:lineRule="exact"/>
        <w:rPr>
          <w:sz w:val="20"/>
          <w:szCs w:val="20"/>
          <w:color w:val="auto"/>
        </w:rPr>
      </w:pPr>
    </w:p>
    <w:p>
      <w:pPr>
        <w:ind w:left="160" w:right="80"/>
        <w:spacing w:after="0" w:line="267" w:lineRule="auto"/>
        <w:rPr>
          <w:sz w:val="20"/>
          <w:szCs w:val="20"/>
          <w:color w:val="auto"/>
        </w:rPr>
      </w:pPr>
      <w:r>
        <w:rPr>
          <w:rFonts w:ascii="Arial" w:cs="Arial" w:eastAsia="Arial" w:hAnsi="Arial"/>
          <w:sz w:val="17"/>
          <w:szCs w:val="17"/>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20"/>
        <w:spacing w:after="0" w:line="301" w:lineRule="auto"/>
        <w:rPr>
          <w:sz w:val="20"/>
          <w:szCs w:val="20"/>
          <w:color w:val="auto"/>
        </w:rPr>
      </w:pPr>
      <w:r>
        <w:rPr>
          <w:rFonts w:ascii="Arial" w:cs="Arial" w:eastAsia="Arial" w:hAnsi="Arial"/>
          <w:sz w:val="17"/>
          <w:szCs w:val="17"/>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4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In late 2019, a novel strain of coronavirus, SARS-CoV-2, surfaced in China, which has now spread to the United States and almost every country in the world. SARS-CoV-2 causes a clinical illness known as COVID-19.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Although certain of these measures are beginning to ease in some geographic regions, overall measures to contain the COVID-19 outbreak may remain in place for a significant period of time and may adversely affect our business, results of operations and financial condition.</w:t>
      </w:r>
    </w:p>
    <w:p>
      <w:pPr>
        <w:spacing w:after="0" w:line="180"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work from home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from home,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183"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Further, because most of our employees are working remotely in connection with the COVID-19 pandemic, we may experience an increase the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work-from-home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78" w:lineRule="exact"/>
        <w:rPr>
          <w:sz w:val="20"/>
          <w:szCs w:val="20"/>
          <w:color w:val="auto"/>
        </w:rPr>
      </w:pPr>
    </w:p>
    <w:p>
      <w:pPr>
        <w:jc w:val="both"/>
        <w:ind w:left="160" w:right="20"/>
        <w:spacing w:after="0" w:line="284" w:lineRule="auto"/>
        <w:rPr>
          <w:sz w:val="20"/>
          <w:szCs w:val="20"/>
          <w:color w:val="auto"/>
        </w:rPr>
      </w:pPr>
      <w:r>
        <w:rPr>
          <w:rFonts w:ascii="Arial" w:cs="Arial" w:eastAsia="Arial" w:hAnsi="Arial"/>
          <w:sz w:val="16"/>
          <w:szCs w:val="16"/>
          <w:color w:val="auto"/>
        </w:rPr>
        <w:t>Additionally, our carriers and vendors have similarly adjusted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w:t>
      </w:r>
    </w:p>
    <w:p>
      <w:pPr>
        <w:spacing w:after="0" w:line="2" w:lineRule="exact"/>
        <w:rPr>
          <w:sz w:val="20"/>
          <w:szCs w:val="20"/>
          <w:color w:val="auto"/>
        </w:rPr>
      </w:pPr>
    </w:p>
    <w:p>
      <w:pPr>
        <w:ind w:left="160" w:right="280"/>
        <w:spacing w:after="0" w:line="252" w:lineRule="auto"/>
        <w:rPr>
          <w:sz w:val="20"/>
          <w:szCs w:val="20"/>
          <w:color w:val="auto"/>
        </w:rPr>
      </w:pPr>
      <w:r>
        <w:rPr>
          <w:rFonts w:ascii="Arial" w:cs="Arial" w:eastAsia="Arial" w:hAnsi="Arial"/>
          <w:sz w:val="18"/>
          <w:szCs w:val="18"/>
          <w:color w:val="auto"/>
        </w:rPr>
        <w:t>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191"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The full extent to which the outbreak of COVID-19 impacts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continue to experience materially adverse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456"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impacts to our business as a result of its global economic impact, including any recession that has occurred or may occur in the future.</w:t>
      </w:r>
    </w:p>
    <w:p>
      <w:pPr>
        <w:spacing w:after="0" w:line="221" w:lineRule="exact"/>
        <w:rPr>
          <w:sz w:val="20"/>
          <w:szCs w:val="20"/>
          <w:color w:val="auto"/>
        </w:rPr>
      </w:pPr>
    </w:p>
    <w:p>
      <w:pPr>
        <w:ind w:left="160" w:right="360"/>
        <w:spacing w:after="0" w:line="255" w:lineRule="auto"/>
        <w:rPr>
          <w:sz w:val="20"/>
          <w:szCs w:val="20"/>
          <w:color w:val="auto"/>
        </w:rPr>
      </w:pPr>
      <w:r>
        <w:rPr>
          <w:rFonts w:ascii="Arial" w:cs="Arial" w:eastAsia="Arial" w:hAnsi="Arial"/>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190"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190"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276"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68"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outsource our hosting infrastructure to Amazon Web Services and Rackspace (together,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84"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6"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76"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57"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b w:val="1"/>
          <w:bCs w:val="1"/>
          <w:i w:val="1"/>
          <w:iCs w:val="1"/>
          <w:color w:val="auto"/>
        </w:rPr>
        <w:t>If individuals or carriers opt for more traditional or alternative channels for the purchase and sale of health insurance, our business could be harmed.</w:t>
      </w:r>
    </w:p>
    <w:p>
      <w:pPr>
        <w:spacing w:after="0" w:line="68"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80" w:lineRule="exact"/>
        <w:rPr>
          <w:sz w:val="20"/>
          <w:szCs w:val="20"/>
          <w:color w:val="auto"/>
        </w:rPr>
      </w:pPr>
    </w:p>
    <w:p>
      <w:pPr>
        <w:ind w:left="1140" w:hanging="438"/>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growth of the Internet as a market for individual health insurance plans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individuals’ willingness and ability to conduct their own health insurance research;</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make the process of purchasing health insurance online an attractive alternative to traditional and new means of purchasing health insurance;</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and cost-effectively market our services as superior to traditional or alternative sources for health insurance to a sufficiently large number of individuals;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carriers’ willingness to use us and the Internet as a distribution channel for health insurance products and plans.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From time to time we are subject to various legal proceedings which could adversely affect our business, financial condition or results of operations.</w:t>
      </w:r>
    </w:p>
    <w:p>
      <w:pPr>
        <w:spacing w:after="0" w:line="160" w:lineRule="exact"/>
        <w:rPr>
          <w:sz w:val="20"/>
          <w:szCs w:val="20"/>
          <w:color w:val="auto"/>
        </w:rPr>
      </w:pPr>
    </w:p>
    <w:p>
      <w:pPr>
        <w:ind w:left="160" w:right="140"/>
        <w:spacing w:after="0" w:line="272" w:lineRule="auto"/>
        <w:rPr>
          <w:sz w:val="20"/>
          <w:szCs w:val="20"/>
          <w:color w:val="auto"/>
        </w:rPr>
      </w:pPr>
      <w:r>
        <w:rPr>
          <w:rFonts w:ascii="Arial" w:cs="Arial" w:eastAsia="Arial" w:hAnsi="Arial"/>
          <w:sz w:val="17"/>
          <w:szCs w:val="17"/>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283"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68" w:lineRule="exact"/>
        <w:rPr>
          <w:sz w:val="20"/>
          <w:szCs w:val="20"/>
          <w:color w:val="auto"/>
        </w:rPr>
      </w:pPr>
    </w:p>
    <w:p>
      <w:pPr>
        <w:ind w:left="160" w:right="840"/>
        <w:spacing w:after="0" w:line="271" w:lineRule="auto"/>
        <w:rPr>
          <w:sz w:val="20"/>
          <w:szCs w:val="20"/>
          <w:color w:val="auto"/>
        </w:rPr>
      </w:pPr>
      <w:r>
        <w:rPr>
          <w:rFonts w:ascii="Arial" w:cs="Arial" w:eastAsia="Arial" w:hAnsi="Arial"/>
          <w:sz w:val="18"/>
          <w:szCs w:val="18"/>
          <w:color w:val="auto"/>
        </w:rPr>
        <w:t>A significant portion of our total assets consists of goodwill and intangible assets. Goodwill and intangible assets, net, together accounted for approximately 66.9% of total assets on our balance sheet as of March 31, 2020.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00"/>
        <w:spacing w:after="0" w:line="255" w:lineRule="auto"/>
        <w:rPr>
          <w:sz w:val="20"/>
          <w:szCs w:val="20"/>
          <w:color w:val="auto"/>
        </w:rPr>
      </w:pPr>
      <w:r>
        <w:rPr>
          <w:rFonts w:ascii="Arial" w:cs="Arial" w:eastAsia="Arial" w:hAnsi="Arial"/>
          <w:sz w:val="18"/>
          <w:szCs w:val="18"/>
          <w:color w:val="auto"/>
        </w:rPr>
        <w:t>evaluate goodwill and intangible assets for impairment annually at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lease accounting standards may materially and adversely affect us.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Beginning on January 1, 2022, the Financial Accounting Standards Board, or FASB, rules will require that we account for our office space leases as assets and liabilities on our balance sheet. We previously accounted for such leases on an “off-balance sheet” basis. As a result of these changes to the FASB rules, we will be required to record lease-related assets and liabilities on our balance sheet, and the way in which we record and classify our lease-related expenses may change as well. Though these changes will not have any direct effect on our overall financial condition, they will cause the total amount of assets and liabilities we report to increase.</w:t>
      </w:r>
    </w:p>
    <w:p>
      <w:pPr>
        <w:spacing w:after="0" w:line="300"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b w:val="1"/>
          <w:bCs w:val="1"/>
          <w:i w:val="1"/>
          <w:iCs w:val="1"/>
          <w:color w:val="auto"/>
        </w:rPr>
        <w:t>Operating and growing our business may require additional capital, and if capital is not available to us, our business, operating results and financial condition may suffer.</w:t>
      </w:r>
    </w:p>
    <w:p>
      <w:pPr>
        <w:spacing w:after="0" w:line="6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manage future growth effectively, our business, operating results and financial condition would be harmed.</w:t>
      </w:r>
    </w:p>
    <w:p>
      <w:pPr>
        <w:spacing w:after="0" w:line="114" w:lineRule="exact"/>
        <w:rPr>
          <w:sz w:val="20"/>
          <w:szCs w:val="20"/>
          <w:color w:val="auto"/>
        </w:rPr>
      </w:pPr>
    </w:p>
    <w:p>
      <w:pPr>
        <w:ind w:left="160" w:right="100"/>
        <w:spacing w:after="0" w:line="266" w:lineRule="auto"/>
        <w:rPr>
          <w:sz w:val="20"/>
          <w:szCs w:val="20"/>
          <w:color w:val="auto"/>
        </w:rPr>
      </w:pPr>
      <w:r>
        <w:rPr>
          <w:rFonts w:ascii="Arial" w:cs="Arial" w:eastAsia="Arial" w:hAnsi="Arial"/>
          <w:sz w:val="17"/>
          <w:szCs w:val="17"/>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unable to maintain a high level of service, our business, operating results and financial condition may be harmed.</w:t>
      </w:r>
    </w:p>
    <w:p>
      <w:pPr>
        <w:spacing w:after="0" w:line="114"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One of the key attributes of our business is providing high quality service to our carriers and customers. We may be unable to sustain these levels of service, which would harm our reputation and our business. Alternatively,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6"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301"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21"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Foreign Corrupt Practices Act, or 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Global economic conditions could materially and adversely affect our revenue and results of operations.</w:t>
      </w:r>
    </w:p>
    <w:p>
      <w:pPr>
        <w:spacing w:after="0" w:line="114"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86"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183"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6"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Acquisitions of other businesses or technologies could disrupt and harm our business, operating results and financial condition.</w:t>
      </w:r>
    </w:p>
    <w:p>
      <w:pPr>
        <w:spacing w:after="0" w:line="125" w:lineRule="exact"/>
        <w:rPr>
          <w:sz w:val="20"/>
          <w:szCs w:val="20"/>
          <w:color w:val="auto"/>
        </w:rPr>
      </w:pPr>
    </w:p>
    <w:p>
      <w:pPr>
        <w:ind w:left="160" w:right="380"/>
        <w:spacing w:after="0" w:line="259" w:lineRule="auto"/>
        <w:rPr>
          <w:sz w:val="20"/>
          <w:szCs w:val="20"/>
          <w:color w:val="auto"/>
        </w:rPr>
      </w:pPr>
      <w:r>
        <w:rPr>
          <w:rFonts w:ascii="Arial" w:cs="Arial" w:eastAsia="Arial" w:hAnsi="Arial"/>
          <w:sz w:val="18"/>
          <w:szCs w:val="18"/>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92" w:lineRule="exact"/>
        <w:rPr>
          <w:sz w:val="20"/>
          <w:szCs w:val="20"/>
          <w:color w:val="auto"/>
        </w:rPr>
      </w:pPr>
    </w:p>
    <w:p>
      <w:pPr>
        <w:ind w:left="1140" w:right="120" w:hanging="438"/>
        <w:spacing w:after="0" w:line="255"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deferred compensation, goodwill and other intangible assets, or may cause adverse tax consequences, substantial depreciation or deferred compensation charges;</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undertaken for strategic business purposes may negatively impact our results of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implement or improve internal controls, procedures and policies appropriate for a public company at a business that prior to the acquisition lacked these controls, procedures and policies;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acquired businesses may have unexpected liabilities that we will be forced to assume;</w:t>
      </w:r>
    </w:p>
    <w:p>
      <w:pPr>
        <w:spacing w:after="0" w:line="127" w:lineRule="exact"/>
        <w:rPr>
          <w:rFonts w:ascii="Arial" w:cs="Arial" w:eastAsia="Arial" w:hAnsi="Arial"/>
          <w:sz w:val="18"/>
          <w:szCs w:val="18"/>
          <w:color w:val="auto"/>
        </w:rPr>
      </w:pPr>
    </w:p>
    <w:p>
      <w:pPr>
        <w:ind w:left="1140" w:right="60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acquired businesses, products or technologies may not generate sufficient revenue to offset acquisition costs or to maintain our financial results; and</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acquisitions may involve the entry into geographic or business markets in which we have little or no prior experience, such as our acquisition of Creatix which had operations in Slovakia.</w:t>
      </w:r>
    </w:p>
    <w:p>
      <w:pPr>
        <w:spacing w:after="0" w:line="17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We cannot assure you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may not grow if consumers are not informed about the availability and accessibility of affordable health insurance.</w:t>
      </w:r>
    </w:p>
    <w:p>
      <w:pPr>
        <w:spacing w:after="0" w:line="12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Our provision for income taxes is subject to volatility and could be adversely affected by a number of factors, including earnings differing materially from our projections, changes in the valuation of our deferred tax assets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320" w:top="456" w:right="5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and liabilities, expected timing and amount of the release of any tax valuation allowances, tax effects of share-based compensation, outcomes as a result of tax examinations or by changes in tax laws, regulations, accounting principles, including accounting for uncertain tax positions, or interpretations thereof.</w:t>
      </w:r>
    </w:p>
    <w:p>
      <w:pPr>
        <w:spacing w:after="0" w:line="186" w:lineRule="exact"/>
        <w:rPr>
          <w:sz w:val="20"/>
          <w:szCs w:val="20"/>
          <w:color w:val="auto"/>
        </w:rPr>
      </w:pPr>
    </w:p>
    <w:p>
      <w:pPr>
        <w:jc w:val="both"/>
        <w:ind w:left="160" w:right="80"/>
        <w:spacing w:after="0" w:line="284" w:lineRule="auto"/>
        <w:rPr>
          <w:sz w:val="20"/>
          <w:szCs w:val="20"/>
          <w:color w:val="auto"/>
        </w:rPr>
      </w:pPr>
      <w:r>
        <w:rPr>
          <w:rFonts w:ascii="Arial" w:cs="Arial" w:eastAsia="Arial" w:hAnsi="Arial"/>
          <w:sz w:val="16"/>
          <w:szCs w:val="16"/>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 addition, we are subject to examinations of our income tax returns by the Internal Revenue Service, or IRS, and other tax authorities.</w:t>
      </w:r>
    </w:p>
    <w:p>
      <w:pPr>
        <w:spacing w:after="0" w:line="2" w:lineRule="exact"/>
        <w:rPr>
          <w:sz w:val="20"/>
          <w:szCs w:val="20"/>
          <w:color w:val="auto"/>
        </w:rPr>
      </w:pPr>
    </w:p>
    <w:p>
      <w:pPr>
        <w:ind w:left="160" w:right="340"/>
        <w:spacing w:after="0" w:line="318" w:lineRule="auto"/>
        <w:rPr>
          <w:sz w:val="20"/>
          <w:szCs w:val="20"/>
          <w:color w:val="auto"/>
        </w:rPr>
      </w:pPr>
      <w:r>
        <w:rPr>
          <w:rFonts w:ascii="Arial" w:cs="Arial" w:eastAsia="Arial" w:hAnsi="Arial"/>
          <w:sz w:val="16"/>
          <w:szCs w:val="16"/>
          <w:color w:val="auto"/>
        </w:rPr>
        <w:t>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14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On March 27, 2020, in response to the COVID-19 pandemic, the Coronavirus Aid, Relief, and Economic Security Act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continue to evaluate the applicability of the CARES Act to us; however, we believe that the CARES Act will not have a material impact on our business.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79"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180"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29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6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59"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69"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 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456"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our business and operating results.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85"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276"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68" w:lineRule="exact"/>
        <w:rPr>
          <w:sz w:val="20"/>
          <w:szCs w:val="20"/>
          <w:color w:val="auto"/>
        </w:rPr>
      </w:pPr>
    </w:p>
    <w:p>
      <w:pPr>
        <w:ind w:left="160" w:right="280"/>
        <w:spacing w:after="0" w:line="253" w:lineRule="auto"/>
        <w:rPr>
          <w:sz w:val="20"/>
          <w:szCs w:val="20"/>
          <w:color w:val="auto"/>
        </w:rPr>
      </w:pPr>
      <w:r>
        <w:rPr>
          <w:rFonts w:ascii="Arial" w:cs="Arial" w:eastAsia="Arial" w:hAnsi="Arial"/>
          <w:sz w:val="18"/>
          <w:szCs w:val="18"/>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78"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debt obligations contain restrictions that impact our business and expose us to risks that could materially adversely affect our liquidity and financial condition.</w:t>
      </w:r>
    </w:p>
    <w:p>
      <w:pPr>
        <w:spacing w:after="0" w:line="68"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total principal amount of debt outstanding under our Credit Facilities, excluding unamortized debt discount and deferred issuance costs, as of March 31, 2020 was $415.5 million, consisting of $298.5 million and $117.0 million outstanding under our Term Loan Facility and Incremental Term Loan Facility, respectively. Our indebtedness could have significant effects on our business, such as:</w:t>
      </w:r>
    </w:p>
    <w:p>
      <w:pPr>
        <w:spacing w:after="0" w:line="92" w:lineRule="exact"/>
        <w:rPr>
          <w:sz w:val="20"/>
          <w:szCs w:val="20"/>
          <w:color w:val="auto"/>
        </w:rPr>
      </w:pPr>
    </w:p>
    <w:p>
      <w:pPr>
        <w:ind w:left="1140" w:right="26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0" w:lineRule="exact"/>
        <w:rPr>
          <w:rFonts w:ascii="Arial" w:cs="Arial" w:eastAsia="Arial" w:hAnsi="Arial"/>
          <w:sz w:val="16"/>
          <w:szCs w:val="16"/>
          <w:color w:val="auto"/>
        </w:rPr>
      </w:pPr>
    </w:p>
    <w:p>
      <w:pPr>
        <w:ind w:left="1140" w:hanging="438"/>
        <w:spacing w:after="0" w:line="259"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92"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40"/>
          </w:cols>
          <w:pgMar w:left="320" w:top="456" w:right="5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Restrictions imposed by our Credit Facilities may materially limit our ability to operate our business and finance our future operations or capital needs.</w:t>
      </w:r>
    </w:p>
    <w:p>
      <w:pPr>
        <w:spacing w:after="0" w:line="6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81" w:lineRule="exact"/>
        <w:rPr>
          <w:sz w:val="20"/>
          <w:szCs w:val="20"/>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w:t>
      </w:r>
    </w:p>
    <w:p>
      <w:pPr>
        <w:spacing w:after="0" w:line="17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90"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Developments with respect to LIBOR may affect our borrowings under our Credit Facilities.</w:t>
      </w:r>
    </w:p>
    <w:p>
      <w:pPr>
        <w:spacing w:after="0" w:line="114"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Regulators and law enforcement agencies in the U.K. and elsewhere are conducting civil and criminal investigations into whether the banks that contribute to the British Bankers’ Association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quotes after 2021.</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40"/>
          </w:cols>
          <w:pgMar w:left="320" w:top="456" w:right="5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18" w:lineRule="exact"/>
        <w:rPr>
          <w:sz w:val="20"/>
          <w:szCs w:val="20"/>
          <w:color w:val="auto"/>
        </w:rPr>
      </w:pPr>
    </w:p>
    <w:p>
      <w:pPr>
        <w:ind w:left="160" w:right="360"/>
        <w:spacing w:after="0" w:line="307" w:lineRule="auto"/>
        <w:rPr>
          <w:sz w:val="20"/>
          <w:szCs w:val="20"/>
          <w:color w:val="auto"/>
        </w:rPr>
      </w:pPr>
      <w:r>
        <w:rPr>
          <w:rFonts w:ascii="Arial" w:cs="Arial" w:eastAsia="Arial" w:hAnsi="Arial"/>
          <w:sz w:val="16"/>
          <w:szCs w:val="16"/>
          <w:b w:val="1"/>
          <w:bCs w:val="1"/>
          <w:i w:val="1"/>
          <w:iCs w:val="1"/>
          <w:color w:val="auto"/>
        </w:rPr>
        <w:t>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43"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80"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GoHealth Holdings, LLC will continue to be treated as a partnership for U.S. federal income tax purposes and, as such, generally will not be subject to any entity-level U.S. federal income tax. Instead, any taxable income of GoHealth Holdings, LLC will be allocated to holders of LLC Interests, including us. Accordingly, we will incur income taxes on our allocable share of any net taxable income of GoHealth Holdings, LLC. Under the terms of the GoHealth Holdings, LLC Agreement, GoHealth Holdings, LLC will be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could be significant. See “Certain Relationships and Related Party Transactions—Tax Receivable Agreement.”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Party Transactions—Tax Receivable Agreement” and “Certain Relationships and Related Party Transactions— GoHealth Holdings, LLC Agreement— Agreement in Effect Upon Consummation of the Transactions—Distributions.” In addition, if GoHealth Holdings, LLC does not have sufficient funds to make distributions, our ability to declare and pay cash dividends will also be restricted or impaired. See “—Risks Related to the Offering and Ownership of our Class A Common Stock” and “Dividend Policy.”</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68"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In connection with the consummation of this offering, we will enter into a Tax Receivable Agreement with GoHealth Holdings, LLC and each of the Continuing Equity Owners and Blocker Shareholders. Under the Tax Receivable Agreement, we will be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Transactions—GoHealth Holdings, LLC Agreement— Agreement in Effect Upon Consummation of the Transactions—Common Unit Redemption Right,” and (c) certain distributions (or deemed distributions) by GoHealth Holdings, LLC; and (3) certain other tax benefits arising from payments under the Tax Receivable Agreement. We expect that the amount of the cash payments we will be required to make under the Tax Receivable Agreement will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7"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4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will enter into the Tax Receivable Agreement with GoHealth Holdings, LLC and the Continuing Equity Owners and the Blocker Shareholders in connection with the completion of this offering and the Transactions, which will provide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 GoHealth Holdings, LLC Agreement—Agreement in Effect Upon Consummation of the Transactions— Common Unit Redemption Right” and (c) certain distributions (or deemed distributions) by GoHealth Holdings, LLC; and (3) certain other tax benefits arising from payments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the Class A common stock.</w:t>
      </w:r>
    </w:p>
    <w:p>
      <w:pPr>
        <w:spacing w:after="0" w:line="279" w:lineRule="exact"/>
        <w:rPr>
          <w:sz w:val="20"/>
          <w:szCs w:val="20"/>
          <w:color w:val="auto"/>
        </w:rPr>
      </w:pPr>
    </w:p>
    <w:p>
      <w:pPr>
        <w:ind w:left="160" w:right="60"/>
        <w:spacing w:after="0" w:line="335"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Tax Receivable Agreement will provide that if (1) we materially breach any of our material obligations under the Tax Receivable Agreement,</w:t>
      </w:r>
    </w:p>
    <w:p>
      <w:pPr>
        <w:spacing w:after="0" w:line="31" w:lineRule="exact"/>
        <w:rPr>
          <w:sz w:val="20"/>
          <w:szCs w:val="20"/>
          <w:color w:val="auto"/>
        </w:rPr>
      </w:pPr>
    </w:p>
    <w:p>
      <w:pPr>
        <w:ind w:left="160" w:right="100" w:firstLine="7"/>
        <w:spacing w:after="0" w:line="270" w:lineRule="auto"/>
        <w:tabs>
          <w:tab w:leader="none" w:pos="412"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mergers, asset sales, other forms of business combinations or other changes of control were to occur after the consummation of this offering,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7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Agreement to the extent our cash resources are insufficient to meet our obligations under the Tax Receivable Agreement as a result of timing discrepancies or otherwise.</w:t>
      </w:r>
    </w:p>
    <w:p>
      <w:pPr>
        <w:spacing w:after="0" w:line="281"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277"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68"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81" w:lineRule="exact"/>
        <w:rPr>
          <w:sz w:val="20"/>
          <w:szCs w:val="20"/>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 or</w:t>
      </w:r>
    </w:p>
    <w:p>
      <w:pPr>
        <w:spacing w:after="0" w:line="127"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81" w:lineRule="exact"/>
        <w:rPr>
          <w:sz w:val="20"/>
          <w:szCs w:val="20"/>
          <w:color w:val="auto"/>
        </w:rPr>
      </w:pPr>
    </w:p>
    <w:p>
      <w:pPr>
        <w:jc w:val="both"/>
        <w:ind w:left="160" w:right="180"/>
        <w:spacing w:after="0" w:line="259"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w:t>
      </w:r>
    </w:p>
    <w:p>
      <w:pPr>
        <w:spacing w:after="0" w:line="43" w:lineRule="exact"/>
        <w:rPr>
          <w:sz w:val="20"/>
          <w:szCs w:val="20"/>
          <w:color w:val="auto"/>
        </w:rPr>
      </w:pPr>
    </w:p>
    <w:p>
      <w:pPr>
        <w:ind w:left="160" w:right="100" w:firstLine="7"/>
        <w:spacing w:after="0" w:line="292" w:lineRule="auto"/>
        <w:tabs>
          <w:tab w:leader="none" w:pos="41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2"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and GoHealth Holdings, LLC intend to conduct our operations so that we will not be deemed an investment company. As the sole managing member of GoHealth Holdings, LLC, we will control and operate GoHealth Holdings, LLC. On that basis, we believe 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193"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118"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b w:val="1"/>
          <w:bCs w:val="1"/>
          <w:i w:val="1"/>
          <w:iCs w:val="1"/>
          <w:color w:val="auto"/>
        </w:rPr>
        <w:t>The Founders and Centerbridge will continue to have significant influence over us after this offering, including control over decisions that require the approval of stockholders.</w:t>
      </w:r>
    </w:p>
    <w:p>
      <w:pPr>
        <w:spacing w:after="0" w:line="6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Upon consummation of this offering, the Founders and Centerbridge will control, in the aggregate, approximately 70.8% of the voting power represented by all our outstanding classes of stock. As a result, the Founders and Centerbridge will continue to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spacing w:after="0" w:line="17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color w:val="auto"/>
        </w:rPr>
        <w:t>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spacing w:after="0" w:line="152"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Further,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See “—Our amended and restated certificate of incorporation provides that the doctrine of “corporate opportunity” will not apply with respect to any director or stockholder who is not employed by us or our subsidiaries.”</w:t>
      </w:r>
    </w:p>
    <w:p>
      <w:pPr>
        <w:spacing w:after="0" w:line="190"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 See “Description of Capital Stock—Corporate Opportunity Doctrine.”</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market price of our Class A common stock.</w:t>
      </w:r>
    </w:p>
    <w:p>
      <w:pPr>
        <w:spacing w:after="0" w:line="114"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93"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79"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After the consummation of the Transactions, NVX Holdings and Centerbridge will have more than 50% of the voting power for the election of directors, and, as a result, we will be considered a “controlled company” within the meaning of the Nasdaq rules. As such, we will qualify for, and intend to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60"/>
          </w:cols>
          <w:pgMar w:left="320" w:top="456" w:right="5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directors who are considered independent are free of any conflicting interest that could influence their actions as directors. Following this offering, we intend to utilize certain exemptions afforded to a “controlled company.” As a result, we will not be subject to certain corporate governance requirements, including that a majority of our board of directors consists of “independent directors,” as defined under the Nasdaq rules. In addition, we will not be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64" w:lineRule="exact"/>
        <w:rPr>
          <w:sz w:val="20"/>
          <w:szCs w:val="20"/>
          <w:color w:val="auto"/>
        </w:rPr>
      </w:pPr>
    </w:p>
    <w:p>
      <w:pPr>
        <w:ind w:left="160" w:right="620"/>
        <w:spacing w:after="0" w:line="259"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137"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97" w:lineRule="exact"/>
        <w:rPr>
          <w:sz w:val="20"/>
          <w:szCs w:val="20"/>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w:t>
      </w:r>
    </w:p>
    <w:p>
      <w:pPr>
        <w:spacing w:after="0" w:line="150" w:lineRule="exact"/>
        <w:rPr>
          <w:rFonts w:ascii="Arial" w:cs="Arial" w:eastAsia="Arial" w:hAnsi="Arial"/>
          <w:sz w:val="16"/>
          <w:szCs w:val="16"/>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27" w:lineRule="exact"/>
        <w:rPr>
          <w:rFonts w:ascii="Arial" w:cs="Arial" w:eastAsia="Arial" w:hAnsi="Arial"/>
          <w:sz w:val="18"/>
          <w:szCs w:val="18"/>
          <w:color w:val="auto"/>
        </w:rPr>
      </w:pPr>
    </w:p>
    <w:p>
      <w:pPr>
        <w:ind w:left="1020" w:right="400" w:hanging="425"/>
        <w:spacing w:after="0" w:line="27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the rights of the holders of any preferred stock and the terms of the Stockholders Agreement, the number of directors shall be determined exclusively by the a majority of the whole board or directors;</w:t>
      </w:r>
    </w:p>
    <w:p>
      <w:pPr>
        <w:spacing w:after="0" w:line="80" w:lineRule="exact"/>
        <w:rPr>
          <w:rFonts w:ascii="Arial" w:cs="Arial" w:eastAsia="Arial" w:hAnsi="Arial"/>
          <w:sz w:val="18"/>
          <w:szCs w:val="18"/>
          <w:color w:val="auto"/>
        </w:rPr>
      </w:pPr>
    </w:p>
    <w:p>
      <w:pPr>
        <w:jc w:val="both"/>
        <w:ind w:left="1020" w:right="120" w:hanging="425"/>
        <w:spacing w:after="0" w:line="25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 (other than directors appointed pursuant to the Stockholders Agreement, who may be removed with or without cause in accordance with the terms of the Stockholders Agreement);</w:t>
      </w:r>
    </w:p>
    <w:p>
      <w:pPr>
        <w:spacing w:after="0" w:line="92" w:lineRule="exact"/>
        <w:rPr>
          <w:rFonts w:ascii="Arial" w:cs="Arial" w:eastAsia="Arial" w:hAnsi="Arial"/>
          <w:sz w:val="18"/>
          <w:szCs w:val="18"/>
          <w:color w:val="auto"/>
        </w:rPr>
      </w:pPr>
    </w:p>
    <w:p>
      <w:pPr>
        <w:ind w:left="1020" w:right="540" w:hanging="425"/>
        <w:spacing w:after="0" w:line="27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any time when Centerbridge beneficially owns, in the aggregate, less than 40% of the voting power entitled to vote generally in the election our directors, that stockholders may not act by written consent; and</w:t>
      </w:r>
    </w:p>
    <w:p>
      <w:pPr>
        <w:spacing w:after="0" w:line="80" w:lineRule="exact"/>
        <w:rPr>
          <w:rFonts w:ascii="Arial" w:cs="Arial" w:eastAsia="Arial" w:hAnsi="Arial"/>
          <w:sz w:val="18"/>
          <w:szCs w:val="18"/>
          <w:color w:val="auto"/>
        </w:rPr>
      </w:pPr>
    </w:p>
    <w:p>
      <w:pPr>
        <w:ind w:left="1020" w:right="200" w:hanging="425"/>
        <w:spacing w:after="0" w:line="293"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any time when Centerbridge beneficially owns, in the aggregate, less than 40% of the voting power entitled to vote generally in the election our directors, that certain provisions of amended and restated certificate of incorporation may be amended only by the affirmative vote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represented by our then-outstanding common stock.</w:t>
      </w:r>
    </w:p>
    <w:p>
      <w:pPr>
        <w:spacing w:after="0" w:line="140"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52"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15% or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will not be deemed to be interested stockholders regardless of the percentage of our outstanding voting stock owned by them, and accordingly will not be subject to such restrictions. See “Description of Capital Stock.”</w:t>
      </w:r>
    </w:p>
    <w:p>
      <w:pPr>
        <w:spacing w:after="0" w:line="297"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79"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92" w:lineRule="exact"/>
        <w:rPr>
          <w:sz w:val="20"/>
          <w:szCs w:val="20"/>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$1.07 billion in nonconvertible debt; and</w:t>
      </w:r>
    </w:p>
    <w:p>
      <w:pPr>
        <w:spacing w:after="0" w:line="127" w:lineRule="exact"/>
        <w:rPr>
          <w:rFonts w:ascii="Arial" w:cs="Arial" w:eastAsia="Arial" w:hAnsi="Arial"/>
          <w:sz w:val="18"/>
          <w:szCs w:val="18"/>
          <w:color w:val="auto"/>
        </w:rPr>
      </w:pPr>
    </w:p>
    <w:p>
      <w:pPr>
        <w:ind w:left="1020" w:right="180" w:hanging="425"/>
        <w:spacing w:after="0" w:line="25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 (3) has filed at least one annual report pursuant to the Exchange Act.</w:t>
      </w:r>
    </w:p>
    <w:p>
      <w:pPr>
        <w:spacing w:after="0" w:line="193"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Under this definition, we will be an “emerging growth company” upon completion of this offering and could remain an “emerging growth company” until as late as the fifth anniversary of the completion of this offering. For so long as we are an “emerging growth company,” we will, among other things:</w:t>
      </w:r>
    </w:p>
    <w:p>
      <w:pPr>
        <w:spacing w:after="0" w:line="92" w:lineRule="exact"/>
        <w:rPr>
          <w:sz w:val="20"/>
          <w:szCs w:val="20"/>
          <w:color w:val="auto"/>
        </w:rPr>
      </w:pPr>
    </w:p>
    <w:p>
      <w:pPr>
        <w:ind w:left="1020" w:hanging="42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 be required to hold a nonbinding advisory stockholder vote on executive compensation pursuant to Section 14A(a) of the Exchange Act;</w:t>
      </w:r>
    </w:p>
    <w:p>
      <w:pPr>
        <w:spacing w:after="0" w:line="150" w:lineRule="exact"/>
        <w:rPr>
          <w:rFonts w:ascii="Arial" w:cs="Arial" w:eastAsia="Arial" w:hAnsi="Arial"/>
          <w:sz w:val="16"/>
          <w:szCs w:val="16"/>
          <w:color w:val="auto"/>
        </w:rPr>
      </w:pPr>
    </w:p>
    <w:p>
      <w:pPr>
        <w:ind w:left="1020" w:right="120" w:hanging="425"/>
        <w:spacing w:after="0" w:line="27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80" w:lineRule="exact"/>
        <w:rPr>
          <w:rFonts w:ascii="Arial" w:cs="Arial" w:eastAsia="Arial" w:hAnsi="Arial"/>
          <w:sz w:val="18"/>
          <w:szCs w:val="18"/>
          <w:color w:val="auto"/>
        </w:rPr>
      </w:pPr>
    </w:p>
    <w:p>
      <w:pPr>
        <w:ind w:left="1020" w:right="100" w:hanging="425"/>
        <w:spacing w:after="0" w:line="27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80" w:lineRule="exact"/>
        <w:rPr>
          <w:rFonts w:ascii="Arial" w:cs="Arial" w:eastAsia="Arial" w:hAnsi="Arial"/>
          <w:sz w:val="18"/>
          <w:szCs w:val="18"/>
          <w:color w:val="auto"/>
        </w:rPr>
      </w:pPr>
    </w:p>
    <w:p>
      <w:pPr>
        <w:ind w:left="1020" w:hanging="42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addition, Section 107 of the JOBS Act provides that an emerging growth company can use the extended transition period provided in Section 7(a)(2)</w:t>
      </w:r>
    </w:p>
    <w:p>
      <w:pPr>
        <w:spacing w:after="0" w:line="43" w:lineRule="exact"/>
        <w:rPr>
          <w:sz w:val="20"/>
          <w:szCs w:val="20"/>
          <w:color w:val="auto"/>
        </w:rPr>
      </w:pPr>
    </w:p>
    <w:p>
      <w:pPr>
        <w:jc w:val="both"/>
        <w:ind w:left="160" w:right="80" w:firstLine="7"/>
        <w:spacing w:after="0" w:line="270" w:lineRule="auto"/>
        <w:tabs>
          <w:tab w:leader="none" w:pos="4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320" w:top="456" w:right="5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93" w:lineRule="exact"/>
        <w:rPr>
          <w:sz w:val="20"/>
          <w:szCs w:val="20"/>
          <w:color w:val="auto"/>
        </w:rPr>
      </w:pPr>
    </w:p>
    <w:p>
      <w:pPr>
        <w:ind w:left="160" w:right="800"/>
        <w:spacing w:after="0" w:line="271" w:lineRule="auto"/>
        <w:rPr>
          <w:sz w:val="20"/>
          <w:szCs w:val="20"/>
          <w:color w:val="auto"/>
        </w:rPr>
      </w:pPr>
      <w:r>
        <w:rPr>
          <w:rFonts w:ascii="Arial" w:cs="Arial" w:eastAsia="Arial" w:hAnsi="Arial"/>
          <w:sz w:val="18"/>
          <w:szCs w:val="18"/>
          <w:b w:val="1"/>
          <w:bCs w:val="1"/>
          <w:i w:val="1"/>
          <w:iCs w:val="1"/>
          <w:color w:val="auto"/>
        </w:rPr>
        <w:t>Our management team will have immediate and broad discretion over the use of the net proceeds from this offering and may not use them effectively.</w:t>
      </w:r>
    </w:p>
    <w:p>
      <w:pPr>
        <w:spacing w:after="0" w:line="68" w:lineRule="exact"/>
        <w:rPr>
          <w:sz w:val="20"/>
          <w:szCs w:val="20"/>
          <w:color w:val="auto"/>
        </w:rPr>
      </w:pPr>
    </w:p>
    <w:p>
      <w:pPr>
        <w:ind w:left="160" w:right="40"/>
        <w:spacing w:after="0" w:line="251" w:lineRule="auto"/>
        <w:rPr>
          <w:sz w:val="20"/>
          <w:szCs w:val="20"/>
          <w:color w:val="auto"/>
        </w:rPr>
      </w:pPr>
      <w:r>
        <w:rPr>
          <w:rFonts w:ascii="Arial" w:cs="Arial" w:eastAsia="Arial" w:hAnsi="Arial"/>
          <w:sz w:val="18"/>
          <w:szCs w:val="18"/>
          <w:color w:val="auto"/>
        </w:rPr>
        <w:t>We currently intend to use a portion of the net proceeds of this offering for general corporate purposes, to the extent any proceeds remain, to support the growth of the business. See “Use of Proceeds.” Our management will have broad discretion in the application of the net proceeds. Our shareholders may not agree with how our management chooses to allocate the net proceeds from this offering. The failure by our management to apply these funds effectively could have a material adverse effect on our business, financial condition, and results of operations.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304" w:lineRule="exact"/>
        <w:rPr>
          <w:sz w:val="20"/>
          <w:szCs w:val="20"/>
          <w:color w:val="auto"/>
        </w:rPr>
      </w:pPr>
    </w:p>
    <w:p>
      <w:pPr>
        <w:ind w:left="160" w:right="420"/>
        <w:spacing w:after="0" w:line="335" w:lineRule="auto"/>
        <w:rPr>
          <w:sz w:val="20"/>
          <w:szCs w:val="20"/>
          <w:color w:val="auto"/>
        </w:rPr>
      </w:pPr>
      <w:r>
        <w:rPr>
          <w:rFonts w:ascii="Arial" w:cs="Arial" w:eastAsia="Arial" w:hAnsi="Arial"/>
          <w:sz w:val="16"/>
          <w:szCs w:val="16"/>
          <w:b w:val="1"/>
          <w:bCs w:val="1"/>
          <w:i w:val="1"/>
          <w:iCs w:val="1"/>
          <w:color w:val="auto"/>
        </w:rPr>
        <w:t>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1"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do not anticipate paying any regular cash dividends on our Class A common stock following this offering.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 See “Dividend Policy” for more detail.</w:t>
      </w:r>
    </w:p>
    <w:p>
      <w:pPr>
        <w:spacing w:after="0" w:line="285"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b w:val="1"/>
          <w:bCs w:val="1"/>
          <w:i w:val="1"/>
          <w:iCs w:val="1"/>
          <w:color w:val="auto"/>
        </w:rPr>
        <w:t>No market currently exists for our Class A common stock, and an active, liquid trading market for our Class A common stock may not develop, which may cause our Class A common stock to trade at a discount from the initial offering price and make it difficult for you to sell the Class A common stock you purchase.</w:t>
      </w:r>
    </w:p>
    <w:p>
      <w:pPr>
        <w:spacing w:after="0" w:line="79"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Prior to this offering, there has not been a public market for our Class A common stock. We cannot predict the extent to which investor interest in us will lead to the development of a trading market or how active and liquid that market may become. If an active and liquid trading market does not develop or continue, you may have difficulty selling any of our Class A common stock that you purchase at a price above the price you purchase it or at all. The initial public offering price for the shares was determined by negotiations between us and the underwriters and may not be indicative of prices that will prevail in the open market following this offering. The failure of an active and liquid trading market to develop and continue would likely have a material adverse effect on the value of our Class A common stock. The market price of our Class A common stock may decline below the initial offering price, and you may not be able to sell your shares of our Class A common stock at or above the price you paid in this offering, or at all. An inactive market may also impair our ability to raise capital to continue to fund operations by selling shares and may impair our ability to acquire other companies or technologies by using our shares as consideration.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86"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will not apply with respect to any director or stockholder who is not employed by us or our subsidiaries.</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Any director or stockholder who is not employed by us or our subsidiaries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79" w:lineRule="exact"/>
        <w:rPr>
          <w:sz w:val="20"/>
          <w:szCs w:val="20"/>
          <w:color w:val="auto"/>
        </w:rPr>
      </w:pPr>
    </w:p>
    <w:p>
      <w:pPr>
        <w:ind w:left="160" w:right="340"/>
        <w:spacing w:after="0" w:line="275" w:lineRule="auto"/>
        <w:rPr>
          <w:sz w:val="20"/>
          <w:szCs w:val="20"/>
          <w:color w:val="auto"/>
        </w:rPr>
      </w:pPr>
      <w:r>
        <w:rPr>
          <w:rFonts w:ascii="Arial" w:cs="Arial" w:eastAsia="Arial" w:hAnsi="Arial"/>
          <w:sz w:val="17"/>
          <w:szCs w:val="17"/>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6"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68"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6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93" w:lineRule="exact"/>
        <w:rPr>
          <w:sz w:val="20"/>
          <w:szCs w:val="20"/>
          <w:color w:val="auto"/>
        </w:rPr>
      </w:pPr>
    </w:p>
    <w:p>
      <w:pPr>
        <w:ind w:left="160" w:right="240"/>
        <w:spacing w:after="0" w:line="368" w:lineRule="auto"/>
        <w:rPr>
          <w:sz w:val="20"/>
          <w:szCs w:val="20"/>
          <w:color w:val="auto"/>
        </w:rPr>
      </w:pPr>
      <w:r>
        <w:rPr>
          <w:rFonts w:ascii="Arial" w:cs="Arial" w:eastAsia="Arial" w:hAnsi="Arial"/>
          <w:sz w:val="14"/>
          <w:szCs w:val="14"/>
          <w:b w:val="1"/>
          <w:bCs w:val="1"/>
          <w:i w:val="1"/>
          <w:iCs w:val="1"/>
          <w:color w:val="auto"/>
        </w:rPr>
        <w:t>As a public reporting company, we will be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Upon completion of this offering, we will become a public reporting company subject to the Nasdaq rules and the rules and regulations established from time to time by the SEC.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this offering.</w:t>
      </w:r>
    </w:p>
    <w:p>
      <w:pPr>
        <w:spacing w:after="0" w:line="17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6"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114" w:lineRule="exact"/>
        <w:rPr>
          <w:sz w:val="20"/>
          <w:szCs w:val="20"/>
          <w:color w:val="auto"/>
        </w:rPr>
      </w:pPr>
    </w:p>
    <w:p>
      <w:pPr>
        <w:ind w:left="160" w:right="500"/>
        <w:spacing w:after="0" w:line="255" w:lineRule="auto"/>
        <w:rPr>
          <w:sz w:val="20"/>
          <w:szCs w:val="20"/>
          <w:color w:val="auto"/>
        </w:rPr>
      </w:pPr>
      <w:r>
        <w:rPr>
          <w:rFonts w:ascii="Arial" w:cs="Arial" w:eastAsia="Arial" w:hAnsi="Arial"/>
          <w:sz w:val="18"/>
          <w:szCs w:val="18"/>
          <w:color w:val="auto"/>
        </w:rPr>
        <w:t>Prior to this offering, we operated on a private basis. After this offering, we will be subject to the reporting requirements of the Exchange Act, the Sarbanes-Oxley Act, the Dodd-Frank Act, the listing requirements of</w:t>
      </w:r>
    </w:p>
    <w:p>
      <w:pPr>
        <w:spacing w:after="0" w:line="1"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the Nasdaq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91"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Class A common stock to decline.</w:t>
      </w:r>
    </w:p>
    <w:p>
      <w:pPr>
        <w:spacing w:after="0" w:line="68"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6"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Upon consummation of the Transactions, we will have outstanding a total of 84,182,961 shares of Class A common stock. Of the outstanding shares, the 43,500,000 shares sold in this offering (or 50,025,000 shares if the underwriters exercise in full their option to purchase additional shares) will be freely tradable without restriction or further registration under the Securities Act, other than any shares held by our affiliates. In addition, the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w:t>
      </w:r>
    </w:p>
    <w:p>
      <w:pPr>
        <w:spacing w:after="0" w:line="164" w:lineRule="exact"/>
        <w:rPr>
          <w:sz w:val="20"/>
          <w:szCs w:val="20"/>
          <w:color w:val="auto"/>
        </w:rPr>
      </w:pPr>
    </w:p>
    <w:p>
      <w:pPr>
        <w:ind w:left="160" w:right="40"/>
        <w:spacing w:after="0" w:line="280" w:lineRule="auto"/>
        <w:rPr>
          <w:sz w:val="20"/>
          <w:szCs w:val="20"/>
          <w:color w:val="auto"/>
        </w:rPr>
      </w:pPr>
      <w:r>
        <w:rPr>
          <w:rFonts w:ascii="Arial" w:cs="Arial" w:eastAsia="Arial" w:hAnsi="Arial"/>
          <w:sz w:val="16"/>
          <w:szCs w:val="16"/>
          <w:color w:val="auto"/>
        </w:rPr>
        <w:t>Our directors and executive officers, and substantially all of our stockholders have entered into lock-up agreements with the underwriters prior to the commencement of this offering pursuant to which each of these persons or entities, subject to certain exceptions, for a period of 180 days after the date of this prospectus, may not, without the prior written consent of any two of Goldman Sachs &amp; Co. LLC, BofA Securities, Inc. and Morgan Stanley &amp; Co. LLC,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 securities, whether any such transaction described in clause (1) or</w:t>
      </w:r>
    </w:p>
    <w:p>
      <w:pPr>
        <w:spacing w:after="0" w:line="6" w:lineRule="exact"/>
        <w:rPr>
          <w:sz w:val="20"/>
          <w:szCs w:val="20"/>
          <w:color w:val="auto"/>
        </w:rPr>
      </w:pPr>
    </w:p>
    <w:p>
      <w:pPr>
        <w:ind w:left="160" w:firstLine="7"/>
        <w:spacing w:after="0" w:line="256" w:lineRule="auto"/>
        <w:tabs>
          <w:tab w:leader="none" w:pos="4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above is to be settled by delivery of Class A common stock or such other securities, in cash or otherwise; or (3) make any demand for or exercise any right with respect to the registration of 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shares of our Class A common stock or any security convertible into or exercisable or exchangeable for our common stock. See “Underwriting.”</w:t>
      </w:r>
    </w:p>
    <w:p>
      <w:pPr>
        <w:spacing w:after="0" w:line="232"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In addition, certain of our employees who hold Performance Units, including certain of our executive officers, have entered into lock-up agreements in substantially the same form as the lock-up agreements with the underwriters as further described in the section titled “Executive Compensation—Share-Based Compensation.”</w:t>
      </w:r>
    </w:p>
    <w:p>
      <w:pPr>
        <w:spacing w:after="0" w:line="186"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In addition, we have reserved 6,465,359 shares of Class A common stock for issuance under the 2020 Plan and 808,170 shares of Class A common stock for issuance under the ESPP. Any Class A common stock that we issue under the 2020 Plan or other equity incentive plans that we may adopt in the future would dilute the percentage ownership held by the investors who purchase Class A common stock in this offering.</w:t>
      </w:r>
    </w:p>
    <w:p>
      <w:pPr>
        <w:spacing w:after="0" w:line="169" w:lineRule="exact"/>
        <w:rPr>
          <w:sz w:val="20"/>
          <w:szCs w:val="20"/>
          <w:color w:val="auto"/>
        </w:rPr>
      </w:pPr>
    </w:p>
    <w:p>
      <w:pPr>
        <w:ind w:left="160" w:right="80"/>
        <w:spacing w:after="0" w:line="281"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69"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97"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Our stock price may change significantly following the offering, and you may not be able to resell shares of our Class A common stock at or above the price you paid or at all, and you could lose all or part of your investment as a result.</w:t>
      </w:r>
    </w:p>
    <w:p>
      <w:pPr>
        <w:spacing w:after="0" w:line="68" w:lineRule="exact"/>
        <w:rPr>
          <w:sz w:val="20"/>
          <w:szCs w:val="20"/>
          <w:color w:val="auto"/>
        </w:rPr>
      </w:pPr>
    </w:p>
    <w:p>
      <w:pPr>
        <w:ind w:left="160" w:right="460"/>
        <w:spacing w:after="0" w:line="301" w:lineRule="auto"/>
        <w:rPr>
          <w:sz w:val="20"/>
          <w:szCs w:val="20"/>
          <w:color w:val="auto"/>
        </w:rPr>
      </w:pPr>
      <w:r>
        <w:rPr>
          <w:rFonts w:ascii="Arial" w:cs="Arial" w:eastAsia="Arial" w:hAnsi="Arial"/>
          <w:sz w:val="17"/>
          <w:szCs w:val="17"/>
          <w:color w:val="auto"/>
        </w:rPr>
        <w:t>The initial public offering price for the shares was determined by negotiations between us and the underwriters. You may not be able to resell your shares at or above the initial public offering price due to a number of factors included herein, including the following:</w:t>
      </w:r>
    </w:p>
    <w:p>
      <w:pPr>
        <w:spacing w:after="0" w:line="58" w:lineRule="exact"/>
        <w:rPr>
          <w:sz w:val="20"/>
          <w:szCs w:val="20"/>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27" w:lineRule="exact"/>
        <w:rPr>
          <w:rFonts w:ascii="Arial" w:cs="Arial" w:eastAsia="Arial" w:hAnsi="Arial"/>
          <w:sz w:val="18"/>
          <w:szCs w:val="18"/>
          <w:color w:val="auto"/>
        </w:rPr>
      </w:pPr>
    </w:p>
    <w:p>
      <w:pPr>
        <w:ind w:left="1140" w:right="720" w:hanging="438"/>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technology changes, changes in consumer behavior or changes in merchant relationships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security breaches related to our systems or those of our merchants, affiliates or strategic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global payment companies;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27" w:lineRule="exact"/>
        <w:rPr>
          <w:rFonts w:ascii="Arial" w:cs="Arial" w:eastAsia="Arial" w:hAnsi="Arial"/>
          <w:sz w:val="18"/>
          <w:szCs w:val="18"/>
          <w:color w:val="auto"/>
        </w:rPr>
      </w:pPr>
    </w:p>
    <w:p>
      <w:pPr>
        <w:ind w:left="1140" w:right="620" w:hanging="438"/>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80" w:lineRule="exact"/>
        <w:rPr>
          <w:rFonts w:ascii="Arial" w:cs="Arial" w:eastAsia="Arial" w:hAnsi="Arial"/>
          <w:sz w:val="18"/>
          <w:szCs w:val="18"/>
          <w:color w:val="auto"/>
        </w:rPr>
      </w:pPr>
    </w:p>
    <w:p>
      <w:pPr>
        <w:ind w:left="1140" w:right="180" w:hanging="438"/>
        <w:spacing w:after="0" w:line="27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27"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75"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50" w:lineRule="exact"/>
        <w:rPr>
          <w:sz w:val="20"/>
          <w:szCs w:val="20"/>
          <w:color w:val="auto"/>
        </w:rPr>
      </w:pPr>
    </w:p>
    <w:p>
      <w:pPr>
        <w:ind w:left="160" w:right="340"/>
        <w:spacing w:after="0" w:line="259"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you purchase shares of Class A common stock in this offering, you will suffer immediate and substantial dilution of your investment.</w:t>
      </w:r>
    </w:p>
    <w:p>
      <w:pPr>
        <w:spacing w:after="0" w:line="137"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Class A common stock. Therefore, if you purchase shares of our Class A common stock in this offering, you will pay a price per share that substantially exceeds our pro forma net tangible book value per share after this offering. You will experience immediate dilution of $20.62 per share, representing the difference between our pro forma net tangible book value per share after giving effect to this offering and the initial public offering price. In addition, investors who purchase Class A common stock from us in this offering will have contributed 100% of the aggregate price paid by all purchasers of our outstanding equity but will own only approximately 13.9% of our outstanding equity after this offering. See “Dilution” for more detail, including the calculation of the pro forma net tangible book value per share of our Class A common stock.</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7"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are not limited to, the following:</w:t>
      </w:r>
    </w:p>
    <w:p>
      <w:pPr>
        <w:spacing w:after="0" w:line="81" w:lineRule="exact"/>
        <w:rPr>
          <w:sz w:val="20"/>
          <w:szCs w:val="20"/>
          <w:color w:val="auto"/>
        </w:rPr>
      </w:pPr>
    </w:p>
    <w:p>
      <w:pPr>
        <w:ind w:left="1140" w:hanging="438"/>
        <w:spacing w:after="0"/>
        <w:tabs>
          <w:tab w:leader="none" w:pos="11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comply with the numerous, complex and frequently changing laws regulating the marketing and sale of Medicare plans;</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technology systems failures or capacity constraints interrupting our operations;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significant influence that the Founders and Centerbridge will have over us after the Transactions, including control over decisions that require the approval of stockholders.</w:t>
      </w:r>
    </w:p>
    <w:p>
      <w:pPr>
        <w:spacing w:after="0" w:line="175" w:lineRule="exact"/>
        <w:rPr>
          <w:sz w:val="20"/>
          <w:szCs w:val="20"/>
          <w:color w:val="auto"/>
        </w:rPr>
      </w:pPr>
    </w:p>
    <w:p>
      <w:pPr>
        <w:ind w:left="160" w:right="140"/>
        <w:spacing w:after="0" w:line="28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ORGANIZATIONAL STRUCTURE</w:t>
      </w:r>
    </w:p>
    <w:p>
      <w:pPr>
        <w:spacing w:after="0" w:line="22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GoHealth, Inc., a Delaware corporation, was formed on March 27, 2020 and is the issuer of the Class A common stock offered by this prospectus. Prior to this offering and the Transactions (as defined below), all of our business operations have been conducted through GoHealth Holdings, LLC and its direct and indirect subsidiaries and the Original Equity Owners are the only owners of GoHealth Holdings, LLC. We will consummate the Transactions, excluding this offering, substantially concurrently with or prior to the consummation of this offering.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Existing Organization</w:t>
      </w:r>
    </w:p>
    <w:p>
      <w:pPr>
        <w:spacing w:after="0" w:line="118"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6"/>
          <w:szCs w:val="16"/>
          <w:color w:val="auto"/>
        </w:rPr>
        <w:t>GoHealth Holdings, LLC is treated as a partnership for U.S. federal income tax purposes and, as such is generally not subject to any U.S. federal entity-level income taxes. Taxable income or loss of GoHealth Holdings, LLC is included in the U.S. federal income tax returns of GoHealth Holdings, LLC’s members. Prior to the consummation of this offering, the Original Equity Owners were the only members of GoHealth Holdings, LLC.</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w:t>
      </w:r>
    </w:p>
    <w:p>
      <w:pPr>
        <w:spacing w:after="0" w:line="118" w:lineRule="exact"/>
        <w:rPr>
          <w:sz w:val="20"/>
          <w:szCs w:val="20"/>
          <w:color w:val="auto"/>
        </w:rPr>
      </w:pPr>
    </w:p>
    <w:p>
      <w:pPr>
        <w:ind w:left="160" w:right="780"/>
        <w:spacing w:after="0" w:line="271" w:lineRule="auto"/>
        <w:rPr>
          <w:sz w:val="20"/>
          <w:szCs w:val="20"/>
          <w:color w:val="auto"/>
        </w:rPr>
      </w:pPr>
      <w:r>
        <w:rPr>
          <w:rFonts w:ascii="Arial" w:cs="Arial" w:eastAsia="Arial" w:hAnsi="Arial"/>
          <w:sz w:val="18"/>
          <w:szCs w:val="18"/>
          <w:color w:val="auto"/>
        </w:rPr>
        <w:t>Prior to the Transactions, there will be only one holder of common stock of GoHealth, Inc. We will consummate the following organizational transactions in connection with this offering:</w:t>
      </w:r>
    </w:p>
    <w:p>
      <w:pPr>
        <w:spacing w:after="0" w:line="81" w:lineRule="exact"/>
        <w:rPr>
          <w:sz w:val="20"/>
          <w:szCs w:val="20"/>
          <w:color w:val="auto"/>
        </w:rPr>
      </w:pPr>
    </w:p>
    <w:p>
      <w:pPr>
        <w:ind w:left="1020" w:right="80" w:hanging="425"/>
        <w:spacing w:after="0" w:line="25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 interests in GoHealth Holdings, LLC (including profits units awarded under the existing limited liability company agreement of GoHealth Holdings, LLC) and (2) appoint GoHealth, Inc. as the sole managing member of GoHealth Holdings, LLC upon its acquisition of LLC Interests in connection with this offering;</w:t>
      </w:r>
    </w:p>
    <w:p>
      <w:pPr>
        <w:spacing w:after="0" w:line="99" w:lineRule="exact"/>
        <w:rPr>
          <w:rFonts w:ascii="Arial" w:cs="Arial" w:eastAsia="Arial" w:hAnsi="Arial"/>
          <w:sz w:val="18"/>
          <w:szCs w:val="18"/>
          <w:color w:val="auto"/>
        </w:rPr>
      </w:pPr>
    </w:p>
    <w:p>
      <w:pPr>
        <w:ind w:left="1020" w:right="200" w:hanging="425"/>
        <w:spacing w:after="0" w:line="290"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will amend and restate GoHealth, Inc.’s certificate of incorporation to, among other things, provide for (1) the recapitalization of our outstanding shares of existing common stock into one share of Class A common stock, (2) Class A common stock, with each share of our Class A common stock entitling its holder to one vote per share on all matters presented to our stockholders generally and (3)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70" w:lineRule="exact"/>
        <w:rPr>
          <w:rFonts w:ascii="Arial" w:cs="Arial" w:eastAsia="Arial" w:hAnsi="Arial"/>
          <w:sz w:val="16"/>
          <w:szCs w:val="16"/>
          <w:color w:val="auto"/>
        </w:rPr>
      </w:pPr>
    </w:p>
    <w:p>
      <w:pPr>
        <w:ind w:left="1020" w:right="100" w:hanging="425"/>
        <w:spacing w:after="0" w:line="335"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will issue 229,399,322 shares of our Class B common stock to the Continuing Equity Owners, which is equal to the number of LLC Interests held directly or indirectly by such Continuing Equity Owners immediately following the Transactions, for nominal consideration;</w:t>
      </w:r>
    </w:p>
    <w:p>
      <w:pPr>
        <w:spacing w:after="0" w:line="34" w:lineRule="exact"/>
        <w:rPr>
          <w:rFonts w:ascii="Arial" w:cs="Arial" w:eastAsia="Arial" w:hAnsi="Arial"/>
          <w:sz w:val="16"/>
          <w:szCs w:val="16"/>
          <w:color w:val="auto"/>
        </w:rPr>
      </w:pPr>
    </w:p>
    <w:p>
      <w:pPr>
        <w:jc w:val="both"/>
        <w:ind w:left="1020" w:hanging="425"/>
        <w:spacing w:after="0" w:line="259"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(the “Blocker Merger”) and will issue to the Blocker Shareholders 40,682,961 shares of our Class A common stock and, upon consummation of this offering, $96.2 million in cash to Blocker Shareholders as partial consideration in the Blocker Merger;</w:t>
      </w:r>
    </w:p>
    <w:p>
      <w:pPr>
        <w:spacing w:after="0" w:line="92" w:lineRule="exact"/>
        <w:rPr>
          <w:rFonts w:ascii="Arial" w:cs="Arial" w:eastAsia="Arial" w:hAnsi="Arial"/>
          <w:sz w:val="18"/>
          <w:szCs w:val="18"/>
          <w:color w:val="auto"/>
        </w:rPr>
      </w:pPr>
    </w:p>
    <w:p>
      <w:pPr>
        <w:ind w:left="1020" w:right="260" w:hanging="425"/>
        <w:spacing w:after="0" w:line="275"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will issue 43,500,000 shares of our Class A common stock to the purchasers in this offering (or 50,025,000 shares if the underwriters exercise in full their option to purchase additional shares of Class A common stock) in exchange for net proceeds of approximately $852.0 million (or approximately $981.5 million if the underwriters exercise in full their option to purchase additional shares of Class A common stock), less the underwriting discount and estimated offering expenses payable by us;</w:t>
      </w:r>
    </w:p>
    <w:p>
      <w:pPr>
        <w:spacing w:after="0" w:line="80" w:lineRule="exact"/>
        <w:rPr>
          <w:rFonts w:ascii="Arial" w:cs="Arial" w:eastAsia="Arial" w:hAnsi="Arial"/>
          <w:sz w:val="17"/>
          <w:szCs w:val="17"/>
          <w:color w:val="auto"/>
        </w:rPr>
      </w:pPr>
    </w:p>
    <w:p>
      <w:pPr>
        <w:ind w:left="1020" w:right="60" w:hanging="425"/>
        <w:spacing w:after="0" w:line="25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use the net proceeds from this offering to (i) purchase 38,679,685 newly-issued LLC Interests (or 44,166,647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$96.2 million in cash to the Blocker Shareholders as partial consideration in the Blocker Merger;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320" w:top="456" w:right="5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20" w:hanging="425"/>
        <w:spacing w:after="0" w:line="270"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GoHealth Holdings, LLC intends to use the net proceeds from the sale of LLC Interests to GoHealth, Inc. (i) to pay $508.3 million in cash to partially redeem certain of the LLC Interests held directly or indirectly by the Continuing Equity Owners, (ii) to satisfy in full</w:t>
      </w:r>
    </w:p>
    <w:p>
      <w:pPr>
        <w:spacing w:after="0" w:line="1" w:lineRule="exact"/>
        <w:rPr>
          <w:rFonts w:ascii="Arial" w:cs="Arial" w:eastAsia="Arial" w:hAnsi="Arial"/>
          <w:sz w:val="17"/>
          <w:szCs w:val="17"/>
          <w:color w:val="auto"/>
        </w:rPr>
      </w:pPr>
    </w:p>
    <w:p>
      <w:pPr>
        <w:ind w:left="1020" w:right="40"/>
        <w:spacing w:after="0" w:line="274" w:lineRule="auto"/>
        <w:rPr>
          <w:rFonts w:ascii="Arial" w:cs="Arial" w:eastAsia="Arial" w:hAnsi="Arial"/>
          <w:sz w:val="17"/>
          <w:szCs w:val="17"/>
          <w:color w:val="auto"/>
        </w:rPr>
      </w:pPr>
      <w:r>
        <w:rPr>
          <w:rFonts w:ascii="Arial" w:cs="Arial" w:eastAsia="Arial" w:hAnsi="Arial"/>
          <w:sz w:val="17"/>
          <w:szCs w:val="17"/>
          <w:color w:val="auto"/>
        </w:rPr>
        <w:t>$100.0 million in aggregate face amount of an existing equity instrument in connection with the Transactions (see footnote (4) to the section titled “Unaudited Pro Forma Condensed Consolidated Financial Information”) and (iii) for general corporate purposes, to the extent any proceeds remain, to support the growth of the business, in each case, as described under “Use of Proceeds;” and</w:t>
      </w:r>
    </w:p>
    <w:p>
      <w:pPr>
        <w:spacing w:after="0" w:line="79" w:lineRule="exact"/>
        <w:rPr>
          <w:rFonts w:ascii="Arial" w:cs="Arial" w:eastAsia="Arial" w:hAnsi="Arial"/>
          <w:sz w:val="17"/>
          <w:szCs w:val="17"/>
          <w:color w:val="auto"/>
        </w:rPr>
      </w:pPr>
    </w:p>
    <w:p>
      <w:pPr>
        <w:ind w:left="1020" w:hanging="425"/>
        <w:spacing w:after="0" w:line="275"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GoHealth, Inc. will enter into (1) the Stockholders Agreement with Centerbridge and NVX Holdings,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 Following the Transactions</w:t>
      </w:r>
    </w:p>
    <w:p>
      <w:pPr>
        <w:spacing w:after="0" w:line="131" w:lineRule="exact"/>
        <w:rPr>
          <w:sz w:val="20"/>
          <w:szCs w:val="20"/>
          <w:color w:val="auto"/>
        </w:rPr>
      </w:pPr>
    </w:p>
    <w:p>
      <w:pPr>
        <w:ind w:left="1020" w:right="120" w:hanging="425"/>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80" w:lineRule="exact"/>
        <w:rPr>
          <w:rFonts w:ascii="Arial" w:cs="Arial" w:eastAsia="Arial" w:hAnsi="Arial"/>
          <w:sz w:val="18"/>
          <w:szCs w:val="18"/>
          <w:color w:val="auto"/>
        </w:rPr>
      </w:pPr>
    </w:p>
    <w:p>
      <w:pPr>
        <w:ind w:left="1020" w:right="600" w:hanging="425"/>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0" w:lineRule="exact"/>
        <w:rPr>
          <w:rFonts w:ascii="Arial" w:cs="Arial" w:eastAsia="Arial" w:hAnsi="Arial"/>
          <w:sz w:val="18"/>
          <w:szCs w:val="18"/>
          <w:color w:val="auto"/>
        </w:rPr>
      </w:pPr>
    </w:p>
    <w:p>
      <w:pPr>
        <w:jc w:val="both"/>
        <w:ind w:left="1020" w:right="20" w:hanging="425"/>
        <w:spacing w:after="0" w:line="307"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GoHealth, Inc. will own, directly or indirectly, 84,182,961 LLC Interests of GoHealth Holdings, LLC, representing approximately 26.8% of the economic interest in GoHealth Holdings, LLC (or 89,669,923 LLC Interests, representing approximately 28.6% of the economic interest in GoHealth Holdings, LLC if the underwriters exercise in full their option to purchase additional shares of Class A common stock);</w:t>
      </w:r>
    </w:p>
    <w:p>
      <w:pPr>
        <w:spacing w:after="0" w:line="56" w:lineRule="exact"/>
        <w:rPr>
          <w:rFonts w:ascii="Arial" w:cs="Arial" w:eastAsia="Arial" w:hAnsi="Arial"/>
          <w:sz w:val="16"/>
          <w:szCs w:val="16"/>
          <w:color w:val="auto"/>
        </w:rPr>
      </w:pPr>
    </w:p>
    <w:p>
      <w:pPr>
        <w:ind w:left="1020" w:right="100" w:hanging="425"/>
        <w:spacing w:after="0" w:line="25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Founders will own (1) 96,885,138 LLC Interests of GoHealth Holdings, LLC (excluding 2,081,670 LLC Interests subject to time-based vesting requirements), representing approximately 30.9% of the economic interest in GoHealth Holdings, LLC (or 94,519,313 LLC Interests, representing approximately 30.1% of the economic interest in GoHealth Holdings, LLC if the underwriters exercise in full their option to purchase additional shares of Class A common stock) and (2) 96,885,138 shares of Class B common stock of GoHealth, Inc., representing approximately 30.9% of the combined voting power of all of GoHealth, Inc.’s common stock (or 94,519,313 shares of Class B common stock of GoHealth, Inc., representing approximately 30.1% if the underwriters exercise in full their option to purchase additional shares of Class A common stock);</w:t>
      </w:r>
    </w:p>
    <w:p>
      <w:pPr>
        <w:spacing w:after="0" w:line="102" w:lineRule="exact"/>
        <w:rPr>
          <w:rFonts w:ascii="Arial" w:cs="Arial" w:eastAsia="Arial" w:hAnsi="Arial"/>
          <w:sz w:val="18"/>
          <w:szCs w:val="18"/>
          <w:color w:val="auto"/>
        </w:rPr>
      </w:pPr>
    </w:p>
    <w:p>
      <w:pPr>
        <w:ind w:left="1020" w:right="20" w:hanging="425"/>
        <w:spacing w:after="0" w:line="282"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Centerbridge (through the Blocker Shareholders) will own (1) 40,682,961 shares of Class A common stock of GoHealth, Inc. (or 39,644,923 shares of Class A common stock of GoHealth, Inc. if the underwriters exercise in full their option to purchase additional shares of Class A common stock), representing approximately 13.0% of the combined voting power of all of GoHealth, Inc.’s common stock and approximately 48.3% of the economic interest in GoHealth, Inc. (or approximately 12.6% of the combined voting power and approximately 44.2% of the economic interest if the underwriters exercise in full their option to purchase additional shares of Class A common stock),</w:t>
      </w:r>
    </w:p>
    <w:p>
      <w:pPr>
        <w:spacing w:after="0" w:line="1" w:lineRule="exact"/>
        <w:rPr>
          <w:rFonts w:ascii="Arial" w:cs="Arial" w:eastAsia="Arial" w:hAnsi="Arial"/>
          <w:sz w:val="16"/>
          <w:szCs w:val="16"/>
          <w:color w:val="auto"/>
        </w:rPr>
      </w:pPr>
    </w:p>
    <w:p>
      <w:pPr>
        <w:ind w:left="1020" w:right="180"/>
        <w:spacing w:after="0" w:line="266" w:lineRule="auto"/>
        <w:rPr>
          <w:rFonts w:ascii="Arial" w:cs="Arial" w:eastAsia="Arial" w:hAnsi="Arial"/>
          <w:sz w:val="16"/>
          <w:szCs w:val="16"/>
          <w:color w:val="auto"/>
        </w:rPr>
      </w:pPr>
      <w:r>
        <w:rPr>
          <w:rFonts w:ascii="Arial" w:cs="Arial" w:eastAsia="Arial" w:hAnsi="Arial"/>
          <w:sz w:val="17"/>
          <w:szCs w:val="17"/>
          <w:color w:val="auto"/>
        </w:rPr>
        <w:t>(2) directly through Centerbridge’s ownership of LLC Interests and indirectly through GoHealth, Inc.’s ownership of LLC Interests, approximately 38.7% of the economic interest in GoHealth Holdings, LLC (or approximately 37.7% of the economic interest in GoHealth Holdings, LLC if the underwriters exercise in full their option to purchase additional shares of Class A common stock) and (3) 80,792,677 shares of Class B common stock of GoHealth, Inc., representing approximately 25.8% (and, together with the shares of Class A common stock, 38.7%) of the combined voting power of all of GoHealth, Inc.’s common stock (or 78,731,227 shares of Class B common stock of GoHealth, Inc., representing approximately 25.1% (and, together with the shares of Class A common stock, 37.7%) if the underwriters exercise in full their option to purchase additional shares of Class A common stock); and</w:t>
      </w:r>
    </w:p>
    <w:p>
      <w:pPr>
        <w:spacing w:after="0" w:line="88" w:lineRule="exact"/>
        <w:rPr>
          <w:rFonts w:ascii="Arial" w:cs="Arial" w:eastAsia="Arial" w:hAnsi="Arial"/>
          <w:sz w:val="16"/>
          <w:szCs w:val="16"/>
          <w:color w:val="auto"/>
        </w:rPr>
      </w:pPr>
    </w:p>
    <w:p>
      <w:pPr>
        <w:ind w:left="1020" w:right="100" w:hanging="425"/>
        <w:spacing w:after="0" w:line="27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purchasers in this offering will own (1) 43,500,000 shares of Class A common stock of GoHealth, Inc. (or 50,025,000 shares of Class A common stock of GoHealth, Inc. if the underwriters exercise in full their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option to purchase additional shares of Class A common stock), representing approximately 13.9% of the combined voting power of all of GoHealth, Inc.’s common stock and approximately 51.7% of the economic interest in GoHealth, Inc. (or approximately 16.0% of the combined voting power and approximately 55.8% of the economic interest in GoHealth, Inc. if the underwriters exercise in full their option to purchase additional shares of Class A common stock), and (2) through GoHealth, Inc.’s ownership of LLC Interests, indirectly will hold approximately 13.9% of the economic interest in GoHealth Holdings, LLC (or approximately 16.0% of the economic interest in GoHealth Holdings, LLC if the underwriters exercise in full their option to purchase additional shares of Class A common stock).</w:t>
      </w:r>
    </w:p>
    <w:p>
      <w:pPr>
        <w:spacing w:after="0" w:line="178"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213360</wp:posOffset>
            </wp:positionV>
            <wp:extent cx="4025265" cy="53162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25265" cy="531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6"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right="680" w:hanging="433"/>
        <w:spacing w:after="0" w:line="301" w:lineRule="auto"/>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Investors in this offering will hold approximately 13.9% of the combined voting power of GoHealth, Inc. (or approximately 16.0% of the combined voting power if the underwriters exercise in full their option to purchase additional shares of Class A common stock).</w:t>
      </w:r>
    </w:p>
    <w:p>
      <w:pPr>
        <w:spacing w:after="0" w:line="152"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directly or indirectly by the Continuing Equity Owners.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Incorporation of GoHealth, Inc.</w:t>
      </w:r>
    </w:p>
    <w:p>
      <w:pPr>
        <w:spacing w:after="0" w:line="118"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auto"/>
        </w:rPr>
        <w:t>GoHealth, Inc., the issuer of the Class A common stock offered by this prospectus, was incorporated as a Delaware corporation on March 27, 2020. GoHealth, Inc. has not engaged in any material business or other activities except in connection with its formation and the Transactions. The amended and restated certificate of incorporation of GoHealth, Inc. that will become effective immediately prior to the consummation of this offering will, among other things, (i) recapitalize our outstanding shares of existing common stock into one share of Class A common stock and (ii) authorize two classes of common stock, Class A common stock and Class B common stock, each having the terms described in “Description of Capital Stock.”</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Reclassification and Amendment and Restatement of the GoHealth Holdings, LLC Agreement</w:t>
      </w:r>
    </w:p>
    <w:p>
      <w:pPr>
        <w:spacing w:after="0" w:line="118"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Prior to or substantially concurrently with the consummation of this offering, the existing limited liability company agreement of GoHealth Holdings, LLC will be amended and restated to, among other things, recapitalize its capital structure by creating a single new class of units that we refer to as “common units” and provide for a right of redemption of common units (subject in certain circumstances to time-based vesting requirements and certain other restrictions) in exchange for, at our election (determined by at least two of our independent directors (within the meaning of the Nasdaq rules), who are disinterested), shares of our Class A common stock or cash. See “Certain Relationships and Related Party Transactions—GoHealth Holdings, LLC Agreement.”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We estimate that we will receive net proceeds from this offering of approximately $852.0 million (or $981.5 million if the underwriters exercise in full their option to purchase additional shares of Class A common stock), after deducting the underwriting discount and estimated offering expenses payable by us.</w:t>
      </w:r>
    </w:p>
    <w:p>
      <w:pPr>
        <w:spacing w:after="0" w:line="186" w:lineRule="exact"/>
        <w:rPr>
          <w:sz w:val="20"/>
          <w:szCs w:val="20"/>
          <w:color w:val="auto"/>
        </w:rPr>
      </w:pPr>
    </w:p>
    <w:p>
      <w:pPr>
        <w:ind w:left="160" w:right="100"/>
        <w:spacing w:after="0" w:line="297" w:lineRule="auto"/>
        <w:rPr>
          <w:sz w:val="20"/>
          <w:szCs w:val="20"/>
          <w:color w:val="auto"/>
        </w:rPr>
      </w:pPr>
      <w:r>
        <w:rPr>
          <w:rFonts w:ascii="Arial" w:cs="Arial" w:eastAsia="Arial" w:hAnsi="Arial"/>
          <w:sz w:val="16"/>
          <w:szCs w:val="16"/>
          <w:color w:val="auto"/>
        </w:rPr>
        <w:t>We intend to use the net proceeds from this offering to (i) purchase 38,679,685 newly-issued LLC Interests (or 44,166,647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$96.2 million in cash to the Blocker Shareholders as partial consideration in the Blocker Merger.</w:t>
      </w:r>
    </w:p>
    <w:p>
      <w:pPr>
        <w:spacing w:after="0" w:line="159" w:lineRule="exact"/>
        <w:rPr>
          <w:sz w:val="20"/>
          <w:szCs w:val="20"/>
          <w:color w:val="auto"/>
        </w:rPr>
      </w:pPr>
    </w:p>
    <w:p>
      <w:pPr>
        <w:ind w:left="160" w:right="60"/>
        <w:spacing w:after="0" w:line="297" w:lineRule="auto"/>
        <w:rPr>
          <w:sz w:val="20"/>
          <w:szCs w:val="20"/>
          <w:color w:val="auto"/>
        </w:rPr>
      </w:pPr>
      <w:r>
        <w:rPr>
          <w:rFonts w:ascii="Arial" w:cs="Arial" w:eastAsia="Arial" w:hAnsi="Arial"/>
          <w:sz w:val="16"/>
          <w:szCs w:val="16"/>
          <w:color w:val="auto"/>
        </w:rPr>
        <w:t>GoHealth Holdings, LLC intends to use the net proceeds from the sale of LLC Interests to GoHealth, Inc. (i) to pay $508.3 million in cash to partially redeem certain of the LLC Interests held directly or indirectly by the Continuing Equity Owners, (ii) to satisfy in full $100.0 million in aggregate face amount of an existing equity instrument in connection with the Transactions (see footnote (4) to the section titled “Unaudited Pro Forma Condensed Consolidated Financial Information”) and (iii) for general corporate purposes, to the extent any proceeds remain, to support the growth of the business.</w:t>
      </w:r>
    </w:p>
    <w:p>
      <w:pPr>
        <w:spacing w:after="0" w:line="159"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auto"/>
        </w:rPr>
        <w:t>GoHealth Holdings, LLC will bear or reimburse GoHealth, Inc. for all of the expenses incurred in connection with the Transactions, including this offering.</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320" w:top="456" w:right="5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cash and capitalization as of March 31, 2020, as follows:</w:t>
      </w:r>
    </w:p>
    <w:p>
      <w:pPr>
        <w:spacing w:after="0" w:line="127" w:lineRule="exact"/>
        <w:rPr>
          <w:sz w:val="20"/>
          <w:szCs w:val="20"/>
          <w:color w:val="auto"/>
        </w:rPr>
      </w:pPr>
    </w:p>
    <w:p>
      <w:pPr>
        <w:ind w:left="1140" w:hanging="438"/>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GoHealth Holdings, LLC and its subsidiaries on a historical basis;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GoHealth, Inc. and its subsidiaries on a pro forma basis to give effect to the Transactions, excluding this offering; and</w:t>
      </w:r>
    </w:p>
    <w:p>
      <w:pPr>
        <w:spacing w:after="0" w:line="127" w:lineRule="exact"/>
        <w:rPr>
          <w:rFonts w:ascii="Arial" w:cs="Arial" w:eastAsia="Arial" w:hAnsi="Arial"/>
          <w:sz w:val="18"/>
          <w:szCs w:val="18"/>
          <w:color w:val="auto"/>
        </w:rPr>
      </w:pPr>
    </w:p>
    <w:p>
      <w:pPr>
        <w:jc w:val="both"/>
        <w:ind w:left="1140" w:right="100" w:hanging="438"/>
        <w:spacing w:after="0" w:line="307" w:lineRule="auto"/>
        <w:tabs>
          <w:tab w:leader="none" w:pos="1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of GoHealth, Inc. and its subsidiaries on a pro forma as adjusted basis to give effect to the Transactions, including the sale of the shares of Class A common stock in this offering at an initial public offering price of $21.00 per share, after deducting the underwriting discount and estimated offering expenses payable by us, and the application of the net proceeds therefrom as described under “Use of Proceeds.”</w:t>
      </w:r>
    </w:p>
    <w:p>
      <w:pPr>
        <w:spacing w:after="0" w:line="150"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For more information, please see “Our Organizational Structure,” “Use of Proceeds” and “Unaudited Pro Forma Condensed Consolidated Financial Information” included elsewhere in this prospectus. You should read this information in conjunction with our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March 31, 2020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40"/>
              <w:spacing w:after="0" w:line="118" w:lineRule="exact"/>
              <w:rPr>
                <w:sz w:val="20"/>
                <w:szCs w:val="20"/>
                <w:color w:val="auto"/>
              </w:rPr>
            </w:pPr>
            <w:r>
              <w:rPr>
                <w:rFonts w:ascii="Arial" w:cs="Arial" w:eastAsia="Arial" w:hAnsi="Arial"/>
                <w:sz w:val="13"/>
                <w:szCs w:val="13"/>
                <w:b w:val="1"/>
                <w:bCs w:val="1"/>
                <w:color w:val="auto"/>
              </w:rPr>
              <w:t>GoHealth</w:t>
            </w:r>
          </w:p>
        </w:tc>
        <w:tc>
          <w:tcPr>
            <w:tcW w:w="30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GoHealth, Inc.</w:t>
            </w:r>
          </w:p>
        </w:tc>
        <w:tc>
          <w:tcPr>
            <w:tcW w:w="9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GoHealth, Inc.</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0"/>
        </w:trPr>
        <w:tc>
          <w:tcPr>
            <w:tcW w:w="72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and share amounts)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LLC Historical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15"/>
                <w:szCs w:val="15"/>
                <w:color w:val="auto"/>
              </w:rPr>
              <w:t>(1)</w:t>
            </w: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Facility</w:t>
            </w:r>
            <w:r>
              <w:rPr>
                <w:rFonts w:ascii="Arial" w:cs="Arial" w:eastAsia="Arial" w:hAnsi="Arial"/>
                <w:sz w:val="15"/>
                <w:szCs w:val="15"/>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290,834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Incremental Term Loan Facility</w:t>
            </w:r>
            <w:r>
              <w:rPr>
                <w:rFonts w:ascii="Arial" w:cs="Arial" w:eastAsia="Arial" w:hAnsi="Arial"/>
                <w:sz w:val="15"/>
                <w:szCs w:val="15"/>
                <w:color w:val="auto"/>
              </w:rPr>
              <w:t>(2)</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401,822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401,822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Members’/stockholders’ equity:</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Preferred units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546,972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Class A common units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tcPr>
          <w:p>
            <w:pPr>
              <w:ind w:left="700"/>
              <w:spacing w:after="0"/>
              <w:rPr>
                <w:sz w:val="20"/>
                <w:szCs w:val="20"/>
                <w:color w:val="auto"/>
              </w:rPr>
            </w:pPr>
            <w:r>
              <w:rPr>
                <w:rFonts w:ascii="Arial" w:cs="Arial" w:eastAsia="Arial" w:hAnsi="Arial"/>
                <w:sz w:val="18"/>
                <w:szCs w:val="18"/>
                <w:color w:val="auto"/>
              </w:rPr>
              <w:t>Class B common units</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103,593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4"/>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7180" w:type="dxa"/>
            <w:vAlign w:val="bottom"/>
            <w:gridSpan w:val="2"/>
            <w:shd w:val="clear" w:color="auto" w:fill="CCEEFF"/>
          </w:tcPr>
          <w:p>
            <w:pPr>
              <w:ind w:left="700"/>
              <w:spacing w:after="0" w:line="200" w:lineRule="exact"/>
              <w:rPr>
                <w:sz w:val="20"/>
                <w:szCs w:val="20"/>
                <w:color w:val="auto"/>
              </w:rPr>
            </w:pPr>
            <w:r>
              <w:rPr>
                <w:rFonts w:ascii="Arial" w:cs="Arial" w:eastAsia="Arial" w:hAnsi="Arial"/>
                <w:sz w:val="18"/>
                <w:szCs w:val="18"/>
                <w:color w:val="auto"/>
                <w:w w:val="92"/>
              </w:rPr>
              <w:t>Class A common stock, par value $0.0001 per share; 1,100,000,000 shares authorized,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7"/>
              </w:rPr>
              <w:t>40,682,961 shares issued and outstanding, pro forma; and 1,100,000,000 shares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authorized, 84,182,961 shares issued and outstanding, pro forma as adjusted</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0"/>
        </w:trPr>
        <w:tc>
          <w:tcPr>
            <w:tcW w:w="20" w:type="dxa"/>
            <w:vAlign w:val="bottom"/>
          </w:tcPr>
          <w:p>
            <w:pPr>
              <w:spacing w:after="0"/>
              <w:rPr>
                <w:sz w:val="17"/>
                <w:szCs w:val="17"/>
                <w:color w:val="auto"/>
              </w:rPr>
            </w:pPr>
          </w:p>
        </w:tc>
        <w:tc>
          <w:tcPr>
            <w:tcW w:w="7180" w:type="dxa"/>
            <w:vAlign w:val="bottom"/>
            <w:gridSpan w:val="2"/>
          </w:tcPr>
          <w:p>
            <w:pPr>
              <w:ind w:left="700"/>
              <w:spacing w:after="0" w:line="200" w:lineRule="exact"/>
              <w:rPr>
                <w:sz w:val="20"/>
                <w:szCs w:val="20"/>
                <w:color w:val="auto"/>
              </w:rPr>
            </w:pPr>
            <w:r>
              <w:rPr>
                <w:rFonts w:ascii="Arial" w:cs="Arial" w:eastAsia="Arial" w:hAnsi="Arial"/>
                <w:sz w:val="18"/>
                <w:szCs w:val="18"/>
                <w:color w:val="auto"/>
                <w:w w:val="94"/>
              </w:rPr>
              <w:t>Class B common stock, par value $0.0001 per share; 690,000,000 shares authorized,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tcPr>
          <w:p>
            <w:pPr>
              <w:ind w:left="880"/>
              <w:spacing w:after="0"/>
              <w:rPr>
                <w:sz w:val="20"/>
                <w:szCs w:val="20"/>
                <w:color w:val="auto"/>
              </w:rPr>
            </w:pPr>
            <w:r>
              <w:rPr>
                <w:rFonts w:ascii="Arial" w:cs="Arial" w:eastAsia="Arial" w:hAnsi="Arial"/>
                <w:sz w:val="18"/>
                <w:szCs w:val="18"/>
                <w:color w:val="auto"/>
                <w:w w:val="98"/>
              </w:rPr>
              <w:t>254,879,007 shares issued and outstanding, pro forma; and 690,000,000 shares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180" w:type="dxa"/>
            <w:vAlign w:val="bottom"/>
            <w:gridSpan w:val="2"/>
          </w:tcPr>
          <w:p>
            <w:pPr>
              <w:ind w:left="880"/>
              <w:spacing w:after="0"/>
              <w:rPr>
                <w:sz w:val="20"/>
                <w:szCs w:val="20"/>
                <w:color w:val="auto"/>
              </w:rPr>
            </w:pPr>
            <w:r>
              <w:rPr>
                <w:rFonts w:ascii="Arial" w:cs="Arial" w:eastAsia="Arial" w:hAnsi="Arial"/>
                <w:sz w:val="18"/>
                <w:szCs w:val="18"/>
                <w:color w:val="auto"/>
              </w:rPr>
              <w:t>authorized, 229,399,322 shares issued and outstanding, pro forma as adjusted</w:t>
            </w:r>
          </w:p>
        </w:tc>
        <w:tc>
          <w:tcPr>
            <w:tcW w:w="16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5"/>
        </w:trPr>
        <w:tc>
          <w:tcPr>
            <w:tcW w:w="20" w:type="dxa"/>
            <w:vAlign w:val="bottom"/>
          </w:tcPr>
          <w:p>
            <w:pPr>
              <w:spacing w:after="0"/>
              <w:rPr>
                <w:sz w:val="18"/>
                <w:szCs w:val="18"/>
                <w:color w:val="auto"/>
              </w:rPr>
            </w:pPr>
          </w:p>
        </w:tc>
        <w:tc>
          <w:tcPr>
            <w:tcW w:w="7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Additional paid in capital</w:t>
            </w:r>
            <w:r>
              <w:rPr>
                <w:rFonts w:ascii="Arial" w:cs="Arial" w:eastAsia="Arial" w:hAnsi="Arial"/>
                <w:sz w:val="15"/>
                <w:szCs w:val="15"/>
                <w:color w:val="auto"/>
              </w:rPr>
              <w:t>(3)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233,523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393,302</w:t>
            </w:r>
          </w:p>
        </w:tc>
      </w:tr>
      <w:tr>
        <w:trPr>
          <w:trHeight w:val="221"/>
        </w:trPr>
        <w:tc>
          <w:tcPr>
            <w:tcW w:w="20" w:type="dxa"/>
            <w:vAlign w:val="bottom"/>
          </w:tcPr>
          <w:p>
            <w:pPr>
              <w:spacing w:after="0"/>
              <w:rPr>
                <w:sz w:val="19"/>
                <w:szCs w:val="19"/>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(53,839)</w:t>
            </w: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members’/stockholders’ equity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869,602</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233,450</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339,392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180" w:type="dxa"/>
            <w:vAlign w:val="bottom"/>
            <w:gridSpan w:val="2"/>
          </w:tcPr>
          <w:p>
            <w:pPr>
              <w:ind w:left="10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636,152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924,846</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1,271,424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1,271,424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1,666,060</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5540" w:right="3760" w:hanging="5373"/>
        <w:spacing w:after="0" w:line="441" w:lineRule="auto"/>
        <w:tabs>
          <w:tab w:leader="none" w:pos="6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 “Description of Indebtedness” for a description of our currently outstanding indebtedness. 84</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433"/>
        <w:spacing w:after="0" w:line="255"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of $8 million and $6 million of original issue discount and debt issuance costs related to the Term Loan Facility and Incremental Term Loan Facility, respectively.</w:t>
      </w:r>
    </w:p>
    <w:p>
      <w:pPr>
        <w:ind w:left="600" w:hanging="433"/>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of $61.0 million in equity issuance costs.</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880"/>
          </w:cols>
          <w:pgMar w:left="320" w:top="456" w:right="6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Furthermore, because we are a holding company, our ability to pay cash dividends on our Class A common stock depends on our receipt of cash distributions from GoHealth Holdings, LLC and, through GoHealth Holdings, LLC, cash distributions and dividends from our other direct and indirect subsidiaries. Our ability to pay dividends may be restricted by the terms of any future credit agreement or any future debt or preferred equity securities of us or our subsidiaries. See “Description of Capital Stock,” “Description of Indebtedness” and “Management’s Discussion and Analysis of Financial Condition and Results of Operation—Liquidity and Capital Resources.”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8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Accordingly, you may need to sell your shares of our Class A common stock to realize a return on your investment, and you may not be able to sell your shares at or above the price you paid for them. See “Risk Factors—Risks Related to the Offering and Ownership of our Class A Common Stock— 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74"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Immediately following this offering, we will be a holding company, and our principal asset will be the LLC Interests we purchase from GoHealth Holdings, LLC. If we decide to pay a dividend in the future, we would need to cause GoHealth Holdings, LLC to make distributions to us in an amount sufficient to cover such dividend. If GoHealth Holdings, LLC makes such distributions to us, the other holders of LLC Interests will be entitled to receive pro rata distributions. See “Risk Factors—Risks Related to Our Organizational Structure—Our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6"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The Continuing Equity Owners will own LLC Interests after the Transactions. Because the Continuing Equity Owners do not own any Class A common stock or have any right to receive distributions from GoHealth, Inc., we have presented dilution in pro forma net tangible book value per share both before and after this offering assuming that all of the holders of LLC Interests (other than GoHealth, Inc.) had their LLC Interests redeemed or exchanged for newly-issued shares of Class A common stock on a one-for-one basis (rather than for cash) and the transfer to the Company and cancellation for no consideration of all of their shares of Class B common stock (which are not entitled to receive distributions or dividends, whether cash or stock from GoHealth, Inc.) in order to more meaningfully present the dilutive impact on the investors in this offering. We refer to the assumed redemption or exchange of all LLC Interests for shares of Class A common stock as described in the previous sentence as the Assumed Redemption.</w:t>
      </w:r>
    </w:p>
    <w:p>
      <w:pPr>
        <w:spacing w:after="0" w:line="166"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Dilution is the amount by which the offering price paid by the purchasers of the Class A common stock in this offering exceeds the pro forma net tangible book value per share of Class A common stock after the offering. GoHealth Holdings, LLC’s pro forma net tangible book value as of March 31, 2020 prior to this offering and after giving effect to the other Transactions and the Assumed Redemption was a deficit of $277.0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161"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28"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Pro forma net tangible book value per share after this offering is determined by subtracting our total liabilities from the total book value of our tangible assets and dividing the difference by the number of shares of Class A common stock deemed to be outstanding, after giving effect to the Transactions, including this offering and the application of the proceeds from this offering as described in “Use of Proceeds,” and the Assumed Redemption. Our pro forma net tangible book value as of March 31, 2020, after giving effect to this offering would have been approximately $117.7 million, or $0.38 per share of Class A common stock. This amount represents an immediate increase in pro forma net tangible book value of $1.32 per share to our existing stockholders and an immediate dilution in pro forma net tangible book value of approximately $20.62 per share to new 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Pro forma net tangible book value (deficit) per share as of March 31, 2020 before this offering</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$(0.94)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attributable to new investors in this offering</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Pro forma net tangible book value (deficit) per share after this offering</w:t>
            </w: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in this offering</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80"/>
        <w:spacing w:after="0" w:line="307" w:lineRule="auto"/>
        <w:rPr>
          <w:sz w:val="20"/>
          <w:szCs w:val="20"/>
          <w:color w:val="auto"/>
        </w:rPr>
      </w:pPr>
      <w:r>
        <w:rPr>
          <w:rFonts w:ascii="Arial" w:cs="Arial" w:eastAsia="Arial" w:hAnsi="Arial"/>
          <w:sz w:val="16"/>
          <w:szCs w:val="16"/>
          <w:color w:val="auto"/>
        </w:rPr>
        <w:t>If the underwriters exercise in full their option to purchase additional shares of Class A common stock, the pro forma net tangible book value after the offering would be $0.77 per share, the increase in pro forma net tangible book value per share to existing stockholders would be $0.39 per share and the dilution in pro forma net tangible book value to new investors would be $20.23 per share at the initial public offering price of $21.00.</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color w:val="auto"/>
        </w:rPr>
        <w:t>The following table summarizes, as of March 31, 2020, after giving effect to the Transactions (including this offering) and the Assumed Redemption, the number of shares of Class A common stock purchased from us, the total consideration paid, or to be paid, to us and the average price per share paid, or to be paid, by existing owners and by the new investors. The calculation below is based on the initial public offering price of $21.00 per share, before deducting the underwriting discount and estimated offering expenses payable by us.</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Purchased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9"/>
              </w:rPr>
              <w:t>Percent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78"/>
              <w:spacing w:after="0" w:line="141"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85"/>
              </w:rPr>
              <w:t>Percent</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
              <w:spacing w:after="0" w:line="141"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Original Equity Owners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270,082,000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27,008</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New investors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43,500,000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913,500,000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313,582,000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913,527,008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80"/>
        <w:spacing w:after="0" w:line="280"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Class A common stock. In addition, the discussion and tables above exclude shares of Class B common stock, because holders of the Class B common stock are not entitled to distributions or dividends, whether cash or stock, from GoHealth, Inc. The number of shares of our Class A common stock outstanding after this offering as shown in the tables above is based on the number of shares outstanding as of March 31, 2020, after giving effect to the Transactions and the Assumed Redemption, and (i) excludes 6,465,359 shares of Class A common stock reserved for issuance under our 2020 Plan, including approximately 2,426,100 shares of Class A common stock issuable pursuant to stock options and approximately 305,068 shares of Class A common stock issuable pursuant to restricted share units, in each case which we intend to grant to certain of our directors and other employees in connection with this offering as described under the caption “Executive Compensation—New Incentive Plans”; (ii) excludes 808,170 shares of Class A common stock reserved for issuance under our ESPP as described under the caption “Executive Compensation—New Incentive Plans”; (iii) excludes 7,611,109 LLC Interests to be held directly or indirectly by certain Former Profits Unit Holders that are subject to time-based vesting requirements; and</w:t>
      </w:r>
    </w:p>
    <w:p>
      <w:pPr>
        <w:spacing w:after="0" w:line="6" w:lineRule="exact"/>
        <w:rPr>
          <w:sz w:val="20"/>
          <w:szCs w:val="20"/>
          <w:color w:val="auto"/>
        </w:rPr>
      </w:pPr>
    </w:p>
    <w:p>
      <w:pPr>
        <w:ind w:left="160" w:right="60" w:firstLine="7"/>
        <w:spacing w:after="0" w:line="252" w:lineRule="auto"/>
        <w:tabs>
          <w:tab w:leader="none" w:pos="4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gives effect to the vesting of 14,353,431 LLC Interests held directly or indirectly by certain Former Profits Unit Holders that are expected to vest upon the consummation of this offering based upon the satisfaction of performance-vesting targets at the initial public offering price of $21.00 per share of Class A common stock.</w:t>
      </w:r>
    </w:p>
    <w:p>
      <w:pPr>
        <w:spacing w:after="0" w:line="191"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To the extent any of these outstanding options are exercised, there will be further dilution to new investors. To the extent all of such outstanding options had been exercised as of March 31, 2020, the pro forma net tangible book value per share after this offering would be $0.36, and total dilution per share to new investors would be $20.64.</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the underwriters exercise in full their option to purchase additional shares of Class A common stock:</w:t>
      </w:r>
    </w:p>
    <w:p>
      <w:pPr>
        <w:spacing w:after="0" w:line="127" w:lineRule="exact"/>
        <w:rPr>
          <w:sz w:val="20"/>
          <w:szCs w:val="20"/>
          <w:color w:val="auto"/>
        </w:rPr>
      </w:pPr>
    </w:p>
    <w:p>
      <w:pPr>
        <w:ind w:left="1140" w:right="200" w:hanging="438"/>
        <w:spacing w:after="0" w:line="27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percentage of shares of Class A common stock held by the Original Equity Owners will decrease to approximately 84.0% of the total number of shares of our Class A common stock outstanding after this offering; and</w:t>
      </w:r>
    </w:p>
    <w:p>
      <w:pPr>
        <w:spacing w:after="0" w:line="80" w:lineRule="exact"/>
        <w:rPr>
          <w:rFonts w:ascii="Arial" w:cs="Arial" w:eastAsia="Arial" w:hAnsi="Arial"/>
          <w:sz w:val="18"/>
          <w:szCs w:val="18"/>
          <w:color w:val="auto"/>
        </w:rPr>
      </w:pPr>
    </w:p>
    <w:p>
      <w:pPr>
        <w:ind w:left="1140" w:right="500" w:hanging="438"/>
        <w:spacing w:after="0" w:line="27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shares held by new investors will increase to 50,025,000, or approximately 16.0% of the total number of shares of our Class A common stock outstanding after this offering.</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HISTORICAL CONDENSED CONSOLIDATED FINANCIAL DATA</w:t>
      </w:r>
    </w:p>
    <w:p>
      <w:pPr>
        <w:spacing w:after="0" w:line="225"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The following table presents the selected historical condensed consolidated financial data for GoHealth Holdings, LLC and its subsidiaries. GoHealth Holdings, LLC is the predecessor of the issuer, GoHealth, Inc., for financial reporting purposes. The selected consolidated statements of operations data and statements of cash flows data for the period from September 13, 2019 through December 31, 2019 (Successor), the period from January 1, 2019 through September 12, 2019 (Predecessor) and the year ended December 31, 2018 (Predecessor), and the selected consolidated balance sheet data as of December 31, 2019 and 2018 are derived from the audited consolidated financial statements of GoHealth Holdings, LLC included elsewhere in this prospectus. The selected condensed consolidated statements of operations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the accompanying notes included elsewhere in this prospectus.</w:t>
      </w:r>
    </w:p>
    <w:p>
      <w:pPr>
        <w:spacing w:after="0" w:line="173"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The selected historical financial data of GoHealth, Inc. has not been presented because GoHealth, Inc. is a newly incorporated entity, has had no business transactions or activities to date and had no assets or liabilities during the periods presented in this section.</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gridSpan w:val="7"/>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7"/>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4"/>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580" w:type="dxa"/>
            <w:vAlign w:val="bottom"/>
          </w:tcPr>
          <w:p>
            <w:pPr>
              <w:spacing w:after="0"/>
              <w:rPr>
                <w:sz w:val="7"/>
                <w:szCs w:val="7"/>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right w:val="single" w:sz="8" w:color="auto"/>
            </w:tcBorders>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70"/>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4"/>
              </w:rPr>
              <w:t>(Successor)</w:t>
            </w:r>
          </w:p>
        </w:tc>
        <w:tc>
          <w:tcPr>
            <w:tcW w:w="16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Pr>
          <w:p>
            <w:pPr>
              <w:spacing w:after="0"/>
              <w:rPr>
                <w:sz w:val="14"/>
                <w:szCs w:val="14"/>
                <w:color w:val="auto"/>
              </w:rPr>
            </w:pPr>
          </w:p>
        </w:tc>
        <w:tc>
          <w:tcPr>
            <w:tcW w:w="9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5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 of Operations: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w w:val="89"/>
              </w:rPr>
              <w:t>112,510</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51,215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243,347</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175,834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144,378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28,500</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17,874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65,144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55,176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141,010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308,491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231,010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226,205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42,134</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90,384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79,169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680" w:type="dxa"/>
            <w:vAlign w:val="bottom"/>
            <w:gridSpan w:val="2"/>
          </w:tcPr>
          <w:p>
            <w:pPr>
              <w:jc w:val="right"/>
              <w:ind w:right="9"/>
              <w:spacing w:after="0"/>
              <w:rPr>
                <w:sz w:val="20"/>
                <w:szCs w:val="20"/>
                <w:color w:val="auto"/>
              </w:rPr>
            </w:pPr>
            <w:r>
              <w:rPr>
                <w:rFonts w:ascii="Arial" w:cs="Arial" w:eastAsia="Arial" w:hAnsi="Arial"/>
                <w:sz w:val="18"/>
                <w:szCs w:val="18"/>
                <w:color w:val="auto"/>
              </w:rPr>
              <w:t>26,073</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11,411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24,811</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37,769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23,978</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49,149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680" w:type="dxa"/>
            <w:vAlign w:val="bottom"/>
            <w:gridSpan w:val="2"/>
          </w:tcPr>
          <w:p>
            <w:pPr>
              <w:jc w:val="right"/>
              <w:ind w:right="9"/>
              <w:spacing w:after="0"/>
              <w:rPr>
                <w:sz w:val="20"/>
                <w:szCs w:val="20"/>
                <w:color w:val="auto"/>
              </w:rPr>
            </w:pPr>
            <w:r>
              <w:rPr>
                <w:rFonts w:ascii="Arial" w:cs="Arial" w:eastAsia="Arial" w:hAnsi="Arial"/>
                <w:sz w:val="18"/>
                <w:szCs w:val="18"/>
                <w:color w:val="auto"/>
              </w:rPr>
              <w:t>4,593</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6,006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40,312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10,491</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13,674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79,219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Pr>
          <w:p>
            <w:pPr>
              <w:ind w:left="340"/>
              <w:spacing w:after="0" w:line="200" w:lineRule="exact"/>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52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9"/>
                <w:szCs w:val="19"/>
                <w:color w:val="auto"/>
              </w:rPr>
            </w:pPr>
          </w:p>
        </w:tc>
        <w:tc>
          <w:tcPr>
            <w:tcW w:w="680" w:type="dxa"/>
            <w:vAlign w:val="bottom"/>
            <w:gridSpan w:val="2"/>
          </w:tcPr>
          <w:p>
            <w:pPr>
              <w:jc w:val="right"/>
              <w:ind w:right="9"/>
              <w:spacing w:after="0"/>
              <w:rPr>
                <w:sz w:val="20"/>
                <w:szCs w:val="20"/>
                <w:color w:val="auto"/>
              </w:rPr>
            </w:pPr>
            <w:r>
              <w:rPr>
                <w:rFonts w:ascii="Arial" w:cs="Arial" w:eastAsia="Arial" w:hAnsi="Arial"/>
                <w:sz w:val="18"/>
                <w:szCs w:val="18"/>
                <w:color w:val="auto"/>
              </w:rPr>
              <w:t>4,400</w:t>
            </w:r>
          </w:p>
        </w:tc>
        <w:tc>
          <w:tcPr>
            <w:tcW w:w="1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70,700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23,514</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28,217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6,245</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2,267</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284,393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287,885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197,442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24,098</w:t>
            </w:r>
          </w:p>
        </w:tc>
        <w:tc>
          <w:tcPr>
            <w:tcW w:w="2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(56,875)</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6,756</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8,076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16,039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(57,129)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15,995</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(57,063)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171"/>
              <w:spacing w:after="0"/>
              <w:rPr>
                <w:sz w:val="20"/>
                <w:szCs w:val="20"/>
                <w:color w:val="auto"/>
              </w:rPr>
            </w:pPr>
            <w:r>
              <w:rPr>
                <w:rFonts w:ascii="Arial" w:cs="Arial" w:eastAsia="Arial" w:hAnsi="Arial"/>
                <w:sz w:val="18"/>
                <w:szCs w:val="18"/>
                <w:color w:val="auto"/>
                <w:w w:val="89"/>
              </w:rPr>
              <w:t>89</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80"/>
          </w:cols>
          <w:pgMar w:left="320" w:top="456" w:right="499" w:bottom="1440" w:gutter="0" w:footer="0" w:header="0"/>
        </w:sectPr>
      </w:pPr>
    </w:p>
    <w:p>
      <w:pPr>
        <w:spacing w:after="0" w:line="396" w:lineRule="exact"/>
        <w:rPr>
          <w:sz w:val="20"/>
          <w:szCs w:val="20"/>
          <w:color w:val="auto"/>
        </w:rPr>
      </w:pPr>
    </w:p>
    <w:p>
      <w:pPr>
        <w:jc w:val="center"/>
        <w:ind w:left="256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-113665</wp:posOffset>
            </wp:positionV>
            <wp:extent cx="6929755" cy="1316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1316355"/>
                    </a:xfrm>
                    <a:prstGeom prst="rect">
                      <a:avLst/>
                    </a:prstGeom>
                    <a:noFill/>
                  </pic:spPr>
                </pic:pic>
              </a:graphicData>
            </a:graphic>
          </wp:anchor>
        </w:drawing>
      </w:r>
    </w:p>
    <w:p>
      <w:pPr>
        <w:jc w:val="center"/>
        <w:ind w:left="2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December 31,</w:t>
      </w:r>
    </w:p>
    <w:p>
      <w:pPr>
        <w:jc w:val="center"/>
        <w:ind w:right="100"/>
        <w:spacing w:after="0" w:line="232" w:lineRule="auto"/>
        <w:rPr>
          <w:sz w:val="20"/>
          <w:szCs w:val="20"/>
          <w:color w:val="auto"/>
        </w:rPr>
      </w:pP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2">
            <w:col w:w="9420" w:space="720"/>
            <w:col w:w="94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132"/>
        </w:trPr>
        <w:tc>
          <w:tcPr>
            <w:tcW w:w="4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14"/>
              <w:spacing w:after="0" w:line="13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2"/>
              </w:rPr>
              <w:t>(Successor)</w:t>
            </w:r>
          </w:p>
        </w:tc>
        <w:tc>
          <w:tcPr>
            <w:tcW w:w="0" w:type="dxa"/>
            <w:vAlign w:val="bottom"/>
          </w:tcPr>
          <w:p>
            <w:pPr>
              <w:spacing w:after="0"/>
              <w:rPr>
                <w:sz w:val="1"/>
                <w:szCs w:val="1"/>
                <w:color w:val="auto"/>
              </w:rPr>
            </w:pPr>
          </w:p>
        </w:tc>
      </w:tr>
      <w:tr>
        <w:trPr>
          <w:trHeight w:val="180"/>
        </w:trPr>
        <w:tc>
          <w:tcPr>
            <w:tcW w:w="4640" w:type="dxa"/>
            <w:vAlign w:val="bottom"/>
          </w:tcPr>
          <w:p>
            <w:pPr>
              <w:spacing w:after="0" w:line="180" w:lineRule="exact"/>
              <w:rPr>
                <w:sz w:val="20"/>
                <w:szCs w:val="20"/>
                <w:color w:val="auto"/>
              </w:rPr>
            </w:pPr>
            <w:r>
              <w:rPr>
                <w:rFonts w:ascii="Arial" w:cs="Arial" w:eastAsia="Arial" w:hAnsi="Arial"/>
                <w:sz w:val="18"/>
                <w:szCs w:val="18"/>
                <w:color w:val="auto"/>
                <w:w w:val="94"/>
              </w:rPr>
              <w:t>Net income (loss) attributable to GoHealth Holdings, LLC and</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 of Cash Flows Data:</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23,587</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120,167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180" w:type="dxa"/>
            <w:vAlign w:val="bottom"/>
          </w:tcPr>
          <w:p>
            <w:pPr>
              <w:spacing w:after="0"/>
              <w:rPr>
                <w:sz w:val="11"/>
                <w:szCs w:val="11"/>
                <w:color w:val="auto"/>
              </w:rPr>
            </w:pPr>
          </w:p>
        </w:tc>
        <w:tc>
          <w:tcPr>
            <w:tcW w:w="640" w:type="dxa"/>
            <w:vAlign w:val="bottom"/>
          </w:tcPr>
          <w:p>
            <w:pPr>
              <w:jc w:val="right"/>
              <w:ind w:right="194"/>
              <w:spacing w:after="0" w:line="13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4"/>
                <w:szCs w:val="14"/>
                <w:b w:val="1"/>
                <w:bCs w:val="1"/>
                <w:color w:val="auto"/>
              </w:rPr>
              <w:t>Successor</w:t>
            </w:r>
          </w:p>
        </w:tc>
      </w:tr>
      <w:tr>
        <w:trPr>
          <w:trHeight w:val="170"/>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(Predecessor)</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60" w:type="dxa"/>
            <w:vAlign w:val="bottom"/>
          </w:tcPr>
          <w:p>
            <w:pPr>
              <w:spacing w:after="0"/>
              <w:rPr>
                <w:sz w:val="14"/>
                <w:szCs w:val="14"/>
                <w:color w:val="auto"/>
              </w:rPr>
            </w:pPr>
          </w:p>
        </w:tc>
      </w:tr>
      <w:tr>
        <w:trPr>
          <w:trHeight w:val="40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5,002</w:t>
            </w:r>
          </w:p>
        </w:tc>
        <w:tc>
          <w:tcPr>
            <w:tcW w:w="5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15,995</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1,222</w:t>
            </w:r>
          </w:p>
        </w:tc>
        <w:tc>
          <w:tcPr>
            <w:tcW w:w="5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(9,284)</w:t>
            </w:r>
          </w:p>
        </w:tc>
      </w:tr>
      <w:tr>
        <w:trPr>
          <w:trHeight w:val="214"/>
        </w:trPr>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(810,010)</w:t>
            </w:r>
          </w:p>
        </w:tc>
      </w:tr>
      <w:tr>
        <w:trPr>
          <w:trHeight w:val="227"/>
        </w:trPr>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830,879</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1220" w:type="dxa"/>
            <w:vAlign w:val="bottom"/>
            <w:gridSpan w:val="4"/>
          </w:tcPr>
          <w:p>
            <w:pPr>
              <w:spacing w:after="0" w:line="132" w:lineRule="exact"/>
              <w:rPr>
                <w:sz w:val="20"/>
                <w:szCs w:val="20"/>
                <w:color w:val="auto"/>
              </w:rPr>
            </w:pPr>
            <w:r>
              <w:rPr>
                <w:rFonts w:ascii="Arial" w:cs="Arial" w:eastAsia="Arial" w:hAnsi="Arial"/>
                <w:sz w:val="14"/>
                <w:szCs w:val="14"/>
                <w:b w:val="1"/>
                <w:bCs w:val="1"/>
                <w:color w:val="auto"/>
              </w:rPr>
              <w:t>Predecessor</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(Predecessor)</w:t>
            </w:r>
          </w:p>
        </w:tc>
        <w:tc>
          <w:tcPr>
            <w:tcW w:w="0" w:type="dxa"/>
            <w:vAlign w:val="bottom"/>
          </w:tcPr>
          <w:p>
            <w:pPr>
              <w:spacing w:after="0"/>
              <w:rPr>
                <w:sz w:val="1"/>
                <w:szCs w:val="1"/>
                <w:color w:val="auto"/>
              </w:rPr>
            </w:pPr>
          </w:p>
        </w:tc>
      </w:tr>
      <w:tr>
        <w:trPr>
          <w:trHeight w:val="170"/>
        </w:trPr>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2019 Period</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2"/>
              </w:rPr>
              <w:t>(57,063)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28,117</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9,281</w:t>
            </w:r>
          </w:p>
        </w:tc>
        <w:tc>
          <w:tcPr>
            <w:tcW w:w="4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(5,597)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(3,449)</w:t>
            </w: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5740" w:space="440"/>
            <w:col w:w="2120" w:space="620"/>
            <w:col w:w="2160"/>
          </w:cols>
          <w:pgMar w:left="320" w:top="456" w:right="499" w:bottom="1440" w:gutter="0" w:footer="0" w:header="0"/>
          <w:type w:val="continuous"/>
        </w:sectPr>
      </w:pP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6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6"/>
              </w:rPr>
              <w:t>March 31, 2020</w:t>
            </w:r>
          </w:p>
        </w:tc>
        <w:tc>
          <w:tcPr>
            <w:tcW w:w="420" w:type="dxa"/>
            <w:vAlign w:val="bottom"/>
          </w:tcPr>
          <w:p>
            <w:pPr>
              <w:spacing w:after="0"/>
              <w:rPr>
                <w:sz w:val="12"/>
                <w:szCs w:val="12"/>
                <w:color w:val="auto"/>
              </w:rPr>
            </w:pPr>
          </w:p>
        </w:tc>
        <w:tc>
          <w:tcPr>
            <w:tcW w:w="1980" w:type="dxa"/>
            <w:vAlign w:val="bottom"/>
            <w:gridSpan w:val="3"/>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December 31, 2019</w:t>
            </w:r>
          </w:p>
        </w:tc>
        <w:tc>
          <w:tcPr>
            <w:tcW w:w="12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70"/>
        </w:trPr>
        <w:tc>
          <w:tcPr>
            <w:tcW w:w="39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0"/>
        </w:trPr>
        <w:tc>
          <w:tcPr>
            <w:tcW w:w="398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152,423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12,276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1,709,649</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1,602,295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142,837</w:t>
            </w:r>
          </w:p>
        </w:tc>
        <w:tc>
          <w:tcPr>
            <w:tcW w:w="0" w:type="dxa"/>
            <w:vAlign w:val="bottom"/>
          </w:tcPr>
          <w:p>
            <w:pPr>
              <w:spacing w:after="0"/>
              <w:rPr>
                <w:sz w:val="1"/>
                <w:szCs w:val="1"/>
                <w:color w:val="auto"/>
              </w:rPr>
            </w:pPr>
          </w:p>
        </w:tc>
      </w:tr>
      <w:tr>
        <w:trPr>
          <w:trHeight w:val="214"/>
        </w:trPr>
        <w:tc>
          <w:tcPr>
            <w:tcW w:w="3980" w:type="dxa"/>
            <w:vAlign w:val="bottom"/>
          </w:tcPr>
          <w:p>
            <w:pPr>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840,047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742,151</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83,490</w:t>
            </w: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869,602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(186,653)</w:t>
            </w:r>
          </w:p>
        </w:tc>
        <w:tc>
          <w:tcPr>
            <w:tcW w:w="0" w:type="dxa"/>
            <w:vAlign w:val="bottom"/>
          </w:tcPr>
          <w:p>
            <w:pPr>
              <w:spacing w:after="0"/>
              <w:rPr>
                <w:sz w:val="1"/>
                <w:szCs w:val="1"/>
                <w:color w:val="auto"/>
              </w:rPr>
            </w:pPr>
          </w:p>
        </w:tc>
      </w:tr>
      <w:tr>
        <w:trPr>
          <w:trHeight w:val="360"/>
        </w:trPr>
        <w:tc>
          <w:tcPr>
            <w:tcW w:w="3980" w:type="dxa"/>
            <w:vAlign w:val="bottom"/>
          </w:tcPr>
          <w:p>
            <w:pPr>
              <w:spacing w:after="0"/>
              <w:rPr>
                <w:sz w:val="24"/>
                <w:szCs w:val="24"/>
                <w:color w:val="auto"/>
              </w:rPr>
            </w:pPr>
          </w:p>
        </w:tc>
        <w:tc>
          <w:tcPr>
            <w:tcW w:w="1920" w:type="dxa"/>
            <w:vAlign w:val="bottom"/>
          </w:tcPr>
          <w:p>
            <w:pPr>
              <w:jc w:val="right"/>
              <w:ind w:right="25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5"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The following unaudited pro forma condensed consolidated financial information reflects (i) the Centerbridge Acquisition and (ii) the impact of this offering, after giving effect to the Transactions discussed in “Our Organizational Structure.” Following the completion of the Transactions, GoHealth, Inc. will be a holding company whose principal asset will consist of 26.8% of the outstanding LLC Interests (or 28.6% of LLC Interests if the underwriters exercise in full their option to purchase additional shares of Class A common stock) that it acquires directly from GoHealth Holdings, LLC and indirectly from certain of the Continuing Equity Owners and the Blocker Shareholders in connection with this offering. The remaining LLC Interests will be held directly or indirectly by the Continuing Equity Owners. GoHealth, Inc. will act as the sole managing member of GoHealth Holdings, LLC, will operate and control the business and affairs of GoHealth Holdings, LLC and its direct and indirect subsidiaries and, through GoHealth Holdings, LLC and its direct and indirect subsidiaries, conduct its business.</w:t>
      </w:r>
    </w:p>
    <w:p>
      <w:pPr>
        <w:spacing w:after="0" w:line="180" w:lineRule="exact"/>
        <w:rPr>
          <w:sz w:val="20"/>
          <w:szCs w:val="20"/>
          <w:color w:val="auto"/>
        </w:rPr>
      </w:pPr>
    </w:p>
    <w:p>
      <w:pPr>
        <w:jc w:val="both"/>
        <w:ind w:left="160" w:right="20"/>
        <w:spacing w:after="0" w:line="275" w:lineRule="auto"/>
        <w:rPr>
          <w:sz w:val="20"/>
          <w:szCs w:val="20"/>
          <w:color w:val="auto"/>
        </w:rPr>
      </w:pPr>
      <w:r>
        <w:rPr>
          <w:rFonts w:ascii="Arial" w:cs="Arial" w:eastAsia="Arial" w:hAnsi="Arial"/>
          <w:sz w:val="17"/>
          <w:szCs w:val="17"/>
          <w:color w:val="auto"/>
        </w:rPr>
        <w:t>The following unaudited pro forma condensed consolidated statements of operations for the year ended December 31, 2019 and the three months ended March 31, 2020 give effect to the Centerbridge Acquisition and the Transactions, including this offering, as if the same had occurred on January 1, 2019. The unaudited pro forma condensed consolidated balance sheet as of March 31, 2020 presents our unaudited pro forma balance sheet giving effect to the Transactions, including this offering, as if they had occurred as of March 31, 2020.</w:t>
      </w:r>
    </w:p>
    <w:p>
      <w:pPr>
        <w:spacing w:after="0" w:line="174"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have derived the unaudited pro forma condensed consolidated statement of operations and unaudited pro forma condensed consolidated balance sheet from the consolidated financial statements of GoHealth Holdings, LLC and its subsidiaries as of March 31, 2020 and for the Successor 2019 Period and Predecessor 2019 Period included elsewhere in this prospectus. The historical consolidated financial information of GoHealth Holdings, LLC has been adjusted in this unaudited pro forma condensed consolidated financial information to give effect to events that are directly attributable to the Centerbridge Acquisition and the Transactions, are factually supportable and, with respect to the condensed consolidated statement of operations, are expected to have a continuing impact on GoHealth, Inc. The unaudited pro forma condensed consolidated financial information reflects adjustments that are described in the accompanying notes and are based on available information and certain assumptions we believe are reasonable, but are subject to change.</w:t>
      </w:r>
    </w:p>
    <w:p>
      <w:pPr>
        <w:spacing w:after="0" w:line="180" w:lineRule="exact"/>
        <w:rPr>
          <w:sz w:val="20"/>
          <w:szCs w:val="20"/>
          <w:color w:val="auto"/>
        </w:rPr>
      </w:pPr>
    </w:p>
    <w:p>
      <w:pPr>
        <w:ind w:left="160" w:right="200"/>
        <w:spacing w:after="0" w:line="281" w:lineRule="auto"/>
        <w:rPr>
          <w:sz w:val="20"/>
          <w:szCs w:val="20"/>
          <w:color w:val="auto"/>
        </w:rPr>
      </w:pPr>
      <w:r>
        <w:rPr>
          <w:rFonts w:ascii="Arial" w:cs="Arial" w:eastAsia="Arial" w:hAnsi="Arial"/>
          <w:sz w:val="17"/>
          <w:szCs w:val="17"/>
          <w:color w:val="auto"/>
        </w:rPr>
        <w:t>We refer to the adjustments related to the Centerbridge Acquisition, excluding the adjustments related to the Offering, as the “Pro Forma Centerbridge Acquisition Adjustments.” We refer to the adjustments related to the Transactions, including the impact of the Transactions described in “Our Organizational Structure,” but excluding the adjustments related to the Offering, as the Pro Forma Transaction Adjustments.</w:t>
      </w:r>
    </w:p>
    <w:p>
      <w:pPr>
        <w:spacing w:after="0" w:line="169"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adjustments related to this offering, which we refer to as the Pro Forma Offering Adjustments, are described in the notes to the unaudited pro forma condensed consolidated financial information, and principally include the following:</w:t>
      </w:r>
    </w:p>
    <w:p>
      <w:pPr>
        <w:spacing w:after="0" w:line="81" w:lineRule="exact"/>
        <w:rPr>
          <w:sz w:val="20"/>
          <w:szCs w:val="20"/>
          <w:color w:val="auto"/>
        </w:rPr>
      </w:pPr>
    </w:p>
    <w:p>
      <w:pPr>
        <w:ind w:left="1140" w:right="140" w:hanging="438"/>
        <w:spacing w:after="0" w:line="259"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amendment and restatement of the limited liability company agreement of GoHealth Holdings, LLC to, among other things, appoint GoHealth, Inc. as the sole managing member of GoHealth Holdings, LLC and provide certain redemption rights to the Continuing Equity Owners;</w:t>
      </w:r>
    </w:p>
    <w:p>
      <w:pPr>
        <w:spacing w:after="0" w:line="92" w:lineRule="exact"/>
        <w:rPr>
          <w:rFonts w:ascii="Arial" w:cs="Arial" w:eastAsia="Arial" w:hAnsi="Arial"/>
          <w:sz w:val="18"/>
          <w:szCs w:val="18"/>
          <w:color w:val="auto"/>
        </w:rPr>
      </w:pPr>
    </w:p>
    <w:p>
      <w:pPr>
        <w:jc w:val="both"/>
        <w:ind w:left="1140" w:right="880" w:hanging="438"/>
        <w:spacing w:after="0" w:line="335" w:lineRule="auto"/>
        <w:tabs>
          <w:tab w:leader="none" w:pos="1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issuance of 43,500,000 shares of our Class A common stock to the investors in this offering in exchange for net proceeds of approximately $863.3 million, after deducting the underwriting discount but before estimated offering expenses payable by us;</w:t>
      </w:r>
    </w:p>
    <w:p>
      <w:pPr>
        <w:spacing w:after="0" w:line="34" w:lineRule="exact"/>
        <w:rPr>
          <w:rFonts w:ascii="Arial" w:cs="Arial" w:eastAsia="Arial" w:hAnsi="Arial"/>
          <w:sz w:val="16"/>
          <w:szCs w:val="16"/>
          <w:color w:val="auto"/>
        </w:rPr>
      </w:pPr>
    </w:p>
    <w:p>
      <w:pPr>
        <w:ind w:left="1140" w:right="100" w:hanging="438"/>
        <w:spacing w:after="0" w:line="255"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 and the application of the net proceeds from the sale of Class A common stock in this offering to purchase LLC Interests directly from GoHealth Holdings, LLC, at a purchase price per LLC Interest equal to the initial public offering price per share of Class A common stock less the underwriting discount and estimated offering expenses payable by us, with such LLC Interests representing 26.8% of the outstanding LLC Interests;</w:t>
      </w:r>
    </w:p>
    <w:p>
      <w:pPr>
        <w:spacing w:after="0" w:line="96"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settlement of the 2019 and 2020 contingent earnout liabilities associated with the Centerbridge Acquisition as further described in footnote (4) herein;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application by GoHealth Holdings, LLC of the proceeds from the sale of LLC Interests to us as described under “Use of Proceeds.”</w:t>
      </w:r>
    </w:p>
    <w:p>
      <w:pPr>
        <w:spacing w:after="0" w:line="244"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Except as otherwise indicated, the unaudited pro forma condensed consolidated financial information presented assumes no exercise by the underwriters of their option to purchase additional shares of Class A common stock in the offering.</w:t>
      </w:r>
    </w:p>
    <w:p>
      <w:pPr>
        <w:spacing w:after="0" w:line="17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9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unaudited pro forma condensed consolidated financial information is included for informational purposes only. The unaudited pro forma condensed consolidated financial information should not be relied upon as being indicative of our results of operations or financial condition had the Centerbridge Acquisition and the Transactions, including this offering, occurred on the dates assumed. The unaudited pro forma condensed consolidated financial information also does not project our results of operations or financial position for any future period or date. The unaudited pro forma condensed consolidated statement of operations and balance sheet should be read in conjunction with the “Risk Factors,” “Prospectus Summary—Summary Historical and Pro Forma Condensed Consolidated Financial and Other Data,” “Selected Historical Condensed Consolidated Financial Data,” “Management’s Discussion and Analysis of Financial Condition and Results of Operations” and our consolidated financial statements and related notes included elsewhere in this prospectus.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balance sheet as of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Successor</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9"/>
              </w:rPr>
              <w:t>Pro Forma</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As Further</w:t>
            </w: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w w:val="96"/>
              </w:rPr>
              <w:t>GoHealth</w:t>
            </w:r>
          </w:p>
        </w:tc>
        <w:tc>
          <w:tcPr>
            <w:tcW w:w="7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Adjusted</w:t>
            </w:r>
          </w:p>
        </w:tc>
        <w:tc>
          <w:tcPr>
            <w:tcW w:w="13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440" w:type="dxa"/>
            <w:vAlign w:val="bottom"/>
          </w:tcPr>
          <w:p>
            <w:pPr>
              <w:spacing w:after="0"/>
              <w:rPr>
                <w:sz w:val="12"/>
                <w:szCs w:val="12"/>
                <w:color w:val="auto"/>
              </w:rPr>
            </w:pPr>
          </w:p>
        </w:tc>
        <w:tc>
          <w:tcPr>
            <w:tcW w:w="1360" w:type="dxa"/>
            <w:vAlign w:val="bottom"/>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6"/>
              </w:rPr>
              <w:t>Holdings, LLC</w:t>
            </w:r>
          </w:p>
        </w:tc>
        <w:tc>
          <w:tcPr>
            <w:tcW w:w="7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Transactions</w:t>
            </w:r>
          </w:p>
        </w:tc>
        <w:tc>
          <w:tcPr>
            <w:tcW w:w="440" w:type="dxa"/>
            <w:vAlign w:val="bottom"/>
          </w:tcPr>
          <w:p>
            <w:pPr>
              <w:spacing w:after="0"/>
              <w:rPr>
                <w:sz w:val="12"/>
                <w:szCs w:val="12"/>
                <w:color w:val="auto"/>
              </w:rPr>
            </w:pPr>
          </w:p>
        </w:tc>
        <w:tc>
          <w:tcPr>
            <w:tcW w:w="106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00" w:type="dxa"/>
            <w:vAlign w:val="bottom"/>
          </w:tcPr>
          <w:p>
            <w:pPr>
              <w:spacing w:after="0"/>
              <w:rPr>
                <w:sz w:val="12"/>
                <w:szCs w:val="12"/>
                <w:color w:val="auto"/>
              </w:rPr>
            </w:pPr>
          </w:p>
        </w:tc>
        <w:tc>
          <w:tcPr>
            <w:tcW w:w="12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Offering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44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Historical</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Adjustments</w:t>
            </w:r>
          </w:p>
        </w:tc>
        <w:tc>
          <w:tcPr>
            <w:tcW w:w="44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Transactions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147,536</w:t>
            </w:r>
            <w:r>
              <w:rPr>
                <w:rFonts w:ascii="Arial" w:cs="Arial" w:eastAsia="Arial" w:hAnsi="Arial"/>
                <w:sz w:val="15"/>
                <w:szCs w:val="15"/>
                <w:color w:val="auto"/>
              </w:rPr>
              <w:t>(3)(4)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80" w:type="dxa"/>
            <w:vAlign w:val="bottom"/>
          </w:tcPr>
          <w:p>
            <w:pPr>
              <w:ind w:left="340"/>
              <w:spacing w:after="0" w:line="200" w:lineRule="exact"/>
              <w:rPr>
                <w:sz w:val="20"/>
                <w:szCs w:val="20"/>
                <w:color w:val="auto"/>
              </w:rPr>
            </w:pPr>
            <w:r>
              <w:rPr>
                <w:rFonts w:ascii="Arial" w:cs="Arial" w:eastAsia="Arial" w:hAnsi="Arial"/>
                <w:sz w:val="18"/>
                <w:szCs w:val="18"/>
                <w:color w:val="auto"/>
              </w:rPr>
              <w:t>Accounts receivable, net of allowance for doubtful</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accounts of $651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6,422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receivable—current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58,173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58,173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223,028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147,536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Commissions receivable—non-current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330,617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330,617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759,269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long-term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1,709,649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1,709,649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147,536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1,857,185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Successor</w:t>
            </w:r>
          </w:p>
        </w:tc>
        <w:tc>
          <w:tcPr>
            <w:tcW w:w="220" w:type="dxa"/>
            <w:vAlign w:val="bottom"/>
          </w:tcPr>
          <w:p>
            <w:pPr>
              <w:spacing w:after="0"/>
              <w:rPr>
                <w:sz w:val="14"/>
                <w:szCs w:val="14"/>
                <w:color w:val="auto"/>
              </w:rPr>
            </w:pPr>
          </w:p>
        </w:tc>
        <w:tc>
          <w:tcPr>
            <w:tcW w:w="12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9"/>
              </w:rPr>
              <w:t>Pro Forma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As Further</w:t>
            </w:r>
          </w:p>
        </w:tc>
        <w:tc>
          <w:tcPr>
            <w:tcW w:w="80" w:type="dxa"/>
            <w:vAlign w:val="bottom"/>
          </w:tcPr>
          <w:p>
            <w:pPr>
              <w:spacing w:after="0"/>
              <w:rPr>
                <w:sz w:val="14"/>
                <w:szCs w:val="14"/>
                <w:color w:val="auto"/>
              </w:rPr>
            </w:pPr>
          </w:p>
        </w:tc>
        <w:tc>
          <w:tcPr>
            <w:tcW w:w="1560" w:type="dxa"/>
            <w:vAlign w:val="bottom"/>
            <w:gridSpan w:val="3"/>
            <w:vMerge w:val="restart"/>
          </w:tcPr>
          <w:p>
            <w:pPr>
              <w:jc w:val="right"/>
              <w:ind w:right="762"/>
              <w:spacing w:after="0"/>
              <w:rPr>
                <w:sz w:val="20"/>
                <w:szCs w:val="20"/>
                <w:color w:val="auto"/>
              </w:rPr>
            </w:pPr>
            <w:r>
              <w:rPr>
                <w:rFonts w:ascii="Arial" w:cs="Arial" w:eastAsia="Arial" w:hAnsi="Arial"/>
                <w:sz w:val="14"/>
                <w:szCs w:val="14"/>
                <w:b w:val="1"/>
                <w:bCs w:val="1"/>
                <w:color w:val="auto"/>
                <w:w w:val="99"/>
              </w:rPr>
              <w:t>Pro Forma</w:t>
            </w: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99"/>
              </w:rPr>
              <w:t>GoHealth</w:t>
            </w: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Adjusted</w:t>
            </w:r>
          </w:p>
        </w:tc>
        <w:tc>
          <w:tcPr>
            <w:tcW w:w="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11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Holdings, LLC</w:t>
            </w:r>
          </w:p>
        </w:tc>
        <w:tc>
          <w:tcPr>
            <w:tcW w:w="220" w:type="dxa"/>
            <w:vAlign w:val="bottom"/>
          </w:tcPr>
          <w:p>
            <w:pPr>
              <w:spacing w:after="0"/>
              <w:rPr>
                <w:sz w:val="12"/>
                <w:szCs w:val="12"/>
                <w:color w:val="auto"/>
              </w:rPr>
            </w:pPr>
          </w:p>
        </w:tc>
        <w:tc>
          <w:tcPr>
            <w:tcW w:w="1220" w:type="dxa"/>
            <w:vAlign w:val="bottom"/>
            <w:gridSpan w:val="3"/>
          </w:tcPr>
          <w:p>
            <w:pPr>
              <w:jc w:val="right"/>
              <w:ind w:right="440"/>
              <w:spacing w:after="0" w:line="147" w:lineRule="exact"/>
              <w:rPr>
                <w:sz w:val="20"/>
                <w:szCs w:val="20"/>
                <w:color w:val="auto"/>
              </w:rPr>
            </w:pPr>
            <w:r>
              <w:rPr>
                <w:rFonts w:ascii="Arial" w:cs="Arial" w:eastAsia="Arial" w:hAnsi="Arial"/>
                <w:sz w:val="14"/>
                <w:szCs w:val="14"/>
                <w:b w:val="1"/>
                <w:bCs w:val="1"/>
                <w:color w:val="auto"/>
                <w:w w:val="87"/>
              </w:rPr>
              <w:t>Transactions</w:t>
            </w:r>
          </w:p>
        </w:tc>
        <w:tc>
          <w:tcPr>
            <w:tcW w:w="220" w:type="dxa"/>
            <w:vAlign w:val="bottom"/>
          </w:tcPr>
          <w:p>
            <w:pPr>
              <w:spacing w:after="0"/>
              <w:rPr>
                <w:sz w:val="12"/>
                <w:szCs w:val="12"/>
                <w:color w:val="auto"/>
              </w:rPr>
            </w:pPr>
          </w:p>
        </w:tc>
        <w:tc>
          <w:tcPr>
            <w:tcW w:w="9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for Pro Forma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822"/>
              <w:spacing w:after="0" w:line="147" w:lineRule="exact"/>
              <w:rPr>
                <w:sz w:val="20"/>
                <w:szCs w:val="20"/>
                <w:color w:val="auto"/>
              </w:rPr>
            </w:pPr>
            <w:r>
              <w:rPr>
                <w:rFonts w:ascii="Arial" w:cs="Arial" w:eastAsia="Arial" w:hAnsi="Arial"/>
                <w:sz w:val="14"/>
                <w:szCs w:val="14"/>
                <w:b w:val="1"/>
                <w:bCs w:val="1"/>
                <w:color w:val="auto"/>
                <w:w w:val="95"/>
              </w:rPr>
              <w:t>Offering</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4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Historical</w:t>
            </w:r>
          </w:p>
        </w:tc>
        <w:tc>
          <w:tcPr>
            <w:tcW w:w="220" w:type="dxa"/>
            <w:vAlign w:val="bottom"/>
          </w:tcPr>
          <w:p>
            <w:pPr>
              <w:spacing w:after="0"/>
              <w:rPr>
                <w:sz w:val="14"/>
                <w:szCs w:val="14"/>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Transactions</w:t>
            </w:r>
          </w:p>
        </w:tc>
        <w:tc>
          <w:tcPr>
            <w:tcW w:w="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Liabilities and members’/stockholders’ equity</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11,740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11,740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payable—current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14,867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14,867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14,867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payable—non-current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113,516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397,652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397,652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397,652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w w:val="92"/>
              </w:rPr>
              <w:t>(247,100)</w:t>
            </w:r>
            <w:r>
              <w:rPr>
                <w:rFonts w:ascii="Arial" w:cs="Arial" w:eastAsia="Arial" w:hAnsi="Arial"/>
                <w:sz w:val="15"/>
                <w:szCs w:val="15"/>
                <w:color w:val="auto"/>
                <w:w w:val="92"/>
              </w:rPr>
              <w:t>(4)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r>
              <w:rPr>
                <w:rFonts w:ascii="Arial" w:cs="Arial" w:eastAsia="Arial" w:hAnsi="Arial"/>
                <w:sz w:val="15"/>
                <w:szCs w:val="15"/>
                <w:color w:val="auto"/>
              </w:rPr>
              <w:t>(6)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0"/>
        </w:trPr>
        <w:tc>
          <w:tcPr>
            <w:tcW w:w="480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(247,100</w:t>
            </w:r>
          </w:p>
        </w:tc>
        <w:tc>
          <w:tcPr>
            <w:tcW w:w="780" w:type="dxa"/>
            <w:vAlign w:val="bottom"/>
          </w:tcPr>
          <w:p>
            <w:pPr>
              <w:jc w:val="right"/>
              <w:ind w:right="64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511,738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Members’/stockholders’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tcPr>
          <w:p>
            <w:pPr>
              <w:ind w:left="340"/>
              <w:spacing w:after="0" w:line="200" w:lineRule="exact"/>
              <w:rPr>
                <w:sz w:val="20"/>
                <w:szCs w:val="20"/>
                <w:color w:val="auto"/>
              </w:rPr>
            </w:pPr>
            <w:r>
              <w:rPr>
                <w:rFonts w:ascii="Arial" w:cs="Arial" w:eastAsia="Arial" w:hAnsi="Arial"/>
                <w:sz w:val="18"/>
                <w:szCs w:val="18"/>
                <w:color w:val="auto"/>
              </w:rPr>
              <w:t>Preferred Units – $1.00 par value; 541,263,042 units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authorized, issued and outstanding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546,972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(546,972)</w:t>
            </w:r>
            <w:r>
              <w:rPr>
                <w:rFonts w:ascii="Arial" w:cs="Arial" w:eastAsia="Arial" w:hAnsi="Arial"/>
                <w:sz w:val="15"/>
                <w:szCs w:val="15"/>
                <w:color w:val="auto"/>
                <w:w w:val="92"/>
              </w:rPr>
              <w:t>(1)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Class A Common units – $1.00 par value; 237,938,682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 authorized, issued and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219,139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(219,139)</w:t>
            </w:r>
            <w:r>
              <w:rPr>
                <w:rFonts w:ascii="Arial" w:cs="Arial" w:eastAsia="Arial" w:hAnsi="Arial"/>
                <w:sz w:val="15"/>
                <w:szCs w:val="15"/>
                <w:color w:val="auto"/>
                <w:w w:val="92"/>
              </w:rPr>
              <w:t>(1)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tcPr>
          <w:p>
            <w:pPr>
              <w:ind w:left="340"/>
              <w:spacing w:after="0" w:line="200" w:lineRule="exact"/>
              <w:rPr>
                <w:sz w:val="20"/>
                <w:szCs w:val="20"/>
                <w:color w:val="auto"/>
              </w:rPr>
            </w:pPr>
            <w:r>
              <w:rPr>
                <w:rFonts w:ascii="Arial" w:cs="Arial" w:eastAsia="Arial" w:hAnsi="Arial"/>
                <w:sz w:val="18"/>
                <w:szCs w:val="18"/>
                <w:color w:val="auto"/>
              </w:rPr>
              <w:t>Class B Common units – $1.00 par value; 108,727,667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units authorized, issued and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103,593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(103,593)</w:t>
            </w:r>
            <w:r>
              <w:rPr>
                <w:rFonts w:ascii="Arial" w:cs="Arial" w:eastAsia="Arial" w:hAnsi="Arial"/>
                <w:sz w:val="15"/>
                <w:szCs w:val="15"/>
                <w:color w:val="auto"/>
                <w:w w:val="92"/>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Senior Preferred Earnout Units – no par value; none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authorized, issued, and outstanding</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tcPr>
          <w:p>
            <w:pPr>
              <w:ind w:left="340"/>
              <w:spacing w:after="0" w:line="200" w:lineRule="exact"/>
              <w:rPr>
                <w:sz w:val="20"/>
                <w:szCs w:val="20"/>
                <w:color w:val="auto"/>
              </w:rPr>
            </w:pPr>
            <w:r>
              <w:rPr>
                <w:rFonts w:ascii="Arial" w:cs="Arial" w:eastAsia="Arial" w:hAnsi="Arial"/>
                <w:sz w:val="18"/>
                <w:szCs w:val="18"/>
                <w:color w:val="auto"/>
                <w:w w:val="98"/>
              </w:rPr>
              <w:t>Profits Units – no par value; 97,918,116 units authorized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w w:val="98"/>
              </w:rPr>
              <w:t>at March 31, 2020; 78,398,133 units issued; and none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Class A common stock – $0.0001 par value per share,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1,100,000,000 shares authorized on a pro forma basis,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84,182,961 shares issued and outstanding on a pro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forma basis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(3)</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Successor</w:t>
            </w: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As Further</w:t>
            </w:r>
          </w:p>
        </w:tc>
        <w:tc>
          <w:tcPr>
            <w:tcW w:w="80" w:type="dxa"/>
            <w:vAlign w:val="bottom"/>
          </w:tcPr>
          <w:p>
            <w:pPr>
              <w:spacing w:after="0"/>
              <w:rPr>
                <w:sz w:val="14"/>
                <w:szCs w:val="14"/>
                <w:color w:val="auto"/>
              </w:rPr>
            </w:pPr>
          </w:p>
        </w:tc>
        <w:tc>
          <w:tcPr>
            <w:tcW w:w="1680" w:type="dxa"/>
            <w:vAlign w:val="bottom"/>
            <w:gridSpan w:val="3"/>
            <w:vMerge w:val="restart"/>
          </w:tcPr>
          <w:p>
            <w:pPr>
              <w:jc w:val="right"/>
              <w:ind w:right="960"/>
              <w:spacing w:after="0"/>
              <w:rPr>
                <w:sz w:val="20"/>
                <w:szCs w:val="20"/>
                <w:color w:val="auto"/>
              </w:rPr>
            </w:pPr>
            <w:r>
              <w:rPr>
                <w:rFonts w:ascii="Arial" w:cs="Arial" w:eastAsia="Arial" w:hAnsi="Arial"/>
                <w:sz w:val="14"/>
                <w:szCs w:val="14"/>
                <w:b w:val="1"/>
                <w:bCs w:val="1"/>
                <w:color w:val="auto"/>
                <w:w w:val="99"/>
              </w:rPr>
              <w:t>Pro Forma</w:t>
            </w:r>
          </w:p>
        </w:tc>
        <w:tc>
          <w:tcPr>
            <w:tcW w:w="8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00"/>
              <w:spacing w:after="0" w:line="147" w:lineRule="exact"/>
              <w:rPr>
                <w:sz w:val="20"/>
                <w:szCs w:val="20"/>
                <w:color w:val="auto"/>
              </w:rPr>
            </w:pPr>
            <w:r>
              <w:rPr>
                <w:rFonts w:ascii="Arial" w:cs="Arial" w:eastAsia="Arial" w:hAnsi="Arial"/>
                <w:sz w:val="14"/>
                <w:szCs w:val="14"/>
                <w:b w:val="1"/>
                <w:bCs w:val="1"/>
                <w:color w:val="auto"/>
                <w:w w:val="96"/>
              </w:rPr>
              <w:t>GoHealth</w:t>
            </w: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Adjusted</w:t>
            </w:r>
          </w:p>
        </w:tc>
        <w:tc>
          <w:tcPr>
            <w:tcW w:w="8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6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13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Holdings, LLC</w:t>
            </w:r>
          </w:p>
        </w:tc>
        <w:tc>
          <w:tcPr>
            <w:tcW w:w="15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Transactions</w:t>
            </w:r>
          </w:p>
        </w:tc>
        <w:tc>
          <w:tcPr>
            <w:tcW w:w="102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1040"/>
              <w:spacing w:after="0" w:line="147" w:lineRule="exact"/>
              <w:rPr>
                <w:sz w:val="20"/>
                <w:szCs w:val="20"/>
                <w:color w:val="auto"/>
              </w:rPr>
            </w:pPr>
            <w:r>
              <w:rPr>
                <w:rFonts w:ascii="Arial" w:cs="Arial" w:eastAsia="Arial" w:hAnsi="Arial"/>
                <w:sz w:val="14"/>
                <w:szCs w:val="14"/>
                <w:b w:val="1"/>
                <w:bCs w:val="1"/>
                <w:color w:val="auto"/>
                <w:w w:val="95"/>
              </w:rPr>
              <w:t>Offering</w:t>
            </w: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4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Historical</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Transactions</w:t>
            </w:r>
          </w:p>
        </w:tc>
        <w:tc>
          <w:tcPr>
            <w:tcW w:w="8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Borders>
              <w:top w:val="single" w:sz="8" w:color="CCEEFF"/>
            </w:tcBorders>
            <w:shd w:val="clear" w:color="auto" w:fill="CCEEFF"/>
          </w:tcPr>
          <w:p>
            <w:pPr>
              <w:ind w:left="340"/>
              <w:spacing w:after="0" w:line="180" w:lineRule="exact"/>
              <w:rPr>
                <w:sz w:val="20"/>
                <w:szCs w:val="20"/>
                <w:color w:val="auto"/>
              </w:rPr>
            </w:pPr>
            <w:r>
              <w:rPr>
                <w:rFonts w:ascii="Arial" w:cs="Arial" w:eastAsia="Arial" w:hAnsi="Arial"/>
                <w:sz w:val="18"/>
                <w:szCs w:val="18"/>
                <w:color w:val="auto"/>
              </w:rPr>
              <w:t>Class B common stock – $0.0001 par value per</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 690,000,000 shares authorized on a pro</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forma basis, 229,399,322 shares issued and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on a pro forma basis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(3)</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233,523</w:t>
            </w:r>
            <w:r>
              <w:rPr>
                <w:rFonts w:ascii="Arial" w:cs="Arial" w:eastAsia="Arial" w:hAnsi="Arial"/>
                <w:sz w:val="15"/>
                <w:szCs w:val="15"/>
                <w:color w:val="auto"/>
                <w:w w:val="98"/>
              </w:rPr>
              <w:t>(1)(2)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159,779</w:t>
            </w:r>
            <w:r>
              <w:rPr>
                <w:rFonts w:ascii="Arial" w:cs="Arial" w:eastAsia="Arial" w:hAnsi="Arial"/>
                <w:sz w:val="15"/>
                <w:szCs w:val="15"/>
                <w:color w:val="auto"/>
                <w:w w:val="99"/>
              </w:rPr>
              <w:t>(3)(4)(5)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Retained deficit</w:t>
            </w:r>
          </w:p>
        </w:tc>
        <w:tc>
          <w:tcPr>
            <w:tcW w:w="14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(53,839)</w:t>
            </w:r>
            <w:r>
              <w:rPr>
                <w:rFonts w:ascii="Arial" w:cs="Arial" w:eastAsia="Arial" w:hAnsi="Arial"/>
                <w:sz w:val="15"/>
                <w:szCs w:val="15"/>
                <w:color w:val="auto"/>
              </w:rPr>
              <w:t>(5)</w:t>
            </w:r>
          </w:p>
        </w:tc>
        <w:tc>
          <w:tcPr>
            <w:tcW w:w="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(53,839)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Total members’/stockholders’ equity attributable to</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GoHealth Holdings, LLC/GoHealth, Inc.</w:t>
            </w:r>
            <w:r>
              <w:rPr>
                <w:rFonts w:ascii="Arial" w:cs="Arial" w:eastAsia="Arial" w:hAnsi="Arial"/>
                <w:sz w:val="15"/>
                <w:szCs w:val="15"/>
                <w:color w:val="auto"/>
              </w:rPr>
              <w:t>(a)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869,602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(636,152)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233,450</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105,942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339,392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636,152</w:t>
            </w:r>
            <w:r>
              <w:rPr>
                <w:rFonts w:ascii="Arial" w:cs="Arial" w:eastAsia="Arial" w:hAnsi="Arial"/>
                <w:sz w:val="15"/>
                <w:szCs w:val="15"/>
                <w:color w:val="auto"/>
                <w:w w:val="98"/>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288,694</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924,846</w:t>
            </w:r>
          </w:p>
        </w:tc>
        <w:tc>
          <w:tcPr>
            <w:tcW w:w="0" w:type="dxa"/>
            <w:vAlign w:val="bottom"/>
          </w:tcPr>
          <w:p>
            <w:pPr>
              <w:spacing w:after="0"/>
              <w:rPr>
                <w:sz w:val="1"/>
                <w:szCs w:val="1"/>
                <w:color w:val="auto"/>
              </w:rPr>
            </w:pP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Total members’/stockholders’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869,602</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394,636</w:t>
            </w:r>
          </w:p>
        </w:tc>
        <w:tc>
          <w:tcPr>
            <w:tcW w:w="9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1,264,238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1,709,649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1,709,649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147,536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1,857,185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60" w:right="780" w:firstLine="7"/>
        <w:spacing w:after="0" w:line="271" w:lineRule="auto"/>
        <w:tabs>
          <w:tab w:leader="none" w:pos="4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historical amounts, represents total members’ equity attributable to GoHealth Holdings, LLC. For Pro Forma amounts, represents total stockholders’ equity attributable to GoHealth, Inc.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balance sheet</w:t>
      </w:r>
    </w:p>
    <w:p>
      <w:pPr>
        <w:spacing w:after="0" w:line="127" w:lineRule="exact"/>
        <w:rPr>
          <w:sz w:val="20"/>
          <w:szCs w:val="20"/>
          <w:color w:val="auto"/>
        </w:rPr>
      </w:pPr>
    </w:p>
    <w:p>
      <w:pPr>
        <w:ind w:left="1580" w:right="80" w:hanging="436"/>
        <w:spacing w:after="0" w:line="307" w:lineRule="auto"/>
        <w:tabs>
          <w:tab w:leader="none" w:pos="1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Reflects the exchange of GoHealth Holdings, LLC common units held by the Continuing Equity Owners for shares of our Class B common stock, equal to the number of GoHealth Holdings, LLC common units retained by each, for nominal consideration, and the issuance of our Class A common stock to the Blocker Shareholders in connection with the Blocker Merger.</w:t>
      </w:r>
    </w:p>
    <w:p>
      <w:pPr>
        <w:spacing w:after="0" w:line="56" w:lineRule="exact"/>
        <w:rPr>
          <w:rFonts w:ascii="Arial" w:cs="Arial" w:eastAsia="Arial" w:hAnsi="Arial"/>
          <w:sz w:val="16"/>
          <w:szCs w:val="16"/>
          <w:color w:val="auto"/>
        </w:rPr>
      </w:pPr>
    </w:p>
    <w:p>
      <w:pPr>
        <w:ind w:left="1580" w:right="60" w:hanging="436"/>
        <w:spacing w:after="0" w:line="269" w:lineRule="auto"/>
        <w:tabs>
          <w:tab w:leader="none" w:pos="1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completion of the Transactions, we will become the sole managing member of GoHealth Holdings, LLC. Although we will have a minority economic interest in GoHealth Holdings, LLC, we will have the sole voting interest in, and control of the management of, GoHealth Holdings, LLC. As a result, we will consolidate the financial results of GoHealth Holdings, LLC and will report a noncontrolling interest related to the interests in GoHealth Holdings, LLC held by the Continuing Equity Owners on our consolidated balance sheet. Immediately following the Transactions, the economic interests held by the noncontrolling interest will be approximately 73.2%. If the underwriters were to exercise their option to purchase additional shares of our Class A common stock in full, the economic interests held by the noncontrolling interest would be approximately 71.4%.</w:t>
      </w:r>
    </w:p>
    <w:p>
      <w:pPr>
        <w:spacing w:after="0" w:line="84" w:lineRule="exact"/>
        <w:rPr>
          <w:rFonts w:ascii="Arial" w:cs="Arial" w:eastAsia="Arial" w:hAnsi="Arial"/>
          <w:sz w:val="17"/>
          <w:szCs w:val="17"/>
          <w:color w:val="auto"/>
        </w:rPr>
      </w:pPr>
    </w:p>
    <w:p>
      <w:pPr>
        <w:ind w:left="1580" w:right="20" w:hanging="436"/>
        <w:spacing w:after="0" w:line="269" w:lineRule="auto"/>
        <w:tabs>
          <w:tab w:leader="none" w:pos="1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the net effect on cash of the receipt of gross offering proceeds to us of $913.5 million, based on the sale of 43,500,000 Class A common stock at the initial public offering price of $21.00 per share, after deducting the underwriting discount and estimated offering expenses payable by us aggregating $61.5 million and assuming the underwriters’ option to purchase additional shares of Class A common stock is not exercised. We intend to use the net proceeds from this offering to (i) purchase 38,679,685 newly-issued LLC Interests (or 44,166,647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line="252" w:lineRule="auto"/>
        <w:rPr>
          <w:sz w:val="20"/>
          <w:szCs w:val="20"/>
          <w:color w:val="auto"/>
        </w:rPr>
      </w:pPr>
      <w:r>
        <w:rPr>
          <w:rFonts w:ascii="Arial" w:cs="Arial" w:eastAsia="Arial" w:hAnsi="Arial"/>
          <w:sz w:val="18"/>
          <w:szCs w:val="18"/>
          <w:color w:val="auto"/>
        </w:rPr>
        <w:t>discount and estimated offering expenses payable by us and (ii) pay $96.2 million in cash to the Blocker Shareholders as partial consideration in the Blocker Merger. GoHealth Holdings, LLC intends to use the net proceeds from the sale of LLC Interests to GoHealth, Inc. (i) to pay $508.3 million in cash to partially redeem certain of the LLC Interests held directly or indirectly by the Continuing Equity Owners, (ii) to satisfy in full $100.0 million in aggregate face amount of an existing equity instrument in connection with the Transactions and (iii) for general corporate purposes, to the extent any proceeds remain, to support the growth of the business. See “Use of Proceeds.”</w:t>
      </w:r>
    </w:p>
    <w:p>
      <w:pPr>
        <w:spacing w:after="0" w:line="100" w:lineRule="exact"/>
        <w:rPr>
          <w:sz w:val="20"/>
          <w:szCs w:val="20"/>
          <w:color w:val="auto"/>
        </w:rPr>
      </w:pPr>
    </w:p>
    <w:p>
      <w:pPr>
        <w:ind w:left="1580" w:right="100" w:hanging="436"/>
        <w:spacing w:after="0" w:line="253" w:lineRule="auto"/>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the settlement of the 2019 and 2020 contingent earnout liabilities associated with the Centerbridge Acquisition. The full amount available relative to the 2019 earnout target of $200 million was earned and accrued as of December 31, 2019. On May 15, 2020, the contingent consideration related to the 2019 target of $200 million was settled with the issuance of $100.0 million in aggregate of GoHealth Holdings, LLC Class A common units and Class B common units, and $100.0 million in aggregate principal amount of senior preferred earnout units.</w:t>
      </w:r>
    </w:p>
    <w:p>
      <w:pPr>
        <w:spacing w:after="0" w:line="85" w:lineRule="exact"/>
        <w:rPr>
          <w:rFonts w:ascii="Arial" w:cs="Arial" w:eastAsia="Arial" w:hAnsi="Arial"/>
          <w:sz w:val="18"/>
          <w:szCs w:val="18"/>
          <w:color w:val="auto"/>
        </w:rPr>
      </w:pPr>
    </w:p>
    <w:p>
      <w:pPr>
        <w:ind w:left="1580" w:right="100"/>
        <w:spacing w:after="0" w:line="267" w:lineRule="auto"/>
        <w:rPr>
          <w:rFonts w:ascii="Arial" w:cs="Arial" w:eastAsia="Arial" w:hAnsi="Arial"/>
          <w:sz w:val="18"/>
          <w:szCs w:val="18"/>
          <w:color w:val="auto"/>
        </w:rPr>
      </w:pPr>
      <w:r>
        <w:rPr>
          <w:rFonts w:ascii="Arial" w:cs="Arial" w:eastAsia="Arial" w:hAnsi="Arial"/>
          <w:sz w:val="17"/>
          <w:szCs w:val="17"/>
          <w:color w:val="auto"/>
        </w:rPr>
        <w:t>GoHealth Holdings, LLC intends to satisfy in full the $100.0 million of the senior preferred earnout units issued in connection with the 2019 earnout through the use of proceeds of this offering. In addition, in connection with the Transactions, the Class A common units and Class B common units in GoHealth Holdings, LLC issued in connection with the 2019 earnout will be converted to LLC Interests, with corresponding shares of Class B common stock issued on a one-to-one basis with such LLC Interests. Also, upon consummation of this offering and in connection with the Transactions, Centerbridge will assume any earnout liability associated with the Centerbridge Acquisition related to the 2020 performance period. Accordingly, the pro forma adjustments reflect the removal of the recorded 2020 earnout liability by GoHealth Holdings, LLC and a corresponding adjustment to additional paid-in-capital for the fair value of the earnout in the amount of $47.1 million. After completion of this offering, the full amount of GoHealth Holdings, LLC’s liabilities with respect to the 2019 and 2020 earnouts accrued in connection with the Centerbridge Acquisition will be settled.</w:t>
      </w:r>
    </w:p>
    <w:p>
      <w:pPr>
        <w:spacing w:after="0" w:line="85" w:lineRule="exact"/>
        <w:rPr>
          <w:rFonts w:ascii="Arial" w:cs="Arial" w:eastAsia="Arial" w:hAnsi="Arial"/>
          <w:sz w:val="18"/>
          <w:szCs w:val="18"/>
          <w:color w:val="auto"/>
        </w:rPr>
      </w:pPr>
    </w:p>
    <w:p>
      <w:pPr>
        <w:ind w:left="1580" w:hanging="436"/>
        <w:spacing w:after="0" w:line="287" w:lineRule="auto"/>
        <w:tabs>
          <w:tab w:leader="none" w:pos="1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$53.4 million of share-based compensation expense we expect to record for approximately 14 million of performance-based vesting profits interests held by management that will automatically vest upon the completion of this offering. Pursuant to FASB ASC 718,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of its investment in the Company. Such an exit event is not considered probable until it consummates. The completion of this offering will satisfy the performance condition and will trigger an accelerated vesting of these profits interests. We will record the related compensation expense with a corresponding increase to additional paid-in capital.</w:t>
      </w:r>
    </w:p>
    <w:p>
      <w:pPr>
        <w:spacing w:after="0" w:line="72" w:lineRule="exact"/>
        <w:rPr>
          <w:rFonts w:ascii="Arial" w:cs="Arial" w:eastAsia="Arial" w:hAnsi="Arial"/>
          <w:sz w:val="16"/>
          <w:szCs w:val="16"/>
          <w:color w:val="auto"/>
        </w:rPr>
      </w:pPr>
    </w:p>
    <w:p>
      <w:pPr>
        <w:ind w:left="1580" w:right="80" w:hanging="436"/>
        <w:spacing w:after="0" w:line="286" w:lineRule="auto"/>
        <w:tabs>
          <w:tab w:leader="none" w:pos="1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connection with the merger of the Blocker Company with and into GoHealth, Inc., we will acquire various LLC interests of GoHealth Holdings, LLC and will succeed to their aggregate historical tax basis. The total tax benefit from such historical tax basis, including any increases thereto as a result of the Transactions, will be amortized over 15 years pursuant to Section 197 of the U.S. Internal Revenue Code of 1986, as amended (the “Code”). It is not more likely than not that we will realize the tax benefit of any deferred tax assets resulting from the Transactions and therefore, we have recorded a full valuation allowance. As a result, the pro forma consolidated balance sheet does not reflect an adjustment for deferred taxes. In addition, as part of the merger, we will enter into a Tax Receivable Agreement with the Continuing Equity Owners and the Blocker Shareholders to pay them 85% of the tax savings realized. Amounts payable under the Tax Receivable Agreement are contingent upon, among other things, generation of sufficient future taxable income during the term of the Tax Receivable Agreement. As such, we determined</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240"/>
        <w:spacing w:after="0" w:line="271" w:lineRule="auto"/>
        <w:rPr>
          <w:sz w:val="20"/>
          <w:szCs w:val="20"/>
          <w:color w:val="auto"/>
        </w:rPr>
      </w:pPr>
      <w:r>
        <w:rPr>
          <w:rFonts w:ascii="Arial" w:cs="Arial" w:eastAsia="Arial" w:hAnsi="Arial"/>
          <w:sz w:val="18"/>
          <w:szCs w:val="18"/>
          <w:color w:val="auto"/>
        </w:rPr>
        <w:t>there is no resulting liability related to the Tax Receivable Agreement arising from the Transactions as the associated deferred tax assets are fully offset by a valuation allowance.</w:t>
      </w:r>
    </w:p>
    <w:p>
      <w:pPr>
        <w:spacing w:after="0" w:line="68" w:lineRule="exact"/>
        <w:rPr>
          <w:sz w:val="20"/>
          <w:szCs w:val="20"/>
          <w:color w:val="auto"/>
        </w:rPr>
      </w:pPr>
    </w:p>
    <w:p>
      <w:pPr>
        <w:ind w:left="1580"/>
        <w:spacing w:after="0" w:line="282" w:lineRule="auto"/>
        <w:rPr>
          <w:sz w:val="20"/>
          <w:szCs w:val="20"/>
          <w:color w:val="auto"/>
        </w:rPr>
      </w:pPr>
      <w:r>
        <w:rPr>
          <w:rFonts w:ascii="Arial" w:cs="Arial" w:eastAsia="Arial" w:hAnsi="Arial"/>
          <w:sz w:val="16"/>
          <w:szCs w:val="16"/>
          <w:color w:val="auto"/>
        </w:rPr>
        <w:t>Following the completion of the Transactions, GoHealth, Inc. will be a holding company whose principal asset will consist of 27% of the outstanding LLC Interests that it acquires directly from GoHealth Holdings, LLC and indirectly from certain Continuing Equity Owners and Blocker Shareholders in connection with this offering. As such, the unaudited pro forma consolidated financial information assumes that a 27% exchange of LLC Interests has occurred. However, if all of the Continuing Equity Owners were to exchange or redeem their LLC Interests, we would recognize a deferred tax asset of approximately $1,740.0 million and a related liability for payments under the Tax Receivable Agreement of approximately $1,479.0 million, assuming, among other factors, (i) all exchanges occurred on the same day; (ii) a price of $21.00 per share of Class A common stock; (iii) a constant corporate tax rate of 23.7%; (iv) we will have sufficient taxable income to fully utilize the tax benefits; (v) GoHealth Holdings, LLC is able to fully depreciate or amortize its assets; and (vi) no material changes in applicable tax law. For each 5% increase (decrease) in the amount of LLC Interests exchanged by the Continuing Equity Owners, our deferred tax asset would increase (decrease) by approximately $99.0 million and the related liability for payments under the Tax Receivable Agreement would increase (decrease) by approximately $84 million, assuming that the price per share of the Class A common stock at the time of the exchange and corporate tax rate remain the same. These amounts are estimates and have been prepared for informational purposes only. The actual amount of deferred tax assets and related liabilities that we will recognize will differ based on, among other things, the timing of the redemptions or exchanges, the price of our shares of Class A common stock at the time of the redemptions or exchanges, availability of sufficient taxable income and the tax rates then in effect.</w:t>
      </w:r>
    </w:p>
    <w:p>
      <w:pPr>
        <w:spacing w:after="0" w:line="72" w:lineRule="exact"/>
        <w:rPr>
          <w:sz w:val="20"/>
          <w:szCs w:val="20"/>
          <w:color w:val="auto"/>
        </w:rPr>
      </w:pPr>
    </w:p>
    <w:p>
      <w:pPr>
        <w:ind w:left="1580"/>
        <w:spacing w:after="0" w:line="284" w:lineRule="auto"/>
        <w:rPr>
          <w:sz w:val="20"/>
          <w:szCs w:val="20"/>
          <w:color w:val="auto"/>
        </w:rPr>
      </w:pPr>
      <w:r>
        <w:rPr>
          <w:rFonts w:ascii="Arial" w:cs="Arial" w:eastAsia="Arial" w:hAnsi="Arial"/>
          <w:sz w:val="16"/>
          <w:szCs w:val="16"/>
          <w:color w:val="auto"/>
        </w:rPr>
        <w:t>We may elect to terminate the Tax Receivable Agreement early by making an immediate cash payment equal to the present value of the anticipated future tax benefits that would be required to be paid by us to the Continuing Equity Owners and the Blocker Shareholders under the Tax Receivable Agreement. The calculation of such cash payment would be based on certain assumptions, including, among others (i) that any Continuing Equity Owners’ LLC Interests that have not been exchanged are deemed exchanged, in general, for the fair market value of our Class A common stock that would be received by such Continuing Equity Owner if such LLC Interests had been exchanged at the time of termination; (ii) we will have sufficient taxable income in each future taxable year to fully realize all potential tax savings; (iii) the federal tax rates for future years will be those specified in the law as in effect at the time of termination and the combined state and local tax rates will be an assumed tax rate; and (iv) certain nonamortizable assets are deemed disposed of within specified time periods. In addition, the present value of such tax benefit payments are discounted at a rate equal to 1.16% per annum, compounded annually. Assuming that the fair market value of our Class A common stock were to be equal to $21.00 and that the relevant LIBO Rate were to be 0.16%, we estimate that the aggregate amount of these termination payments would be approximately $1,333.0 million if we were to exercise our termination right immediately following this offering.</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6"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statement of operations for the three months ended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GoHealth</w:t>
            </w:r>
          </w:p>
        </w:tc>
        <w:tc>
          <w:tcPr>
            <w:tcW w:w="18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As Further</w:t>
            </w:r>
          </w:p>
        </w:tc>
        <w:tc>
          <w:tcPr>
            <w:tcW w:w="240" w:type="dxa"/>
            <w:vAlign w:val="bottom"/>
          </w:tcPr>
          <w:p>
            <w:pPr>
              <w:spacing w:after="0"/>
              <w:rPr>
                <w:sz w:val="14"/>
                <w:szCs w:val="14"/>
                <w:color w:val="auto"/>
              </w:rPr>
            </w:pPr>
          </w:p>
        </w:tc>
        <w:tc>
          <w:tcPr>
            <w:tcW w:w="1580" w:type="dxa"/>
            <w:vAlign w:val="bottom"/>
            <w:gridSpan w:val="3"/>
            <w:vMerge w:val="restart"/>
          </w:tcPr>
          <w:p>
            <w:pPr>
              <w:jc w:val="center"/>
              <w:ind w:right="80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Adjusted for</w:t>
            </w:r>
          </w:p>
        </w:tc>
        <w:tc>
          <w:tcPr>
            <w:tcW w:w="2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tcPr>
          <w:p>
            <w:pPr>
              <w:spacing w:after="0" w:line="147" w:lineRule="exact"/>
              <w:rPr>
                <w:sz w:val="20"/>
                <w:szCs w:val="20"/>
                <w:color w:val="auto"/>
              </w:rPr>
            </w:pPr>
            <w:r>
              <w:rPr>
                <w:rFonts w:ascii="Arial" w:cs="Arial" w:eastAsia="Arial" w:hAnsi="Arial"/>
                <w:sz w:val="14"/>
                <w:szCs w:val="14"/>
                <w:color w:val="auto"/>
              </w:rPr>
              <w:t>(in thousands, except share and per share</w:t>
            </w:r>
          </w:p>
        </w:tc>
        <w:tc>
          <w:tcPr>
            <w:tcW w:w="300" w:type="dxa"/>
            <w:vAlign w:val="bottom"/>
          </w:tcPr>
          <w:p>
            <w:pPr>
              <w:spacing w:after="0"/>
              <w:rPr>
                <w:sz w:val="12"/>
                <w:szCs w:val="12"/>
                <w:color w:val="auto"/>
              </w:rPr>
            </w:pPr>
          </w:p>
        </w:tc>
        <w:tc>
          <w:tcPr>
            <w:tcW w:w="11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Holdings, LLC</w:t>
            </w:r>
          </w:p>
        </w:tc>
        <w:tc>
          <w:tcPr>
            <w:tcW w:w="180" w:type="dxa"/>
            <w:vAlign w:val="bottom"/>
          </w:tcPr>
          <w:p>
            <w:pPr>
              <w:spacing w:after="0"/>
              <w:rPr>
                <w:sz w:val="12"/>
                <w:szCs w:val="12"/>
                <w:color w:val="auto"/>
              </w:rPr>
            </w:pPr>
          </w:p>
        </w:tc>
        <w:tc>
          <w:tcPr>
            <w:tcW w:w="12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Transactions</w:t>
            </w:r>
          </w:p>
        </w:tc>
        <w:tc>
          <w:tcPr>
            <w:tcW w:w="200" w:type="dxa"/>
            <w:vAlign w:val="bottom"/>
          </w:tcPr>
          <w:p>
            <w:pPr>
              <w:spacing w:after="0"/>
              <w:rPr>
                <w:sz w:val="12"/>
                <w:szCs w:val="12"/>
                <w:color w:val="auto"/>
              </w:rPr>
            </w:pPr>
          </w:p>
        </w:tc>
        <w:tc>
          <w:tcPr>
            <w:tcW w:w="1060" w:type="dxa"/>
            <w:vAlign w:val="bottom"/>
            <w:gridSpan w:val="3"/>
          </w:tcPr>
          <w:p>
            <w:pPr>
              <w:jc w:val="right"/>
              <w:ind w:right="340"/>
              <w:spacing w:after="0" w:line="147" w:lineRule="exact"/>
              <w:rPr>
                <w:sz w:val="20"/>
                <w:szCs w:val="20"/>
                <w:color w:val="auto"/>
              </w:rPr>
            </w:pPr>
            <w:r>
              <w:rPr>
                <w:rFonts w:ascii="Arial" w:cs="Arial" w:eastAsia="Arial" w:hAnsi="Arial"/>
                <w:sz w:val="14"/>
                <w:szCs w:val="14"/>
                <w:b w:val="1"/>
                <w:bCs w:val="1"/>
                <w:color w:val="auto"/>
                <w:w w:val="99"/>
              </w:rPr>
              <w:t>Pro Forma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920"/>
              <w:spacing w:after="0" w:line="147" w:lineRule="exact"/>
              <w:rPr>
                <w:sz w:val="20"/>
                <w:szCs w:val="20"/>
                <w:color w:val="auto"/>
              </w:rPr>
            </w:pPr>
            <w:r>
              <w:rPr>
                <w:rFonts w:ascii="Arial" w:cs="Arial" w:eastAsia="Arial" w:hAnsi="Arial"/>
                <w:sz w:val="14"/>
                <w:szCs w:val="14"/>
                <w:b w:val="1"/>
                <w:bCs w:val="1"/>
                <w:color w:val="auto"/>
                <w:w w:val="95"/>
              </w:rPr>
              <w:t>Offering</w:t>
            </w: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3700" w:type="dxa"/>
            <w:vAlign w:val="bottom"/>
            <w:gridSpan w:val="2"/>
          </w:tcPr>
          <w:p>
            <w:pPr>
              <w:spacing w:after="0"/>
              <w:rPr>
                <w:sz w:val="20"/>
                <w:szCs w:val="20"/>
                <w:color w:val="auto"/>
              </w:rPr>
            </w:pPr>
            <w:r>
              <w:rPr>
                <w:rFonts w:ascii="Arial" w:cs="Arial" w:eastAsia="Arial" w:hAnsi="Arial"/>
                <w:sz w:val="14"/>
                <w:szCs w:val="14"/>
                <w:color w:val="auto"/>
              </w:rPr>
              <w:t>amounts)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240" w:type="dxa"/>
            <w:vAlign w:val="bottom"/>
          </w:tcPr>
          <w:p>
            <w:pPr>
              <w:spacing w:after="0"/>
              <w:rPr>
                <w:sz w:val="14"/>
                <w:szCs w:val="14"/>
                <w:color w:val="auto"/>
              </w:rPr>
            </w:pPr>
          </w:p>
        </w:tc>
        <w:tc>
          <w:tcPr>
            <w:tcW w:w="15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112,510</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112,510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112,510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28,500</w:t>
            </w:r>
          </w:p>
        </w:tc>
        <w:tc>
          <w:tcPr>
            <w:tcW w:w="0" w:type="dxa"/>
            <w:vAlign w:val="bottom"/>
          </w:tcPr>
          <w:p>
            <w:pPr>
              <w:spacing w:after="0"/>
              <w:rPr>
                <w:sz w:val="1"/>
                <w:szCs w:val="1"/>
                <w:color w:val="auto"/>
              </w:rPr>
            </w:pPr>
          </w:p>
        </w:tc>
      </w:tr>
      <w:tr>
        <w:trPr>
          <w:trHeight w:val="220"/>
        </w:trPr>
        <w:tc>
          <w:tcPr>
            <w:tcW w:w="37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141,010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42,134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42,134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23,978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23,978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624</w:t>
            </w: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24,602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w:t>
            </w: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10,491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10,491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1,373</w:t>
            </w:r>
            <w:r>
              <w:rPr>
                <w:rFonts w:ascii="Arial" w:cs="Arial" w:eastAsia="Arial" w:hAnsi="Arial"/>
                <w:sz w:val="15"/>
                <w:szCs w:val="15"/>
                <w:color w:val="auto"/>
              </w:rPr>
              <w:t>(8)(10)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Change in fair value of contingent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consideration liability</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(4,400)</w:t>
            </w:r>
            <w:r>
              <w:rPr>
                <w:rFonts w:ascii="Arial" w:cs="Arial" w:eastAsia="Arial" w:hAnsi="Arial"/>
                <w:sz w:val="15"/>
                <w:szCs w:val="15"/>
                <w:color w:val="auto"/>
              </w:rPr>
              <w:t>(9)</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23,514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23,514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135,183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135,183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132,872</w:t>
            </w:r>
          </w:p>
        </w:tc>
        <w:tc>
          <w:tcPr>
            <w:tcW w:w="0" w:type="dxa"/>
            <w:vAlign w:val="bottom"/>
          </w:tcPr>
          <w:p>
            <w:pPr>
              <w:spacing w:after="0"/>
              <w:rPr>
                <w:sz w:val="1"/>
                <w:szCs w:val="1"/>
                <w:color w:val="auto"/>
              </w:rPr>
            </w:pPr>
          </w:p>
        </w:tc>
      </w:tr>
      <w:tr>
        <w:trPr>
          <w:trHeight w:val="220"/>
        </w:trPr>
        <w:tc>
          <w:tcPr>
            <w:tcW w:w="37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Net income (loss) attributable to noncontrolling</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r>
              <w:rPr>
                <w:rFonts w:ascii="Arial" w:cs="Arial" w:eastAsia="Arial" w:hAnsi="Arial"/>
                <w:sz w:val="15"/>
                <w:szCs w:val="15"/>
                <w:color w:val="auto"/>
              </w:rPr>
              <w:t>(7)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1,690</w:t>
            </w:r>
            <w:r>
              <w:rPr>
                <w:rFonts w:ascii="Arial" w:cs="Arial" w:eastAsia="Arial" w:hAnsi="Arial"/>
                <w:sz w:val="15"/>
                <w:szCs w:val="15"/>
                <w:color w:val="auto"/>
              </w:rPr>
              <w:t>(7)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0"/>
        </w:trPr>
        <w:tc>
          <w:tcPr>
            <w:tcW w:w="3700" w:type="dxa"/>
            <w:vAlign w:val="bottom"/>
            <w:gridSpan w:val="2"/>
          </w:tcPr>
          <w:p>
            <w:pPr>
              <w:spacing w:after="0"/>
              <w:rPr>
                <w:sz w:val="20"/>
                <w:szCs w:val="20"/>
                <w:color w:val="auto"/>
              </w:rPr>
            </w:pPr>
            <w:r>
              <w:rPr>
                <w:rFonts w:ascii="Arial" w:cs="Arial" w:eastAsia="Arial" w:hAnsi="Arial"/>
                <w:sz w:val="18"/>
                <w:szCs w:val="18"/>
                <w:color w:val="auto"/>
                <w:w w:val="98"/>
              </w:rPr>
              <w:t>Net income (loss) attributable to GoHealth, Inc.</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686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9"/>
              </w:rPr>
              <w:t>621</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Per Share Data:</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 forma net income per share</w:t>
            </w:r>
            <w:r>
              <w:rPr>
                <w:rFonts w:ascii="Arial" w:cs="Arial" w:eastAsia="Arial" w:hAnsi="Arial"/>
                <w:sz w:val="15"/>
                <w:szCs w:val="15"/>
                <w:color w:val="auto"/>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weighted-average shares used to</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compute pro forma net income per share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84,182,961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313,712,038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gridSpan w:val="2"/>
          </w:tcPr>
          <w:p>
            <w:pPr>
              <w:jc w:val="right"/>
              <w:ind w:right="44"/>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Unaudited pro forma condensed consolidated statement of operations for the Successor 2019 Period and Predecessor 2019 Period</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5"/>
              </w:rPr>
              <w:t>Predecessor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Successor</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1"/>
              </w:rPr>
              <w:t>2019 Period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2019 Period</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center"/>
              <w:ind w:right="219"/>
              <w:spacing w:after="0"/>
              <w:rPr>
                <w:sz w:val="20"/>
                <w:szCs w:val="20"/>
                <w:color w:val="auto"/>
              </w:rPr>
            </w:pPr>
            <w:r>
              <w:rPr>
                <w:rFonts w:ascii="Arial" w:cs="Arial" w:eastAsia="Arial" w:hAnsi="Arial"/>
                <w:sz w:val="12"/>
                <w:szCs w:val="12"/>
                <w:b w:val="1"/>
                <w:bCs w:val="1"/>
                <w:color w:val="auto"/>
                <w:w w:val="94"/>
              </w:rPr>
              <w:t>As Adjusted</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39"/>
              <w:spacing w:after="0" w:line="134" w:lineRule="exact"/>
              <w:rPr>
                <w:sz w:val="20"/>
                <w:szCs w:val="20"/>
                <w:color w:val="auto"/>
              </w:rPr>
            </w:pPr>
            <w:r>
              <w:rPr>
                <w:rFonts w:ascii="Arial" w:cs="Arial" w:eastAsia="Arial" w:hAnsi="Arial"/>
                <w:sz w:val="12"/>
                <w:szCs w:val="12"/>
                <w:b w:val="1"/>
                <w:bCs w:val="1"/>
                <w:color w:val="auto"/>
                <w:w w:val="96"/>
              </w:rPr>
              <w:t>for Pro</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5"/>
              </w:rPr>
              <w:t>Successor</w:t>
            </w:r>
          </w:p>
        </w:tc>
        <w:tc>
          <w:tcPr>
            <w:tcW w:w="60" w:type="dxa"/>
            <w:vAlign w:val="bottom"/>
          </w:tcPr>
          <w:p>
            <w:pPr>
              <w:spacing w:after="0"/>
              <w:rPr>
                <w:sz w:val="11"/>
                <w:szCs w:val="11"/>
                <w:color w:val="auto"/>
              </w:rPr>
            </w:pPr>
          </w:p>
        </w:tc>
        <w:tc>
          <w:tcPr>
            <w:tcW w:w="1100" w:type="dxa"/>
            <w:vAlign w:val="bottom"/>
            <w:gridSpan w:val="2"/>
          </w:tcPr>
          <w:p>
            <w:pPr>
              <w:jc w:val="right"/>
              <w:ind w:right="520"/>
              <w:spacing w:after="0" w:line="134" w:lineRule="exact"/>
              <w:rPr>
                <w:sz w:val="20"/>
                <w:szCs w:val="20"/>
                <w:color w:val="auto"/>
              </w:rPr>
            </w:pPr>
            <w:r>
              <w:rPr>
                <w:rFonts w:ascii="Arial" w:cs="Arial" w:eastAsia="Arial" w:hAnsi="Arial"/>
                <w:sz w:val="12"/>
                <w:szCs w:val="12"/>
                <w:b w:val="1"/>
                <w:bCs w:val="1"/>
                <w:color w:val="auto"/>
                <w:w w:val="93"/>
              </w:rPr>
              <w:t>Pro Forma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19"/>
              <w:spacing w:after="0" w:line="134" w:lineRule="exact"/>
              <w:rPr>
                <w:sz w:val="20"/>
                <w:szCs w:val="20"/>
                <w:color w:val="auto"/>
              </w:rPr>
            </w:pPr>
            <w:r>
              <w:rPr>
                <w:rFonts w:ascii="Arial" w:cs="Arial" w:eastAsia="Arial" w:hAnsi="Arial"/>
                <w:sz w:val="12"/>
                <w:szCs w:val="12"/>
                <w:b w:val="1"/>
                <w:bCs w:val="1"/>
                <w:color w:val="auto"/>
                <w:w w:val="98"/>
              </w:rPr>
              <w:t>Forma</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209"/>
              <w:spacing w:after="0" w:line="134" w:lineRule="exact"/>
              <w:rPr>
                <w:sz w:val="20"/>
                <w:szCs w:val="20"/>
                <w:color w:val="auto"/>
              </w:rPr>
            </w:pPr>
            <w:r>
              <w:rPr>
                <w:rFonts w:ascii="Arial" w:cs="Arial" w:eastAsia="Arial" w:hAnsi="Arial"/>
                <w:sz w:val="12"/>
                <w:szCs w:val="12"/>
                <w:b w:val="1"/>
                <w:bCs w:val="1"/>
                <w:color w:val="auto"/>
                <w:w w:val="98"/>
              </w:rPr>
              <w:t>As Further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7"/>
              </w:rPr>
              <w:t>GoHealth</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7"/>
              </w:rPr>
              <w:t>GoHealth</w:t>
            </w:r>
          </w:p>
        </w:tc>
        <w:tc>
          <w:tcPr>
            <w:tcW w:w="11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Centerbridge</w:t>
            </w:r>
          </w:p>
        </w:tc>
        <w:tc>
          <w:tcPr>
            <w:tcW w:w="100" w:type="dxa"/>
            <w:vAlign w:val="bottom"/>
          </w:tcPr>
          <w:p>
            <w:pPr>
              <w:spacing w:after="0"/>
              <w:rPr>
                <w:sz w:val="11"/>
                <w:szCs w:val="11"/>
                <w:color w:val="auto"/>
              </w:rPr>
            </w:pPr>
          </w:p>
        </w:tc>
        <w:tc>
          <w:tcPr>
            <w:tcW w:w="960" w:type="dxa"/>
            <w:vAlign w:val="bottom"/>
            <w:gridSpan w:val="3"/>
          </w:tcPr>
          <w:p>
            <w:pPr>
              <w:jc w:val="center"/>
              <w:ind w:right="199"/>
              <w:spacing w:after="0" w:line="134" w:lineRule="exact"/>
              <w:rPr>
                <w:sz w:val="20"/>
                <w:szCs w:val="20"/>
                <w:color w:val="auto"/>
              </w:rPr>
            </w:pPr>
            <w:r>
              <w:rPr>
                <w:rFonts w:ascii="Arial" w:cs="Arial" w:eastAsia="Arial" w:hAnsi="Arial"/>
                <w:sz w:val="12"/>
                <w:szCs w:val="12"/>
                <w:b w:val="1"/>
                <w:bCs w:val="1"/>
                <w:color w:val="auto"/>
                <w:w w:val="96"/>
              </w:rPr>
              <w:t>Centerbridge</w:t>
            </w:r>
          </w:p>
        </w:tc>
        <w:tc>
          <w:tcPr>
            <w:tcW w:w="10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Pro Forma</w:t>
            </w:r>
          </w:p>
        </w:tc>
        <w:tc>
          <w:tcPr>
            <w:tcW w:w="100" w:type="dxa"/>
            <w:vAlign w:val="bottom"/>
          </w:tcPr>
          <w:p>
            <w:pPr>
              <w:spacing w:after="0"/>
              <w:rPr>
                <w:sz w:val="11"/>
                <w:szCs w:val="11"/>
                <w:color w:val="auto"/>
              </w:rPr>
            </w:pPr>
          </w:p>
        </w:tc>
        <w:tc>
          <w:tcPr>
            <w:tcW w:w="960" w:type="dxa"/>
            <w:vAlign w:val="bottom"/>
            <w:gridSpan w:val="3"/>
          </w:tcPr>
          <w:p>
            <w:pPr>
              <w:jc w:val="center"/>
              <w:ind w:right="209"/>
              <w:spacing w:after="0" w:line="134" w:lineRule="exact"/>
              <w:rPr>
                <w:sz w:val="20"/>
                <w:szCs w:val="20"/>
                <w:color w:val="auto"/>
              </w:rPr>
            </w:pPr>
            <w:r>
              <w:rPr>
                <w:rFonts w:ascii="Arial" w:cs="Arial" w:eastAsia="Arial" w:hAnsi="Arial"/>
                <w:sz w:val="12"/>
                <w:szCs w:val="12"/>
                <w:b w:val="1"/>
                <w:bCs w:val="1"/>
                <w:color w:val="auto"/>
                <w:w w:val="96"/>
              </w:rPr>
              <w:t>Adjusted for</w:t>
            </w:r>
          </w:p>
        </w:tc>
        <w:tc>
          <w:tcPr>
            <w:tcW w:w="980" w:type="dxa"/>
            <w:vAlign w:val="bottom"/>
            <w:gridSpan w:val="3"/>
          </w:tcPr>
          <w:p>
            <w:pPr>
              <w:jc w:val="right"/>
              <w:ind w:right="360"/>
              <w:spacing w:after="0" w:line="134" w:lineRule="exact"/>
              <w:rPr>
                <w:sz w:val="20"/>
                <w:szCs w:val="20"/>
                <w:color w:val="auto"/>
              </w:rPr>
            </w:pPr>
            <w:r>
              <w:rPr>
                <w:rFonts w:ascii="Arial" w:cs="Arial" w:eastAsia="Arial" w:hAnsi="Arial"/>
                <w:sz w:val="12"/>
                <w:szCs w:val="12"/>
                <w:b w:val="1"/>
                <w:bCs w:val="1"/>
                <w:color w:val="auto"/>
                <w:w w:val="99"/>
              </w:rPr>
              <w:t>Pro Forma</w:t>
            </w:r>
          </w:p>
        </w:tc>
        <w:tc>
          <w:tcPr>
            <w:tcW w:w="100" w:type="dxa"/>
            <w:vAlign w:val="bottom"/>
          </w:tcPr>
          <w:p>
            <w:pPr>
              <w:spacing w:after="0"/>
              <w:rPr>
                <w:sz w:val="11"/>
                <w:szCs w:val="11"/>
                <w:color w:val="auto"/>
              </w:rPr>
            </w:pPr>
          </w:p>
        </w:tc>
        <w:tc>
          <w:tcPr>
            <w:tcW w:w="680" w:type="dxa"/>
            <w:vAlign w:val="bottom"/>
            <w:gridSpan w:val="3"/>
          </w:tcPr>
          <w:p>
            <w:pPr>
              <w:jc w:val="center"/>
              <w:ind w:right="100"/>
              <w:spacing w:after="0" w:line="134" w:lineRule="exact"/>
              <w:rPr>
                <w:sz w:val="20"/>
                <w:szCs w:val="20"/>
                <w:color w:val="auto"/>
              </w:rPr>
            </w:pPr>
            <w:r>
              <w:rPr>
                <w:rFonts w:ascii="Arial" w:cs="Arial" w:eastAsia="Arial" w:hAnsi="Arial"/>
                <w:sz w:val="12"/>
                <w:szCs w:val="12"/>
                <w:b w:val="1"/>
                <w:bCs w:val="1"/>
                <w:color w:val="auto"/>
                <w:w w:val="95"/>
              </w:rPr>
              <w:t>GoHealth,</w:t>
            </w:r>
          </w:p>
        </w:tc>
        <w:tc>
          <w:tcPr>
            <w:tcW w:w="0" w:type="dxa"/>
            <w:vAlign w:val="bottom"/>
          </w:tcPr>
          <w:p>
            <w:pPr>
              <w:spacing w:after="0"/>
              <w:rPr>
                <w:sz w:val="1"/>
                <w:szCs w:val="1"/>
                <w:color w:val="auto"/>
              </w:rPr>
            </w:pPr>
          </w:p>
        </w:tc>
      </w:tr>
      <w:tr>
        <w:trPr>
          <w:trHeight w:val="134"/>
        </w:trPr>
        <w:tc>
          <w:tcPr>
            <w:tcW w:w="2900" w:type="dxa"/>
            <w:vAlign w:val="bottom"/>
            <w:gridSpan w:val="2"/>
          </w:tcPr>
          <w:p>
            <w:pPr>
              <w:spacing w:after="0" w:line="134" w:lineRule="exact"/>
              <w:rPr>
                <w:sz w:val="20"/>
                <w:szCs w:val="20"/>
                <w:color w:val="auto"/>
              </w:rPr>
            </w:pPr>
            <w:r>
              <w:rPr>
                <w:rFonts w:ascii="Arial" w:cs="Arial" w:eastAsia="Arial" w:hAnsi="Arial"/>
                <w:sz w:val="12"/>
                <w:szCs w:val="12"/>
                <w:i w:val="1"/>
                <w:iCs w:val="1"/>
                <w:color w:val="auto"/>
              </w:rPr>
              <w:t>(in thousands, except share</w:t>
            </w:r>
          </w:p>
        </w:tc>
        <w:tc>
          <w:tcPr>
            <w:tcW w:w="940" w:type="dxa"/>
            <w:vAlign w:val="bottom"/>
            <w:tcBorders>
              <w:right w:val="single" w:sz="8" w:color="auto"/>
            </w:tcBorders>
            <w:gridSpan w:val="3"/>
          </w:tcPr>
          <w:p>
            <w:pPr>
              <w:jc w:val="center"/>
              <w:ind w:right="120"/>
              <w:spacing w:after="0" w:line="134" w:lineRule="exact"/>
              <w:rPr>
                <w:sz w:val="20"/>
                <w:szCs w:val="20"/>
                <w:color w:val="auto"/>
              </w:rPr>
            </w:pPr>
            <w:r>
              <w:rPr>
                <w:rFonts w:ascii="Arial" w:cs="Arial" w:eastAsia="Arial" w:hAnsi="Arial"/>
                <w:sz w:val="12"/>
                <w:szCs w:val="12"/>
                <w:b w:val="1"/>
                <w:bCs w:val="1"/>
                <w:color w:val="auto"/>
                <w:w w:val="95"/>
              </w:rPr>
              <w:t>Holdings, LLC</w:t>
            </w:r>
          </w:p>
        </w:tc>
        <w:tc>
          <w:tcPr>
            <w:tcW w:w="160" w:type="dxa"/>
            <w:vAlign w:val="bottom"/>
          </w:tcPr>
          <w:p>
            <w:pPr>
              <w:spacing w:after="0"/>
              <w:rPr>
                <w:sz w:val="11"/>
                <w:szCs w:val="11"/>
                <w:color w:val="auto"/>
              </w:rPr>
            </w:pPr>
          </w:p>
        </w:tc>
        <w:tc>
          <w:tcPr>
            <w:tcW w:w="880" w:type="dxa"/>
            <w:vAlign w:val="bottom"/>
            <w:gridSpan w:val="3"/>
          </w:tcPr>
          <w:p>
            <w:pPr>
              <w:jc w:val="center"/>
              <w:ind w:right="80"/>
              <w:spacing w:after="0" w:line="134" w:lineRule="exact"/>
              <w:rPr>
                <w:sz w:val="20"/>
                <w:szCs w:val="20"/>
                <w:color w:val="auto"/>
              </w:rPr>
            </w:pPr>
            <w:r>
              <w:rPr>
                <w:rFonts w:ascii="Arial" w:cs="Arial" w:eastAsia="Arial" w:hAnsi="Arial"/>
                <w:sz w:val="12"/>
                <w:szCs w:val="12"/>
                <w:b w:val="1"/>
                <w:bCs w:val="1"/>
                <w:color w:val="auto"/>
                <w:w w:val="98"/>
              </w:rPr>
              <w:t>Holdings, LLC</w:t>
            </w:r>
          </w:p>
        </w:tc>
        <w:tc>
          <w:tcPr>
            <w:tcW w:w="1160" w:type="dxa"/>
            <w:vAlign w:val="bottom"/>
            <w:gridSpan w:val="3"/>
          </w:tcPr>
          <w:p>
            <w:pPr>
              <w:jc w:val="right"/>
              <w:ind w:right="500"/>
              <w:spacing w:after="0" w:line="134" w:lineRule="exact"/>
              <w:rPr>
                <w:sz w:val="20"/>
                <w:szCs w:val="20"/>
                <w:color w:val="auto"/>
              </w:rPr>
            </w:pPr>
            <w:r>
              <w:rPr>
                <w:rFonts w:ascii="Arial" w:cs="Arial" w:eastAsia="Arial" w:hAnsi="Arial"/>
                <w:sz w:val="12"/>
                <w:szCs w:val="12"/>
                <w:b w:val="1"/>
                <w:bCs w:val="1"/>
                <w:color w:val="auto"/>
                <w:w w:val="97"/>
              </w:rPr>
              <w:t>Acquisition</w:t>
            </w:r>
          </w:p>
        </w:tc>
        <w:tc>
          <w:tcPr>
            <w:tcW w:w="100" w:type="dxa"/>
            <w:vAlign w:val="bottom"/>
          </w:tcPr>
          <w:p>
            <w:pPr>
              <w:spacing w:after="0"/>
              <w:rPr>
                <w:sz w:val="11"/>
                <w:szCs w:val="11"/>
                <w:color w:val="auto"/>
              </w:rPr>
            </w:pPr>
          </w:p>
        </w:tc>
        <w:tc>
          <w:tcPr>
            <w:tcW w:w="960" w:type="dxa"/>
            <w:vAlign w:val="bottom"/>
            <w:gridSpan w:val="3"/>
          </w:tcPr>
          <w:p>
            <w:pPr>
              <w:jc w:val="center"/>
              <w:ind w:right="219"/>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960" w:type="dxa"/>
            <w:vAlign w:val="bottom"/>
            <w:gridSpan w:val="3"/>
          </w:tcPr>
          <w:p>
            <w:pPr>
              <w:jc w:val="center"/>
              <w:ind w:right="209"/>
              <w:spacing w:after="0" w:line="134" w:lineRule="exact"/>
              <w:rPr>
                <w:sz w:val="20"/>
                <w:szCs w:val="20"/>
                <w:color w:val="auto"/>
              </w:rPr>
            </w:pPr>
            <w:r>
              <w:rPr>
                <w:rFonts w:ascii="Arial" w:cs="Arial" w:eastAsia="Arial" w:hAnsi="Arial"/>
                <w:sz w:val="12"/>
                <w:szCs w:val="12"/>
                <w:b w:val="1"/>
                <w:bCs w:val="1"/>
                <w:color w:val="auto"/>
                <w:w w:val="99"/>
              </w:rPr>
              <w:t>Pro Forma</w:t>
            </w:r>
          </w:p>
        </w:tc>
        <w:tc>
          <w:tcPr>
            <w:tcW w:w="8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Offering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5"/>
              </w:rPr>
              <w:t>Inc. Pro</w:t>
            </w:r>
          </w:p>
        </w:tc>
        <w:tc>
          <w:tcPr>
            <w:tcW w:w="0" w:type="dxa"/>
            <w:vAlign w:val="bottom"/>
          </w:tcPr>
          <w:p>
            <w:pPr>
              <w:spacing w:after="0"/>
              <w:rPr>
                <w:sz w:val="1"/>
                <w:szCs w:val="1"/>
                <w:color w:val="auto"/>
              </w:rPr>
            </w:pPr>
          </w:p>
        </w:tc>
      </w:tr>
      <w:tr>
        <w:trPr>
          <w:trHeight w:val="152"/>
        </w:trPr>
        <w:tc>
          <w:tcPr>
            <w:tcW w:w="2900" w:type="dxa"/>
            <w:vAlign w:val="bottom"/>
            <w:gridSpan w:val="2"/>
          </w:tcPr>
          <w:p>
            <w:pPr>
              <w:spacing w:after="0"/>
              <w:rPr>
                <w:sz w:val="20"/>
                <w:szCs w:val="20"/>
                <w:color w:val="auto"/>
              </w:rPr>
            </w:pPr>
            <w:r>
              <w:rPr>
                <w:rFonts w:ascii="Arial" w:cs="Arial" w:eastAsia="Arial" w:hAnsi="Arial"/>
                <w:sz w:val="12"/>
                <w:szCs w:val="12"/>
                <w:i w:val="1"/>
                <w:iCs w:val="1"/>
                <w:color w:val="auto"/>
              </w:rPr>
              <w:t>and per share amounts)</w:t>
            </w: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8"/>
              </w:rPr>
              <w:t>Historical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Historical</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Pr>
          <w:p>
            <w:pPr>
              <w:spacing w:after="0"/>
              <w:rPr>
                <w:sz w:val="13"/>
                <w:szCs w:val="13"/>
                <w:color w:val="auto"/>
              </w:rPr>
            </w:pPr>
          </w:p>
        </w:tc>
        <w:tc>
          <w:tcPr>
            <w:tcW w:w="960" w:type="dxa"/>
            <w:vAlign w:val="bottom"/>
            <w:gridSpan w:val="3"/>
          </w:tcPr>
          <w:p>
            <w:pPr>
              <w:jc w:val="center"/>
              <w:ind w:right="199"/>
              <w:spacing w:after="0"/>
              <w:rPr>
                <w:sz w:val="20"/>
                <w:szCs w:val="20"/>
                <w:color w:val="auto"/>
              </w:rPr>
            </w:pPr>
            <w:r>
              <w:rPr>
                <w:rFonts w:ascii="Arial" w:cs="Arial" w:eastAsia="Arial" w:hAnsi="Arial"/>
                <w:sz w:val="12"/>
                <w:szCs w:val="12"/>
                <w:b w:val="1"/>
                <w:bCs w:val="1"/>
                <w:color w:val="auto"/>
                <w:w w:val="93"/>
              </w:rPr>
              <w:t>Adjustments</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Pr>
          <w:p>
            <w:pPr>
              <w:spacing w:after="0"/>
              <w:rPr>
                <w:sz w:val="13"/>
                <w:szCs w:val="13"/>
                <w:color w:val="auto"/>
              </w:rPr>
            </w:pPr>
          </w:p>
        </w:tc>
        <w:tc>
          <w:tcPr>
            <w:tcW w:w="960" w:type="dxa"/>
            <w:vAlign w:val="bottom"/>
            <w:gridSpan w:val="3"/>
          </w:tcPr>
          <w:p>
            <w:pPr>
              <w:jc w:val="center"/>
              <w:ind w:right="209"/>
              <w:spacing w:after="0"/>
              <w:rPr>
                <w:sz w:val="20"/>
                <w:szCs w:val="20"/>
                <w:color w:val="auto"/>
              </w:rPr>
            </w:pPr>
            <w:r>
              <w:rPr>
                <w:rFonts w:ascii="Arial" w:cs="Arial" w:eastAsia="Arial" w:hAnsi="Arial"/>
                <w:sz w:val="12"/>
                <w:szCs w:val="12"/>
                <w:b w:val="1"/>
                <w:bCs w:val="1"/>
                <w:color w:val="auto"/>
                <w:w w:val="90"/>
              </w:rPr>
              <w:t>Transactions</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Forma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88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Net revenues:</w:t>
            </w: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Commission</w:t>
            </w: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175,834</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243,347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419,181</w:t>
            </w:r>
          </w:p>
        </w:tc>
        <w:tc>
          <w:tcPr>
            <w:tcW w:w="18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9"/>
              <w:spacing w:after="0" w:line="147" w:lineRule="exact"/>
              <w:rPr>
                <w:sz w:val="20"/>
                <w:szCs w:val="20"/>
                <w:color w:val="auto"/>
              </w:rPr>
            </w:pPr>
            <w:r>
              <w:rPr>
                <w:rFonts w:ascii="Arial" w:cs="Arial" w:eastAsia="Arial" w:hAnsi="Arial"/>
                <w:sz w:val="14"/>
                <w:szCs w:val="14"/>
                <w:color w:val="auto"/>
              </w:rPr>
              <w:t>419,181</w:t>
            </w:r>
          </w:p>
        </w:tc>
        <w:tc>
          <w:tcPr>
            <w:tcW w:w="80" w:type="dxa"/>
            <w:vAlign w:val="bottom"/>
          </w:tcPr>
          <w:p>
            <w:pPr>
              <w:spacing w:after="0" w:line="147"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w w:val="94"/>
              </w:rPr>
              <w:t>419,181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55,176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65,144</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9"/>
              <w:spacing w:after="0" w:line="147" w:lineRule="exact"/>
              <w:rPr>
                <w:sz w:val="20"/>
                <w:szCs w:val="20"/>
                <w:color w:val="auto"/>
              </w:rPr>
            </w:pPr>
            <w:r>
              <w:rPr>
                <w:rFonts w:ascii="Arial" w:cs="Arial" w:eastAsia="Arial" w:hAnsi="Arial"/>
                <w:sz w:val="14"/>
                <w:szCs w:val="14"/>
                <w:color w:val="auto"/>
              </w:rPr>
              <w:t>120,320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9"/>
              <w:spacing w:after="0" w:line="147" w:lineRule="exact"/>
              <w:rPr>
                <w:sz w:val="20"/>
                <w:szCs w:val="20"/>
                <w:color w:val="auto"/>
              </w:rPr>
            </w:pPr>
            <w:r>
              <w:rPr>
                <w:rFonts w:ascii="Arial" w:cs="Arial" w:eastAsia="Arial" w:hAnsi="Arial"/>
                <w:sz w:val="14"/>
                <w:szCs w:val="14"/>
                <w:color w:val="auto"/>
              </w:rPr>
              <w:t>120,320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4"/>
              </w:rPr>
              <w:t>120,320</w:t>
            </w:r>
          </w:p>
        </w:tc>
        <w:tc>
          <w:tcPr>
            <w:tcW w:w="0" w:type="dxa"/>
            <w:vAlign w:val="bottom"/>
          </w:tcPr>
          <w:p>
            <w:pPr>
              <w:spacing w:after="0"/>
              <w:rPr>
                <w:sz w:val="1"/>
                <w:szCs w:val="1"/>
                <w:color w:val="auto"/>
              </w:rPr>
            </w:pPr>
          </w:p>
        </w:tc>
      </w:tr>
      <w:tr>
        <w:trPr>
          <w:trHeight w:val="154"/>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Net revenues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231,010</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308,491</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539,501</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539,501</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380"/>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539,501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79,169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90,384</w:t>
            </w: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169,553</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9"/>
              <w:spacing w:after="0" w:line="147" w:lineRule="exact"/>
              <w:rPr>
                <w:sz w:val="20"/>
                <w:szCs w:val="20"/>
                <w:color w:val="auto"/>
              </w:rPr>
            </w:pPr>
            <w:r>
              <w:rPr>
                <w:rFonts w:ascii="Arial" w:cs="Arial" w:eastAsia="Arial" w:hAnsi="Arial"/>
                <w:sz w:val="14"/>
                <w:szCs w:val="14"/>
                <w:color w:val="auto"/>
              </w:rPr>
              <w:t>169,553</w:t>
            </w:r>
          </w:p>
        </w:tc>
        <w:tc>
          <w:tcPr>
            <w:tcW w:w="80" w:type="dxa"/>
            <w:vAlign w:val="bottom"/>
          </w:tcPr>
          <w:p>
            <w:pPr>
              <w:spacing w:after="0"/>
              <w:rPr>
                <w:sz w:val="12"/>
                <w:szCs w:val="12"/>
                <w:color w:val="auto"/>
              </w:rPr>
            </w:pP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w w:val="94"/>
              </w:rPr>
              <w:t>169,553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37,769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24,811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(1,509)</w:t>
            </w: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9"/>
              <w:spacing w:after="0" w:line="147" w:lineRule="exact"/>
              <w:rPr>
                <w:sz w:val="20"/>
                <w:szCs w:val="20"/>
                <w:color w:val="auto"/>
              </w:rPr>
            </w:pPr>
            <w:r>
              <w:rPr>
                <w:rFonts w:ascii="Arial" w:cs="Arial" w:eastAsia="Arial" w:hAnsi="Arial"/>
                <w:sz w:val="14"/>
                <w:szCs w:val="14"/>
                <w:color w:val="auto"/>
              </w:rPr>
              <w:t>61,071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9"/>
              <w:spacing w:after="0" w:line="147" w:lineRule="exact"/>
              <w:rPr>
                <w:sz w:val="20"/>
                <w:szCs w:val="20"/>
                <w:color w:val="auto"/>
              </w:rPr>
            </w:pPr>
            <w:r>
              <w:rPr>
                <w:rFonts w:ascii="Arial" w:cs="Arial" w:eastAsia="Arial" w:hAnsi="Arial"/>
                <w:sz w:val="14"/>
                <w:szCs w:val="14"/>
                <w:color w:val="auto"/>
              </w:rPr>
              <w:t>61,071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61,071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Customer care and enrollment</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49,149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44,356</w:t>
            </w:r>
          </w:p>
        </w:tc>
        <w:tc>
          <w:tcPr>
            <w:tcW w:w="60" w:type="dxa"/>
            <w:vAlign w:val="bottom"/>
          </w:tcPr>
          <w:p>
            <w:pPr>
              <w:spacing w:after="0"/>
              <w:rPr>
                <w:sz w:val="12"/>
                <w:szCs w:val="12"/>
                <w:color w:val="auto"/>
              </w:rPr>
            </w:pPr>
          </w:p>
        </w:tc>
        <w:tc>
          <w:tcPr>
            <w:tcW w:w="11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62</w:t>
            </w: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93,567</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9"/>
              <w:spacing w:after="0" w:line="147" w:lineRule="exact"/>
              <w:rPr>
                <w:sz w:val="20"/>
                <w:szCs w:val="20"/>
                <w:color w:val="auto"/>
              </w:rPr>
            </w:pPr>
            <w:r>
              <w:rPr>
                <w:rFonts w:ascii="Arial" w:cs="Arial" w:eastAsia="Arial" w:hAnsi="Arial"/>
                <w:sz w:val="14"/>
                <w:szCs w:val="14"/>
                <w:color w:val="auto"/>
              </w:rPr>
              <w:t>93,567</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2,498</w:t>
            </w: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96,065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40,312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6,006</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(26,848)</w:t>
            </w: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9"/>
              <w:spacing w:after="0" w:line="147" w:lineRule="exact"/>
              <w:rPr>
                <w:sz w:val="20"/>
                <w:szCs w:val="20"/>
                <w:color w:val="auto"/>
              </w:rPr>
            </w:pPr>
            <w:r>
              <w:rPr>
                <w:rFonts w:ascii="Arial" w:cs="Arial" w:eastAsia="Arial" w:hAnsi="Arial"/>
                <w:sz w:val="14"/>
                <w:szCs w:val="14"/>
                <w:color w:val="auto"/>
              </w:rPr>
              <w:t>19,470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9"/>
              <w:spacing w:after="0" w:line="147" w:lineRule="exact"/>
              <w:rPr>
                <w:sz w:val="20"/>
                <w:szCs w:val="20"/>
                <w:color w:val="auto"/>
              </w:rPr>
            </w:pPr>
            <w:r>
              <w:rPr>
                <w:rFonts w:ascii="Arial" w:cs="Arial" w:eastAsia="Arial" w:hAnsi="Arial"/>
                <w:sz w:val="14"/>
                <w:szCs w:val="14"/>
                <w:color w:val="auto"/>
              </w:rPr>
              <w:t>19,470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368</w:t>
            </w:r>
            <w:r>
              <w:rPr>
                <w:rFonts w:ascii="Arial" w:cs="Arial" w:eastAsia="Arial" w:hAnsi="Arial"/>
                <w:sz w:val="12"/>
                <w:szCs w:val="12"/>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19,838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79,219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13,674</w:t>
            </w:r>
          </w:p>
        </w:tc>
        <w:tc>
          <w:tcPr>
            <w:tcW w:w="60" w:type="dxa"/>
            <w:vAlign w:val="bottom"/>
          </w:tcPr>
          <w:p>
            <w:pPr>
              <w:spacing w:after="0"/>
              <w:rPr>
                <w:sz w:val="12"/>
                <w:szCs w:val="12"/>
                <w:color w:val="auto"/>
              </w:rPr>
            </w:pPr>
          </w:p>
        </w:tc>
        <w:tc>
          <w:tcPr>
            <w:tcW w:w="11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(59,557)</w:t>
            </w:r>
            <w:r>
              <w:rPr>
                <w:rFonts w:ascii="Arial" w:cs="Arial" w:eastAsia="Arial" w:hAnsi="Arial"/>
                <w:sz w:val="12"/>
                <w:szCs w:val="12"/>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33,336</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9"/>
              <w:spacing w:after="0" w:line="147" w:lineRule="exact"/>
              <w:rPr>
                <w:sz w:val="20"/>
                <w:szCs w:val="20"/>
                <w:color w:val="auto"/>
              </w:rPr>
            </w:pPr>
            <w:r>
              <w:rPr>
                <w:rFonts w:ascii="Arial" w:cs="Arial" w:eastAsia="Arial" w:hAnsi="Arial"/>
                <w:sz w:val="14"/>
                <w:szCs w:val="14"/>
                <w:color w:val="auto"/>
              </w:rPr>
              <w:t>33,336</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7,853</w:t>
            </w: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41,189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8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Change in fair value of contingent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consideration liability</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70,700</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70,700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70,700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(70,700)</w:t>
            </w:r>
            <w:r>
              <w:rPr>
                <w:rFonts w:ascii="Arial" w:cs="Arial" w:eastAsia="Arial" w:hAnsi="Arial"/>
                <w:sz w:val="12"/>
                <w:szCs w:val="12"/>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28,217</w:t>
            </w:r>
          </w:p>
        </w:tc>
        <w:tc>
          <w:tcPr>
            <w:tcW w:w="60" w:type="dxa"/>
            <w:vAlign w:val="bottom"/>
          </w:tcPr>
          <w:p>
            <w:pPr>
              <w:spacing w:after="0"/>
              <w:rPr>
                <w:sz w:val="12"/>
                <w:szCs w:val="12"/>
                <w:color w:val="auto"/>
              </w:rPr>
            </w:pPr>
          </w:p>
        </w:tc>
        <w:tc>
          <w:tcPr>
            <w:tcW w:w="11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65,840</w:t>
            </w: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94,057</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9"/>
              <w:spacing w:after="0" w:line="147" w:lineRule="exact"/>
              <w:rPr>
                <w:sz w:val="20"/>
                <w:szCs w:val="20"/>
                <w:color w:val="auto"/>
              </w:rPr>
            </w:pPr>
            <w:r>
              <w:rPr>
                <w:rFonts w:ascii="Arial" w:cs="Arial" w:eastAsia="Arial" w:hAnsi="Arial"/>
                <w:sz w:val="14"/>
                <w:szCs w:val="14"/>
                <w:color w:val="auto"/>
              </w:rPr>
              <w:t>94,057</w:t>
            </w:r>
          </w:p>
        </w:tc>
        <w:tc>
          <w:tcPr>
            <w:tcW w:w="80" w:type="dxa"/>
            <w:vAlign w:val="bottom"/>
          </w:tcPr>
          <w:p>
            <w:pPr>
              <w:spacing w:after="0"/>
              <w:rPr>
                <w:sz w:val="12"/>
                <w:szCs w:val="12"/>
                <w:color w:val="auto"/>
              </w:rPr>
            </w:pP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Transaction costs</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2,267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6,245</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(8,512)</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9"/>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80" w:type="dxa"/>
            <w:vAlign w:val="bottom"/>
          </w:tcPr>
          <w:p>
            <w:pPr>
              <w:ind w:left="140"/>
              <w:spacing w:after="0" w:line="154" w:lineRule="exact"/>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287,885</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284,393</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(30,523)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541,754</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541,754</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(59,981)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481,773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(56,875)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24,098</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30,523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9"/>
              <w:spacing w:after="0" w:line="147" w:lineRule="exact"/>
              <w:rPr>
                <w:sz w:val="20"/>
                <w:szCs w:val="20"/>
                <w:color w:val="auto"/>
              </w:rPr>
            </w:pPr>
            <w:r>
              <w:rPr>
                <w:rFonts w:ascii="Arial" w:cs="Arial" w:eastAsia="Arial" w:hAnsi="Arial"/>
                <w:sz w:val="14"/>
                <w:szCs w:val="14"/>
                <w:color w:val="auto"/>
              </w:rPr>
              <w:t>(2,253)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(2,253)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59,981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57,728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spacing w:after="0" w:line="147"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140</w:t>
            </w: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8,076</w:t>
            </w:r>
          </w:p>
        </w:tc>
        <w:tc>
          <w:tcPr>
            <w:tcW w:w="60" w:type="dxa"/>
            <w:vAlign w:val="bottom"/>
          </w:tcPr>
          <w:p>
            <w:pPr>
              <w:spacing w:after="0"/>
              <w:rPr>
                <w:sz w:val="12"/>
                <w:szCs w:val="12"/>
                <w:color w:val="auto"/>
              </w:rPr>
            </w:pPr>
          </w:p>
        </w:tc>
        <w:tc>
          <w:tcPr>
            <w:tcW w:w="11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18,956</w:t>
            </w: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27,172</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9"/>
              <w:spacing w:after="0" w:line="147" w:lineRule="exact"/>
              <w:rPr>
                <w:sz w:val="20"/>
                <w:szCs w:val="20"/>
                <w:color w:val="auto"/>
              </w:rPr>
            </w:pPr>
            <w:r>
              <w:rPr>
                <w:rFonts w:ascii="Arial" w:cs="Arial" w:eastAsia="Arial" w:hAnsi="Arial"/>
                <w:sz w:val="14"/>
                <w:szCs w:val="14"/>
                <w:color w:val="auto"/>
              </w:rPr>
              <w:t>27,172</w:t>
            </w:r>
          </w:p>
        </w:tc>
        <w:tc>
          <w:tcPr>
            <w:tcW w:w="80" w:type="dxa"/>
            <w:vAlign w:val="bottom"/>
          </w:tcPr>
          <w:p>
            <w:pPr>
              <w:spacing w:after="0"/>
              <w:rPr>
                <w:sz w:val="12"/>
                <w:szCs w:val="12"/>
                <w:color w:val="auto"/>
              </w:rPr>
            </w:pP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27,172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9"/>
              <w:spacing w:after="0" w:line="147" w:lineRule="exact"/>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54"/>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Income (loss) before income taxes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(57,129)</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16,039</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(29,522)</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(29,522)</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59,981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30,459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9"/>
              <w:spacing w:after="0" w:line="147"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16</w:t>
            </w: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9"/>
              <w:spacing w:after="0" w:line="147"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1"/>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Net income (loss)</w:t>
            </w: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(29,500)</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(29,516)</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59,981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30,465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9"/>
              </w:rPr>
              <w:t>Net income (loss) attributable to noncontrolling</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(21,593)</w:t>
            </w: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(21,593)</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43,879</w:t>
            </w: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22,286</w:t>
            </w:r>
          </w:p>
        </w:tc>
        <w:tc>
          <w:tcPr>
            <w:tcW w:w="0" w:type="dxa"/>
            <w:vAlign w:val="bottom"/>
          </w:tcPr>
          <w:p>
            <w:pPr>
              <w:spacing w:after="0"/>
              <w:rPr>
                <w:sz w:val="1"/>
                <w:szCs w:val="1"/>
                <w:color w:val="auto"/>
              </w:rPr>
            </w:pPr>
          </w:p>
        </w:tc>
      </w:tr>
      <w:tr>
        <w:trPr>
          <w:trHeight w:val="161"/>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w w:val="98"/>
              </w:rPr>
              <w:t>Net income (loss) attributable to GoHealth, Inc.</w:t>
            </w: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(29,500</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21,577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(7,923</w:t>
            </w:r>
          </w:p>
        </w:tc>
        <w:tc>
          <w:tcPr>
            <w:tcW w:w="280" w:type="dxa"/>
            <w:vAlign w:val="bottom"/>
          </w:tcPr>
          <w:p>
            <w:pPr>
              <w:jc w:val="right"/>
              <w:ind w:right="149"/>
              <w:spacing w:after="0" w:line="154"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16,102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8,179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Pro Forma Per Share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spacing w:after="0" w:line="147" w:lineRule="exact"/>
              <w:rPr>
                <w:sz w:val="20"/>
                <w:szCs w:val="20"/>
                <w:color w:val="auto"/>
              </w:rPr>
            </w:pPr>
            <w:r>
              <w:rPr>
                <w:rFonts w:ascii="Arial" w:cs="Arial" w:eastAsia="Arial" w:hAnsi="Arial"/>
                <w:sz w:val="14"/>
                <w:szCs w:val="14"/>
                <w:color w:val="auto"/>
              </w:rPr>
              <w:t>Pro forma net income per share</w:t>
            </w:r>
            <w:r>
              <w:rPr>
                <w:rFonts w:ascii="Arial" w:cs="Arial" w:eastAsia="Arial" w:hAnsi="Arial"/>
                <w:sz w:val="12"/>
                <w:szCs w:val="12"/>
                <w:color w:val="auto"/>
              </w:rPr>
              <w:t>(11)</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8"/>
              </w:rPr>
              <w:t>Predecessor</w:t>
            </w:r>
          </w:p>
        </w:tc>
      </w:tr>
      <w:tr>
        <w:trPr>
          <w:trHeight w:val="152"/>
        </w:trPr>
        <w:tc>
          <w:tcPr>
            <w:tcW w:w="18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2019 Period</w:t>
            </w:r>
          </w:p>
        </w:tc>
      </w:tr>
      <w:tr>
        <w:trPr>
          <w:trHeight w:val="497"/>
        </w:trPr>
        <w:tc>
          <w:tcPr>
            <w:tcW w:w="1840" w:type="dxa"/>
            <w:vAlign w:val="bottom"/>
          </w:tcPr>
          <w:p>
            <w:pPr>
              <w:spacing w:after="0"/>
              <w:rPr>
                <w:sz w:val="20"/>
                <w:szCs w:val="20"/>
                <w:color w:val="auto"/>
              </w:rPr>
            </w:pPr>
            <w:r>
              <w:rPr>
                <w:rFonts w:ascii="Arial" w:cs="Arial" w:eastAsia="Arial" w:hAnsi="Arial"/>
                <w:sz w:val="12"/>
                <w:szCs w:val="12"/>
                <w:i w:val="1"/>
                <w:iCs w:val="1"/>
                <w:color w:val="auto"/>
              </w:rPr>
              <w:t>(in thousands, except</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GoHealth</w:t>
            </w: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i w:val="1"/>
                <w:iCs w:val="1"/>
                <w:color w:val="auto"/>
              </w:rPr>
              <w:t>share and per share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Holdings, LLC</w:t>
            </w:r>
          </w:p>
        </w:tc>
      </w:tr>
      <w:tr>
        <w:trPr>
          <w:trHeight w:val="145"/>
        </w:trPr>
        <w:tc>
          <w:tcPr>
            <w:tcW w:w="1840" w:type="dxa"/>
            <w:vAlign w:val="bottom"/>
          </w:tcPr>
          <w:p>
            <w:pPr>
              <w:spacing w:after="0"/>
              <w:rPr>
                <w:sz w:val="20"/>
                <w:szCs w:val="20"/>
                <w:color w:val="auto"/>
              </w:rPr>
            </w:pPr>
            <w:r>
              <w:rPr>
                <w:rFonts w:ascii="Arial" w:cs="Arial" w:eastAsia="Arial" w:hAnsi="Arial"/>
                <w:sz w:val="12"/>
                <w:szCs w:val="12"/>
                <w:i w:val="1"/>
                <w:iCs w:val="1"/>
                <w:color w:val="auto"/>
              </w:rPr>
              <w:t>amounts)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Historical</w:t>
            </w:r>
          </w:p>
        </w:tc>
      </w:tr>
    </w:tbl>
    <w:p>
      <w:pPr>
        <w:ind w:left="160"/>
        <w:spacing w:after="0" w:line="219" w:lineRule="auto"/>
        <w:rPr>
          <w:sz w:val="20"/>
          <w:szCs w:val="20"/>
          <w:color w:val="auto"/>
        </w:rPr>
      </w:pPr>
      <w:r>
        <w:rPr>
          <w:rFonts w:ascii="Arial" w:cs="Arial" w:eastAsia="Arial" w:hAnsi="Arial"/>
          <w:sz w:val="14"/>
          <w:szCs w:val="14"/>
          <w:color w:val="auto"/>
        </w:rPr>
        <w:t>Pro forma weighted-</w:t>
      </w:r>
    </w:p>
    <w:p>
      <w:pPr>
        <w:ind w:left="320"/>
        <w:spacing w:after="0" w:line="219" w:lineRule="auto"/>
        <w:rPr>
          <w:sz w:val="20"/>
          <w:szCs w:val="20"/>
          <w:color w:val="auto"/>
        </w:rPr>
      </w:pPr>
      <w:r>
        <w:rPr>
          <w:rFonts w:ascii="Arial" w:cs="Arial" w:eastAsia="Arial" w:hAnsi="Arial"/>
          <w:sz w:val="14"/>
          <w:szCs w:val="14"/>
          <w:color w:val="auto"/>
        </w:rPr>
        <w:t>average shares used to</w:t>
      </w:r>
    </w:p>
    <w:p>
      <w:pPr>
        <w:ind w:left="320"/>
        <w:spacing w:after="0" w:line="219" w:lineRule="auto"/>
        <w:rPr>
          <w:sz w:val="20"/>
          <w:szCs w:val="20"/>
          <w:color w:val="auto"/>
        </w:rPr>
      </w:pPr>
      <w:r>
        <w:rPr>
          <w:rFonts w:ascii="Arial" w:cs="Arial" w:eastAsia="Arial" w:hAnsi="Arial"/>
          <w:sz w:val="14"/>
          <w:szCs w:val="14"/>
          <w:color w:val="auto"/>
        </w:rPr>
        <w:t>compute pro forma net</w:t>
      </w:r>
    </w:p>
    <w:p>
      <w:pPr>
        <w:ind w:left="320"/>
        <w:spacing w:after="0" w:line="220" w:lineRule="auto"/>
        <w:rPr>
          <w:sz w:val="20"/>
          <w:szCs w:val="20"/>
          <w:color w:val="auto"/>
        </w:rPr>
      </w:pPr>
      <w:r>
        <w:rPr>
          <w:rFonts w:ascii="Arial" w:cs="Arial" w:eastAsia="Arial" w:hAnsi="Arial"/>
          <w:sz w:val="14"/>
          <w:szCs w:val="14"/>
          <w:color w:val="auto"/>
        </w:rPr>
        <w:t>income per share</w:t>
      </w:r>
    </w:p>
    <w:p>
      <w:pPr>
        <w:ind w:left="320"/>
        <w:spacing w:after="0" w:line="219" w:lineRule="auto"/>
        <w:rPr>
          <w:sz w:val="20"/>
          <w:szCs w:val="20"/>
          <w:color w:val="auto"/>
        </w:rPr>
      </w:pPr>
      <w:r>
        <w:rPr>
          <w:rFonts w:ascii="Arial" w:cs="Arial" w:eastAsia="Arial" w:hAnsi="Arial"/>
          <w:sz w:val="14"/>
          <w:szCs w:val="14"/>
          <w:color w:val="auto"/>
        </w:rPr>
        <w:t>Basic</w:t>
      </w:r>
    </w:p>
    <w:p>
      <w:pPr>
        <w:ind w:left="32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Successor</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2019 Period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94"/>
              </w:rPr>
              <w:t>As Adjusted</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for Pro</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85"/>
              </w:rPr>
              <w:t>Successor</w:t>
            </w:r>
          </w:p>
        </w:tc>
        <w:tc>
          <w:tcPr>
            <w:tcW w:w="1540" w:type="dxa"/>
            <w:vAlign w:val="bottom"/>
            <w:gridSpan w:val="2"/>
          </w:tcPr>
          <w:p>
            <w:pPr>
              <w:jc w:val="center"/>
              <w:ind w:right="800"/>
              <w:spacing w:after="0" w:line="134" w:lineRule="exact"/>
              <w:rPr>
                <w:sz w:val="20"/>
                <w:szCs w:val="20"/>
                <w:color w:val="auto"/>
              </w:rPr>
            </w:pPr>
            <w:r>
              <w:rPr>
                <w:rFonts w:ascii="Arial" w:cs="Arial" w:eastAsia="Arial" w:hAnsi="Arial"/>
                <w:sz w:val="12"/>
                <w:szCs w:val="12"/>
                <w:b w:val="1"/>
                <w:bCs w:val="1"/>
                <w:color w:val="auto"/>
                <w:w w:val="96"/>
              </w:rPr>
              <w:t>Pro Forma</w:t>
            </w:r>
          </w:p>
        </w:tc>
        <w:tc>
          <w:tcPr>
            <w:tcW w:w="11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8"/>
              </w:rPr>
              <w:t>Forma</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8"/>
              </w:rPr>
              <w:t>As Further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7"/>
              </w:rPr>
              <w:t>GoHealth</w:t>
            </w:r>
          </w:p>
        </w:tc>
        <w:tc>
          <w:tcPr>
            <w:tcW w:w="1540" w:type="dxa"/>
            <w:vAlign w:val="bottom"/>
            <w:gridSpan w:val="2"/>
          </w:tcPr>
          <w:p>
            <w:pPr>
              <w:jc w:val="center"/>
              <w:ind w:right="800"/>
              <w:spacing w:after="0" w:line="134" w:lineRule="exact"/>
              <w:rPr>
                <w:sz w:val="20"/>
                <w:szCs w:val="20"/>
                <w:color w:val="auto"/>
              </w:rPr>
            </w:pPr>
            <w:r>
              <w:rPr>
                <w:rFonts w:ascii="Arial" w:cs="Arial" w:eastAsia="Arial" w:hAnsi="Arial"/>
                <w:sz w:val="12"/>
                <w:szCs w:val="12"/>
                <w:b w:val="1"/>
                <w:bCs w:val="1"/>
                <w:color w:val="auto"/>
                <w:w w:val="93"/>
              </w:rPr>
              <w:t>Centerbridge</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3"/>
              </w:rPr>
              <w:t>Centerbridge</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Pro Forma</w:t>
            </w:r>
          </w:p>
        </w:tc>
        <w:tc>
          <w:tcPr>
            <w:tcW w:w="110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Adjusted for</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Pro Forma</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GoHealth,</w:t>
            </w:r>
          </w:p>
        </w:tc>
        <w:tc>
          <w:tcPr>
            <w:tcW w:w="0" w:type="dxa"/>
            <w:vAlign w:val="bottom"/>
          </w:tcPr>
          <w:p>
            <w:pPr>
              <w:spacing w:after="0"/>
              <w:rPr>
                <w:sz w:val="1"/>
                <w:szCs w:val="1"/>
                <w:color w:val="auto"/>
              </w:rPr>
            </w:pPr>
          </w:p>
        </w:tc>
      </w:tr>
      <w:tr>
        <w:trPr>
          <w:trHeight w:val="134"/>
        </w:trPr>
        <w:tc>
          <w:tcPr>
            <w:tcW w:w="9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8"/>
              </w:rPr>
              <w:t>Holdings, LLC</w:t>
            </w:r>
          </w:p>
        </w:tc>
        <w:tc>
          <w:tcPr>
            <w:tcW w:w="1540" w:type="dxa"/>
            <w:vAlign w:val="bottom"/>
            <w:gridSpan w:val="2"/>
          </w:tcPr>
          <w:p>
            <w:pPr>
              <w:jc w:val="center"/>
              <w:ind w:right="800"/>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1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110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6"/>
              </w:rPr>
              <w:t>Pro Forma</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8"/>
              </w:rPr>
              <w:t>Offering</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Inc. Pro</w:t>
            </w:r>
          </w:p>
        </w:tc>
        <w:tc>
          <w:tcPr>
            <w:tcW w:w="0" w:type="dxa"/>
            <w:vAlign w:val="bottom"/>
          </w:tcPr>
          <w:p>
            <w:pPr>
              <w:spacing w:after="0"/>
              <w:rPr>
                <w:sz w:val="1"/>
                <w:szCs w:val="1"/>
                <w:color w:val="auto"/>
              </w:rPr>
            </w:pPr>
          </w:p>
        </w:tc>
      </w:tr>
      <w:tr>
        <w:trPr>
          <w:trHeight w:val="152"/>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Historical</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8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4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Transactions</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4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Forma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-1222375</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-687070</wp:posOffset>
            </wp:positionV>
            <wp:extent cx="6929755" cy="12401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84,182,961</w:t>
      </w:r>
    </w:p>
    <w:p>
      <w:pPr>
        <w:jc w:val="right"/>
        <w:spacing w:after="0"/>
        <w:rPr>
          <w:sz w:val="20"/>
          <w:szCs w:val="20"/>
          <w:color w:val="auto"/>
        </w:rPr>
      </w:pPr>
      <w:r>
        <w:rPr>
          <w:rFonts w:ascii="Arial" w:cs="Arial" w:eastAsia="Arial" w:hAnsi="Arial"/>
          <w:sz w:val="14"/>
          <w:szCs w:val="14"/>
          <w:color w:val="auto"/>
        </w:rPr>
        <w:t>313,708,362</w:t>
      </w:r>
    </w:p>
    <w:p>
      <w:pPr>
        <w:spacing w:after="0" w:line="200" w:lineRule="exact"/>
        <w:rPr>
          <w:sz w:val="20"/>
          <w:szCs w:val="20"/>
          <w:color w:val="auto"/>
        </w:rPr>
      </w:pPr>
    </w:p>
    <w:p>
      <w:pPr>
        <w:sectPr>
          <w:pgSz w:w="11900" w:h="16838" w:orient="portrait"/>
          <w:cols w:equalWidth="0" w:num="2">
            <w:col w:w="2800" w:space="560"/>
            <w:col w:w="7680"/>
          </w:cols>
          <w:pgMar w:left="320" w:top="456" w:right="539" w:bottom="1440" w:gutter="0" w:footer="0" w:header="0"/>
        </w:sectPr>
      </w:pPr>
    </w:p>
    <w:p>
      <w:pPr>
        <w:spacing w:after="0" w:line="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statement of operations</w:t>
      </w:r>
    </w:p>
    <w:p>
      <w:pPr>
        <w:spacing w:after="0" w:line="127" w:lineRule="exact"/>
        <w:rPr>
          <w:sz w:val="20"/>
          <w:szCs w:val="20"/>
          <w:color w:val="auto"/>
        </w:rPr>
      </w:pPr>
    </w:p>
    <w:p>
      <w:pPr>
        <w:ind w:left="1580" w:right="40" w:hanging="436"/>
        <w:spacing w:after="0" w:line="272" w:lineRule="auto"/>
        <w:tabs>
          <w:tab w:leader="none" w:pos="1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Represents (i) the elimination of transaction-related bonuses paid to certain executive officers and employees incurred in connection with the Centerbridge Acquisition, which are not expected to have a continuing impact on the results of operations and (ii) a non-cash adjustment to rent expense associated with the resetting of deferred rent and the removal of leasehold improvement obligations through purchase accounting in connection with the Centerbridge Acquisition. The following table represents the pro forma adjustment to general and administrative expense for the year ended December 31, 2019:</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r>
      <w:tr>
        <w:trPr>
          <w:trHeight w:val="170"/>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Non-recurring transaction bonuses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Non-cash adjustments to rent expense made through purchase accounting</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0"/>
        </w:trPr>
        <w:tc>
          <w:tcPr>
            <w:tcW w:w="20" w:type="dxa"/>
            <w:vAlign w:val="bottom"/>
          </w:tcPr>
          <w:p>
            <w:pPr>
              <w:spacing w:after="0"/>
              <w:rPr>
                <w:sz w:val="17"/>
                <w:szCs w:val="17"/>
                <w:color w:val="auto"/>
              </w:rPr>
            </w:pPr>
          </w:p>
        </w:tc>
        <w:tc>
          <w:tcPr>
            <w:tcW w:w="6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bonuses and rent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280" w:hanging="436"/>
        <w:spacing w:after="0" w:line="255" w:lineRule="auto"/>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incremental amortization expense related to certain definite-lived intangible assets, reflected in the purchase price allocation at the date of the Centerbridge Acquisition, as if those certain definite-lived intangible assets were put into place on January 1, 2019. The following table represents the pro forma adjustment to estimated amortization expense for the year ended December 31, 2019:</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Estimated Fair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6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3"/>
              </w:rPr>
              <w:t>Value at</w:t>
            </w: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Useful</w:t>
            </w:r>
          </w:p>
        </w:tc>
        <w:tc>
          <w:tcPr>
            <w:tcW w:w="1540" w:type="dxa"/>
            <w:vAlign w:val="bottom"/>
            <w:gridSpan w:val="4"/>
          </w:tcPr>
          <w:p>
            <w:pPr>
              <w:ind w:left="640"/>
              <w:spacing w:after="0" w:line="147" w:lineRule="exact"/>
              <w:rPr>
                <w:sz w:val="20"/>
                <w:szCs w:val="20"/>
                <w:color w:val="auto"/>
              </w:rPr>
            </w:pPr>
            <w:r>
              <w:rPr>
                <w:rFonts w:ascii="Arial" w:cs="Arial" w:eastAsia="Arial" w:hAnsi="Arial"/>
                <w:sz w:val="14"/>
                <w:szCs w:val="14"/>
                <w:b w:val="1"/>
                <w:bCs w:val="1"/>
                <w:color w:val="auto"/>
                <w:w w:val="96"/>
              </w:rPr>
              <w:t>December 31,</w:t>
            </w:r>
          </w:p>
        </w:tc>
      </w:tr>
      <w:tr>
        <w:trPr>
          <w:trHeight w:val="170"/>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Acquisition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496,000</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232,000</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 years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Annual pro forma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amount recorded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for estimated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340" w:hanging="436"/>
        <w:spacing w:after="0" w:line="271" w:lineRule="auto"/>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elimination of direct and incremental transaction costs incurred in connection with the Centerbridge Acquisition, which are not expected to have a continuing impact on the results of operations.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40"/>
          </w:cols>
          <w:pgMar w:left="320" w:top="456" w:right="5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580" w:right="220" w:hanging="436"/>
        <w:spacing w:after="0" w:line="297" w:lineRule="auto"/>
        <w:tabs>
          <w:tab w:leader="none" w:pos="1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(i) the elimination of interest expense related to our financing in place during the Predecessor 2019 Period, which was repaid in conjunction with the Centerbridge Acquisition and (ii) the incremental interest expense, accretion of debt discount, and amortization of debt issuance costs associated with our Credit Facilities incurred as part of the Centerbridge Acquisition. The following table represents the pro forma adjustment to interest expense for the year ended December 31, 2019:</w:t>
      </w:r>
    </w:p>
    <w:p>
      <w:pPr>
        <w:spacing w:after="0" w:line="164"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2"/>
              </w:rPr>
              <w:t>December 31,</w:t>
            </w:r>
          </w:p>
        </w:tc>
      </w:tr>
      <w:tr>
        <w:trPr>
          <w:trHeight w:val="170"/>
        </w:trPr>
        <w:tc>
          <w:tcPr>
            <w:tcW w:w="6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credit agreement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Annual pro forma interest expense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expense recorded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8,216</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Pro forma adjustment for interest expense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580"/>
        <w:spacing w:after="0" w:line="251" w:lineRule="auto"/>
        <w:rPr>
          <w:sz w:val="20"/>
          <w:szCs w:val="20"/>
          <w:color w:val="auto"/>
        </w:rPr>
      </w:pPr>
      <w:r>
        <w:rPr>
          <w:rFonts w:ascii="Arial" w:cs="Arial" w:eastAsia="Arial" w:hAnsi="Arial"/>
          <w:sz w:val="18"/>
          <w:szCs w:val="18"/>
          <w:color w:val="auto"/>
        </w:rPr>
        <w:t xml:space="preserve">A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8</w:t>
      </w:r>
      <w:r>
        <w:rPr>
          <w:rFonts w:ascii="Arial" w:cs="Arial" w:eastAsia="Arial" w:hAnsi="Arial"/>
          <w:sz w:val="18"/>
          <w:szCs w:val="18"/>
          <w:color w:val="auto"/>
        </w:rPr>
        <w:t>% increase or decrease in interest rates would result in a change in interest expense of approximately $94 thousand for the three months ended March 31, 2020 and approximately $379 thousand for the year ended December 31, 2019. See “Description of Indebtedness” for a description of the Credit Facilities.</w:t>
      </w:r>
    </w:p>
    <w:p>
      <w:pPr>
        <w:spacing w:after="0" w:line="100" w:lineRule="exact"/>
        <w:rPr>
          <w:sz w:val="20"/>
          <w:szCs w:val="20"/>
          <w:color w:val="auto"/>
        </w:rPr>
      </w:pPr>
    </w:p>
    <w:p>
      <w:pPr>
        <w:ind w:left="1580" w:right="60" w:hanging="436"/>
        <w:spacing w:after="0" w:line="290" w:lineRule="auto"/>
        <w:tabs>
          <w:tab w:leader="none" w:pos="1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a non-cash adjustment to remove equity incentive compensation expense triggered as part of the Centerbridge Acquisition due to change in control provision which accelerated vesting, and includes the incremental share-based compensation expense related to the equity incentive compensation plan put in place in connection with the Centerbridge Acquisition, as if that plan had been in place since January 1, 2019. This adjustment was allocated to line items on the income statement based on the department the individual is in who received the compensation. The following tables represent the pro forma adjustments to each of the marketing and advertising, technology, general and administrative and customer care and enrollment expenses.</w:t>
      </w:r>
    </w:p>
    <w:p>
      <w:pPr>
        <w:spacing w:after="0" w:line="70"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8"/>
          <w:szCs w:val="18"/>
          <w:u w:val="single" w:color="auto"/>
          <w:color w:val="auto"/>
        </w:rPr>
        <w:t>Marketing and Advertising</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marketing and advertising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Technology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technology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jc w:val="right"/>
              <w:ind w:right="2640"/>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General and Administrative</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86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5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(58,327)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46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adjustment for general and administrative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(57,360)</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Customer Care and Enrollment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86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5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adjustment for customer care and enrollment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hanging="436"/>
        <w:spacing w:after="0" w:line="253" w:lineRule="auto"/>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the Transactions, we will be subject to United States federal income taxes, in addition to applicable state and local taxes, with respect to our allocable share of any net taxable income of GoHealth Holdings, LLC. We have determined it is more-likely-than-not that the tax benefits associated with the deferred tax assets arising from the Transactions and this offering will not be realized. As a result, the unaudited pro forma consolidated statement of operations does not reflect an adjustment for deferred tax benefits.</w:t>
      </w:r>
    </w:p>
    <w:p>
      <w:pPr>
        <w:spacing w:after="0" w:line="99" w:lineRule="exact"/>
        <w:rPr>
          <w:rFonts w:ascii="Arial" w:cs="Arial" w:eastAsia="Arial" w:hAnsi="Arial"/>
          <w:sz w:val="18"/>
          <w:szCs w:val="18"/>
          <w:color w:val="auto"/>
        </w:rPr>
      </w:pPr>
    </w:p>
    <w:p>
      <w:pPr>
        <w:ind w:left="1580" w:right="100" w:hanging="436"/>
        <w:spacing w:after="0" w:line="275" w:lineRule="auto"/>
        <w:tabs>
          <w:tab w:leader="none" w:pos="1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After the Transactions, we will become the managing member of GoHealth Holdings, LLC. We will own 26.8% of the economic interest in GoHealth Holdings, LLC and have 26.8% of the voting power, but will control the management of GoHealth Holdings, LLC. The Continuing Equity Owners will own the remaining 73.2% of the economic interest in GoHealth Holdings, LLC, which will be accounted for as a noncontrolling interest in our future consolidated financial results.</w:t>
      </w:r>
    </w:p>
    <w:p>
      <w:pPr>
        <w:spacing w:after="0" w:line="1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40"/>
          </w:cols>
          <w:pgMar w:left="320" w:top="456" w:right="6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hanging="436"/>
        <w:spacing w:after="0" w:line="269" w:lineRule="auto"/>
        <w:tabs>
          <w:tab w:leader="none" w:pos="1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Reflects the increase in share-based compensation expense we expect to incur following the completion of this offering. We expect to grant 2,426,100 stock options and 305,068 restricted stock units to our directors and employees in connection with this offering. The options that will be granted to our employees will vest over either three or four years and the restricted stock units that will be granted to our employees will vest over four years. The restricted stock units that will be granted to our directors will vest over one year. The share-based compensation expense was calculated assuming the stock options were granted on January 1, 2019, at an exercise price equal to $21.00 per share. The grant date fair value of stock options was determined using the Black-Scholes valuation model using the following assumptions:</w:t>
      </w:r>
    </w:p>
    <w:p>
      <w:pPr>
        <w:spacing w:after="0" w:line="21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Year Vesting Awards:</w:t>
            </w:r>
          </w:p>
        </w:tc>
        <w:tc>
          <w:tcPr>
            <w:tcW w:w="2880" w:type="dxa"/>
            <w:vAlign w:val="bottom"/>
            <w:shd w:val="clear" w:color="auto" w:fill="CCEEFF"/>
          </w:tcPr>
          <w:p>
            <w:pPr>
              <w:spacing w:after="0"/>
              <w:rPr>
                <w:sz w:val="18"/>
                <w:szCs w:val="18"/>
                <w:color w:val="auto"/>
              </w:rPr>
            </w:pPr>
          </w:p>
        </w:tc>
      </w:tr>
      <w:tr>
        <w:trPr>
          <w:trHeight w:val="214"/>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28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r>
      <w:tr>
        <w:trPr>
          <w:trHeight w:val="214"/>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6.0</w:t>
            </w: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319"/>
        </w:trPr>
        <w:tc>
          <w:tcPr>
            <w:tcW w:w="4520" w:type="dxa"/>
            <w:vAlign w:val="bottom"/>
          </w:tcPr>
          <w:p>
            <w:pPr>
              <w:spacing w:after="0"/>
              <w:rPr>
                <w:sz w:val="20"/>
                <w:szCs w:val="20"/>
                <w:color w:val="auto"/>
              </w:rPr>
            </w:pPr>
            <w:r>
              <w:rPr>
                <w:rFonts w:ascii="Arial" w:cs="Arial" w:eastAsia="Arial" w:hAnsi="Arial"/>
                <w:sz w:val="18"/>
                <w:szCs w:val="18"/>
                <w:b w:val="1"/>
                <w:bCs w:val="1"/>
                <w:color w:val="auto"/>
              </w:rPr>
              <w:t>Four Year Vesting Awards:</w:t>
            </w:r>
          </w:p>
        </w:tc>
        <w:tc>
          <w:tcPr>
            <w:tcW w:w="2880" w:type="dxa"/>
            <w:vAlign w:val="bottom"/>
          </w:tcPr>
          <w:p>
            <w:pPr>
              <w:spacing w:after="0"/>
              <w:rPr>
                <w:sz w:val="24"/>
                <w:szCs w:val="24"/>
                <w:color w:val="auto"/>
              </w:rPr>
            </w:pP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4"/>
        </w:trPr>
        <w:tc>
          <w:tcPr>
            <w:tcW w:w="4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80" w:type="dxa"/>
            <w:vAlign w:val="bottom"/>
          </w:tcPr>
          <w:p>
            <w:pPr>
              <w:jc w:val="right"/>
              <w:ind w:right="191"/>
              <w:spacing w:after="0"/>
              <w:rPr>
                <w:sz w:val="20"/>
                <w:szCs w:val="20"/>
                <w:color w:val="auto"/>
              </w:rPr>
            </w:pPr>
            <w:r>
              <w:rPr>
                <w:rFonts w:ascii="Arial" w:cs="Arial" w:eastAsia="Arial" w:hAnsi="Arial"/>
                <w:sz w:val="18"/>
                <w:szCs w:val="18"/>
                <w:color w:val="auto"/>
              </w:rPr>
              <w:t>—</w:t>
            </w: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6.25</w:t>
            </w:r>
          </w:p>
        </w:tc>
      </w:tr>
      <w:tr>
        <w:trPr>
          <w:trHeight w:val="227"/>
        </w:trPr>
        <w:tc>
          <w:tcPr>
            <w:tcW w:w="45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880" w:type="dxa"/>
            <w:vAlign w:val="bottom"/>
          </w:tcPr>
          <w:p>
            <w:pPr>
              <w:jc w:val="right"/>
              <w:spacing w:after="0"/>
              <w:rPr>
                <w:sz w:val="20"/>
                <w:szCs w:val="20"/>
                <w:color w:val="auto"/>
              </w:rPr>
            </w:pPr>
            <w:r>
              <w:rPr>
                <w:rFonts w:ascii="Arial" w:cs="Arial" w:eastAsia="Arial" w:hAnsi="Arial"/>
                <w:sz w:val="18"/>
                <w:szCs w:val="18"/>
                <w:color w:val="auto"/>
              </w:rPr>
              <w:t>0.42%</w:t>
            </w:r>
          </w:p>
        </w:tc>
      </w:tr>
    </w:tbl>
    <w:p>
      <w:pPr>
        <w:spacing w:after="0" w:line="93" w:lineRule="exact"/>
        <w:rPr>
          <w:sz w:val="20"/>
          <w:szCs w:val="20"/>
          <w:color w:val="auto"/>
        </w:rPr>
      </w:pPr>
    </w:p>
    <w:p>
      <w:pPr>
        <w:ind w:left="1580" w:right="60" w:hanging="436"/>
        <w:spacing w:after="0" w:line="259" w:lineRule="auto"/>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connection with this offering, we will fully settle the earnout liability due to the predecessor owners of the Company arising from the Centerbridge Acquisition, resulting in the elimination of the change in the fair value of the earnout liability on a go-forward basis.</w:t>
      </w:r>
    </w:p>
    <w:p>
      <w:pPr>
        <w:spacing w:after="0" w:line="92" w:lineRule="exact"/>
        <w:rPr>
          <w:rFonts w:ascii="Arial" w:cs="Arial" w:eastAsia="Arial" w:hAnsi="Arial"/>
          <w:sz w:val="18"/>
          <w:szCs w:val="18"/>
          <w:color w:val="auto"/>
        </w:rPr>
      </w:pPr>
    </w:p>
    <w:p>
      <w:pPr>
        <w:ind w:left="1580" w:hanging="436"/>
        <w:spacing w:after="0"/>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costs incurred associated with this offering, including certain legal, accounting, and other services.</w:t>
      </w:r>
    </w:p>
    <w:p>
      <w:pPr>
        <w:spacing w:after="0" w:line="127" w:lineRule="exact"/>
        <w:rPr>
          <w:rFonts w:ascii="Arial" w:cs="Arial" w:eastAsia="Arial" w:hAnsi="Arial"/>
          <w:sz w:val="18"/>
          <w:szCs w:val="18"/>
          <w:color w:val="auto"/>
        </w:rPr>
      </w:pPr>
    </w:p>
    <w:p>
      <w:pPr>
        <w:ind w:left="1580" w:right="400" w:hanging="436"/>
        <w:spacing w:after="0" w:line="275" w:lineRule="auto"/>
        <w:tabs>
          <w:tab w:leader="none" w:pos="15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 forma basic net income per share is computed by dividing the net income available to Class A common stockholders by the weighted-average shares of Class A common stock outstanding during the period. Pro forma diluted net income per share is computed by adjusting the net income available to Class A common stockholders and the weighted-average shares of Class A common stock outstanding to give effect to potentially dilutive securities.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6"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Shares of our Class B common stock are not entitled to receive any distributions or dividends other than in connection with a liquidation and have no rights to convert into Class A common stock, separate from an exchange or redemption of the LLC Interests corresponding to such shares of Class B common stock. When a common unit is exchanged for, at our election, cash or Class A common stock by a Continuing Equity Owner who holds shares of our Class B common stock, such Continuing Equity Owner will be required to surrender a share of Class B common stock, which we will cancel for no consideration. The following table sets forth a reconciliation of the numerators and denominators used to compute pro forma basic and diluted net income per share (in thousands, except share and per share data):</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Year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Three month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Pro forma basic and diluted earnings per share</w:t>
            </w: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7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Numerator:</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Pro forma net income attributable to noncontrolling interests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(22,286)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attributable to GoHealth, Inc —basic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6"/>
        </w:trPr>
        <w:tc>
          <w:tcPr>
            <w:tcW w:w="7300" w:type="dxa"/>
            <w:vAlign w:val="bottom"/>
            <w:gridSpan w:val="3"/>
          </w:tcPr>
          <w:p>
            <w:pPr>
              <w:spacing w:after="0"/>
              <w:rPr>
                <w:sz w:val="20"/>
                <w:szCs w:val="20"/>
                <w:color w:val="auto"/>
              </w:rPr>
            </w:pPr>
            <w:r>
              <w:rPr>
                <w:rFonts w:ascii="Arial" w:cs="Arial" w:eastAsia="Arial" w:hAnsi="Arial"/>
                <w:sz w:val="18"/>
                <w:szCs w:val="18"/>
                <w:color w:val="auto"/>
                <w:w w:val="99"/>
              </w:rPr>
              <w:t>Reallocation of noncontrolling interest after the assumed exchange of LLC Units for Class A</w:t>
            </w:r>
          </w:p>
        </w:tc>
        <w:tc>
          <w:tcPr>
            <w:tcW w:w="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22,286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attributable to GoHealth, Inc. —diluted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Denominator</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0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of Class A Common Stock outstanding—basic</w:t>
            </w:r>
            <w:r>
              <w:rPr>
                <w:rFonts w:ascii="Arial" w:cs="Arial" w:eastAsia="Arial" w:hAnsi="Arial"/>
                <w:sz w:val="15"/>
                <w:szCs w:val="15"/>
                <w:color w:val="auto"/>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84,182,961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84,182,961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Dilutive effects of:</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LLC Units that are exchangeable for Class A Common Stock</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5"/>
              </w:rPr>
              <w:t>229,430,453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229,449,323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Restricted stock units that are exchangeable for Class A Common Stock</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94,948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79,754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of Class A Common Stock outstanding—diluted</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313,708,362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313,712,038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Basic pro forma net income per share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0.10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pro forma net income per share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12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9"/>
        </w:trPr>
        <w:tc>
          <w:tcPr>
            <w:tcW w:w="7300" w:type="dxa"/>
            <w:vAlign w:val="bottom"/>
            <w:gridSpan w:val="3"/>
          </w:tcPr>
          <w:p>
            <w:pPr>
              <w:spacing w:after="0"/>
              <w:rPr>
                <w:sz w:val="20"/>
                <w:szCs w:val="20"/>
                <w:color w:val="auto"/>
              </w:rPr>
            </w:pPr>
            <w:r>
              <w:rPr>
                <w:rFonts w:ascii="Arial" w:cs="Arial" w:eastAsia="Arial" w:hAnsi="Arial"/>
                <w:sz w:val="18"/>
                <w:szCs w:val="18"/>
                <w:color w:val="auto"/>
              </w:rPr>
              <w:t>(1) Consists of the following:</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issued as a result of this offering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43,500,000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43,500,000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Class A common stock held by the Blocker Shareholders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40,682,961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40,682,961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of Class A Common Stock outstanding—basic</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84,182,961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84,182,961</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ind w:left="5340"/>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30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“Risk Factors” and “Unaudited Pro Forma Condensed Consolidated Financial Information.” We assume no obligation to update any of these forward-looking statements.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or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right="420"/>
        <w:spacing w:after="0" w:line="287"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w:t>
      </w:r>
    </w:p>
    <w:p>
      <w:pPr>
        <w:spacing w:after="0" w:line="1"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104.1% to $141.0 million for the Pro Forma First Quarter 2020 compared to $69.1 million for the three months ended March 31, 2019 and by 138.5% to $539.5 million for the Pro Forma Fiscal Year 2019 compared to $226.2 million for the year ended December 31, 2018. Adjusted EBITDA grew by</w:t>
      </w:r>
    </w:p>
    <w:p>
      <w:pPr>
        <w:ind w:left="160"/>
        <w:spacing w:after="0" w:line="286" w:lineRule="auto"/>
        <w:rPr>
          <w:sz w:val="20"/>
          <w:szCs w:val="20"/>
          <w:color w:val="auto"/>
        </w:rPr>
      </w:pPr>
      <w:r>
        <w:rPr>
          <w:rFonts w:ascii="Arial" w:cs="Arial" w:eastAsia="Arial" w:hAnsi="Arial"/>
          <w:sz w:val="16"/>
          <w:szCs w:val="16"/>
          <w:color w:val="auto"/>
        </w:rPr>
        <w:t>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Segments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w:t>
      </w:r>
    </w:p>
    <w:p>
      <w:pPr>
        <w:spacing w:after="0" w:line="43" w:lineRule="exact"/>
        <w:rPr>
          <w:sz w:val="20"/>
          <w:szCs w:val="20"/>
          <w:color w:val="auto"/>
        </w:rPr>
      </w:pPr>
    </w:p>
    <w:p>
      <w:pPr>
        <w:ind w:left="160" w:firstLine="7"/>
        <w:spacing w:after="0" w:line="250" w:lineRule="auto"/>
        <w:tabs>
          <w:tab w:leader="none" w:pos="4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IFP and Other—External. We organize the segments by product type, Medicare and IFP and Other, as well as by distribution channel, internal and external, as further described below. In addition, we separately report other expenses (classified as “Corporate” in our financial statements), the primary components of which are corporate overhead expenses and shared service expenses that have not been allocated to the reportable segments. The segment results provided herein may not be comparable to other companies. We refer to the Medicare—Internal and Medicare—External segments collectively as the “Medicare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segments” and the IFP and Other—Internal and IFP and Other—External segments as the “IFP and Other segments.”</w:t>
      </w:r>
    </w:p>
    <w:p>
      <w:pPr>
        <w:spacing w:after="0" w:line="127" w:lineRule="exact"/>
        <w:rPr>
          <w:sz w:val="20"/>
          <w:szCs w:val="20"/>
          <w:color w:val="auto"/>
        </w:rPr>
      </w:pPr>
    </w:p>
    <w:p>
      <w:pPr>
        <w:ind w:left="1140" w:right="20" w:hanging="438"/>
        <w:spacing w:after="0" w:line="287"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Medicare—Internal</w:t>
      </w:r>
      <w:r>
        <w:rPr>
          <w:rFonts w:ascii="Arial" w:cs="Arial" w:eastAsia="Arial" w:hAnsi="Arial"/>
          <w:sz w:val="16"/>
          <w:szCs w:val="16"/>
          <w:color w:val="auto"/>
        </w:rPr>
        <w:t>. The Medicare—Internal segment relates to sales of products and plans by GoHealth-employed agents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 as well as enrollment fees, hourly fees and other fees for services performed for specific carriers and other partners. For the three months ended March 31, 2020 and 2019, the Pro Forma Fiscal Year 2019 and for the year ended December 31, 2018, this segment generated 67.6%, 30.3%, 58.9% and 23.6%, respectively, of total revenue and 98.4%, 46.8%, 88.5% and 52.8%, respectively, of total profit.</w:t>
      </w:r>
    </w:p>
    <w:p>
      <w:pPr>
        <w:spacing w:after="0" w:line="72" w:lineRule="exact"/>
        <w:rPr>
          <w:rFonts w:ascii="Arial" w:cs="Arial" w:eastAsia="Arial" w:hAnsi="Arial"/>
          <w:sz w:val="16"/>
          <w:szCs w:val="16"/>
          <w:color w:val="auto"/>
        </w:rPr>
      </w:pPr>
    </w:p>
    <w:p>
      <w:pPr>
        <w:ind w:left="1140" w:right="60" w:hanging="438"/>
        <w:spacing w:after="0" w:line="268" w:lineRule="auto"/>
        <w:tabs>
          <w:tab w:leader="none" w:pos="114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Medicare—External</w:t>
      </w:r>
      <w:r>
        <w:rPr>
          <w:rFonts w:ascii="Arial" w:cs="Arial" w:eastAsia="Arial" w:hAnsi="Arial"/>
          <w:sz w:val="17"/>
          <w:szCs w:val="17"/>
          <w:color w:val="auto"/>
        </w:rPr>
        <w:t>. The Medicare—External segment relates to sales of products and plans under GoHealth’s carrier contracts using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national network of agents, or external agencies, agents of which are not employed by GoHealth. These agents utilize our technology and platform to enroll consumers in health insurance plans and provide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20.5%, 29.4%, 21.3% and 26.0%, respectively, of total revenue and (0.8)%, 32.5%, 8.2% and 19.7%, respectively, of total profit.</w:t>
      </w:r>
    </w:p>
    <w:p>
      <w:pPr>
        <w:spacing w:after="0" w:line="85" w:lineRule="exact"/>
        <w:rPr>
          <w:rFonts w:ascii="Arial" w:cs="Arial" w:eastAsia="Arial" w:hAnsi="Arial"/>
          <w:sz w:val="17"/>
          <w:szCs w:val="17"/>
          <w:color w:val="auto"/>
        </w:rPr>
      </w:pPr>
    </w:p>
    <w:p>
      <w:pPr>
        <w:ind w:left="1140" w:hanging="438"/>
        <w:spacing w:after="0" w:line="288"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Other—Internal</w:t>
      </w:r>
      <w:r>
        <w:rPr>
          <w:rFonts w:ascii="Arial" w:cs="Arial" w:eastAsia="Arial" w:hAnsi="Arial"/>
          <w:sz w:val="16"/>
          <w:szCs w:val="16"/>
          <w:color w:val="auto"/>
        </w:rPr>
        <w:t>. The IFP and Other—Internal segment relates to sales of products and plans by GoHealth-employed agents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qualified prospects plans from multiple carriers, GoHealth-employed agents offering qualified prospects plans on a carrier-specific basis, or DIY. In this segment, we sell individual and family plans, dental plans, vision plans and other ancillary plans to individuals that are not Medicare-eligible. We earn revenue in this segment through commissions paid by carriers based on sales we generate, as well as enrollment fees, and hourly fees and other fees for services performed for specific carriers and other partners. For the three months ended March 31, 2020 and 2019, the Pro Forma Fiscal Year 2019 and for the year ended December 31, 2018, this segment generated 6.1%, 20.9%, 10.9% and 27.9%, respectively, of total revenue and 1.1%, 8.5%, 2.0% and 21.2% respectively, of total profit.</w:t>
      </w:r>
    </w:p>
    <w:p>
      <w:pPr>
        <w:spacing w:after="0" w:line="72" w:lineRule="exact"/>
        <w:rPr>
          <w:rFonts w:ascii="Arial" w:cs="Arial" w:eastAsia="Arial" w:hAnsi="Arial"/>
          <w:sz w:val="16"/>
          <w:szCs w:val="16"/>
          <w:color w:val="auto"/>
        </w:rPr>
      </w:pPr>
    </w:p>
    <w:p>
      <w:pPr>
        <w:ind w:left="1140" w:right="20" w:hanging="438"/>
        <w:spacing w:after="0" w:line="288"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Other—External</w:t>
      </w:r>
      <w:r>
        <w:rPr>
          <w:rFonts w:ascii="Arial" w:cs="Arial" w:eastAsia="Arial" w:hAnsi="Arial"/>
          <w:sz w:val="16"/>
          <w:szCs w:val="16"/>
          <w:color w:val="auto"/>
        </w:rPr>
        <w:t>. The IFP and Other—External segment relates to sales of products and plans under GoHealth’s carrier contracts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that are not Medicare-eligible.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5.8%, 19.4%, 8.9% and 22.5%, respectively, of total revenue and 1.2%, 12.2%, 1.2% and 6.2%, respectively, of total profit.</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Industry Trends</w:t>
      </w:r>
    </w:p>
    <w:p>
      <w:pPr>
        <w:spacing w:after="0" w:line="118" w:lineRule="exact"/>
        <w:rPr>
          <w:sz w:val="20"/>
          <w:szCs w:val="20"/>
          <w:color w:val="auto"/>
        </w:rPr>
      </w:pPr>
    </w:p>
    <w:p>
      <w:pPr>
        <w:jc w:val="both"/>
        <w:ind w:left="160" w:right="40"/>
        <w:spacing w:after="0" w:line="307" w:lineRule="auto"/>
        <w:rPr>
          <w:sz w:val="20"/>
          <w:szCs w:val="20"/>
          <w:color w:val="auto"/>
        </w:rPr>
      </w:pPr>
      <w:r>
        <w:rPr>
          <w:rFonts w:ascii="Arial" w:cs="Arial" w:eastAsia="Arial" w:hAnsi="Arial"/>
          <w:sz w:val="16"/>
          <w:szCs w:val="16"/>
          <w:color w:val="auto"/>
        </w:rPr>
        <w:t>The Medicare segments benefit from strong demographic trends. Medicare enrollment is expected to grow from approximately 61 million individuals in 2019 to approximately 77 million individuals by 2028. An increasing proportion of the Medicare-eligible population is choosing commercial insurance solutions, with 38% of Medicare beneficiaries, or approximately 23 million people, enrolled in Medicare Advantage plans in 2019, an</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6"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increase of approximately 1.5 million people from 2018 to 2019. As a result of these trends,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help us continue to grow revenue.</w:t>
      </w:r>
    </w:p>
    <w:p>
      <w:pPr>
        <w:spacing w:after="0" w:line="190"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In the IFP and Other segments, the individual health insurance market grew from 10.6 million enrollees in 2013 to 17.4 million enrollees in 2015. Such increase was driven by the passage of the ACA, namely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2019, the average gross margin per member per month for carriers in the individual market was $122.83, as compared to $14.36 in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Company’s revenue growth in the future.</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historical results of operations discussed in this section are those of GoHealth Holdings, LLC prior to the completion of the Transactions, including this offering, and do not reflect certain items that we expect will affect our results of operations and financial condition after giving effect to the Transactions and the use of proceeds from this offering.</w:t>
      </w:r>
    </w:p>
    <w:p>
      <w:pPr>
        <w:spacing w:after="0" w:line="186"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Following the completion of the Transactions, GoHealth, Inc. will become the sole managing member of GoHealth Holdings, LLC. Although we will have a minority economic interest in GoHealth Holdings, LLC, we will have the sole voting interest in, and control of the business and affairs of, GoHealth Holdings, LLC and its direct and indirect subsidiaries. As a result, GoHealth, Inc. will consolidate GoHealth Holdings, LLC and record a significant non-controlling interest in a consolidated entity in GoHealth, Inc.’s consolidated financial statements for the economic interest in GoHealth Holdings, LLC held directly or indirectly by the Continuing Equity Owners. Immediately after the Transactions, investors in this offering will collectively own 51.7% of our outstanding Class A common stock, consisting of 43,500,000 shares (or 50,025,000 shares if the underwriters exercise in full their option to purchase additional shares of Class A common stock), GoHealth, Inc. will own 84,182,961 LLC Interests (or 89,669,923 LLC Interests if the underwriters exercise in full their option to purchase additional shares of Class A common stock), representing 26.8% of the LLC Interests (or 28.6% if the underwriters exercise in full their option to purchase additional shares of Class A common stock) and the Founders will collectively own 96,885,138 LLC Interests, representing 30.9% of the LLC Interests (or 30.1% if the underwriters exercise in full their option to purchase additional shares of Class A common stock). Accordingly, net income (loss) attributable to non-controlling interests will represent 73.2% of the income (loss) before income tax benefit (expense) of GoHealth, Inc. (or 71.4% if the underwriters exercise in full their option to purchase additional shares of Class A common stock). GoHealth, Inc. is a holding company that conducts no operations and, as of the consummation of this offering, its principal asset will be LLC Interests we purchase from GoHealth Holdings, LLC.</w:t>
      </w:r>
    </w:p>
    <w:p>
      <w:pPr>
        <w:spacing w:after="0" w:line="172"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After consummation of this offering, GoHealth, Inc. will become subject to U.S. federal, state and local income taxes with respect to our allocable share of any taxable income of GoHealth Holdings, LLC and will be taxed at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prevailing corporate tax rates. In addition to tax expenses, we also will incur expenses related to our status as a public company, plus payment obligations under the Tax Receivable Agreement, which we expect to be significant. We intend to cause GoHealth Holdings, LLC to make distributions to us in an amount sufficient to allow us to pay these expenses and fund any payments due under the Tax Receivable Agreement. See “Certain Relationships and Related Party Transactions—GoHealth Holdings, LLC Agreement—Agreement in Effect Upon Consummation of the Transactions— Distributions.”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important factors, including:</w:t>
      </w:r>
    </w:p>
    <w:p>
      <w:pPr>
        <w:spacing w:after="0" w:line="127" w:lineRule="exact"/>
        <w:rPr>
          <w:sz w:val="20"/>
          <w:szCs w:val="20"/>
          <w:color w:val="auto"/>
        </w:rPr>
      </w:pPr>
    </w:p>
    <w:p>
      <w:pPr>
        <w:ind w:left="1140" w:hanging="438"/>
        <w:spacing w:after="0" w:line="265" w:lineRule="auto"/>
        <w:tabs>
          <w:tab w:leader="none" w:pos="11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Attract New Carriers and Expand Relationships with Existing Carriers</w:t>
      </w:r>
      <w:r>
        <w:rPr>
          <w:rFonts w:ascii="Arial" w:cs="Arial" w:eastAsia="Arial" w:hAnsi="Arial"/>
          <w:sz w:val="17"/>
          <w:szCs w:val="17"/>
          <w:color w:val="auto"/>
        </w:rPr>
        <w:t>. We generate revenue primarily from commissions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through policy sales utilizing our platform. Carriers and other partners also pay us enrollment fees, hourly fees and other fees for services performed for specific carriers. Attracting new carriers and expanding relationships with our existing carriers to offer more products and plans is critical to the growth of our business, particularly in the Medicare segments, which drive the highest LTV/CAC of the products and plans we offer. We are strategically adding carriers in the Medicare segments in order to offer top-rated plans and multiple plan choices in each of the U.S. counties in which we operate. This also allows us to market more efficiently in these geographies, increase conversion rates on consumer leads, and improve customer satisfaction rates as we are better able to meet consumers’ specific needs, which drives revenue growth. In order to strengthen the relationships with existing and prospective Medicare carriers, we are offering more services to them, such as (i) helping new Medicare enrollees sign up for a health-risk assessment, which helps calibrate the Medicare Advantage premium paid by Medicare to the private plan, and (ii) using our data to help our largest carriers inform the benefit design of their health insurance plans and competitiveness of their products in given regions. If we are unsuccessful in adding new carriers and expanding existing relationships with carriers to offer more products and plans, it may become more difficult to compete against competitors with more diverse product and plan offerings.</w:t>
      </w:r>
    </w:p>
    <w:p>
      <w:pPr>
        <w:spacing w:after="0" w:line="96" w:lineRule="exact"/>
        <w:rPr>
          <w:rFonts w:ascii="Arial" w:cs="Arial" w:eastAsia="Arial" w:hAnsi="Arial"/>
          <w:sz w:val="17"/>
          <w:szCs w:val="17"/>
          <w:color w:val="auto"/>
        </w:rPr>
      </w:pPr>
    </w:p>
    <w:p>
      <w:pPr>
        <w:ind w:left="1140" w:right="40" w:hanging="438"/>
        <w:spacing w:after="0" w:line="267" w:lineRule="auto"/>
        <w:tabs>
          <w:tab w:leader="none" w:pos="11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Data and Technology</w:t>
      </w:r>
      <w:r>
        <w:rPr>
          <w:rFonts w:ascii="Arial" w:cs="Arial" w:eastAsia="Arial" w:hAnsi="Arial"/>
          <w:sz w:val="17"/>
          <w:szCs w:val="17"/>
          <w:color w:val="auto"/>
        </w:rPr>
        <w:t>. Our ability to harness our data and proprietary technology is a significant contributor to improving LTV/CAC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profitability. In 2019, we upgraded our Marketplace technology to improve the flow of data across our platform and advance decision support capabilities. We are also improving our LeadScore and call-routing technologies, as well as expanding our business intelligence and analytics staffing, to direct qualified prospects to agents or DIY channels that are most likely to result in such qualified prospects enrolling in the plan that best meets their needs while remaining economically attractive for us, as described further below. Additionally, we are investing in technology that will allow us to use our data to direct our marketing spend into growing the number of qualified prospects in the highest-value marketing channels and enhancing our proprietary LeadScore technology to assess and improve, in real time, the performance of those marketing channels throughout the year. If we are not able to harness our data to improve our technology, our LTV/CAC may remain stagnant or decline.</w:t>
      </w:r>
    </w:p>
    <w:p>
      <w:pPr>
        <w:spacing w:after="0" w:line="89" w:lineRule="exact"/>
        <w:rPr>
          <w:rFonts w:ascii="Arial" w:cs="Arial" w:eastAsia="Arial" w:hAnsi="Arial"/>
          <w:sz w:val="17"/>
          <w:szCs w:val="17"/>
          <w:color w:val="auto"/>
        </w:rPr>
      </w:pPr>
    </w:p>
    <w:p>
      <w:pPr>
        <w:ind w:left="1140" w:right="20" w:hanging="438"/>
        <w:spacing w:after="0" w:line="268" w:lineRule="auto"/>
        <w:tabs>
          <w:tab w:leader="none" w:pos="11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Agent Productivity, Training, Recruiting and Retention</w:t>
      </w:r>
      <w:r>
        <w:rPr>
          <w:rFonts w:ascii="Arial" w:cs="Arial" w:eastAsia="Arial" w:hAnsi="Arial"/>
          <w:sz w:val="17"/>
          <w:szCs w:val="17"/>
          <w:color w:val="auto"/>
        </w:rPr>
        <w:t>. Our success largely depends on the productivity of our agents, as well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recruit and retain quality agents to sell products and plans. The productivity of our agents is primarily supported by our technology, which helps increase agent efficiency. For example, the improvements to our LeadScore and call-routing technologies allow us to assess the profile and predicted value of each incoming consumer lead and to route the consumer lead to the agent most likely to enroll them. Our technology considers the incoming consumer lead’s potential needs and the agent’s ability to deliver a suitable policy and, in doing so, increases our LTV per Approved Submission and decreases the amount of time it takes for an agent to select plans for the consumer, thus decreasing CAC per commissionable Approved Submission. Our call-routing technology also utilizes data-driven agent clustering to enable us to train and specialize our agents 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spacing w:after="0" w:line="266" w:lineRule="auto"/>
        <w:rPr>
          <w:sz w:val="20"/>
          <w:szCs w:val="20"/>
          <w:color w:val="auto"/>
        </w:rPr>
      </w:pPr>
      <w:r>
        <w:rPr>
          <w:rFonts w:ascii="Arial" w:cs="Arial" w:eastAsia="Arial" w:hAnsi="Arial"/>
          <w:sz w:val="17"/>
          <w:szCs w:val="17"/>
          <w:color w:val="auto"/>
        </w:rPr>
        <w:t>specific customer segments to optimize our results. Additionally, we are retooling our recruiting and training programs to better attract agent candidates whose profiles align with those of current, high performing agents we employ.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 Our ability to sell more products and plans is dependent on the number of qualified, licensed agents we have that are able to sell those products and plans. Therefore, recruiting and retaining quality agents is also a key driver of our business. If we are unable to recruit and retain agents, we may be limited in the number of products and plans we can sell for a carrier or in a particular geography and we may have difficulty in quickly and efficiently managing the volume of qualified prospects that we generate.</w:t>
      </w:r>
    </w:p>
    <w:p>
      <w:pPr>
        <w:spacing w:after="0" w:line="88" w:lineRule="exact"/>
        <w:rPr>
          <w:sz w:val="20"/>
          <w:szCs w:val="20"/>
          <w:color w:val="auto"/>
        </w:rPr>
      </w:pPr>
    </w:p>
    <w:p>
      <w:pPr>
        <w:ind w:left="1140" w:right="80" w:hanging="438"/>
        <w:spacing w:after="0" w:line="286"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Engagement. </w:t>
      </w:r>
      <w:r>
        <w:rPr>
          <w:rFonts w:ascii="Arial" w:cs="Arial" w:eastAsia="Arial" w:hAnsi="Arial"/>
          <w:sz w:val="16"/>
          <w:szCs w:val="16"/>
          <w:color w:val="auto"/>
        </w:rPr>
        <w:t>Increasing customer engagement is a key driver of our business and results of operations. Our ability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customer satisfaction is dependent on the level of engagement we have with our customers. We are able to improve our long-term customer satisfaction by ensuring that we are successfully matching products and plans to consumers at the point of enrollment and having continued customer interactions throughout the life of the policy, both digitally and telephonically. We have a TeleCare team that is tasked with improving outreach efforts to our customers after their enrollment, which has allowed us to (1) educate customers on how to utilize these supplemental benefits, (2) educate customers on how to ensure that their physicians and medications are within their plan benefits, and (3) through more frequent interactions, identify if there are changes in a customer’s health, financial or other circumstances that make another plan a better choice for their specific needs. As a marketplace that represents a multitude of both plans and carriers, we can educate customers even as their underlying plan or carrier changes if we proactively engage with them.</w:t>
      </w:r>
    </w:p>
    <w:p>
      <w:pPr>
        <w:spacing w:after="0" w:line="72" w:lineRule="exact"/>
        <w:rPr>
          <w:rFonts w:ascii="Arial" w:cs="Arial" w:eastAsia="Arial" w:hAnsi="Arial"/>
          <w:sz w:val="16"/>
          <w:szCs w:val="16"/>
          <w:color w:val="auto"/>
        </w:rPr>
      </w:pPr>
    </w:p>
    <w:p>
      <w:pPr>
        <w:ind w:left="1140" w:right="20" w:hanging="438"/>
        <w:spacing w:after="0" w:line="251"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Seasonality of Our Revenue</w:t>
      </w:r>
      <w:r>
        <w:rPr>
          <w:rFonts w:ascii="Arial" w:cs="Arial" w:eastAsia="Arial" w:hAnsi="Arial"/>
          <w:sz w:val="18"/>
          <w:szCs w:val="18"/>
          <w:color w:val="auto"/>
        </w:rPr>
        <w:t>. We derive a substantial portion of our commission revenue in the fourth quarter because the annual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enrollment period occurs from October 15th to December 7th. Additionally, as a result of the annual Medicare Advantage open enrollment period that occurs from January 1st to March 31st, commission revenue is typically second-highest in our first quarter. Although we are able to generate revenue throughout the year, including through selling products and plans to individuals who turn 65 or qualify for a Medicare special enrollment period, as well as offering additional services and ancillary products and plans throughout the year, our success is substantially dependent on selling products and plans during the Medicare annual enrollment period and the Medicare Advantage open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Response to COVID-19</w:t>
      </w:r>
    </w:p>
    <w:p>
      <w:pPr>
        <w:spacing w:after="0" w:line="11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 to our business, highlighting the resilience of our business. We believe that a business like ours is well-suited to navigate the current environment in which consumers are particularly focused on healthcare issues and mortality and social distancing requirements push consumers to conduct business remotely, while the underlying demand dynamics for our core products remain unchanged. Additionally, because of our remote agent platform, we believe agents will continue to be attracted to our commission-based agent compensation model and the stable and attractive source of income it can provide, thereby allowing us to continue to retain and recruit agents. Further, as consumers become more comfortable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with conducting business remotely, we believe consumer adoption of distribution models such as ours may continue to accelerate long after the COVID-19 pandemic ends.</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As a result of the COVID-19 pandemic, we transitioned over 99% of our agents to work from home over an approximately 72-hour period in March 2020. Our agents have remained efficient during this work from home period, with daily sales per agent seat in the multi-carrier sales outlet of the Medicare—Internal segment of 2.3, 2.6, 2.2 and 2.4 for February, March, April and May 2020, respectively, compared to 2.0, 2.1, 1.5 and 1.8 daily sales per agent seat for the same four months in 2019. In addition, we had 23,609, 25,777, 20,851 and 21,423 Total Submitted Policies in the multi-carrier sales outlet of the Medicare—Internal segment for February, March, April and May 2020, respectively, compared to 5,047, 6,384, 6,699 and 9,081 Total Submitted Policies for the same four months in 2019.</w:t>
      </w:r>
    </w:p>
    <w:p>
      <w:pPr>
        <w:spacing w:after="0" w:line="19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Business and Operating Metrics by Segment</w:t>
      </w:r>
    </w:p>
    <w:p>
      <w:pPr>
        <w:spacing w:after="0" w:line="118"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Consumer Acquisition Cost</w:t>
      </w:r>
    </w:p>
    <w:p>
      <w:pPr>
        <w:spacing w:after="0" w:line="114"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other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w:t>
      </w:r>
    </w:p>
    <w:p>
      <w:pPr>
        <w:spacing w:after="0" w:line="173"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LTV/CAC for the Medicare—Internal segment increased to 2.7x (with a CAC of $26.7 million) for the three months ended March 31, 2020 compared to 1.7x (with a CAC of $10.5 million) for the three months ended March 31, 2019. The increase in LTV/CAC from March 31, 2019 to March 31, 2020 is attributable to the same factors as contributed to the increase from 2018 to 2019, as described below. The LTV/CAC for the Medicare— Internal segment decreased to 6.0x (with a CAC of 26.4 million) for the three months ended December 31, 2019 compared to 6.8x (with a CAC of 4.3 million) for the three months ended December 31, 2018. The decrease in LTV/CAC from December 31, 2018 to December 31, 2019 is the direct result of the Company scaling up its production to drive roughly 5.4x revenue growth period over the same period.</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6"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LTV/CAC for the Medicare—Internal segment was 3.9x (with a CAC of $63.2 million) for the year ended December 31, 2019, 5.1x (with a CAC of $32.5 million) for the Successor 2019 Period and 2.7x (with a CAC of $30.7 million) for the Predecessor 2019 Period compared to 2.7x (with a CAC of $17.3 million) for the year ended December 31, 2018. The increase in LTV/CAC from 2018 to 2019 was primarily attributable to a decrease in CAC due to improvements in our LeadScore and call-routing technologies allowing our agents to successfully convert more qualified prospects into Submitted Policies. Additionally, improved marketing efficiencies driven by our rapid test-and-learn approach across our marketing channels, as well as an expansion of the diversity and breadth of our omni-channel marketing efforts also contributed to an increase in LTV/CAC by enabling the acquisition of higher quality prospects at a lower effective cost per submission.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Per Qualified Prospect</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Cost per qualified prospect represents all variable marketing costs to generate qualified prospects, including direct media expenses, merchant service fees and Advocate expenses, divided by the number of qualified prospects.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cost per qualified prospect for the Medicare—Internal segment:</w:t>
      </w:r>
    </w:p>
    <w:p>
      <w:pPr>
        <w:sectPr>
          <w:pgSz w:w="11900" w:h="16838" w:orient="portrait"/>
          <w:cols w:equalWidth="0" w:num="1">
            <w:col w:w="11060"/>
          </w:cols>
          <w:pgMar w:left="320" w:top="456" w:right="51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09"/>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4"/>
              <w:spacing w:after="0" w:line="118" w:lineRule="exact"/>
              <w:rPr>
                <w:sz w:val="20"/>
                <w:szCs w:val="20"/>
                <w:color w:val="auto"/>
              </w:rPr>
            </w:pPr>
            <w:r>
              <w:rPr>
                <w:rFonts w:ascii="Arial" w:cs="Arial" w:eastAsia="Arial" w:hAnsi="Arial"/>
                <w:sz w:val="13"/>
                <w:szCs w:val="13"/>
                <w:b w:val="1"/>
                <w:bCs w:val="1"/>
                <w:color w:val="auto"/>
              </w:rPr>
              <w:t>2020</w:t>
            </w:r>
          </w:p>
        </w:tc>
        <w:tc>
          <w:tcPr>
            <w:tcW w:w="114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center"/>
              <w:ind w:right="3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74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080" w:type="dxa"/>
            <w:vAlign w:val="bottom"/>
            <w:vMerge w:val="restart"/>
          </w:tcPr>
          <w:p>
            <w:pPr>
              <w:spacing w:after="0"/>
              <w:rPr>
                <w:sz w:val="20"/>
                <w:szCs w:val="20"/>
                <w:color w:val="auto"/>
              </w:rPr>
            </w:pPr>
            <w:r>
              <w:rPr>
                <w:rFonts w:ascii="Arial" w:cs="Arial" w:eastAsia="Arial" w:hAnsi="Arial"/>
                <w:sz w:val="18"/>
                <w:szCs w:val="18"/>
                <w:color w:val="auto"/>
              </w:rPr>
              <w:t>Cost per Qualified Prospect (Medicare</w:t>
            </w: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4"/>
              </w:rPr>
              <w:t>(Successor)</w:t>
            </w: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180"/>
        </w:trPr>
        <w:tc>
          <w:tcPr>
            <w:tcW w:w="3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80" w:type="dxa"/>
            <w:vAlign w:val="bottom"/>
          </w:tcPr>
          <w:p>
            <w:pPr>
              <w:ind w:left="180"/>
              <w:spacing w:after="0"/>
              <w:rPr>
                <w:sz w:val="20"/>
                <w:szCs w:val="20"/>
                <w:color w:val="auto"/>
              </w:rPr>
            </w:pPr>
            <w:r>
              <w:rPr>
                <w:rFonts w:ascii="Arial" w:cs="Arial" w:eastAsia="Arial" w:hAnsi="Arial"/>
                <w:sz w:val="18"/>
                <w:szCs w:val="18"/>
                <w:color w:val="auto"/>
              </w:rPr>
              <w:t>—Internal segment)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4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-652145</wp:posOffset>
            </wp:positionV>
            <wp:extent cx="6929755" cy="654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654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40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160"/>
          </w:cols>
          <w:pgMar w:left="320" w:top="456" w:right="519" w:bottom="1440" w:gutter="0" w:footer="0" w:header="0"/>
          <w:type w:val="continuous"/>
        </w:sectPr>
      </w:pPr>
    </w:p>
    <w:p>
      <w:pPr>
        <w:spacing w:after="0" w:line="1"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Cost per qualified prospect decreased by 34.5% for the three months ended March 31, 2020 compared to the three months ended March 31, 2019. The decrease is primarily attributable to a shift of lead production to rely more on internally generated leads rather than externally generated leads. Costs for new consumer lead sources in 2019 were reduced through a robust test-and-learn approach to marketing efforts throughout 2019 and early 2020.</w:t>
      </w:r>
    </w:p>
    <w:p>
      <w:pPr>
        <w:spacing w:after="0" w:line="150"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Cost per qualified prospect was $63 for the year ended December 31, 2019, $53 for the Successor 2019 Period and $77 for the Predecessor 2019 Period compared to $48 for the year ended December 31, 2018. The increase of 31.3% from 2018 to 2019 was primarily attributable to increased volume of consumer lead sources over the same period. New consumer lead sources initially resulted in increased costs compared to more mature consumer lead sources in early 2019. However, costs associated with new consumer lead sources decreased over the course of 2019 as we optimized new and existing sources through our rapid test-and-learn approach.</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applicant may need to take additional actions, including providing subsequent information before the application is reviewed by the carrier.</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6" w:right="51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80"/>
        <w:spacing w:after="0" w:line="259" w:lineRule="auto"/>
        <w:rPr>
          <w:sz w:val="20"/>
          <w:szCs w:val="20"/>
          <w:color w:val="auto"/>
        </w:rPr>
      </w:pPr>
      <w:r>
        <w:rPr>
          <w:rFonts w:ascii="Arial" w:cs="Arial" w:eastAsia="Arial" w:hAnsi="Arial"/>
          <w:sz w:val="18"/>
          <w:szCs w:val="18"/>
          <w:color w:val="auto"/>
        </w:rPr>
        <w:t>The following table shows the number of Submitted Policies by product for the Medicare segments for the periods presented, split between those submissions that are commissionable (compensated through commissions received from carriers), compared to those that are non-commissionable (compensated via hourly fees and enrollment fees):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3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340" w:type="dxa"/>
            <w:vAlign w:val="bottom"/>
            <w:gridSpan w:val="4"/>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20" w:type="dxa"/>
            <w:vAlign w:val="bottom"/>
            <w:tcBorders>
              <w:top w:val="single" w:sz="8" w:color="auto"/>
            </w:tcBorders>
          </w:tcPr>
          <w:p>
            <w:pPr>
              <w:jc w:val="right"/>
              <w:ind w:right="137"/>
              <w:spacing w:after="0" w:line="118"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5"/>
              <w:spacing w:after="0" w:line="118"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020" w:type="dxa"/>
            <w:vAlign w:val="bottom"/>
            <w:tcBorders>
              <w:right w:val="single" w:sz="8" w:color="auto"/>
            </w:tcBorders>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8"/>
              </w:rPr>
              <w:t>Successor</w:t>
            </w:r>
          </w:p>
        </w:tc>
        <w:tc>
          <w:tcPr>
            <w:tcW w:w="400" w:type="dxa"/>
            <w:vAlign w:val="bottom"/>
          </w:tcPr>
          <w:p>
            <w:pPr>
              <w:spacing w:after="0"/>
              <w:rPr>
                <w:sz w:val="10"/>
                <w:szCs w:val="10"/>
                <w:color w:val="auto"/>
              </w:rPr>
            </w:pPr>
          </w:p>
        </w:tc>
        <w:tc>
          <w:tcPr>
            <w:tcW w:w="11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(Predecessor)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2019 Period</w:t>
            </w:r>
          </w:p>
        </w:tc>
        <w:tc>
          <w:tcPr>
            <w:tcW w:w="4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Period</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356,772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222,599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134,173</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2,671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18,649</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7,444</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11,205</w:t>
            </w:r>
          </w:p>
        </w:tc>
        <w:tc>
          <w:tcPr>
            <w:tcW w:w="880" w:type="dxa"/>
            <w:vAlign w:val="bottom"/>
          </w:tcPr>
          <w:p>
            <w:pPr>
              <w:jc w:val="right"/>
              <w:spacing w:after="0"/>
              <w:rPr>
                <w:sz w:val="20"/>
                <w:szCs w:val="20"/>
                <w:color w:val="auto"/>
              </w:rPr>
            </w:pPr>
            <w:r>
              <w:rPr>
                <w:rFonts w:ascii="Arial" w:cs="Arial" w:eastAsia="Arial" w:hAnsi="Arial"/>
                <w:sz w:val="18"/>
                <w:szCs w:val="18"/>
                <w:color w:val="auto"/>
              </w:rPr>
              <w:t>11,606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21,513</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13,838</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122,477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42,602</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396,934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243,881</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153,053</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22,015</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17,775</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1,812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5,236</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4,185</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1,051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3,512</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Medicare—Non 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30,763</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Medicare Submitted Policies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132,014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43,283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427,697</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268,882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158,815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Total Medicare Submitted Policies increased by 205.3% for the three months ended March 31, 2020 compared to the three months ended March 31, 2019. The increase is attributable to the same factors that contributed to the increase from 2018 to 2019, as described below.</w:t>
      </w:r>
    </w:p>
    <w:p>
      <w:pPr>
        <w:spacing w:after="0" w:line="152"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Total Medicare Submitted Policies was 427,697 for the year ended December 31, 2019, 268,882 for the Successor 2019 Period and 158,815 for the Predecessor 2019 Period compared to 118,376 for the year ended December 31, 2018. The increase of 261.3% from 2018 to 2019 in Total Medicare Submitted Policies was primarily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expansion of our facilities to accommodate additional agents and the hiring of additional agents also contributed to the increase in Submitted Policies in the Medicare—Internal segment. During the 2019 Medicare annual enrollment period, the Medicare—Internal segment had at its peak roughly 1,040 full time equivalent agents, compared to roughly 230 in the comparable period of 2018. For the Medicare—External segment, the increase in total Submitted Policies was due to our ability to recruit and onboard additional external agencies to enroll consumers in Medicare plans using our technology and platform.</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Approved Submissions</w:t>
      </w:r>
    </w:p>
    <w:p>
      <w:pPr>
        <w:spacing w:after="0" w:line="114" w:lineRule="exact"/>
        <w:rPr>
          <w:sz w:val="20"/>
          <w:szCs w:val="20"/>
          <w:color w:val="auto"/>
        </w:rPr>
      </w:pPr>
    </w:p>
    <w:p>
      <w:pPr>
        <w:ind w:left="160" w:right="100"/>
        <w:spacing w:after="0" w:line="297"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59"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The following table shows the number of Approved Submissions relating to commissionable policies for each of the Medicare segments for the periods presented. Only commissionable policies are used to calculate our LTV.</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6"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800" w:type="dxa"/>
            <w:vAlign w:val="bottom"/>
          </w:tcPr>
          <w:p>
            <w:pPr>
              <w:spacing w:after="0"/>
              <w:rPr>
                <w:sz w:val="5"/>
                <w:szCs w:val="5"/>
                <w:color w:val="auto"/>
              </w:rPr>
            </w:pPr>
          </w:p>
        </w:tc>
        <w:tc>
          <w:tcPr>
            <w:tcW w:w="16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5"/>
              </w:rPr>
              <w:t>Ended March 31,</w:t>
            </w: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8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4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vMerge w:val="restart"/>
          </w:tcPr>
          <w:p>
            <w:pPr>
              <w:jc w:val="right"/>
              <w:ind w:right="17"/>
              <w:spacing w:after="0" w:line="147" w:lineRule="exact"/>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5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800" w:type="dxa"/>
            <w:vAlign w:val="bottom"/>
            <w:vMerge w:val="continue"/>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83,608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19,460</w:t>
            </w:r>
          </w:p>
        </w:tc>
        <w:tc>
          <w:tcPr>
            <w:tcW w:w="2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246,513</w:t>
            </w:r>
          </w:p>
        </w:tc>
        <w:tc>
          <w:tcPr>
            <w:tcW w:w="16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159,969</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Medicare Supplement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5,050</w:t>
            </w:r>
          </w:p>
        </w:tc>
        <w:tc>
          <w:tcPr>
            <w:tcW w:w="80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2,174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1,585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14,021</w:t>
            </w:r>
          </w:p>
        </w:tc>
        <w:tc>
          <w:tcPr>
            <w:tcW w:w="800" w:type="dxa"/>
            <w:vAlign w:val="bottom"/>
          </w:tcPr>
          <w:p>
            <w:pPr>
              <w:jc w:val="right"/>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208"/>
        </w:trPr>
        <w:tc>
          <w:tcPr>
            <w:tcW w:w="4800" w:type="dxa"/>
            <w:vAlign w:val="bottom"/>
          </w:tcPr>
          <w:p>
            <w:pPr>
              <w:ind w:left="360"/>
              <w:spacing w:after="0"/>
              <w:rPr>
                <w:sz w:val="20"/>
                <w:szCs w:val="20"/>
                <w:color w:val="auto"/>
              </w:rPr>
            </w:pPr>
            <w:r>
              <w:rPr>
                <w:rFonts w:ascii="Arial" w:cs="Arial" w:eastAsia="Arial" w:hAnsi="Arial"/>
                <w:sz w:val="18"/>
                <w:szCs w:val="18"/>
                <w:color w:val="auto"/>
              </w:rPr>
              <w:t>Medicare—Internal Commissionable Approved</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86,604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22,114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265,584</w:t>
            </w:r>
          </w:p>
        </w:tc>
        <w:tc>
          <w:tcPr>
            <w:tcW w:w="800" w:type="dxa"/>
            <w:vAlign w:val="bottom"/>
          </w:tcPr>
          <w:p>
            <w:pPr>
              <w:jc w:val="right"/>
              <w:spacing w:after="0"/>
              <w:rPr>
                <w:sz w:val="20"/>
                <w:szCs w:val="20"/>
                <w:color w:val="auto"/>
              </w:rPr>
            </w:pPr>
            <w:r>
              <w:rPr>
                <w:rFonts w:ascii="Arial" w:cs="Arial" w:eastAsia="Arial" w:hAnsi="Arial"/>
                <w:sz w:val="18"/>
                <w:szCs w:val="18"/>
                <w:color w:val="auto"/>
              </w:rPr>
              <w:t>170,764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Predecessor</w:t>
            </w:r>
          </w:p>
        </w:tc>
        <w:tc>
          <w:tcPr>
            <w:tcW w:w="98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060" w:type="dxa"/>
            <w:vAlign w:val="bottom"/>
            <w:gridSpan w:val="3"/>
            <w:vMerge w:val="continue"/>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2019 Period</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8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86,544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45,876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tcPr>
          <w:p>
            <w:pPr>
              <w:jc w:val="right"/>
              <w:spacing w:after="0"/>
              <w:rPr>
                <w:sz w:val="20"/>
                <w:szCs w:val="20"/>
                <w:color w:val="auto"/>
              </w:rPr>
            </w:pPr>
            <w:r>
              <w:rPr>
                <w:rFonts w:ascii="Arial" w:cs="Arial" w:eastAsia="Arial" w:hAnsi="Arial"/>
                <w:sz w:val="18"/>
                <w:szCs w:val="18"/>
                <w:color w:val="auto"/>
              </w:rPr>
              <w:t>3,198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94,820</w:t>
            </w:r>
          </w:p>
        </w:tc>
        <w:tc>
          <w:tcPr>
            <w:tcW w:w="2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520"/>
            <w:col w:w="2020"/>
          </w:cols>
          <w:pgMar w:left="320" w:top="456" w:right="559" w:bottom="1440" w:gutter="0" w:footer="0" w:header="0"/>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Medicare—Internal commissionable Approved Submissions increased by 291.6% for the three months ended March 31, 2020 compared to the three months ended March 31, 2019. The growth in Medicare—Internal commissionable Approved Submissions was attributable to the same drivers that increased Medicare—Internal commissionable Approved Submissions for the year ended December 31, 2019, as described below.</w:t>
      </w:r>
    </w:p>
    <w:p>
      <w:pPr>
        <w:spacing w:after="0" w:line="150" w:lineRule="exact"/>
        <w:rPr>
          <w:sz w:val="20"/>
          <w:szCs w:val="20"/>
          <w:color w:val="auto"/>
        </w:rPr>
      </w:pPr>
    </w:p>
    <w:p>
      <w:pPr>
        <w:ind w:left="160" w:right="300"/>
        <w:spacing w:after="0" w:line="293" w:lineRule="auto"/>
        <w:rPr>
          <w:sz w:val="20"/>
          <w:szCs w:val="20"/>
          <w:color w:val="auto"/>
        </w:rPr>
      </w:pPr>
      <w:r>
        <w:rPr>
          <w:rFonts w:ascii="Arial" w:cs="Arial" w:eastAsia="Arial" w:hAnsi="Arial"/>
          <w:sz w:val="16"/>
          <w:szCs w:val="16"/>
          <w:color w:val="auto"/>
        </w:rPr>
        <w:t>Medicare—Internal commissionable Approved Submissions were 265,584 for the year ended December 31, 2019, 170,764 for the Successor 2019 Period and 94,820 for the Predecessor 2019 Period compared to 57,744 for the year ended December 31, 2018. The growth of 359.9% from 2018 to 2019 in Medicare—Internal commissionable Approved Submissions was primarily attributable to the hiring of additional agents (including the expansion of our facilities to accommodate additional agents), the increased efficiency of our agents due to technology improvements and improved multichannel marketing strategies that allowed us to generate a greater number of high quality prospects.</w:t>
      </w:r>
    </w:p>
    <w:p>
      <w:pPr>
        <w:sectPr>
          <w:pgSz w:w="11900" w:h="16838" w:orient="portrait"/>
          <w:cols w:equalWidth="0" w:num="1">
            <w:col w:w="11020"/>
          </w:cols>
          <w:pgMar w:left="320" w:top="456" w:right="559" w:bottom="1440" w:gutter="0" w:footer="0" w:header="0"/>
          <w:type w:val="continuous"/>
        </w:sect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Medicare—External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900" w:type="dxa"/>
            <w:vAlign w:val="bottom"/>
          </w:tcPr>
          <w:p>
            <w:pPr>
              <w:spacing w:after="0"/>
              <w:rPr>
                <w:sz w:val="5"/>
                <w:szCs w:val="5"/>
                <w:color w:val="auto"/>
              </w:rPr>
            </w:pPr>
          </w:p>
        </w:tc>
        <w:tc>
          <w:tcPr>
            <w:tcW w:w="16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10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9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2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0" w:type="dxa"/>
            <w:vAlign w:val="bottom"/>
            <w:gridSpan w:val="2"/>
            <w:vMerge w:val="restart"/>
          </w:tcPr>
          <w:p>
            <w:pPr>
              <w:jc w:val="center"/>
              <w:ind w:right="20"/>
              <w:spacing w:after="0" w:line="147" w:lineRule="exact"/>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5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900" w:type="dxa"/>
            <w:vAlign w:val="bottom"/>
            <w:vMerge w:val="continue"/>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32,287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16,614</w:t>
            </w:r>
          </w:p>
        </w:tc>
        <w:tc>
          <w:tcPr>
            <w:tcW w:w="280" w:type="dxa"/>
            <w:vAlign w:val="bottom"/>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102,193</w:t>
            </w:r>
          </w:p>
        </w:tc>
        <w:tc>
          <w:tcPr>
            <w:tcW w:w="160" w:type="dxa"/>
            <w:vAlign w:val="bottom"/>
          </w:tcPr>
          <w:p>
            <w:pPr>
              <w:spacing w:after="0"/>
              <w:rPr>
                <w:sz w:val="16"/>
                <w:szCs w:val="16"/>
                <w:color w:val="auto"/>
              </w:rPr>
            </w:pPr>
          </w:p>
        </w:tc>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53,852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Medicare Supplement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2,598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10,991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8"/>
        </w:trPr>
        <w:tc>
          <w:tcPr>
            <w:tcW w:w="4900" w:type="dxa"/>
            <w:vAlign w:val="bottom"/>
          </w:tcPr>
          <w:p>
            <w:pPr>
              <w:ind w:left="360"/>
              <w:spacing w:after="0"/>
              <w:rPr>
                <w:sz w:val="20"/>
                <w:szCs w:val="20"/>
                <w:color w:val="auto"/>
              </w:rPr>
            </w:pPr>
            <w:r>
              <w:rPr>
                <w:rFonts w:ascii="Arial" w:cs="Arial" w:eastAsia="Arial" w:hAnsi="Arial"/>
                <w:sz w:val="18"/>
                <w:szCs w:val="18"/>
                <w:color w:val="auto"/>
              </w:rPr>
              <w:t>Medicare—External Commissionable Approved</w:t>
            </w: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34,326</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20,319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120,676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62,673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Predecessor</w:t>
            </w:r>
          </w:p>
        </w:tc>
        <w:tc>
          <w:tcPr>
            <w:tcW w:w="24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800" w:type="dxa"/>
            <w:vAlign w:val="bottom"/>
            <w:gridSpan w:val="2"/>
            <w:vMerge w:val="continue"/>
          </w:tcPr>
          <w:p>
            <w:pPr>
              <w:spacing w:after="0"/>
              <w:rPr>
                <w:sz w:val="12"/>
                <w:szCs w:val="12"/>
                <w:color w:val="auto"/>
              </w:rPr>
            </w:pPr>
          </w:p>
        </w:tc>
        <w:tc>
          <w:tcPr>
            <w:tcW w:w="1140" w:type="dxa"/>
            <w:vAlign w:val="bottom"/>
            <w:gridSpan w:val="2"/>
          </w:tcPr>
          <w:p>
            <w:pPr>
              <w:jc w:val="center"/>
              <w:ind w:left="137"/>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2019 Period</w:t>
            </w:r>
          </w:p>
        </w:tc>
        <w:tc>
          <w:tcPr>
            <w:tcW w:w="2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48,341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45,397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7,065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58,003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540"/>
            <w:col w:w="1940"/>
          </w:cols>
          <w:pgMar w:left="320" w:top="456" w:right="559" w:bottom="1440" w:gutter="0" w:footer="0" w:header="0"/>
          <w:type w:val="continuous"/>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Medicare—External commissionable Approved Submissions increased by 68.9% for the three months ended March 31, 2020 compared to the three months ended March 31, 2019. The growth in Medicare—External commissionable Approved Submissions was attributable to the same drivers that increased Medicare—External commissionable Approved Submissions for the year ended December 31, 2019, as described below.</w:t>
      </w:r>
    </w:p>
    <w:p>
      <w:pPr>
        <w:spacing w:after="0" w:line="150"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Medicare—External commissionable Approved Submissions were 120,676 for the year ended December 31, 2019, 62,673 for the Successor 2019 Period and 58,003 for the Predecessor 2019 Period compared to 57,947 for the year ended December 31, 2018. The growth of 108.3% from 2018 to 2019 in Medicare—External commissionable Approved Submissions was primarily attributable to our ability to recruit and onboard additional external agencies to enroll consumers in Medicare plans.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Approved Submission</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Lifetime value of commissions per commissionable Approved Submission, or LTV per Approved Submission, represents (i) aggregate commissions estimated to be collected over the estimated life of all commissionable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320" w:top="456" w:right="55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LTV per Approved Submission for the Medicare segments for the periods presented:</w:t>
      </w:r>
    </w:p>
    <w:p>
      <w:pPr>
        <w:sectPr>
          <w:pgSz w:w="11900" w:h="16838" w:orient="portrait"/>
          <w:cols w:equalWidth="0" w:num="1">
            <w:col w:w="11060"/>
          </w:cols>
          <w:pgMar w:left="320" w:top="456" w:right="51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0"/>
                <w:szCs w:val="10"/>
                <w:color w:val="auto"/>
              </w:rPr>
            </w:pPr>
          </w:p>
        </w:tc>
        <w:tc>
          <w:tcPr>
            <w:tcW w:w="560" w:type="dxa"/>
            <w:vAlign w:val="bottom"/>
          </w:tcPr>
          <w:p>
            <w:pPr>
              <w:ind w:left="260"/>
              <w:spacing w:after="0" w:line="118"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780" w:type="dxa"/>
            <w:vAlign w:val="bottom"/>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46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2019 Period</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857</w:t>
            </w:r>
          </w:p>
        </w:tc>
        <w:tc>
          <w:tcPr>
            <w:tcW w:w="440" w:type="dxa"/>
            <w:vAlign w:val="bottom"/>
          </w:tcPr>
          <w:p>
            <w:pPr>
              <w:spacing w:after="0"/>
              <w:rPr>
                <w:sz w:val="16"/>
                <w:szCs w:val="16"/>
                <w:color w:val="auto"/>
              </w:rPr>
            </w:pPr>
          </w:p>
        </w:tc>
        <w:tc>
          <w:tcPr>
            <w:tcW w:w="5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860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978</w:t>
            </w:r>
          </w:p>
        </w:tc>
        <w:tc>
          <w:tcPr>
            <w:tcW w:w="440" w:type="dxa"/>
            <w:vAlign w:val="bottom"/>
          </w:tcPr>
          <w:p>
            <w:pPr>
              <w:spacing w:after="0"/>
              <w:rPr>
                <w:sz w:val="16"/>
                <w:szCs w:val="16"/>
                <w:color w:val="auto"/>
              </w:rPr>
            </w:pPr>
          </w:p>
        </w:tc>
        <w:tc>
          <w:tcPr>
            <w:tcW w:w="2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920</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926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191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-796925</wp:posOffset>
            </wp:positionV>
            <wp:extent cx="6929755" cy="798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798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906</w:t>
            </w:r>
          </w:p>
        </w:tc>
        <w:tc>
          <w:tcPr>
            <w:tcW w:w="44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080"/>
          </w:cols>
          <w:pgMar w:left="320" w:top="456" w:right="519" w:bottom="1440" w:gutter="0" w:footer="0" w:header="0"/>
          <w:type w:val="continuous"/>
        </w:sectPr>
      </w:pP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LTV per Approved Submission for Medicare Advantage remained approximately flat for the three months ended March 31, 2020 compared to the three months ended March 31, 2019 as commission rates slightly increased but were offset by a variance in carrier mix and slight changes in policy effectuation and churn during this time period. LTV per Approved Submission for Medicare Supplement remained approximately flat for the three months ended March 31, 2020 compared to the three months ended March 31, 2019 as changes in carrier mix were offset by decreases in the estimates of plan persistency. LTV per Approved Submission for prescription drug plans increased by 12.4% for the three months ended March 31, 2020 compared to the three months ended March 31, 2019 primarily due to improved persistency rates and carrier mix shifts.</w:t>
      </w:r>
    </w:p>
    <w:p>
      <w:pPr>
        <w:spacing w:after="0" w:line="164" w:lineRule="exact"/>
        <w:rPr>
          <w:sz w:val="20"/>
          <w:szCs w:val="20"/>
          <w:color w:val="auto"/>
        </w:rPr>
      </w:pPr>
    </w:p>
    <w:p>
      <w:pPr>
        <w:ind w:left="160" w:right="100"/>
        <w:spacing w:after="0" w:line="285" w:lineRule="auto"/>
        <w:rPr>
          <w:sz w:val="20"/>
          <w:szCs w:val="20"/>
          <w:color w:val="auto"/>
        </w:rPr>
      </w:pPr>
      <w:r>
        <w:rPr>
          <w:rFonts w:ascii="Arial" w:cs="Arial" w:eastAsia="Arial" w:hAnsi="Arial"/>
          <w:sz w:val="16"/>
          <w:szCs w:val="16"/>
          <w:color w:val="auto"/>
        </w:rPr>
        <w:t>LTV per Approved Submission for Medicare Advantage was $978 for the year ended December 31, 2019, $1,024 for the Successor 2019 Period and $906 for the Predecessor 2019 Period compared to $936 for the year ended December 31, 2018. The increase of 4.5% from 2018 to 2019 was primarily due to an increase in CMS-approved commission rates and a more diverse carrier base allowing us to offer more products and plans that could satisfy a diverse range of needs contributing to more long-term customer satisfaction with their policy, partially offset by the effect of our seasonality, given the greater mix of our volumes in 2019 was generated outside of the Medicare annual enrollment period when LTV per Approved Submission is generally lower. LTV per Approved Submission for Medicare Supplement was $957 for the year ended December 31, 2019, $944 for the Successor 2019 Period and $964 for the Predecessor 2019 Period compared to $798 for the year ended December 31, 2018. The increase of 19.9% from 2018 to 2019 was primarily due to improved persistency rates and carrier mix shifts. LTV per Approved Submission for prescription drug plans was $206 for the year ended December 31, 2019, $213 for the Successor 2019 Period and $194 for the Predecessor 2019 Period compared to $190 for the year ended December 31, 2018. The increase of 8.4% from 2018 to 2019 was primarily due to improved persistency rates and carrier mix shifts.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6" w:right="51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IFP and Other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Total Submitted Policies for the IFP and Other segments decreased by 29.5% to 38,002 for the three months ended March 31, 2020 compared to 53,886 for the three months ended March 31, 2019 due to a change in strategy to prioritize agents and marketing and advertising spend in the Medicare segments instead of IFP and Other.</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Total Submitted Policies for the IFP and Other segments was 296,772 for the year ended December 31, 2019, 146,228 for the Successor 2019 Period and 150,544 for the Predecessor 2019 Period compared to 207,695 for the year ended December 31, 2018. The increase of 42.9% from 2018 to 2019 was driven by the growth of our single carrier partnerships.</w:t>
      </w:r>
    </w:p>
    <w:p>
      <w:pPr>
        <w:sectPr>
          <w:pgSz w:w="11900" w:h="16838" w:orient="portrait"/>
          <w:cols w:equalWidth="0" w:num="1">
            <w:col w:w="11080"/>
          </w:cols>
          <w:pgMar w:left="320" w:top="456" w:right="499" w:bottom="1440" w:gutter="0" w:footer="0" w:header="0"/>
        </w:sect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7"/>
              </w:rPr>
              <w:t>Pro Forma GoHealth, Inc.</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tcPr>
          <w:p>
            <w:pPr>
              <w:jc w:val="center"/>
              <w:ind w:right="360"/>
              <w:spacing w:after="0" w:line="118" w:lineRule="exact"/>
              <w:rPr>
                <w:sz w:val="20"/>
                <w:szCs w:val="20"/>
                <w:color w:val="auto"/>
              </w:rPr>
            </w:pPr>
            <w:r>
              <w:rPr>
                <w:rFonts w:ascii="Arial" w:cs="Arial" w:eastAsia="Arial" w:hAnsi="Arial"/>
                <w:sz w:val="13"/>
                <w:szCs w:val="13"/>
                <w:b w:val="1"/>
                <w:bCs w:val="1"/>
                <w:color w:val="auto"/>
              </w:rPr>
              <w:t>Three</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900" w:type="dxa"/>
            <w:vAlign w:val="bottom"/>
            <w:gridSpan w:val="5"/>
            <w:vMerge w:val="restart"/>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vMerge w:val="restart"/>
          </w:tcPr>
          <w:p>
            <w:pPr>
              <w:jc w:val="center"/>
              <w:ind w:left="355"/>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4"/>
            <w:vMerge w:val="restart"/>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gridSpan w:val="3"/>
            <w:vMerge w:val="restart"/>
          </w:tcPr>
          <w:p>
            <w:pPr>
              <w:jc w:val="right"/>
              <w:ind w:right="220"/>
              <w:spacing w:after="0" w:line="147" w:lineRule="exact"/>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3"/>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0"/>
              </w:rPr>
              <w:t>Successor</w:t>
            </w:r>
          </w:p>
        </w:tc>
        <w:tc>
          <w:tcPr>
            <w:tcW w:w="0" w:type="dxa"/>
            <w:vAlign w:val="bottom"/>
          </w:tcPr>
          <w:p>
            <w:pPr>
              <w:spacing w:after="0"/>
              <w:rPr>
                <w:sz w:val="1"/>
                <w:szCs w:val="1"/>
                <w:color w:val="auto"/>
              </w:rPr>
            </w:pPr>
          </w:p>
        </w:tc>
      </w:tr>
      <w:tr>
        <w:trPr>
          <w:trHeight w:val="147"/>
        </w:trPr>
        <w:tc>
          <w:tcPr>
            <w:tcW w:w="3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90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2"/>
              <w:spacing w:after="0" w:line="157"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(Successor)</w:t>
            </w:r>
          </w:p>
        </w:tc>
        <w:tc>
          <w:tcPr>
            <w:tcW w:w="9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8"/>
              </w:rPr>
              <w:t>(Predecessor)</w:t>
            </w:r>
          </w:p>
        </w:tc>
        <w:tc>
          <w:tcPr>
            <w:tcW w:w="120" w:type="dxa"/>
            <w:vAlign w:val="bottom"/>
          </w:tcPr>
          <w:p>
            <w:pPr>
              <w:spacing w:after="0"/>
              <w:rPr>
                <w:sz w:val="15"/>
                <w:szCs w:val="15"/>
                <w:color w:val="auto"/>
              </w:rPr>
            </w:pPr>
          </w:p>
        </w:tc>
        <w:tc>
          <w:tcPr>
            <w:tcW w:w="7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186"/>
        </w:trPr>
        <w:tc>
          <w:tcPr>
            <w:tcW w:w="8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0"/>
              </w:rPr>
              <w:t>Net income</w:t>
            </w:r>
          </w:p>
        </w:tc>
        <w:tc>
          <w:tcPr>
            <w:tcW w:w="2900" w:type="dxa"/>
            <w:vAlign w:val="bottom"/>
            <w:gridSpan w:val="2"/>
          </w:tcPr>
          <w:p>
            <w:pPr>
              <w:ind w:left="40"/>
              <w:spacing w:after="0" w:line="187" w:lineRule="exact"/>
              <w:rPr>
                <w:sz w:val="20"/>
                <w:szCs w:val="20"/>
                <w:color w:val="auto"/>
              </w:rPr>
            </w:pPr>
            <w:r>
              <w:rPr>
                <w:rFonts w:ascii="Arial" w:cs="Arial" w:eastAsia="Arial" w:hAnsi="Arial"/>
                <w:sz w:val="18"/>
                <w:szCs w:val="18"/>
                <w:color w:val="auto"/>
              </w:rPr>
              <w:t>(loss)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1,373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30,465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(937)</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5,002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15,995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6,756</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24,147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98,825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24,147</w:t>
            </w:r>
          </w:p>
        </w:tc>
        <w:tc>
          <w:tcPr>
            <w:tcW w:w="2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32,275</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156,456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29,964</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Change in fair value of contingent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540"/>
              <w:spacing w:after="0"/>
              <w:rPr>
                <w:sz w:val="20"/>
                <w:szCs w:val="20"/>
                <w:color w:val="auto"/>
              </w:rPr>
            </w:pPr>
            <w:r>
              <w:rPr>
                <w:rFonts w:ascii="Arial" w:cs="Arial" w:eastAsia="Arial" w:hAnsi="Arial"/>
                <w:sz w:val="18"/>
                <w:szCs w:val="18"/>
                <w:color w:val="auto"/>
              </w:rPr>
              <w:t>consideration liability</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80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4,400</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Centerbridge Acquisition costs</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80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Severance costs</w:t>
            </w:r>
            <w:r>
              <w:rPr>
                <w:rFonts w:ascii="Arial" w:cs="Arial" w:eastAsia="Arial" w:hAnsi="Arial"/>
                <w:sz w:val="15"/>
                <w:szCs w:val="15"/>
                <w:color w:val="auto"/>
              </w:rPr>
              <w:t>(4)</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374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35,249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169,995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34,920</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-2232660</wp:posOffset>
            </wp:positionV>
            <wp:extent cx="6929755" cy="2139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29755" cy="2139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 (57,063)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bl>
    <w:p>
      <w:pPr>
        <w:ind w:left="1580" w:hanging="1110"/>
        <w:spacing w:after="0"/>
        <w:tabs>
          <w:tab w:leader="none" w:pos="1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224</w:t>
      </w:r>
    </w:p>
    <w:p>
      <w:pPr>
        <w:spacing w:after="0" w:line="49" w:lineRule="exact"/>
        <w:rPr>
          <w:rFonts w:ascii="Arial" w:cs="Arial" w:eastAsia="Arial" w:hAnsi="Arial"/>
          <w:sz w:val="14"/>
          <w:szCs w:val="14"/>
          <w:color w:val="auto"/>
        </w:rPr>
      </w:pPr>
    </w:p>
    <w:p>
      <w:pPr>
        <w:ind w:left="1660" w:hanging="1161"/>
        <w:spacing w:after="0"/>
        <w:tabs>
          <w:tab w:leader="none" w:pos="16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46</w:t>
      </w:r>
    </w:p>
    <w:p>
      <w:pPr>
        <w:spacing w:after="0" w:line="2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4,247</w:t>
      </w:r>
      <w:r>
        <w:rPr>
          <w:rFonts w:ascii="Arial" w:cs="Arial" w:eastAsia="Arial" w:hAnsi="Arial"/>
          <w:sz w:val="14"/>
          <w:szCs w:val="14"/>
          <w:color w:val="auto"/>
        </w:rPr>
        <w:t>6,160</w:t>
      </w:r>
    </w:p>
    <w:p>
      <w:pPr>
        <w:spacing w:after="0" w:line="21" w:lineRule="exact"/>
        <w:rPr>
          <w:sz w:val="20"/>
          <w:szCs w:val="20"/>
          <w:color w:val="auto"/>
        </w:rPr>
      </w:pPr>
    </w:p>
    <w:p>
      <w:pPr>
        <w:jc w:val="both"/>
        <w:ind w:left="180"/>
        <w:spacing w:after="0"/>
        <w:tabs>
          <w:tab w:leader="none" w:pos="1340" w:val="left"/>
        </w:tabs>
        <w:rPr>
          <w:sz w:val="20"/>
          <w:szCs w:val="20"/>
          <w:color w:val="auto"/>
        </w:rPr>
      </w:pPr>
      <w:r>
        <w:rPr>
          <w:rFonts w:ascii="Arial" w:cs="Arial" w:eastAsia="Arial" w:hAnsi="Arial"/>
          <w:sz w:val="18"/>
          <w:szCs w:val="18"/>
          <w:color w:val="auto"/>
        </w:rPr>
        <w:t>(52,742)</w:t>
      </w:r>
      <w:r>
        <w:rPr>
          <w:sz w:val="20"/>
          <w:szCs w:val="20"/>
          <w:color w:val="auto"/>
        </w:rPr>
        <w:tab/>
      </w:r>
      <w:r>
        <w:rPr>
          <w:rFonts w:ascii="Arial" w:cs="Arial" w:eastAsia="Arial" w:hAnsi="Arial"/>
          <w:sz w:val="18"/>
          <w:szCs w:val="18"/>
          <w:color w:val="auto"/>
        </w:rPr>
        <w:t>34,544</w:t>
      </w:r>
    </w:p>
    <w:p>
      <w:pPr>
        <w:spacing w:after="0" w:line="20"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18"/>
          <w:szCs w:val="18"/>
          <w:color w:val="auto"/>
        </w:rPr>
        <w:t>87,060</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p>
    <w:p>
      <w:pPr>
        <w:ind w:left="340"/>
        <w:spacing w:after="0"/>
        <w:tabs>
          <w:tab w:leader="none" w:pos="1560" w:val="left"/>
        </w:tabs>
        <w:rPr>
          <w:sz w:val="20"/>
          <w:szCs w:val="20"/>
          <w:color w:val="auto"/>
        </w:rPr>
      </w:pPr>
      <w:r>
        <w:rPr>
          <w:rFonts w:ascii="Arial" w:cs="Arial" w:eastAsia="Arial" w:hAnsi="Arial"/>
          <w:sz w:val="18"/>
          <w:szCs w:val="18"/>
          <w:color w:val="auto"/>
        </w:rPr>
        <w:t>4,908</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jc w:val="right"/>
        <w:ind w:right="60" w:firstLine="470"/>
        <w:spacing w:after="0" w:line="437" w:lineRule="auto"/>
        <w:tabs>
          <w:tab w:leader="none" w:pos="1578"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319 </w:t>
      </w:r>
      <w:r>
        <w:rPr>
          <w:rFonts w:ascii="Arial" w:cs="Arial" w:eastAsia="Arial" w:hAnsi="Arial"/>
          <w:sz w:val="14"/>
          <w:szCs w:val="14"/>
          <w:u w:val="single" w:color="auto"/>
          <w:color w:val="auto"/>
        </w:rPr>
        <w:t>$  39,973   $   34,863</w:t>
      </w:r>
    </w:p>
    <w:p>
      <w:pPr>
        <w:spacing w:after="0" w:line="96" w:lineRule="exact"/>
        <w:rPr>
          <w:sz w:val="20"/>
          <w:szCs w:val="20"/>
          <w:color w:val="auto"/>
        </w:rPr>
      </w:pPr>
    </w:p>
    <w:p>
      <w:pPr>
        <w:sectPr>
          <w:pgSz w:w="11900" w:h="16838" w:orient="portrait"/>
          <w:cols w:equalWidth="0" w:num="2">
            <w:col w:w="8680" w:space="500"/>
            <w:col w:w="1900"/>
          </w:cols>
          <w:pgMar w:left="320" w:top="456" w:right="499" w:bottom="1440" w:gutter="0" w:footer="0" w:header="0"/>
          <w:type w:val="continuous"/>
        </w:sectPr>
      </w:pPr>
    </w:p>
    <w:p>
      <w:pPr>
        <w:ind w:left="600" w:right="40" w:hanging="433"/>
        <w:spacing w:after="0" w:line="290"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non-cash share-based compensation expense in connection with profits interests and incentive share units, except with respect to the Pro Forma Fiscal Year 2019 and Pro Forma First Quarter 2020 periods, where share-based compensation expense is attributable to stock options and restricted stock units to be granted to our directors and employees in connection with this offering.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6" w:right="49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520" w:hanging="433"/>
        <w:spacing w:after="0" w:line="253"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change in fair value of the earnout liability due to the predecessor owners of the Company arising from the Centerbridge Acquisition, which such liability will be settled in connection with this offering. See footnote (4) to the section titled “Unaudited Pro Forma Condensed Consolidated Financial Information.”</w:t>
      </w:r>
    </w:p>
    <w:p>
      <w:pPr>
        <w:ind w:left="600" w:hanging="433"/>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20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See “Prospectus Summary—Summary Historical and Pro Forma Condensed Consolidated Financial and Other Data” for information regarding our use of EBITDA, Adjusted EBITDA and Adjusted EBITDA margin, each a non-GAAP financial measure.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primarily generate revenues from commissions received from carriers for the multiple types of insurance products and plans sold by us on behalf of carriers. Commission revenues represent the consideration paid to us by carriers in the form of commissions, which primarily are calculated as a percentage of the premium amount collected by the carrier during the period the customer is enrolled in the insurance plan or product. The maximum allowable commission rates carriers are allowed to pay to independent agents and brokers, such as ourselves, for Medicare products are determined on an annual basis by CMS and CMS generally increases the commission rates allowed to be paid each year. The value we bring to carriers in the Medicare space typically enables us to negotiate for the maximum allowable commission rates, and we expect to continue to be able to do so. However, the commission rates that ultimately are paid to us are based on a variety of factors and the commission rates we receive could change. See “Risk Factors— Risks Related to Our Business—Carriers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 We generally continue to receive commission payments from the relevant carrier until the plan or product is canceled. Our contracts with carriers contain a single-performance obligation satisfied by carrier acceptance of a submission, at which point we recognize the full transaction price of the policy sold as revenue in that period.</w:t>
      </w:r>
    </w:p>
    <w:p>
      <w:pPr>
        <w:spacing w:after="0" w:line="18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We also generate revenues from providing marketing, enrollment and other services to third parties, primarily carriers. Typically, we are paid enrollment fees and hourly fees to staff for services performed for specific carriers and other partners, which we recognize as the services are performed under a contractual arrangement. In addition, these agreements generally include performance-based fees based on specified performance criteria, such as volume, efficiency and certain other service-level agreements. We also generate revenue from referring customers to carriers and other third-party partners. Additionally, we provide technology services through our Marketplace technology to carriers.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of Revenue</w:t>
      </w:r>
    </w:p>
    <w:p>
      <w:pPr>
        <w:spacing w:after="0" w:line="114"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Cost of revenue represents payments related to policies sold to customers who were enrolled by partners with whom we have commissions revenue-sharing arrangements. In order to enter into a revenue-sharing arrangement, partners must be licensed to sell health insurance plans in the state where the policy is sold. Costs related to revenue-sharing arrangements are expensed as the related revenue is recognized.</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Marketing and Advertising</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Marketing expense consists primarily of expenses associated with our direct, online advertising, and marketing partner channels, in addition to compensation (including share-based compensation expense) and other expenses related to marketing personnel who manage campaigns and optimize consumer activity. Marketing costs are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6"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69" w:lineRule="auto"/>
        <w:rPr>
          <w:sz w:val="20"/>
          <w:szCs w:val="20"/>
          <w:color w:val="auto"/>
        </w:rPr>
      </w:pPr>
      <w:r>
        <w:rPr>
          <w:rFonts w:ascii="Arial" w:cs="Arial" w:eastAsia="Arial" w:hAnsi="Arial"/>
          <w:sz w:val="17"/>
          <w:szCs w:val="17"/>
          <w:color w:val="auto"/>
        </w:rPr>
        <w:t>expensed as incurred. Our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Advertising expenses consist of costs incurred to acquire consumers through online, television, and direct mail advertisements. We also have arrangements with certain carriers that allow us to increase marketing efforts, including through direct mail, television, and online advertising for various insurance products that are being offered by these carriers. We record the amounts received as a reduction of the marketing costs incurred. Generally, our marketing and advertising expenses increase during annual enrollment period and open enrollment so that we may generate more leads during these high-volume periods.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Customer Care and Enrollment</w:t>
      </w:r>
    </w:p>
    <w:p>
      <w:pPr>
        <w:spacing w:after="0" w:line="114" w:lineRule="exact"/>
        <w:rPr>
          <w:sz w:val="20"/>
          <w:szCs w:val="20"/>
          <w:color w:val="auto"/>
        </w:rPr>
      </w:pPr>
    </w:p>
    <w:p>
      <w:pPr>
        <w:ind w:left="160"/>
        <w:spacing w:after="0" w:line="417" w:lineRule="auto"/>
        <w:rPr>
          <w:sz w:val="20"/>
          <w:szCs w:val="20"/>
          <w:color w:val="auto"/>
        </w:rPr>
      </w:pPr>
      <w:r>
        <w:rPr>
          <w:rFonts w:ascii="Arial" w:cs="Arial" w:eastAsia="Arial" w:hAnsi="Arial"/>
          <w:sz w:val="14"/>
          <w:szCs w:val="14"/>
          <w:color w:val="auto"/>
        </w:rPr>
        <w:t>Customer care and enrollment expense consists primarily of expenses associated with compensation (including share-based compensation expense) and benefits costs for agents and other personnel who assist consumers during the policy application process, along with management and support personnel.</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Technology expense consists primarily of compensation (including share-based compensation expense) and benefits costs for personnel associated with developing and enhancing our technology platform, data analytics and business intelligence, as well as maintaining our online presence and integrations with carrier and federal marketplaces. Technology expense also includes costs for contracted services and supplies, and amortization expense to capitalized software. We plan to increase our investment in this area as we continue to enhance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4"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General and administrative expense consists of compensation (including share-based compensation expense) and benefits costs for staff working with our executive, finance, legal, human resources, facilities and internal operations departments. These expenses also include facilities costs and fees paid for outside professional services, including audit, tax, legal and governmental affairs.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Change in Fair Value of Contingent Consideration Liability</w:t>
      </w:r>
    </w:p>
    <w:p>
      <w:pPr>
        <w:spacing w:after="0" w:line="11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Change in fair value of contingent consideration liability relates to the earnout liability incurred in connection with the Centerbridge Acquisition, in which we agreed to pay additional consideration in additional common and senior preferred units if Adjusted EBITDA (as defined in the agreement entered into in connection with the Centerbridge Acquisition) exceeds certain thresholds for the year ended December 31, 2019 and 2020. See Note 4 of each of the audited consolidated financial statements and interim condensed consolidated financial statements included elsewhere in this prospectus for fair value estimates recorded at March 31, 2020 and December 31, 2019.</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Amortization of intangible assets represents amortization of developed technology and customer relationships over the estimated useful lives of such assets which was reflected in the purchase price allocation attributable to the Centerbridge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Transaction Costs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Transaction costs consist of legal, accounting, consulting and other costs incurred in connection with the Centerbridge Acquisition.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60"/>
          </w:cols>
          <w:pgMar w:left="320" w:top="456"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expense consists primarily of interest expense on our outstanding debt.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Centerbridge Acquisition took place on September 13, 2019. Accordingly, the accompanying consolidated financial statements presented elsewhere in this prospectus for the year ended December 31, 2018 reflect the period prior to the Centerbridge Acquisition. The consolidated financial statements for December 31, 2019 are presented separately for the Predecessor period from January 1, 2019 through September 12, 2019 (the “Predecessor 2019 Period”) and the Successor period from September 13, 2019 through December 31, 2019 (the “Successor 2019 Period”). The financial position and results of the Successor reflect the application of purchase accounting in accordance with ASC 805.</w:t>
      </w:r>
    </w:p>
    <w:p>
      <w:pPr>
        <w:spacing w:after="0" w:line="176"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The financial information presented for the unaudited pro forma condensed consolidated financial information included elsewhere in this prospectus for the year ended December 31, 2019 (the “Pro Forma Fiscal Year 2019”) gives effect to the Centerbridge Acquisition and the Transactions. The unaudited pro forma consolidated statement of operations for the Pro Forma Fiscal Year 2019 presented elsewhere in this prospectus and the pro forma adjustments are not audited and have been derived from our audited consolidated financial statements included elsewhere in this prospectus.</w:t>
      </w:r>
    </w:p>
    <w:p>
      <w:pPr>
        <w:spacing w:after="0" w:line="159"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We believe that the discussion of the results of operations comparing the Predecessor 2019 Period, the Successor 2019 Period and the consolidated financial statements of the Predecessor for the year ended December 31, 2018 is not meaningful on a standalone basis as the Centerbridge Acquisition was accounted for as a business combination in accordance with ASC 805, and the resulting new basis of accounting is reflected in our consolidated financial statements for all periods beginning on or after September 13, 2019, and therefore, the two periods are not comparable. In particular, pro forma adjustments for general and administrative expense, amortization of intangible assets, transaction costs and interest expense significantly impacted the comparability of our results, among other adjustments. We believe that the comparison of the Pro Forma Fiscal Year 2019 to the year ended December 31, 2018 provides a more meaningful discussion of our 2019 and 2018 results of operations for potential investors.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6"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20"/>
              <w:spacing w:after="0" w:line="147" w:lineRule="exact"/>
              <w:rPr>
                <w:sz w:val="20"/>
                <w:szCs w:val="20"/>
                <w:color w:val="auto"/>
              </w:rPr>
            </w:pPr>
            <w:r>
              <w:rPr>
                <w:rFonts w:ascii="Arial" w:cs="Arial" w:eastAsia="Arial" w:hAnsi="Arial"/>
                <w:sz w:val="14"/>
                <w:szCs w:val="14"/>
                <w:b w:val="1"/>
                <w:bCs w:val="1"/>
                <w:color w:val="auto"/>
                <w:w w:val="92"/>
              </w:rPr>
              <w:t>Ended March 31, 2020</w:t>
            </w:r>
          </w:p>
        </w:tc>
        <w:tc>
          <w:tcPr>
            <w:tcW w:w="120" w:type="dxa"/>
            <w:vAlign w:val="bottom"/>
          </w:tcPr>
          <w:p>
            <w:pPr>
              <w:spacing w:after="0"/>
              <w:rPr>
                <w:sz w:val="12"/>
                <w:szCs w:val="12"/>
                <w:color w:val="auto"/>
              </w:rPr>
            </w:pPr>
          </w:p>
        </w:tc>
        <w:tc>
          <w:tcPr>
            <w:tcW w:w="1800" w:type="dxa"/>
            <w:vAlign w:val="bottom"/>
            <w:gridSpan w:val="5"/>
          </w:tcPr>
          <w:p>
            <w:pPr>
              <w:jc w:val="right"/>
              <w:ind w:right="340"/>
              <w:spacing w:after="0" w:line="147" w:lineRule="exact"/>
              <w:rPr>
                <w:sz w:val="20"/>
                <w:szCs w:val="20"/>
                <w:color w:val="auto"/>
              </w:rPr>
            </w:pPr>
            <w:r>
              <w:rPr>
                <w:rFonts w:ascii="Arial" w:cs="Arial" w:eastAsia="Arial" w:hAnsi="Arial"/>
                <w:sz w:val="14"/>
                <w:szCs w:val="14"/>
                <w:b w:val="1"/>
                <w:bCs w:val="1"/>
                <w:color w:val="auto"/>
                <w:w w:val="98"/>
              </w:rPr>
              <w:t>Ended 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60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Dollars</w:t>
            </w:r>
          </w:p>
        </w:tc>
        <w:tc>
          <w:tcPr>
            <w:tcW w:w="6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112,510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51,215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$61,295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17,874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42,134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27,552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14,582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11,411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23,978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13,939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10,039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10,491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6,990</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3,501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23,514</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23,514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64,047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71,315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5,042</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6,729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(5,943)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(5,939)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jc w:val="both"/>
        <w:ind w:left="160" w:right="60"/>
        <w:spacing w:after="0" w:line="287" w:lineRule="auto"/>
        <w:rPr>
          <w:sz w:val="20"/>
          <w:szCs w:val="20"/>
          <w:color w:val="auto"/>
        </w:rPr>
      </w:pPr>
      <w:r>
        <w:rPr>
          <w:rFonts w:ascii="Arial" w:cs="Arial" w:eastAsia="Arial" w:hAnsi="Arial"/>
          <w:sz w:val="16"/>
          <w:szCs w:val="16"/>
          <w:color w:val="auto"/>
        </w:rPr>
        <w:t>Commission revenues were $112.5 million for the three months ended March 31, 2020 compared to $51.2 million for the three months ended March 31, 2019, an increase of 119.7%, which was primarily attributable to increases in commission revenues from (i) the Medicare—Internal segment of</w:t>
      </w:r>
    </w:p>
    <w:p>
      <w:pPr>
        <w:spacing w:after="0" w:line="1" w:lineRule="exact"/>
        <w:rPr>
          <w:sz w:val="20"/>
          <w:szCs w:val="20"/>
          <w:color w:val="auto"/>
        </w:rPr>
      </w:pPr>
    </w:p>
    <w:p>
      <w:pPr>
        <w:ind w:left="160" w:right="140"/>
        <w:spacing w:after="0" w:line="250" w:lineRule="auto"/>
        <w:rPr>
          <w:sz w:val="20"/>
          <w:szCs w:val="20"/>
          <w:color w:val="auto"/>
        </w:rPr>
      </w:pPr>
      <w:r>
        <w:rPr>
          <w:rFonts w:ascii="Arial" w:cs="Arial" w:eastAsia="Arial" w:hAnsi="Arial"/>
          <w:sz w:val="18"/>
          <w:szCs w:val="18"/>
          <w:color w:val="auto"/>
        </w:rPr>
        <w:t>$74.4 million driven by a 291.6% increase in Medicare commissionable Approved Submissions due to the implementation of new marketing strategies to generate a greater number of prospects, an improvement in the efficiency of our agents driven by improvements in our technology, and the hiring of additional agents and (ii) the Medicare—External segment of $8.6 million driven by a 68.9% increase in Medicare commissionable Approved Submissions due to our ability to recruit and onboard additional external agencies to enroll consumers in Medicare plans using our technology and platform.</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Other revenues were $28.5 million for the three months ended March 31, 2020 compared to $17.9 million for the three months ended March 31, 2019, an increase of 59.4%. The increase was primarily attributable to an increase in Medicare—Internal other revenues of $20.0 million due to the expansion of carrier-specific sponsorships and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80"/>
          </w:cols>
          <w:pgMar w:left="320" w:top="45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programs. The increase was partially offset by declines in the IFP and Other segments and the Medicare—External segment other revenues of</w:t>
      </w:r>
    </w:p>
    <w:p>
      <w:pPr>
        <w:spacing w:after="0" w:line="31" w:lineRule="exact"/>
        <w:rPr>
          <w:sz w:val="20"/>
          <w:szCs w:val="20"/>
          <w:color w:val="auto"/>
        </w:rPr>
      </w:pPr>
    </w:p>
    <w:p>
      <w:pPr>
        <w:ind w:left="160"/>
        <w:spacing w:after="0" w:line="256" w:lineRule="auto"/>
        <w:rPr>
          <w:sz w:val="20"/>
          <w:szCs w:val="20"/>
          <w:color w:val="auto"/>
        </w:rPr>
      </w:pPr>
      <w:r>
        <w:rPr>
          <w:rFonts w:ascii="Arial" w:cs="Arial" w:eastAsia="Arial" w:hAnsi="Arial"/>
          <w:sz w:val="18"/>
          <w:szCs w:val="18"/>
          <w:color w:val="auto"/>
        </w:rPr>
        <w:t>$6.6 million in aggregate due to a decrease in consumer lead sales to external third parties as we strategically shifted to generating consumer leads in the internal channel.</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20"/>
        <w:spacing w:after="0" w:line="368" w:lineRule="auto"/>
        <w:rPr>
          <w:sz w:val="20"/>
          <w:szCs w:val="20"/>
          <w:color w:val="auto"/>
        </w:rPr>
      </w:pPr>
      <w:r>
        <w:rPr>
          <w:rFonts w:ascii="Arial" w:cs="Arial" w:eastAsia="Arial" w:hAnsi="Arial"/>
          <w:sz w:val="14"/>
          <w:szCs w:val="14"/>
          <w:color w:val="auto"/>
        </w:rPr>
        <w:t>Cost of revenue was $42.1 million for the three months ended March 31, 2020 compared to $27.5 million for the three months ended March 31, 2019, an increase of 52.9%. The increase was primarily due to a 68.9% increase in commissionable Approved Submissions in the Medicare—External segment, which increased the amount of expense we recognized pursuant to our revenue-sharing agreements with external agencies and other partners.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Marketing and advertising expense was $26.0 million for the three months ended March 31, 2020 compared to $11.4 million for the three months ended March 31, 2019, an increase of 128.5%. The increase was primarily due to an increase in our advertising costs for the Medicare—Internal segment to generate more qualified prospects, which contributed to a 291.6% increase in commissionable Approved Submissions in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Customer care and enrollment expense was $24.0 million for the three months ended March 31, 2020 compared to $13.9 million for the three months ended March 31, 2019, an increase of 72.0%. The increase was primarily attributable to the hiring of additional agents in the Medicare—Internal segment in order to drive the conversion of a greater number of qualified prospects into commissionable Approved Submissions. As of March 31, 2020, we had 781 full time equivalent agents compared to 529 full time equivalent agents as of March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Technology expense was $4.6 million for the three months ended March 31, 2020 compared to $4.2 million for the three months ended March 31, 2019, an increase of 10.5%. The increase was primarily due to the hiring of additional employees in our technology and data science teams, which drove improvements to our LeadScore and call-routing technologies and expansion of our business intelligence and analytics staffing in order to support the growth of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General and administrative expense was $10.5 million for the three months ended March 31, 2020 compared to $7.0 million for the three months ended March 31, 2019, an increase of 50.0%. The increase was primarily due to investments in corporate infrastructure, such as legal, human resources, and finance, to support the growth of the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Amortization of intangible assets expense was $23.5 million for the three months ended March 31, 2020 compared to none for the three months ended March 31, 2019. Amortization expense for the three months ended March 31, 2020 relates to the amortization of definite-lived intangible assets that was reflected in the purchase price allocation at the date of the Centerbridge Acquisition.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56" w:right="5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expense was $6.8 million for the three months ended March 31, 2020 compared to $28 thousand for the three months ended March 31, 2019.</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increase was due to the incurrence of additional debt under the Credit Facilities in connection with the Centerbridge Acquisition.</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Period from Successor 2019 Period and Predecessor 2019 Period Compared to Fiscal Year Ended December 31, 2018 (Predecessor)</w:t>
      </w:r>
    </w:p>
    <w:p>
      <w:pPr>
        <w:spacing w:after="0" w:line="12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results of operations discussion below compares the Successor 2019 Period, the Predecessor 2019 Period and the year ended December 31, 2018. Due to the application of purchasing accounting at September 12, 2019, we believe that the comparison of the Pro Forma Fiscal Year 2019 to the year ended December 31, 2018, presented below, provides the most meaningful supplemental discussion of our 2019 and 2018 results of operations for potential investors. Due to, in part, the seasonality of our business, the results of operations for the Successor 2019 Period compared to the Predecessor 2019 Period are not comparable. See “—Seasonality.”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3"/>
            <w:vMerge w:val="restart"/>
          </w:tcPr>
          <w:p>
            <w:pPr>
              <w:jc w:val="right"/>
              <w:ind w:right="4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60" w:type="dxa"/>
            <w:vAlign w:val="bottom"/>
            <w:gridSpan w:val="5"/>
            <w:vMerge w:val="restart"/>
          </w:tcPr>
          <w:p>
            <w:pPr>
              <w:jc w:val="right"/>
              <w:ind w:right="253"/>
              <w:spacing w:after="0"/>
              <w:rPr>
                <w:sz w:val="20"/>
                <w:szCs w:val="20"/>
                <w:color w:val="auto"/>
              </w:rPr>
            </w:pPr>
            <w:r>
              <w:rPr>
                <w:rFonts w:ascii="Arial" w:cs="Arial" w:eastAsia="Arial" w:hAnsi="Arial"/>
                <w:sz w:val="14"/>
                <w:szCs w:val="14"/>
                <w:b w:val="1"/>
                <w:bCs w:val="1"/>
                <w:color w:val="auto"/>
                <w:w w:val="91"/>
              </w:rPr>
              <w:t>Successor 2019 Period</w:t>
            </w:r>
          </w:p>
        </w:tc>
        <w:tc>
          <w:tcPr>
            <w:tcW w:w="3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Predecessor 2019 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25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60" w:type="dxa"/>
            <w:vAlign w:val="bottom"/>
            <w:tcBorders>
              <w:bottom w:val="single" w:sz="8" w:color="auto"/>
            </w:tcBorders>
            <w:gridSpan w:val="5"/>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2"/>
              </w:rPr>
              <w:t>Dollars</w:t>
            </w:r>
          </w:p>
        </w:tc>
        <w:tc>
          <w:tcPr>
            <w:tcW w:w="900" w:type="dxa"/>
            <w:vAlign w:val="bottom"/>
          </w:tcPr>
          <w:p>
            <w:pPr>
              <w:jc w:val="right"/>
              <w:ind w:right="93"/>
              <w:spacing w:after="0" w:line="118"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70"/>
        </w:trPr>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243,347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380" w:type="dxa"/>
            <w:vAlign w:val="bottom"/>
            <w:tcBorders>
              <w:right w:val="single" w:sz="8" w:color="auto"/>
            </w:tcBorders>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w w:val="92"/>
              </w:rPr>
              <w:t>175,834</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76.1%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144,378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55,176</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308,491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231,010</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226,205</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79,169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79,582</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37,769</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28,129</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49,149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46,076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40,312</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79,219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27,458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2,267</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284,393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287,885</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197,442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8"/>
              </w:rPr>
              <w:t>(56,875)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28,763</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140</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(114)</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(57,129)</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(57,063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Commission revenues were $243.3 million for the Successor 2019 Period and $175.8 million for the Predecessor 2019 Period compared to</w:t>
      </w:r>
    </w:p>
    <w:p>
      <w:pPr>
        <w:spacing w:after="0" w:line="31" w:lineRule="exact"/>
        <w:rPr>
          <w:sz w:val="20"/>
          <w:szCs w:val="20"/>
          <w:color w:val="auto"/>
        </w:rPr>
      </w:pPr>
    </w:p>
    <w:p>
      <w:pPr>
        <w:ind w:left="160" w:right="380"/>
        <w:spacing w:after="0" w:line="256" w:lineRule="auto"/>
        <w:rPr>
          <w:sz w:val="20"/>
          <w:szCs w:val="20"/>
          <w:color w:val="auto"/>
        </w:rPr>
      </w:pPr>
      <w:r>
        <w:rPr>
          <w:rFonts w:ascii="Arial" w:cs="Arial" w:eastAsia="Arial" w:hAnsi="Arial"/>
          <w:sz w:val="18"/>
          <w:szCs w:val="18"/>
          <w:color w:val="auto"/>
        </w:rPr>
        <w:t>$144.4 million for the year ended December 31, 2018 which was primarily attributable to increases in commission revenue from (i) the Medicare— Internal segment driven by a 359.9% increase in</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driven by a 108.3% increase in commissionable Approved Submissions due to our ability to recruit and onboard additional external agencies to enroll consumers in Medicare plans using our technology and platform.</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Other revenues were $65.1 million for the Successor 2019 Period and $55.2 million for the Predecessor 2019 Period compared to $81.8 million for the year ended December 31, 2018. The increase was primarily attributable to an increase in Medicare—Internal other revenues of $62.3 million due to the expansion of carrier-specific sponsorships and programs. The increase was partially offset by declines in the IFP and Other segments and the Medicare —External segment of $23.4 million in aggregate due to a decrease in consumer lead sales to external third parties as we strategically shifted to generating consumer leads in the internal channel.</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Cost of revenue was $90.4 million for the Successor 2019 Period and $79.2 million for the Predecessor 2019 Period compared to $79.6 million for the year ended December 31, 2018. The increase was primarily due to a 108.3% increase in commissionable Approved Submissions in the Medicare— External segment, which increased the amount of expense we recognized pursuant to our revenue-sharing agreements with external agencies and other partners.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Marketing and advertising expense was $24.8 million for the Successor 2019 Period and $37.8 million for the Predecessor 2019 Period compared to $28.1 million for the year ended December 31, 2018. The increase was primarily due to an increase in our advertising costs, particularly in the Predecessor 2019 Period, for the Medicare—Internal segment to generate more qualified prospects, which contributed to a 359.9% increase in Medicare —Internal Approved Submissions from 2019 compared to 2018. Additionally, marketing and advertising expense also increased as compared to 2018 due to share-based compensation expense of $1.6 million in the Predecessor 2019 Period in connection with the accelerated vesting of certain legacy profits interests and legacy incentive share units granted prior to the Centerbridge Acquisition.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Customer care and enrollment expense was $44.4 million for the Successor 2019 Period and $49.1 million for the Predecessor 2019 Period compared to $46.1 million for the year ended December 31, 2018.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Technology expense was $6.0 million for the Successor 2019 Period and $40.3 million for the Predecessor 2019 Period compared to $16.2 million for the year ended December 31, 2018. The increase was primarily due to</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6"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97" w:lineRule="auto"/>
        <w:rPr>
          <w:sz w:val="20"/>
          <w:szCs w:val="20"/>
          <w:color w:val="auto"/>
        </w:rPr>
      </w:pPr>
      <w:r>
        <w:rPr>
          <w:rFonts w:ascii="Arial" w:cs="Arial" w:eastAsia="Arial" w:hAnsi="Arial"/>
          <w:sz w:val="16"/>
          <w:szCs w:val="16"/>
          <w:color w:val="auto"/>
        </w:rPr>
        <w:t>share-based compensation expense of $27.1 million in the Predecessor 2019 Period in connection with the accelerated vesting of certain legacy profits interests and legacy incentive share units granted prior to the Centerbridge Acquisition. Additionally, the increase was also attributable to the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General and administrative expense was $13.7 million for the Successor 2019 Period and $79.2 million for the Predecessor 2019 Period compared to $27.5 million for the year ended December 31, 2018. The increase was primarily due to share-based compensation expense of $58.3 million in the Predecessor 2019 Period in connection with the accelerated vesting of certain legacy profits interests and legacy incentive share units granted prior to the Centerbridge Acquisition. Additionally, the increase was also attributable to investments of $6.1 million in corporate infrastructure, such as legal, human resources, and finance, to support the growth of the business.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jc w:val="both"/>
        <w:ind w:left="160" w:right="300"/>
        <w:spacing w:after="0" w:line="271" w:lineRule="auto"/>
        <w:rPr>
          <w:sz w:val="20"/>
          <w:szCs w:val="20"/>
          <w:color w:val="auto"/>
        </w:rPr>
      </w:pPr>
      <w:r>
        <w:rPr>
          <w:rFonts w:ascii="Arial" w:cs="Arial" w:eastAsia="Arial" w:hAnsi="Arial"/>
          <w:sz w:val="18"/>
          <w:szCs w:val="18"/>
          <w:color w:val="auto"/>
        </w:rPr>
        <w:t>Change in fair value of contingent consideration liability was $70.7 million for the Successor 2019 Period, which we incurred in connection with the Centerbridge Acquisition. We had no earnout liability in the prior periods.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Amortization of intangible assets expense was $28.2 million for the Successor 2019 Period. We had no amortization of intangible assets in the prior periods. Amortization expense for the Successor 2019 Period relates to the amortization of definite-lived intangible assets which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Transaction Costs</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Transaction costs were $6.2 million for the Successor 2019 Period and $2.3 million for the Predecessor 2019 Period compared to none for the year ended December 31, 2018. Transaction costs in 2019 were due to the Centerbridge Acquisition, for which we incurred legal, accounting, consulting and other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Interest expense was $8.1 million for the Successor 2019 Period and $140.0 thousand for the Predecessor 2019 Period compared to $224.0 thousand for the year ended December 31, 2018. The increase from 2018 to 2019 was due to the incurrence of additional debt under the Credit Facilities in connection with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Fiscal Year 2019 Compared to Fiscal Year Ended December 31, 2018 (Predecessor)</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operating results and the related percentage of net revenues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60" w:type="dxa"/>
            <w:vAlign w:val="bottom"/>
            <w:gridSpan w:val="3"/>
            <w:vMerge w:val="restart"/>
          </w:tcPr>
          <w:p>
            <w:pPr>
              <w:jc w:val="center"/>
              <w:ind w:right="151"/>
              <w:spacing w:after="0"/>
              <w:rPr>
                <w:sz w:val="20"/>
                <w:szCs w:val="20"/>
                <w:color w:val="auto"/>
              </w:rPr>
            </w:pPr>
            <w:r>
              <w:rPr>
                <w:rFonts w:ascii="Arial" w:cs="Arial" w:eastAsia="Arial" w:hAnsi="Arial"/>
                <w:sz w:val="14"/>
                <w:szCs w:val="14"/>
                <w:b w:val="1"/>
                <w:bCs w:val="1"/>
                <w:color w:val="auto"/>
                <w:w w:val="93"/>
              </w:rPr>
              <w:t>Pro Forma Fiscal</w:t>
            </w:r>
          </w:p>
        </w:tc>
        <w:tc>
          <w:tcPr>
            <w:tcW w:w="220" w:type="dxa"/>
            <w:vAlign w:val="bottom"/>
          </w:tcPr>
          <w:p>
            <w:pPr>
              <w:spacing w:after="0"/>
              <w:rPr>
                <w:sz w:val="14"/>
                <w:szCs w:val="14"/>
                <w:color w:val="auto"/>
              </w:rPr>
            </w:pPr>
          </w:p>
        </w:tc>
        <w:tc>
          <w:tcPr>
            <w:tcW w:w="156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141"/>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right="151"/>
              <w:spacing w:after="0"/>
              <w:rPr>
                <w:sz w:val="20"/>
                <w:szCs w:val="20"/>
                <w:color w:val="auto"/>
              </w:rPr>
            </w:pPr>
            <w:r>
              <w:rPr>
                <w:rFonts w:ascii="Arial" w:cs="Arial" w:eastAsia="Arial" w:hAnsi="Arial"/>
                <w:sz w:val="14"/>
                <w:szCs w:val="14"/>
                <w:b w:val="1"/>
                <w:bCs w:val="1"/>
                <w:color w:val="auto"/>
                <w:w w:val="92"/>
              </w:rPr>
              <w:t>Year 2019</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right="141"/>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3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Dollars</w:t>
            </w:r>
          </w:p>
        </w:tc>
        <w:tc>
          <w:tcPr>
            <w:tcW w:w="6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24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0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$ 419,181</w:t>
            </w:r>
          </w:p>
        </w:tc>
        <w:tc>
          <w:tcPr>
            <w:tcW w:w="860" w:type="dxa"/>
            <w:vAlign w:val="bottom"/>
            <w:gridSpan w:val="2"/>
          </w:tcPr>
          <w:p>
            <w:pPr>
              <w:jc w:val="center"/>
              <w:ind w:left="191"/>
              <w:spacing w:after="0"/>
              <w:rPr>
                <w:sz w:val="20"/>
                <w:szCs w:val="20"/>
                <w:color w:val="auto"/>
              </w:rPr>
            </w:pPr>
            <w:r>
              <w:rPr>
                <w:rFonts w:ascii="Arial" w:cs="Arial" w:eastAsia="Arial" w:hAnsi="Arial"/>
                <w:sz w:val="18"/>
                <w:szCs w:val="18"/>
                <w:color w:val="auto"/>
                <w:w w:val="90"/>
              </w:rPr>
              <w:t>77.7%</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$ 144,378</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63.8%</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$ 274,803</w:t>
            </w:r>
          </w:p>
        </w:tc>
        <w:tc>
          <w:tcPr>
            <w:tcW w:w="700" w:type="dxa"/>
            <w:vAlign w:val="bottom"/>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120,320</w:t>
            </w:r>
          </w:p>
        </w:tc>
        <w:tc>
          <w:tcPr>
            <w:tcW w:w="86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0"/>
              </w:rPr>
              <w:t>22.3%</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81,827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366"/>
        </w:trPr>
        <w:tc>
          <w:tcPr>
            <w:tcW w:w="3300" w:type="dxa"/>
            <w:vAlign w:val="bottom"/>
          </w:tcPr>
          <w:p>
            <w:pPr>
              <w:spacing w:after="0"/>
              <w:rPr>
                <w:sz w:val="24"/>
                <w:szCs w:val="24"/>
                <w:color w:val="auto"/>
              </w:rPr>
            </w:pPr>
          </w:p>
        </w:tc>
        <w:tc>
          <w:tcPr>
            <w:tcW w:w="2480" w:type="dxa"/>
            <w:vAlign w:val="bottom"/>
          </w:tcPr>
          <w:p>
            <w:pPr>
              <w:jc w:val="right"/>
              <w:ind w:right="91"/>
              <w:spacing w:after="0"/>
              <w:rPr>
                <w:sz w:val="20"/>
                <w:szCs w:val="20"/>
                <w:color w:val="auto"/>
              </w:rPr>
            </w:pPr>
            <w:r>
              <w:rPr>
                <w:rFonts w:ascii="Arial" w:cs="Arial" w:eastAsia="Arial" w:hAnsi="Arial"/>
                <w:sz w:val="18"/>
                <w:szCs w:val="18"/>
                <w:color w:val="auto"/>
              </w:rPr>
              <w:t>122</w:t>
            </w: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4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Pro Forma Fiscal</w:t>
            </w:r>
          </w:p>
        </w:tc>
        <w:tc>
          <w:tcPr>
            <w:tcW w:w="200" w:type="dxa"/>
            <w:vAlign w:val="bottom"/>
          </w:tcPr>
          <w:p>
            <w:pPr>
              <w:spacing w:after="0"/>
              <w:rPr>
                <w:sz w:val="14"/>
                <w:szCs w:val="14"/>
                <w:color w:val="auto"/>
              </w:rPr>
            </w:pPr>
          </w:p>
        </w:tc>
        <w:tc>
          <w:tcPr>
            <w:tcW w:w="1700" w:type="dxa"/>
            <w:vAlign w:val="bottom"/>
            <w:gridSpan w:val="3"/>
          </w:tcPr>
          <w:p>
            <w:pPr>
              <w:jc w:val="center"/>
              <w:ind w:right="133"/>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3"/>
          </w:tcPr>
          <w:p>
            <w:pPr>
              <w:jc w:val="center"/>
              <w:ind w:right="15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Year 2019</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6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 Change</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5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gridSpan w:val="2"/>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539,501</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100.0%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313,296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0"/>
        </w:trPr>
        <w:tc>
          <w:tcPr>
            <w:tcW w:w="55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169,553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79,582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89,971</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Marketing and advertising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61,071</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28,129</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32,942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46,076</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49,989</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Technology</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19,838</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16,197</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3,641</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27,458</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13,731</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94,057</w:t>
            </w: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94,057</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481,773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197,442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284,332</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0"/>
        </w:trPr>
        <w:tc>
          <w:tcPr>
            <w:tcW w:w="55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57,728</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28,763</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28,964</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26,948</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 income (loss)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(379)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282</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(74.41)%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28,160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2,298</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46</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$ 30,465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$ 28,114</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2,350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433"/>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NM indicates that the percentage is not meaningful.</w:t>
      </w:r>
    </w:p>
    <w:p>
      <w:pPr>
        <w:spacing w:after="0" w:line="20" w:lineRule="exact"/>
        <w:rPr>
          <w:sz w:val="20"/>
          <w:szCs w:val="20"/>
          <w:color w:val="auto"/>
        </w:rPr>
      </w:pPr>
    </w:p>
    <w:p>
      <w:pPr>
        <w:ind w:left="600" w:right="280" w:hanging="433"/>
        <w:spacing w:after="0" w:line="318"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a discussion of the Successor 2019 Period and the Predecessor 2019 Period compared to the year ended December 31, 2018, see “—Period from Successor 2019 Period and Predecessor 2019 Period Compared to Fiscal Year Ended December 31, 2018 (Predecessor).”</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right="160"/>
        <w:spacing w:after="0" w:line="268" w:lineRule="auto"/>
        <w:rPr>
          <w:sz w:val="20"/>
          <w:szCs w:val="20"/>
          <w:color w:val="auto"/>
        </w:rPr>
      </w:pPr>
      <w:r>
        <w:rPr>
          <w:rFonts w:ascii="Arial" w:cs="Arial" w:eastAsia="Arial" w:hAnsi="Arial"/>
          <w:sz w:val="17"/>
          <w:szCs w:val="17"/>
          <w:color w:val="auto"/>
        </w:rPr>
        <w:t>Commission revenues were $419.2 million for the Pro Forma Fiscal Year 2019 compared to $144.4 million for the year ended December 31, 2018, an increase of 190.3%, which was primarily attributable to increases in commission revenue from (i) the Medicare—Internal segment of $201.5 million driven by a 359.9% increase in 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of $57.5 million driven by a 108.3% increase in commissionable Approved Submissions in the Medicare—External segment due to our ability to recruit and onboard additional external agencies to enroll consumers in Medicare plans using our technology and platform.</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Other revenues were $120.3 million for the Pro Forma Fiscal Year 2019 compared to $81.8 million for the year ended December 31, 2018, an increase of 47.0%. The increase was primarily attributable to an increase in Medicare—Internal other revenues of $62.3 million due to the expansion of carrier-specific sponsorships and programs. The increase was partially offset by declines in the IFP and Other segments and the Medicare—External segment of $23.4 million in aggregate due to a decrease in consumer lead sales to external third parties as we strategically shifted to generating consumer leads in our internal channels.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20"/>
        <w:spacing w:after="0" w:line="307" w:lineRule="auto"/>
        <w:rPr>
          <w:sz w:val="20"/>
          <w:szCs w:val="20"/>
          <w:color w:val="auto"/>
        </w:rPr>
      </w:pPr>
      <w:r>
        <w:rPr>
          <w:rFonts w:ascii="Arial" w:cs="Arial" w:eastAsia="Arial" w:hAnsi="Arial"/>
          <w:sz w:val="16"/>
          <w:szCs w:val="16"/>
          <w:color w:val="auto"/>
        </w:rPr>
        <w:t>Cost of revenue was $169.6 million for the Pro Forma Fiscal Year 2019 compared to $79.6 million for the year ended December 31, 2018, an increase of 113.1%. The increase was primarily due to a 108.3% increase in commissionable Approved Submissions in the Medicare—External segment, which increased the amount of expense we recognized pursuant to our revenue-sharing agreements with external agencies and other partners.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200"/>
        <w:spacing w:after="0" w:line="307" w:lineRule="auto"/>
        <w:rPr>
          <w:sz w:val="20"/>
          <w:szCs w:val="20"/>
          <w:color w:val="auto"/>
        </w:rPr>
      </w:pPr>
      <w:r>
        <w:rPr>
          <w:rFonts w:ascii="Arial" w:cs="Arial" w:eastAsia="Arial" w:hAnsi="Arial"/>
          <w:sz w:val="16"/>
          <w:szCs w:val="16"/>
          <w:color w:val="auto"/>
        </w:rPr>
        <w:t>Marketing and advertising expense was $61.1 million for the Pro Forma Fiscal Year 2019 compared to $28.1 million for the year ended December 31, 2018, an increase of 117.1%. The increase was primarily due to an increase in our advertising costs for the Medicare—Internal segment to generate more qualified prospects, which contributed to a 359.9% increase in Medicare—Internal Approved Submissions from 2019 compared to 2018.</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Customer care and enrollment expense was $96.1 million for the Pro Forma Fiscal Year 2019 compared to $46.1 million for the year ended</w:t>
      </w:r>
    </w:p>
    <w:p>
      <w:pPr>
        <w:spacing w:after="0" w:line="31" w:lineRule="exact"/>
        <w:rPr>
          <w:sz w:val="20"/>
          <w:szCs w:val="20"/>
          <w:color w:val="auto"/>
        </w:rPr>
      </w:pPr>
    </w:p>
    <w:p>
      <w:pPr>
        <w:jc w:val="both"/>
        <w:ind w:left="160" w:right="100"/>
        <w:spacing w:after="0" w:line="250" w:lineRule="auto"/>
        <w:rPr>
          <w:sz w:val="20"/>
          <w:szCs w:val="20"/>
          <w:color w:val="auto"/>
        </w:rPr>
      </w:pPr>
      <w:r>
        <w:rPr>
          <w:rFonts w:ascii="Arial" w:cs="Arial" w:eastAsia="Arial" w:hAnsi="Arial"/>
          <w:sz w:val="18"/>
          <w:szCs w:val="18"/>
          <w:color w:val="auto"/>
        </w:rPr>
        <w:t>December 31, 2018, an increase of 108.5%.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Technology expense was $19.8 million for the Pro Forma Fiscal Year 2019 compared to $16.2 million for the year ended December 31, 2018, an increase of 22.5%. The increase was primarily due to our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jc w:val="both"/>
        <w:ind w:left="160" w:right="160"/>
        <w:spacing w:after="0" w:line="259" w:lineRule="auto"/>
        <w:rPr>
          <w:sz w:val="20"/>
          <w:szCs w:val="20"/>
          <w:color w:val="auto"/>
        </w:rPr>
      </w:pPr>
      <w:r>
        <w:rPr>
          <w:rFonts w:ascii="Arial" w:cs="Arial" w:eastAsia="Arial" w:hAnsi="Arial"/>
          <w:sz w:val="18"/>
          <w:szCs w:val="18"/>
          <w:color w:val="auto"/>
        </w:rPr>
        <w:t>General and administrative expense was $41.2 million for the Pro Forma Fiscal Year 2019 compared to $27.5 million for the year ended December 31, 2018, an increase of 50.0%. The increase was primarily due to investments in corporate infrastructure, such as legal, human resources, and finance, to support the growth of the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Amortization of intangible assets expense was $94.1 million for the Pro Forma Fiscal Year 2019 compared to none for the year ended December 31, 2018. Amortization expense for Pro Forma Fiscal Year 2019 relates to the amortization of certain definite-lived intangible assets that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240"/>
        <w:spacing w:after="0" w:line="335" w:lineRule="auto"/>
        <w:rPr>
          <w:sz w:val="20"/>
          <w:szCs w:val="20"/>
          <w:color w:val="auto"/>
        </w:rPr>
      </w:pPr>
      <w:r>
        <w:rPr>
          <w:rFonts w:ascii="Arial" w:cs="Arial" w:eastAsia="Arial" w:hAnsi="Arial"/>
          <w:sz w:val="16"/>
          <w:szCs w:val="16"/>
          <w:color w:val="auto"/>
        </w:rPr>
        <w:t>Interest expense was $27.2 million for the Pro Forma Fiscal Year 2019 compared to $0.2 million for the year ended December 31, 2018. The increase from 2018 to 2019 was due to the incurrence of additional debt under the Credit Facilities in connection with the Centerbridge Acquisition.</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6"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Segment Information</w:t>
      </w:r>
    </w:p>
    <w:p>
      <w:pPr>
        <w:spacing w:after="0" w:line="118"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 xml:space="preserve">Our reportable segments have been determined in accordance with Accounting Standards Codification, or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Currently, we have four reportable segments: Medicare—Internal, Medicare—External, IFP and Other—Internal, and IFP and Other—External. In addition, we separately report other expenses (classified as “Corporate“ in the following table), the primary components of which are corporate overhead expenses and shared service expenses that have not been allocated to the reportable segments, as they are not the responsibility of segment operating management.</w:t>
      </w:r>
    </w:p>
    <w:p>
      <w:pPr>
        <w:spacing w:after="0" w:line="159" w:lineRule="exact"/>
        <w:rPr>
          <w:sz w:val="20"/>
          <w:szCs w:val="20"/>
          <w:color w:val="auto"/>
        </w:rPr>
      </w:pPr>
    </w:p>
    <w:p>
      <w:pPr>
        <w:ind w:left="160" w:right="500"/>
        <w:spacing w:after="0" w:line="259" w:lineRule="auto"/>
        <w:rPr>
          <w:sz w:val="20"/>
          <w:szCs w:val="20"/>
          <w:color w:val="auto"/>
        </w:rPr>
      </w:pPr>
      <w:r>
        <w:rPr>
          <w:rFonts w:ascii="Arial" w:cs="Arial" w:eastAsia="Arial" w:hAnsi="Arial"/>
          <w:sz w:val="18"/>
          <w:szCs w:val="18"/>
          <w:color w:val="auto"/>
        </w:rPr>
        <w:t>The segment measurements provided to and evaluated by the chief operating decision maker are described in the notes to the audited consolidated financial statements and the interim condensed consolidated financial statements included elsewhere in this prospectus. These results should be considered in addition to, not as a substitute for, results reported in accordance with GAAP.</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March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right"/>
              <w:ind w:right="520"/>
              <w:spacing w:after="0" w:line="147" w:lineRule="exact"/>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(Successor)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Dollars</w:t>
            </w:r>
          </w:p>
        </w:tc>
        <w:tc>
          <w:tcPr>
            <w:tcW w:w="8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2"/>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95,287</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20,911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$74,376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20,335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8,610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8,632</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14,440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(5,808)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13,403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(5,257)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41,735</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4,864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36,871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(3,702)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(400)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(751)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segment profit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42,406</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10,388</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32,018</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3,319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4,400</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4,400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23,514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6,756</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6,729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2"/>
              <w:spacing w:after="0"/>
              <w:rPr>
                <w:sz w:val="20"/>
                <w:szCs w:val="20"/>
                <w:color w:val="auto"/>
              </w:rPr>
            </w:pPr>
            <w:r>
              <w:rPr>
                <w:rFonts w:ascii="Arial" w:cs="Arial" w:eastAsia="Arial" w:hAnsi="Arial"/>
                <w:sz w:val="16"/>
                <w:szCs w:val="16"/>
                <w:color w:val="auto"/>
                <w:w w:val="74"/>
              </w:rPr>
              <w:t>)</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gridSpan w:val="2"/>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5,004</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4"/>
              </w:rPr>
              <w:t>$ (5,943</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right="300"/>
        <w:spacing w:after="0" w:line="275" w:lineRule="auto"/>
        <w:rPr>
          <w:sz w:val="20"/>
          <w:szCs w:val="20"/>
          <w:color w:val="auto"/>
        </w:rPr>
      </w:pPr>
      <w:r>
        <w:rPr>
          <w:rFonts w:ascii="Arial" w:cs="Arial" w:eastAsia="Arial" w:hAnsi="Arial"/>
          <w:sz w:val="17"/>
          <w:szCs w:val="17"/>
          <w:color w:val="auto"/>
        </w:rPr>
        <w:t>Net revenues for the Medicare—Internal segment were $95.3 million for the three months ended March 31, 2020 compared to $20.9 million for the three months ended March 31, 2019, which was primarily driven by the hiring of additional agents and the increased utilization and efficiency of our agents, which contributed to a 291.6% increase in commissionable Approved Submissions. As of March 31, 2020, we had 781 full time equivalent agents compared to 529 full time equivalent agents as of March 31, 2019. In addition to increasing our agent</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Net revenues for the Medicare—External segment were $28.9 million for the three months ended March 31, 2020 compared to $20.3 million for the three months ended March 31, 2019, which was primarily driven by a 68.9% increase in Medicare commissionable Approved Submissions due to our ability to recruit and onboard additional external agencies to enroll consumers in Medicare plans using our technology and platform.</w:t>
      </w:r>
    </w:p>
    <w:p>
      <w:pPr>
        <w:spacing w:after="0" w:line="178"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Net revenues for the IFP and Other—Internal segment were $8.6 million for the three months ended March 31, 2020 compared to $14.4 million for the three months ended March 31, 2019. Net revenues for the IFP and Other—External segment were $8.1 million for the three months ended March 31, 2020 compared to $13.4 million for the three months ended March 31, 2019. For each of the IFP and Other segments, the decreases were primarily driven by a change in product mix sold within the IFP and Other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i w:val="1"/>
          <w:iCs w:val="1"/>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Segment profit for the Medicare—Internal segment was $41.7 million for the three months ended March 31, 2020 compared to $4.9 million for the three months ended March 31, 2019. The increase was driven by the increase of Medicare commissionable Approved Submissions and an increase in our LTV/CAC ratio to 2.7x for the three months ended March 31, 2020 compared to 1.7x for the three months ended March 31, 2019. The increase of Medicare commissionable Approved Submissions was primarily attributable to (i) improvements in our LeadScore and call-routing technologies allowing our agents to successfully convert more consumer leads into customers and (ii) an expansion of the diversity and breadth of our omni-channel marketing efforts, which enabled the acquisition of higher quality prospects. The increase in LTV/CAC was primarily attributable to improved marketing efficiencies driven by our rapid test-and-learn approach across our marketing channels.</w:t>
      </w:r>
    </w:p>
    <w:p>
      <w:pPr>
        <w:spacing w:after="0" w:line="17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Segment loss for the Medicare—External segment was $0.3 million for the three months ended March 31, 2020 compared to segment profit of $3.4 million for the three months ended March 31, 2019. The decrease was primarily driven by a 68.9% increase in commissionable Approved Submissions in the Medicare—External segment, which increased the amount of expense we recognized pursuant to our revenue-sharing agreements with external agencies and other partners.</w:t>
      </w:r>
    </w:p>
    <w:p>
      <w:pPr>
        <w:spacing w:after="0" w:line="190"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Segment profit for the IFP and Other—Internal segment was $0.5 million for the three months ended March 31, 2020 compared to $0.8 million for the three months ended March 31, 2019. The decrease was primarily driven by a change in product mix sold by agents for IFP and Other plans.</w:t>
      </w:r>
    </w:p>
    <w:p>
      <w:pPr>
        <w:spacing w:after="0" w:line="12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Segment profit for the IFP and Other—External segment was $0.5 million for the three months ended March 31, 2020 compared to $1.3 million for the three months ended March 31, 2019. The decrease was driven by a change in product mix sold by external agencies.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6"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Unaudited Pro Forma Fiscal Year 2019 Compared to Fiscal Year Ended December 31, 2018 (Predecessor)</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86"/>
              </w:rPr>
              <w:t>Successor 2019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center"/>
              <w:ind w:left="254"/>
              <w:spacing w:after="0"/>
              <w:rPr>
                <w:sz w:val="20"/>
                <w:szCs w:val="20"/>
                <w:color w:val="auto"/>
              </w:rPr>
            </w:pPr>
            <w:r>
              <w:rPr>
                <w:rFonts w:ascii="Arial" w:cs="Arial" w:eastAsia="Arial" w:hAnsi="Arial"/>
                <w:sz w:val="14"/>
                <w:szCs w:val="14"/>
                <w:b w:val="1"/>
                <w:bCs w:val="1"/>
                <w:color w:val="auto"/>
                <w:w w:val="91"/>
              </w:rPr>
              <w:t>Period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6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64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0"/>
        </w:trPr>
        <w:tc>
          <w:tcPr>
            <w:tcW w:w="4140" w:type="dxa"/>
            <w:vAlign w:val="bottom"/>
          </w:tcPr>
          <w:p>
            <w:pPr>
              <w:spacing w:after="0" w:line="180"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215,322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59,152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308,491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126,210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 segment profit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139,027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w w:val="98"/>
              </w:rPr>
              <w:t>Change in fair value of contingent consideration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5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-3396615</wp:posOffset>
            </wp:positionV>
            <wp:extent cx="6929755" cy="34055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340550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vMerge w:val="restart"/>
          </w:tcPr>
          <w:p>
            <w:pPr>
              <w:jc w:val="right"/>
              <w:ind w:right="294"/>
              <w:spacing w:after="0"/>
              <w:rPr>
                <w:sz w:val="20"/>
                <w:szCs w:val="20"/>
                <w:color w:val="auto"/>
              </w:rPr>
            </w:pPr>
            <w:r>
              <w:rPr>
                <w:rFonts w:ascii="Arial" w:cs="Arial" w:eastAsia="Arial" w:hAnsi="Arial"/>
                <w:sz w:val="14"/>
                <w:szCs w:val="14"/>
                <w:b w:val="1"/>
                <w:bCs w:val="1"/>
                <w:color w:val="auto"/>
                <w:w w:val="99"/>
              </w:rPr>
              <w:t>Predecessor 2019</w:t>
            </w:r>
          </w:p>
        </w:tc>
        <w:tc>
          <w:tcPr>
            <w:tcW w:w="80" w:type="dxa"/>
            <w:vAlign w:val="bottom"/>
          </w:tcPr>
          <w:p>
            <w:pPr>
              <w:spacing w:after="0"/>
              <w:rPr>
                <w:sz w:val="14"/>
                <w:szCs w:val="14"/>
                <w:color w:val="auto"/>
              </w:rPr>
            </w:pPr>
          </w:p>
        </w:tc>
        <w:tc>
          <w:tcPr>
            <w:tcW w:w="158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Pro Forma Fiscal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254"/>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Period</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Year 2019</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54"/>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6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Dollars</w:t>
            </w:r>
          </w:p>
        </w:tc>
        <w:tc>
          <w:tcPr>
            <w:tcW w:w="200" w:type="dxa"/>
            <w:vAlign w:val="bottom"/>
            <w:gridSpan w:val="2"/>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68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8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394"/>
        </w:trPr>
        <w:tc>
          <w:tcPr>
            <w:tcW w:w="680" w:type="dxa"/>
            <w:vAlign w:val="bottom"/>
          </w:tcPr>
          <w:p>
            <w:pPr>
              <w:jc w:val="right"/>
              <w:spacing w:after="0"/>
              <w:rPr>
                <w:sz w:val="20"/>
                <w:szCs w:val="20"/>
                <w:color w:val="auto"/>
              </w:rPr>
            </w:pPr>
            <w:r>
              <w:rPr>
                <w:rFonts w:ascii="Arial" w:cs="Arial" w:eastAsia="Arial" w:hAnsi="Arial"/>
                <w:sz w:val="18"/>
                <w:szCs w:val="18"/>
                <w:color w:val="auto"/>
                <w:w w:val="87"/>
              </w:rPr>
              <w:t>$102,196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w w:val="98"/>
              </w:rPr>
              <w:t>$317,518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53,365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55,981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115,133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58,834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37,909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58,759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34,924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48,091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50,997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539,501</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226,205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40,024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161,309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24,183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4,893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15,106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2,816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680" w:type="dxa"/>
            <w:vAlign w:val="bottom"/>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2,139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181,370</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45,773</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7"/>
        </w:trPr>
        <w:tc>
          <w:tcPr>
            <w:tcW w:w="680" w:type="dxa"/>
            <w:vAlign w:val="bottom"/>
          </w:tcPr>
          <w:p>
            <w:pPr>
              <w:jc w:val="right"/>
              <w:spacing w:after="0"/>
              <w:rPr>
                <w:sz w:val="20"/>
                <w:szCs w:val="20"/>
                <w:color w:val="auto"/>
              </w:rPr>
            </w:pPr>
            <w:r>
              <w:rPr>
                <w:rFonts w:ascii="Arial" w:cs="Arial" w:eastAsia="Arial" w:hAnsi="Arial"/>
                <w:sz w:val="18"/>
                <w:szCs w:val="18"/>
                <w:color w:val="auto"/>
              </w:rPr>
              <w:t>103,469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29,587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5"/>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94,057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8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27,172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01"/>
              <w:spacing w:after="0"/>
              <w:rPr>
                <w:sz w:val="20"/>
                <w:szCs w:val="20"/>
                <w:color w:val="auto"/>
              </w:rPr>
            </w:pPr>
            <w:r>
              <w:rPr>
                <w:rFonts w:ascii="Arial" w:cs="Arial" w:eastAsia="Arial" w:hAnsi="Arial"/>
                <w:sz w:val="18"/>
                <w:szCs w:val="18"/>
                <w:color w:val="auto"/>
              </w:rPr>
              <w:t>(114)</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2"/>
              <w:spacing w:after="0"/>
              <w:rPr>
                <w:sz w:val="20"/>
                <w:szCs w:val="20"/>
                <w:color w:val="auto"/>
              </w:rPr>
            </w:pPr>
            <w:r>
              <w:rPr>
                <w:rFonts w:ascii="Arial" w:cs="Arial" w:eastAsia="Arial" w:hAnsi="Arial"/>
                <w:sz w:val="18"/>
                <w:szCs w:val="18"/>
                <w:color w:val="auto"/>
              </w:rPr>
              <w:t>(97)</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(57,129</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(30,459</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0" w:lineRule="exact"/>
        <w:rPr>
          <w:sz w:val="20"/>
          <w:szCs w:val="20"/>
          <w:color w:val="auto"/>
        </w:rPr>
      </w:pPr>
    </w:p>
    <w:p>
      <w:pPr>
        <w:sectPr>
          <w:pgSz w:w="11900" w:h="16838" w:orient="portrait"/>
          <w:cols w:equalWidth="0" w:num="2">
            <w:col w:w="5780" w:space="400"/>
            <w:col w:w="4900"/>
          </w:cols>
          <w:pgMar w:left="320" w:top="456" w:right="499" w:bottom="1440" w:gutter="0" w:footer="0" w:header="0"/>
          <w:type w:val="continuous"/>
        </w:sectPr>
      </w:pPr>
    </w:p>
    <w:p>
      <w:pPr>
        <w:ind w:left="160" w:right="40"/>
        <w:spacing w:after="0" w:line="250" w:lineRule="auto"/>
        <w:rPr>
          <w:sz w:val="20"/>
          <w:szCs w:val="20"/>
          <w:color w:val="auto"/>
        </w:rPr>
      </w:pPr>
      <w:r>
        <w:rPr>
          <w:rFonts w:ascii="Arial" w:cs="Arial" w:eastAsia="Arial" w:hAnsi="Arial"/>
          <w:sz w:val="18"/>
          <w:szCs w:val="18"/>
          <w:color w:val="auto"/>
        </w:rPr>
        <w:t>Net revenues for the Medicare—Internal segment were $317.5 million for Pro Forma Fiscal Year 2019 compared to $53.4 million for the year ended December 31, 2018, which was primarily driven by the hiring of additional agents and the increased utilization and efficiency of our agents, which contributed to a 359.9% increase in commissionable Approved Submissions. In 2019, at our peak, we had approximately 1,700 full time equivalent agents during the Medicare annual enrollment period, compared to approximately 1,200 full time equivalent agents at our peak in 2018 during the Medicare annual enrollment period. In addition to increasing our agent 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Revenues for the Medicare—External segment</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6" w:right="49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were $115.1 million for the Pro Forma Fiscal Year 2019 compared to $58.8 million for the year ended December 31, 2018, which was primarily driven by a 108.3% increase in commissionable Approved Submissions in the Medicare—External segment due to our ability to recruit and onboard additional external agencies to enroll consumers in Medicare plans using our technology and platform.</w:t>
      </w:r>
    </w:p>
    <w:p>
      <w:pPr>
        <w:spacing w:after="0" w:line="186"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Net revenues for the IFP and Other—Internal segment were $58.8 million for Pro Forma Fiscal Year 2019 compared to $63.0 million for the year ended December 31, 2018. Net revenues for the IFP and Other—External segment were $48.1 million for Pro Forma Fiscal Year 2019 compared to</w:t>
      </w:r>
    </w:p>
    <w:p>
      <w:pPr>
        <w:spacing w:after="0" w:line="1" w:lineRule="exact"/>
        <w:rPr>
          <w:sz w:val="20"/>
          <w:szCs w:val="20"/>
          <w:color w:val="auto"/>
        </w:rPr>
      </w:pPr>
    </w:p>
    <w:p>
      <w:pPr>
        <w:ind w:left="160" w:right="480"/>
        <w:spacing w:after="0" w:line="256" w:lineRule="auto"/>
        <w:rPr>
          <w:sz w:val="20"/>
          <w:szCs w:val="20"/>
          <w:color w:val="auto"/>
        </w:rPr>
      </w:pPr>
      <w:r>
        <w:rPr>
          <w:rFonts w:ascii="Arial" w:cs="Arial" w:eastAsia="Arial" w:hAnsi="Arial"/>
          <w:sz w:val="18"/>
          <w:szCs w:val="18"/>
          <w:color w:val="auto"/>
        </w:rPr>
        <w:t>$51.0 million for the year ended December 31, 2018. For each of the IFP and Other segments, the decreases were primarily driven by a change in product mix sold within the IFP and Other segments.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Segment profit for the Medicare—Internal segment was $161.3 million for Pro Forma Fiscal Year 2019 compared to $24.2 million for the year ended December 31, 2018. The increase was driven by the increase of Medicare commissionable Approved Submissions and an increase in our LTV/CAC ratio to 3.9x for the year ended December 31, 2019 compared to 2.7x for the year ended December 31, 2018. The increase in LTV/CAC was primarily attributable to a decrease in CAC due to (i) improvements in our LeadScore and call-routing technologies allowing our agents to successfully convert more qualified prospects into Submitted Policies and (ii) improved marketing efficiencies driven by our rapid test-and-learn approach across our marketing channels, as well as an expansion of the diversity and breadth of our omni-channel marketing efforts, which together enabled the acquisition of higher quality prospects at a lower effective cost per submission.</w:t>
      </w:r>
    </w:p>
    <w:p>
      <w:pPr>
        <w:spacing w:after="0" w:line="17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Segment profit for the Medicare—External segment was $15.1 million for Pro Forma Fiscal Year 2019 compared to $9.0 million for the year ended December 31, 2018. The increase was primarily driven by the increase in commissionable Approved Submissions.</w:t>
      </w:r>
    </w:p>
    <w:p>
      <w:pPr>
        <w:spacing w:after="0" w:line="175"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Segment profit for the IFP and Other—Internal segment was $2.8 million for Pro Forma Fiscal Year 2019 compared to $9.7 million for the year ended December 31, 2018. The decrease was primarily driven by a change in product mix sold for IFP and Other plans, combined with higher marketing and advertising costs to acquire customers in 2019.</w:t>
      </w:r>
    </w:p>
    <w:p>
      <w:pPr>
        <w:spacing w:after="0" w:line="186"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Segment profit for the IFP and Other—External segment was $2.1 million for Pro Forma Fiscal Year 2019 compared to $2.8 million for the year ended December 31, 2018. The decrease was driven by a change in product mix sold by external agencies.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liquidity needs primarily include working capital and debt service requirements. As of March 31, 2020 and December 31, 2019, cash and cash equivalents totaled $152.4 million and $12.3 million, respectively. We believe that our current sources of liquidity, which include cash and funds available under the Credit Facilities, along with the proceeds of this offering, will be sufficient to meet our projected operating and debt service requirements for at least the next 12 months. Short-term liquidity needs will primarily be funded through the Revolving Credit Facility portion of the Credit Facilities. As of March 31, 2020, our capacity under the Revolving Credit Facility was $30.0 million, with $30.0 million available for additional borrowings. Additionally, on May 7, 2020, we entered into an amendment to the Credit Agreement, which provides $20.0 million of additional revolving commitment under the Credit Facilities.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6" w:right="5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a summary of cash flows for the periods presented: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2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4"/>
                <w:szCs w:val="14"/>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0"/>
              </w:rPr>
              <w:t>Successor</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2019 Period</w:t>
            </w:r>
          </w:p>
        </w:tc>
        <w:tc>
          <w:tcPr>
            <w:tcW w:w="2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2018 Period</w:t>
            </w:r>
          </w:p>
        </w:tc>
        <w:tc>
          <w:tcPr>
            <w:tcW w:w="180" w:type="dxa"/>
            <w:vAlign w:val="bottom"/>
          </w:tcPr>
          <w:p>
            <w:pPr>
              <w:spacing w:after="0"/>
              <w:rPr>
                <w:sz w:val="14"/>
                <w:szCs w:val="14"/>
                <w:color w:val="auto"/>
              </w:rPr>
            </w:pPr>
          </w:p>
        </w:tc>
        <w:tc>
          <w:tcPr>
            <w:tcW w:w="6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700" w:type="dxa"/>
            <w:vAlign w:val="bottom"/>
            <w:tcBorders>
              <w:top w:val="single" w:sz="8" w:color="auto"/>
            </w:tcBorders>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7"/>
              <w:spacing w:after="0" w:line="118" w:lineRule="exact"/>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auto"/>
                <w:w w:val="82"/>
              </w:rPr>
              <w:t>(Successor)</w:t>
            </w:r>
          </w:p>
        </w:tc>
        <w:tc>
          <w:tcPr>
            <w:tcW w:w="13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(Predecessor)</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$ 23,587</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(9,284)</w:t>
            </w: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9,281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tcPr>
          <w:p>
            <w:pPr>
              <w:jc w:val="right"/>
              <w:ind w:right="409"/>
              <w:spacing w:after="0"/>
              <w:rPr>
                <w:sz w:val="20"/>
                <w:szCs w:val="20"/>
                <w:color w:val="auto"/>
              </w:rPr>
            </w:pPr>
            <w:r>
              <w:rPr>
                <w:rFonts w:ascii="Arial" w:cs="Arial" w:eastAsia="Arial" w:hAnsi="Arial"/>
                <w:sz w:val="18"/>
                <w:szCs w:val="18"/>
                <w:color w:val="auto"/>
              </w:rPr>
              <w:t>(3,522)</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(810,010)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120,167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830,879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1"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Cash provided by operating activities primarily consists of net income (loss) adjusted for certain non-cash items including share-based compensation; depreciation and amortization; amortization of intangible assets and internally developed software and the effect of changes in working capital and other activities.</w:t>
      </w:r>
    </w:p>
    <w:p>
      <w:pPr>
        <w:spacing w:after="0" w:line="18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Collection of commissions receivable depends upon the timing of the receipt of commission payments and associated commission statements from carriers. If there were to be a delay in receiving a commission payment from a carrier within a quarter, the operating cash flows for that quarter could be adversely impacted.</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90"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Net cash provided by operating activities was $23.6 million for the three months ended March 31, 2020, which consisted of $937 thousand in net loss and adjustments for non-cash items of $29.1 million, offset by the effect of changes in operating assets and liabilities representing a $4.6 million use of cash. The change in operating assets and liabilities was primarily driven by a decrease in accounts receivable of $18.4 million partially offset by an increase in commissions receivable of $5.9 million and decreases in accrued liabilities and commissions payable of $10.8 million and $5.4 million, respectively.</w:t>
      </w:r>
    </w:p>
    <w:p>
      <w:pPr>
        <w:spacing w:after="0" w:line="193"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Net cash provided by operating activities was $1.2 million for the three months ended March 31, 2019, which consisted of $5.0 million in net income and adjustments for non-cash items of $2.2 million, offset by the effect of changes in operating assets and liabilities representing a $6.0 million use of cash. The change in operating assets and liabilities was primarily driven by increases in commissions receivable and commissions payable of $4.7 million and $1.1 million, respectively, and a decrease in accrued liabilities of $2.1 million.</w:t>
      </w:r>
    </w:p>
    <w:p>
      <w:pPr>
        <w:spacing w:after="0" w:line="174"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Net cash used in operating activities was $9.3 million for the Successor 2019 Period, which consisted of $16.0 million in net income and adjustments for non-cash items of $100.8 million, offset by the effect of changes in operating assets and liabilities representing a $126.1 million use of cash. The change in operating assets and liabilities was primarily driven by an increase in commissions receivable of $204.0 million partially offset by an increase in commissions payables of $80.8 million, which were each driven by an increase in Medicare commissionable Approved Submissions.</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Net cash provided by operating activities was $9.3 million for the Predecessor 2019 Period and primarily consisted of $57.1 million in net loss and adjustments for non-cash items of $91.5 million, offset by the effect of</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changes in operating assets and liabilities representing a $25.1 million use of cash. The change in operating assets and liabilities was primarily driven by commissions receivable of $63.4 million, offset by increases in commissions payables of $19.2 million, which were each driven by increases in Medicare commissionable Approved Submissions.</w:t>
      </w:r>
    </w:p>
    <w:p>
      <w:pPr>
        <w:spacing w:after="0" w:line="186"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Net cash provided by operating activities was $5.4 million for the year ended December 31, 2018, which consisted of $28.1 million of net income and adjustments for non-cash items of $7.0 million, offset by the effect of changes in operating assets and liabilities representing a $29.6 million. The change in operating assets and liabilities was primarily driven by increases in commissions receivable of $65.4 million partially offset by increases in commissions payable of $30.9 million.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 primarily consist of the Centerbridge Acquisition and purchases of property, equipment and software.</w:t>
      </w:r>
    </w:p>
    <w:p>
      <w:pPr>
        <w:spacing w:after="0" w:line="221"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Net cash used in investing activities of $3.5 million for the three months ended March 31, 2020 was primarily attributable to both capitalized internal-use software related to new technology, software, and systems and purchases of property and equipment.</w:t>
      </w:r>
    </w:p>
    <w:p>
      <w:pPr>
        <w:spacing w:after="0" w:line="175"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Net cash used in investing activities of $1.9 million for the three months ended March 31, 2019 was primarily attributable to capitalized internal-use software related to new technology, software, and systems.</w:t>
      </w:r>
    </w:p>
    <w:p>
      <w:pPr>
        <w:spacing w:after="0" w:line="17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Net cash used in investing activities of $810.0 million for the Successor 2019 Period was primarily attributable to the Centerbridge Acquisition, which comprised $807.6 million of net cash used in investing activities.</w:t>
      </w:r>
    </w:p>
    <w:p>
      <w:pPr>
        <w:spacing w:after="0" w:line="17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Net cash used in investing activities of $5.6 million for the Predecessor 2019 Period was primarily attributable to capitalized internal-use software related to new technology, software, and systems.</w:t>
      </w:r>
    </w:p>
    <w:p>
      <w:pPr>
        <w:spacing w:after="0" w:line="175"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Net cash used in investing activities of $6.2 million in 2018 was primarily attributable to capitalized internal-use software related to new technology, software, and systems.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 primarily consist of borrowings under the Term Loan Facility and the issuance of preferred and common units.</w:t>
      </w:r>
    </w:p>
    <w:p>
      <w:pPr>
        <w:spacing w:after="0" w:line="221"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Net cash provided by financing activities of $120.2 million for the three months ended March 31, 2020 was due to borrowings under the Incremental Term Loan Facility, which comprised $117.0 million of net cash provided by financing activities and the issuance of common units, which comprised $10.0 million of net cash provided by financing activities, and was partially offset by payments of existing debt and debt issuance costs associated with the Incremental Term Loan Facility.</w:t>
      </w:r>
    </w:p>
    <w:p>
      <w:pPr>
        <w:spacing w:after="0" w:line="190"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Net cash provided by financing activities of $1.1 million for the three months ended March 31, 2019 was due to net borrowings under our predecessor revolving credit facility of $1.2 million, partially offset by capital lease obligations payments of $16.0 thousand associated with computer equipment and furniture acquired under capital leases.</w:t>
      </w:r>
    </w:p>
    <w:p>
      <w:pPr>
        <w:spacing w:after="0" w:line="186"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Net cash provided by financing activities of $830.9 million for the Successor 2019 Period was primarily attributable to the issuance of preferred units in connection with the Centerbridge Acquisition, which comprised $541.3 million of net cash provided by financing activities and borrowings under the Term Loan Facility, which compromised $300.0 million of net cash provided by financing activities, and was partially offset by payments of existing debt, capital lease obligations and debt issuance costs.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6"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59" w:lineRule="auto"/>
        <w:rPr>
          <w:sz w:val="20"/>
          <w:szCs w:val="20"/>
          <w:color w:val="auto"/>
        </w:rPr>
      </w:pPr>
      <w:r>
        <w:rPr>
          <w:rFonts w:ascii="Arial" w:cs="Arial" w:eastAsia="Arial" w:hAnsi="Arial"/>
          <w:sz w:val="18"/>
          <w:szCs w:val="18"/>
          <w:color w:val="auto"/>
        </w:rPr>
        <w:t>Net cash used in financing activities of $3.4 million for the Predecessor 2019 Period was due to borrowings under our predecessor revolving credit facility of $56.5 million, which was offset by the repayment of such borrowings (and related expenses in relation thereto) in the amount of $59.9 million, as well as payments of our capital lease obligations.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cash provided by financing activities of $63.0 thousand in 2018 was due to borrowings under our predecessor revolving credit facility of</w:t>
      </w:r>
    </w:p>
    <w:p>
      <w:pPr>
        <w:spacing w:after="0" w:line="31" w:lineRule="exact"/>
        <w:rPr>
          <w:sz w:val="20"/>
          <w:szCs w:val="20"/>
          <w:color w:val="auto"/>
        </w:rPr>
      </w:pPr>
    </w:p>
    <w:p>
      <w:pPr>
        <w:jc w:val="both"/>
        <w:ind w:left="160" w:right="300"/>
        <w:spacing w:after="0" w:line="256" w:lineRule="auto"/>
        <w:rPr>
          <w:sz w:val="20"/>
          <w:szCs w:val="20"/>
          <w:color w:val="auto"/>
        </w:rPr>
      </w:pPr>
      <w:r>
        <w:rPr>
          <w:rFonts w:ascii="Arial" w:cs="Arial" w:eastAsia="Arial" w:hAnsi="Arial"/>
          <w:sz w:val="18"/>
          <w:szCs w:val="18"/>
          <w:color w:val="auto"/>
        </w:rPr>
        <w:t>$82.6 million, which was offset by the repayment of such borrowings in the amount of $82.3 million, as well as principal payments under our capital lease obligations and member distributions to non-controlling interests.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4"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On September 13, 2019, in connection with the Centerbridge Acquisition, Norvax entered into a first lien credit agreement, or the Credit Agreement, which provides for a (i) $300.0 million aggregate principal amount senior secured term loan facility, or the Term Loan Facility and (ii) $30.0 million aggregate principal amount senior secured revolving credit facility, or the Revolving Credit Facility.</w:t>
      </w:r>
    </w:p>
    <w:p>
      <w:pPr>
        <w:spacing w:after="0" w:line="18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 On May 7, 2020, the Borrower entered into an additional amendment to the Credit Agreement, which provides $20.0 million of additional revolving commitments.</w:t>
      </w:r>
    </w:p>
    <w:p>
      <w:pPr>
        <w:spacing w:after="0" w:line="186"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As of March 31, 2020, we had $415.5 million outstanding on the Term Loan Facility (including the Incremental Term Loan Facility). The Revolving Credit Facility had remaining capacity of $30.0 million as of March 31, 2020.</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“Description of Indebtedness” for further information about the terms of the Credit Facilities.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ind w:left="160" w:right="20"/>
        <w:spacing w:after="0" w:line="281" w:lineRule="auto"/>
        <w:rPr>
          <w:sz w:val="20"/>
          <w:szCs w:val="20"/>
          <w:color w:val="auto"/>
        </w:rPr>
      </w:pPr>
      <w:r>
        <w:rPr>
          <w:rFonts w:ascii="Arial" w:cs="Arial" w:eastAsia="Arial" w:hAnsi="Arial"/>
          <w:sz w:val="17"/>
          <w:szCs w:val="17"/>
          <w:color w:val="auto"/>
        </w:rPr>
        <w:t>The following tables summarize our contractual obligations as of December 31, 2019. The principal commitments consisted of obligations under outstanding operating leases for office facilities, capital leases related to copy machines and our long-term debt. The amount of the obligations presented in the table summarizes the commitments to settle contractual obligations in cash as of the dates presented.</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Payments Due by Period</w:t>
            </w:r>
            <w:r>
              <w:rPr>
                <w:rFonts w:ascii="Arial" w:cs="Arial" w:eastAsia="Arial" w:hAnsi="Arial"/>
                <w:sz w:val="12"/>
                <w:szCs w:val="12"/>
                <w:b w:val="1"/>
                <w:bCs w:val="1"/>
                <w:color w:val="auto"/>
              </w:rPr>
              <w:t>(2)(3)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1-3 Years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7"/>
        </w:trPr>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$12,272</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$ 11,848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4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440</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441,871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28,420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56,072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302,330</w:t>
            </w:r>
          </w:p>
        </w:tc>
        <w:tc>
          <w:tcPr>
            <w:tcW w:w="0" w:type="dxa"/>
            <w:vAlign w:val="bottom"/>
          </w:tcPr>
          <w:p>
            <w:pPr>
              <w:spacing w:after="0"/>
              <w:rPr>
                <w:sz w:val="1"/>
                <w:szCs w:val="1"/>
                <w:color w:val="auto"/>
              </w:rPr>
            </w:pPr>
          </w:p>
        </w:tc>
      </w:tr>
      <w:tr>
        <w:trPr>
          <w:trHeight w:val="22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479,900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68,784</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66,897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309,550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 w:hanging="433"/>
        <w:spacing w:after="0" w:line="283" w:lineRule="auto"/>
        <w:tabs>
          <w:tab w:leader="none" w:pos="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borrowings under the Term Loan Facility and assumes interest payments of $142.6 million through stated maturity of the Credit Facilities by applying the interest rate of 8.4% in effect as of December 31, 2019 under our Term Loan Facility. Payments herein are subject to change, as payments for variable rate debt have been estimated. As of December 31, 2019, the total principal amount of debt outstanding under our Credit Facilities, excluding unamortized debt discount and deferred issuance costs, was $299.3 million. See “Description of Indebtedness.”</w:t>
      </w:r>
    </w:p>
    <w:p>
      <w:pPr>
        <w:ind w:left="600" w:right="560" w:hanging="433"/>
        <w:spacing w:after="0" w:line="262"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payments that we may be required to make under the Tax Receivable Agreement to the Continuing Equity Owners and the Blocker Shareholders may be significant and are not reflected in the contractual obligations tables set forth above as they are dependent upon future taxable income. See “Certain Relationships and Related Party Transactions—Tax Receivable Agreement.”</w:t>
      </w:r>
    </w:p>
    <w:p>
      <w:pPr>
        <w:spacing w:after="0" w:line="1" w:lineRule="exact"/>
        <w:rPr>
          <w:rFonts w:ascii="Arial" w:cs="Arial" w:eastAsia="Arial" w:hAnsi="Arial"/>
          <w:sz w:val="17"/>
          <w:szCs w:val="17"/>
          <w:color w:val="auto"/>
        </w:rPr>
      </w:pPr>
    </w:p>
    <w:p>
      <w:pPr>
        <w:ind w:left="600" w:right="80" w:hanging="433"/>
        <w:spacing w:after="0" w:line="252"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connection with this offering, we will fully settle the earnout liability due to the predecessor owners of the Company arising from the Centerbridge Acquisition. See footnote (4) to the section titled “Unaudited Pro Forma Condensed Consolidated Financial Information” for further information.</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Subsequent to December 31, 2019, on March 20, 2020, the Borrower entered into an amendment to the Credit Agreement, which, among other things, provides $117.0 million of incremental term loans. Additionally, on May 7, 2020, the Borrower entered into an amendment to the Credit Agreement, which provides $20.0 million of additional revolving commitment under the Credit Facilities, or the Incremental Revolving Loan Facility.</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not entered into any off-balance sheet arrangements, as defined in Regulation S-K.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For a discussion of new accounting pronouncements recently adopted and not yet adopted, see the notes to the audited consolidated financial statements included elsewhere in this prospectus.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March 31, 2020, based on the lack of collection issues in the past and the high financial standards we require of customers. As of March 31, 2020, four carriers accounted for 27%, 17%, 14% and 14% of total accounts receivable. As of December 31, 2019, five carriers accounted for 17%, 16%, 16%, 16% and 15% of total accounts receivable and as of December 31, 2018, three carriers accounted for 24%, 14% and 11% of total accounts receivable.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As of March 31, 2020, we had cash of $152.4 million deposited in non-interest bearing accounts at a major bank with limited to no-interest rate risk. We do not enter into investments for trading or speculative purposes and have not used any derivative financial instruments to manage interest rate risk exposure.</w:t>
      </w:r>
    </w:p>
    <w:p>
      <w:pPr>
        <w:spacing w:after="0" w:line="186"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See “Risk Factors—Risks Related to Our Indebtedness—Developments with respect to LIBOR may affect our borrowings under our Credit Facilities” for additional information.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Medicare annual enrollment period occurs from October 15</w:t>
      </w:r>
      <w:r>
        <w:rPr>
          <w:rFonts w:ascii="Arial" w:cs="Arial" w:eastAsia="Arial" w:hAnsi="Arial"/>
          <w:sz w:val="14"/>
          <w:szCs w:val="14"/>
          <w:color w:val="auto"/>
        </w:rPr>
        <w:t>th</w:t>
      </w:r>
      <w:r>
        <w:rPr>
          <w:rFonts w:ascii="Arial" w:cs="Arial" w:eastAsia="Arial" w:hAnsi="Arial"/>
          <w:sz w:val="17"/>
          <w:szCs w:val="17"/>
          <w:color w:val="auto"/>
        </w:rPr>
        <w:t xml:space="preserve"> to December 7</w:t>
      </w:r>
      <w:r>
        <w:rPr>
          <w:rFonts w:ascii="Arial" w:cs="Arial" w:eastAsia="Arial" w:hAnsi="Arial"/>
          <w:sz w:val="14"/>
          <w:szCs w:val="14"/>
          <w:color w:val="auto"/>
        </w:rPr>
        <w:t>th</w:t>
      </w:r>
      <w:r>
        <w:rPr>
          <w:rFonts w:ascii="Arial" w:cs="Arial" w:eastAsia="Arial" w:hAnsi="Arial"/>
          <w:sz w:val="17"/>
          <w:szCs w:val="17"/>
          <w:color w:val="auto"/>
        </w:rPr>
        <w:t>.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4"/>
          <w:szCs w:val="14"/>
          <w:color w:val="auto"/>
        </w:rPr>
        <w:t>st</w:t>
      </w:r>
      <w:r>
        <w:rPr>
          <w:rFonts w:ascii="Arial" w:cs="Arial" w:eastAsia="Arial" w:hAnsi="Arial"/>
          <w:sz w:val="17"/>
          <w:szCs w:val="17"/>
          <w:color w:val="auto"/>
        </w:rPr>
        <w:t xml:space="preserve"> to March 31</w:t>
      </w:r>
      <w:r>
        <w:rPr>
          <w:rFonts w:ascii="Arial" w:cs="Arial" w:eastAsia="Arial" w:hAnsi="Arial"/>
          <w:sz w:val="14"/>
          <w:szCs w:val="14"/>
          <w:color w:val="auto"/>
        </w:rPr>
        <w:t>st</w:t>
      </w:r>
      <w:r>
        <w:rPr>
          <w:rFonts w:ascii="Arial" w:cs="Arial" w:eastAsia="Arial" w:hAnsi="Arial"/>
          <w:sz w:val="17"/>
          <w:szCs w:val="17"/>
          <w:color w:val="auto"/>
        </w:rPr>
        <w:t>, commission revenue is typically second-highest in our first quarter. The individual and family health insurance open enrollment period runs from November 1</w:t>
      </w:r>
      <w:r>
        <w:rPr>
          <w:rFonts w:ascii="Arial" w:cs="Arial" w:eastAsia="Arial" w:hAnsi="Arial"/>
          <w:sz w:val="14"/>
          <w:szCs w:val="14"/>
          <w:color w:val="auto"/>
        </w:rPr>
        <w:t>st</w:t>
      </w:r>
      <w:r>
        <w:rPr>
          <w:rFonts w:ascii="Arial" w:cs="Arial" w:eastAsia="Arial" w:hAnsi="Arial"/>
          <w:sz w:val="17"/>
          <w:szCs w:val="17"/>
          <w:color w:val="auto"/>
        </w:rPr>
        <w:t xml:space="preserve"> through December 15</w:t>
      </w:r>
      <w:r>
        <w:rPr>
          <w:rFonts w:ascii="Arial" w:cs="Arial" w:eastAsia="Arial" w:hAnsi="Arial"/>
          <w:sz w:val="14"/>
          <w:szCs w:val="14"/>
          <w:color w:val="auto"/>
        </w:rPr>
        <w:t>th</w:t>
      </w:r>
      <w:r>
        <w:rPr>
          <w:rFonts w:ascii="Arial" w:cs="Arial" w:eastAsia="Arial" w:hAnsi="Arial"/>
          <w:sz w:val="17"/>
          <w:szCs w:val="17"/>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60"/>
          </w:cols>
          <w:pgMar w:left="320" w:top="456"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93"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commissions receivable, and commissions payable.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 and Commissions Receivable</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and is recognized in an amount that reflects the consideration that an entity expects to receive in exchange for those goods or services.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94"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Significant management judgments and estimates must be made in connection with determination of the revenue to be recognized in any accounting period. If we made different judgments or utilized different estimates for any 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estimates of renewal commissions and production bonuses are considered variable consideration in the transaction price and require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carrier experience data, historical payment data by segment and carrier, as well as current forecast data to estimate forecasted renewal consideration and production bonuses and then to constrain revenue recognized to the extent that it is probable that a significant reversal in the amount of cumulative revenue recognized will not occur. Before the adoption of ASC 606, we were already using a similar method to calculate the lifetime revenue value of a contract for internal forecasting purposes so we believe we have the ability to make reasonable estimates for these items and have the appropriate accounting policies and controls in place to do so. The uncertainty associated with the variable consideration is subsequently resolved when the policy renews, and any adjustments in variable consideration are recognized in the period incurred.</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Commissions receivable represents the variable consideration for policies that have not renewed yet, and therefore, are subject to the same assumptions, judgments and estimates used when recognizing revenue as noted above.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40"/>
          </w:cols>
          <w:pgMar w:left="320" w:top="456" w:right="5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JOBS Act</w:t>
      </w:r>
    </w:p>
    <w:p>
      <w:pPr>
        <w:spacing w:after="0" w:line="118"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initial public offering,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40"/>
          </w:cols>
          <w:pgMar w:left="320" w:top="456" w:right="5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or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94"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160" w:right="420"/>
        <w:spacing w:after="0" w:line="287"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w:t>
      </w:r>
    </w:p>
    <w:p>
      <w:pPr>
        <w:spacing w:after="0" w:line="1"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104.1% to $141.0 million for the Pro Forma First Quarter 2020 compared to $69.1 million for the three months ended March 31, 2019 and by 138.5% to $539.5 million for the Pro Forma Fiscal Year 2019 compared to $226.2 million for the year ended December 31, 2018. Adjusted EBITDA grew by</w:t>
      </w:r>
    </w:p>
    <w:p>
      <w:pPr>
        <w:ind w:left="160"/>
        <w:spacing w:after="0" w:line="286" w:lineRule="auto"/>
        <w:rPr>
          <w:sz w:val="20"/>
          <w:szCs w:val="20"/>
          <w:color w:val="auto"/>
        </w:rPr>
      </w:pPr>
      <w:r>
        <w:rPr>
          <w:rFonts w:ascii="Arial" w:cs="Arial" w:eastAsia="Arial" w:hAnsi="Arial"/>
          <w:sz w:val="16"/>
          <w:szCs w:val="16"/>
          <w:color w:val="auto"/>
        </w:rPr>
        <w:t>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170"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Over the last four years, we have increasingly shifted our focus towards Medicare products and deemphasized individual and family health insurance products. This shift in focus has enabled us to capitalize on (1) strong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6"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67"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69"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 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Centers for Medicare and Medicaid Services, or CMS, regulations.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6"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202565</wp:posOffset>
            </wp:positionV>
            <wp:extent cx="5095240" cy="27343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95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right="200"/>
        <w:spacing w:after="0" w:line="266" w:lineRule="auto"/>
        <w:rPr>
          <w:sz w:val="20"/>
          <w:szCs w:val="20"/>
          <w:color w:val="auto"/>
        </w:rPr>
      </w:pPr>
      <w:r>
        <w:rPr>
          <w:rFonts w:ascii="Arial" w:cs="Arial" w:eastAsia="Arial" w:hAnsi="Arial"/>
          <w:sz w:val="17"/>
          <w:szCs w:val="17"/>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8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The differentiated value of our data science-driven, fully-integrated platform has facilitated our rapid growth. Net revenues grew by 104.1% to $141.0 million for the Pro Forma First Quarter 2020 compared to $69.1 million for the three months ended March 31, 2019 and by 138.5% to $539.5 million for the Pro Forma Fiscal Year 2019 compared to $226.2 million for the year ended December 31, 2018. Adjusted EBITDA grew by 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132,000 Medicare policies for the three months ended March 31, 2020, as compared to over 43,200 Medicare policies the three months ended March 31, 2019 and over 427,000 Medicare policies for the year ended December 31, 2019, as compared to over 118,000</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6"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Medicare policies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160" w:right="260"/>
        <w:spacing w:after="0" w:line="335" w:lineRule="auto"/>
        <w:rPr>
          <w:sz w:val="20"/>
          <w:szCs w:val="20"/>
          <w:color w:val="auto"/>
        </w:rPr>
      </w:pPr>
      <w:r>
        <w:rPr>
          <w:rFonts w:ascii="Arial" w:cs="Arial" w:eastAsia="Arial" w:hAnsi="Arial"/>
          <w:sz w:val="16"/>
          <w:szCs w:val="16"/>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35" w:lineRule="exact"/>
        <w:rPr>
          <w:sz w:val="20"/>
          <w:szCs w:val="20"/>
          <w:color w:val="auto"/>
        </w:rPr>
      </w:pPr>
    </w:p>
    <w:p>
      <w:pPr>
        <w:ind w:left="1140" w:right="4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 end-to-end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jc w:val="both"/>
        <w:ind w:left="1140" w:right="24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140" w:right="2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140" w:right="840" w:hanging="438"/>
        <w:spacing w:after="0" w:line="271"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160" w:right="280"/>
        <w:spacing w:after="0" w:line="293" w:lineRule="auto"/>
        <w:rPr>
          <w:sz w:val="20"/>
          <w:szCs w:val="20"/>
          <w:color w:val="auto"/>
        </w:rPr>
      </w:pPr>
      <w:r>
        <w:rPr>
          <w:rFonts w:ascii="Arial" w:cs="Arial" w:eastAsia="Arial" w:hAnsi="Arial"/>
          <w:sz w:val="16"/>
          <w:szCs w:val="16"/>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1"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6"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 sales of Medicare Advantage, Medicare Supplement, Medicare prescription drug plans, and Medicare Special Needs Plans, or SNPs, for multiple carriers. The Medicare segments are organized by distribution channel, as further described below:</w:t>
      </w:r>
    </w:p>
    <w:p>
      <w:pPr>
        <w:spacing w:after="0" w:line="97" w:lineRule="exact"/>
        <w:rPr>
          <w:sz w:val="20"/>
          <w:szCs w:val="20"/>
          <w:color w:val="auto"/>
        </w:rPr>
      </w:pPr>
    </w:p>
    <w:p>
      <w:pPr>
        <w:ind w:left="1140" w:right="20" w:hanging="438"/>
        <w:spacing w:after="0" w:line="281"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color w:val="auto"/>
        </w:rPr>
        <w:t>. The internal segments primarily consist of sales of products and plans by GoHealth-employed agents offering qualified prospects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from multiple carriers, GoHealth-employed agents offering qualified prospects plans on a carrier-specific basis, or sales of products and plans through our online platform without the assistance of our agents, which we refer to as DIY.</w:t>
      </w:r>
    </w:p>
    <w:p>
      <w:pPr>
        <w:spacing w:after="0" w:line="75" w:lineRule="exact"/>
        <w:rPr>
          <w:rFonts w:ascii="Arial" w:cs="Arial" w:eastAsia="Arial" w:hAnsi="Arial"/>
          <w:sz w:val="17"/>
          <w:szCs w:val="17"/>
          <w:color w:val="auto"/>
        </w:rPr>
      </w:pPr>
    </w:p>
    <w:p>
      <w:pPr>
        <w:jc w:val="both"/>
        <w:ind w:left="1140" w:right="120" w:hanging="438"/>
        <w:spacing w:after="0" w:line="368" w:lineRule="auto"/>
        <w:tabs>
          <w:tab w:leader="none" w:pos="1140" w:val="left"/>
        </w:tabs>
        <w:numPr>
          <w:ilvl w:val="0"/>
          <w:numId w:val="85"/>
        </w:numPr>
        <w:rPr>
          <w:rFonts w:ascii="Arial" w:cs="Arial" w:eastAsia="Arial" w:hAnsi="Arial"/>
          <w:sz w:val="14"/>
          <w:szCs w:val="14"/>
          <w:color w:val="auto"/>
        </w:rPr>
      </w:pPr>
      <w:r>
        <w:rPr>
          <w:rFonts w:ascii="Arial" w:cs="Arial" w:eastAsia="Arial" w:hAnsi="Arial"/>
          <w:sz w:val="14"/>
          <w:szCs w:val="14"/>
          <w:b w:val="1"/>
          <w:bCs w:val="1"/>
          <w:i w:val="1"/>
          <w:iCs w:val="1"/>
          <w:color w:val="auto"/>
        </w:rPr>
        <w:t>External</w:t>
      </w:r>
      <w:r>
        <w:rPr>
          <w:rFonts w:ascii="Arial" w:cs="Arial" w:eastAsia="Arial" w:hAnsi="Arial"/>
          <w:sz w:val="14"/>
          <w:szCs w:val="14"/>
          <w:color w:val="auto"/>
        </w:rPr>
        <w:t>. The external segments represent sales of products and plans under GoHealth’s carrier contracts using an independent, national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1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Medicare Advantage products generate the majority of net revenues in the Medicare—Internal segment. Medicare Advantage plans accounted for (i) approximately 70.4% and 44.9%, respectively, of net revenues for the three months ended March 31, 2020 and 2019 and approximately 62.6% and 37.2%, respectively, of net revenues for the Pro Forma Fiscal Year 2019 and for the year ended December 31, 2018; (ii) approximately 75.4% and 81.0%, respectively, of Medicare —Internal segment revenue for the three months ended March 31, 2020 and 2019 and approximately 75.8% and 80.2%, respectively, of Medicare— Internal segment revenue for the Pro Forma Fiscal Year 2019 and for the year ended December 31, 2018; and (iii) approximately 94.8% and 69.3%, respectively, of Medicare—External segment revenue for the three months ended March 31, 2020 and 2019 and approximately 84.1% and 70.4%, respectively, of Medicare—External segment revenue for the Pro Forma Fiscal Year 2019 and for the year ended December 31, 2018. No other products in the Medicare segments contribute more than 10% of net revenues for either of the Medicare segments or total net revenues for the financial statement periods presented in this prospectus.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9"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The IFP and Other segments focus on sales of individual and family plans (which include fixed indemnity and major medical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 Fixed Indemnity plans accounted for (i) approximately 22.0% of net revenues for the three months ended March 31, 2019 and 15.0% of net revenues for the year ended December 31, 2018; (ii) approximately 12.5% and 50.4%, respectively, of IFP-Internal segment revenue for the three months ended March 31, 2020 and 2019 and approximately 36.7% and 22.1%, respectively, of IFP—Internal segment revenue for the Pro Forma Fiscal Year 2019 and for the year ended December 31, 2018; and (iii) approximately 38.2% and 59.2%, respectively, of IFP—External segment revenue for the three months ended March 31, 2020 and 2019 and approximately 53.7% and 39.1%, respectively, of IFP—External segment revenue for the Pro Forma Fiscal Year 2019 and for the year</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6"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ended December 31, 2018. No other products in the IFP and Other segments contribute more than 10% of net revenues for either of the IFP segments or to total net revenues for the financial statement periods presented in this prospectus.</w:t>
      </w:r>
    </w:p>
    <w:p>
      <w:pPr>
        <w:spacing w:after="0" w:line="175"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For the three months ended March 31, 2020, the Medicare segments represented 88.1% of total revenues compared to 59.7% of total revenues for the three months ended March 31, 2019 and the IFP and Other segments represented 11.9% of total revenues for the three months ended March 31, 2020 compared to 40.3% of total 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w:t>
      </w:r>
    </w:p>
    <w:p>
      <w:pPr>
        <w:spacing w:after="0" w:line="164"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132,000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5919470" cy="2929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1947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0" w:hanging="433"/>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600" w:right="120" w:hanging="433"/>
        <w:spacing w:after="0" w:line="256"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January 2020, an increase of approximately 124% from a rate of 7.7% in January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Our carrier relationships allow us to offer a wide variety of products and plans across our platform and offer solutions tailored to consumers’ healthcare needs. We are a critical partner to our top carriers, for which we use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6"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Best-in-Class Medicare LTV/CAC Ratio Driven by Proprietary Technology, Business Processes, Data and Highly Skilled Agents</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 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6"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data and technology position us well for continuous growth in the future in our current product segments and other insurance products segments we may enter.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Continue to Increase Our Profitability By Using our Data to Improve our Technology, Business Processes, and Agent Performance</w:t>
      </w:r>
    </w:p>
    <w:p>
      <w:pPr>
        <w:spacing w:after="0" w:line="12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140" w:right="420" w:hanging="438"/>
        <w:spacing w:after="0" w:line="255"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140" w:right="20" w:hanging="438"/>
        <w:spacing w:after="0" w:line="287" w:lineRule="auto"/>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LeadScore and Call Routing Technologies</w:t>
      </w:r>
      <w:r>
        <w:rPr>
          <w:rFonts w:ascii="Arial" w:cs="Arial" w:eastAsia="Arial" w:hAnsi="Arial"/>
          <w:sz w:val="16"/>
          <w:szCs w:val="16"/>
          <w:color w:val="auto"/>
        </w:rPr>
        <w:t>. We are improving our LeadScore and call-routing technologies, and expanding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intelligence and analytics staffing to direct qualified prospects to agents or DIY channels that are most likely to result in such qualified prospects enrolling in the health insurance plan that best meets their needs while remaining economically attractive for us. 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72" w:lineRule="exact"/>
        <w:rPr>
          <w:rFonts w:ascii="Arial" w:cs="Arial" w:eastAsia="Arial" w:hAnsi="Arial"/>
          <w:sz w:val="16"/>
          <w:szCs w:val="16"/>
          <w:color w:val="auto"/>
        </w:rPr>
      </w:pPr>
    </w:p>
    <w:p>
      <w:pPr>
        <w:ind w:left="1140" w:right="360" w:hanging="438"/>
        <w:spacing w:after="0" w:line="271"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Recruiting and Training of Agents</w:t>
      </w:r>
      <w:r>
        <w:rPr>
          <w:rFonts w:ascii="Arial" w:cs="Arial" w:eastAsia="Arial" w:hAnsi="Arial"/>
          <w:sz w:val="18"/>
          <w:szCs w:val="18"/>
          <w:color w:val="auto"/>
        </w:rPr>
        <w:t>. We are improving the recruiting and training of our agents to match the profiles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highest performing agents. The opportunity to reduce the variability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20"/>
        <w:spacing w:after="0" w:line="272" w:lineRule="auto"/>
        <w:rPr>
          <w:sz w:val="20"/>
          <w:szCs w:val="20"/>
          <w:color w:val="auto"/>
        </w:rPr>
      </w:pPr>
      <w:r>
        <w:rPr>
          <w:rFonts w:ascii="Arial" w:cs="Arial" w:eastAsia="Arial" w:hAnsi="Arial"/>
          <w:sz w:val="17"/>
          <w:szCs w:val="17"/>
          <w:color w:val="auto"/>
        </w:rPr>
        <w:t>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 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Founders and management team built our Marketplace technology over a 19-year period of continuous investment and growth. We have developed relationships with over 80 carriers and offer a wide variety of</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40"/>
          </w:cols>
          <w:pgMar w:left="320" w:top="456" w:right="5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4"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 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9"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142240</wp:posOffset>
            </wp:positionV>
            <wp:extent cx="5010785" cy="3116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10785" cy="311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160" w:right="160"/>
        <w:spacing w:after="0" w:line="282"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w:t>
      </w:r>
    </w:p>
    <w:p>
      <w:pPr>
        <w:spacing w:after="0" w:line="2"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6"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Kaiser Family Foundation report published in 2020, in 2019, the average gross margin per member per month for carriers in the individual market was $122.83, as compared to $14.36 in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Carriers</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We maintain longstanding, deeply integrated relationships with leading carriers in the United States, who have some of the industry’s most widely recognizable brands. For the year ended December 31, 2019 and the three month period ended March 31, 2020, the primary carriers that we served in the Medicare segments were carriers owned by Humana and Anthem, the primary carriers that we served in the IFP and Other segments were carriers owned by UnitedHealth Group. These high-quality relationships have resulted in strong carrier retention rates; since our inception, we have never had a carrier terminate for performance. We typically enter into contractual agency relationships with carriers that are non-exclusive and terminable on short notice by either party for any reason. Carriers often have the ability to terminate or amend our agreements unilaterally on short notice, including provisions in our agreements relating to our commission rates.</w:t>
      </w:r>
    </w:p>
    <w:p>
      <w:pPr>
        <w:spacing w:after="0" w:line="178"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auto"/>
        </w:rPr>
        <w:t>We believe carriers see our method of acquiring consumers as scalable and efficient and, ultimately, as cost-advantageous compared to their own models, and provide us, in some cases, with marketing development. The carriers are responsible for paying our commissions and, for these purposes, act as our customers. We do not currently generate revenues directly from the consumers to whom we sell insurance policies on behalf of carriers.</w:t>
      </w:r>
    </w:p>
    <w:p>
      <w:pPr>
        <w:spacing w:after="0" w:line="150"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A core element of our value proposition to carriers relates to our ability to reliably place policies in compliance with applicable regulations and carrier-specific requirements. As such, we work closely with carriers to develop approved scripts and to undertake regular audits of our compliance with carrier requirements. In addition, our agents operate under compensation structures established to fully align their incentives with our compliance objectives.</w:t>
      </w:r>
    </w:p>
    <w:p>
      <w:pPr>
        <w:spacing w:after="0" w:line="150"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Carriers owned by Humana and Anthem accounted for (i) approximately 40% and 20%, respectively, of net revenues for the Pro Forma Fiscal Year 2019 and 25% and 8%, respectively, of net revenues for the year ended December 31, 2018; (ii) approximately 51% and 23%, respectively, of Medicare —Internal segment revenue for the Pro Forma Fiscal Year 2019, and 63% and 15%, respectively, of Medicare—Internal segment revenue for the year ended December 31, 2018; and (iii)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27% and 11% of IFP and Other—Internal segment revenue for the Pro Forma Fiscal Year 2019 and for the year ended December 31, 2018, respectively, and 41% and 19% of IFP and Other—External segment revenue for the Pro Forma Fiscal Year 2019 and year ended December 31, 2018, respectively. See “Risk Factors—Risks Related to Our Business—We currently depend on a small group of carriers for a substantial portion of our revenue.”</w:t>
      </w:r>
    </w:p>
    <w:p>
      <w:pPr>
        <w:spacing w:after="0" w:line="183"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continue to focus on building out our carrier footprint in order to provide our consumers with a greater choice of health insurance plans.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320" w:top="456" w:right="5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LTV/CAC. We operate dozens of proprietary technology systems, which support a data-driven consumer acquisition, service, and retention lifecycle within the health insurance market.</w:t>
      </w:r>
    </w:p>
    <w:p>
      <w:pPr>
        <w:spacing w:after="0" w:line="99" w:lineRule="exact"/>
        <w:rPr>
          <w:sz w:val="20"/>
          <w:szCs w:val="20"/>
          <w:color w:val="auto"/>
        </w:rPr>
      </w:pPr>
    </w:p>
    <w:p>
      <w:pPr>
        <w:ind w:left="1140" w:right="20" w:hanging="438"/>
        <w:spacing w:after="0" w:line="269"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Lead Acquisition</w:t>
      </w:r>
      <w:r>
        <w:rPr>
          <w:rFonts w:ascii="Arial" w:cs="Arial" w:eastAsia="Arial" w:hAnsi="Arial"/>
          <w:sz w:val="17"/>
          <w:szCs w:val="17"/>
          <w:color w:val="auto"/>
        </w:rPr>
        <w:t>. We acquire consumer leads through many channels, including paid Internet searches, television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mail, affiliate sources, organic traffic from GoHealth.com and other channels. We use our streaming data systems to monitor CAC,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CAC.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TCPA.</w:t>
      </w:r>
    </w:p>
    <w:p>
      <w:pPr>
        <w:spacing w:after="0" w:line="84" w:lineRule="exact"/>
        <w:rPr>
          <w:rFonts w:ascii="Arial" w:cs="Arial" w:eastAsia="Arial" w:hAnsi="Arial"/>
          <w:sz w:val="17"/>
          <w:szCs w:val="17"/>
          <w:color w:val="auto"/>
        </w:rPr>
      </w:pPr>
    </w:p>
    <w:p>
      <w:pPr>
        <w:ind w:left="1140" w:right="40" w:hanging="438"/>
        <w:spacing w:after="0" w:line="252"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Lead Scoring</w:t>
      </w:r>
      <w:r>
        <w:rPr>
          <w:rFonts w:ascii="Arial" w:cs="Arial" w:eastAsia="Arial" w:hAnsi="Arial"/>
          <w:sz w:val="18"/>
          <w:szCs w:val="18"/>
          <w:color w:val="auto"/>
        </w:rPr>
        <w:t>. When consumers engage with us through the telephone or our website, our data systems capture attributes about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0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Contact Queuing</w:t>
      </w:r>
      <w:r>
        <w:rPr>
          <w:rFonts w:ascii="Arial" w:cs="Arial" w:eastAsia="Arial" w:hAnsi="Arial"/>
          <w:sz w:val="18"/>
          <w:szCs w:val="18"/>
          <w:color w:val="auto"/>
        </w:rPr>
        <w:t>. We utilize our SPLICE system, a proprietary contact queue prioritized by LTV and throttled by an integrated monitor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capacity, to optimize outreach to our most valuable online consumer leads at a point in time when they can be connected to our agents with minimal wait time.</w:t>
      </w:r>
    </w:p>
    <w:p>
      <w:pPr>
        <w:spacing w:after="0" w:line="92" w:lineRule="exact"/>
        <w:rPr>
          <w:rFonts w:ascii="Arial" w:cs="Arial" w:eastAsia="Arial" w:hAnsi="Arial"/>
          <w:sz w:val="18"/>
          <w:szCs w:val="18"/>
          <w:color w:val="auto"/>
        </w:rPr>
      </w:pPr>
    </w:p>
    <w:p>
      <w:pPr>
        <w:ind w:left="1140" w:right="220" w:hanging="438"/>
        <w:spacing w:after="0" w:line="272"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Outbound Contact and Qualification</w:t>
      </w:r>
      <w:r>
        <w:rPr>
          <w:rFonts w:ascii="Arial" w:cs="Arial" w:eastAsia="Arial" w:hAnsi="Arial"/>
          <w:sz w:val="17"/>
          <w:szCs w:val="17"/>
          <w:color w:val="auto"/>
        </w:rPr>
        <w:t>. Following SPLICE’s automated decision for consumer outreach, our automatic telephony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contacts the consumer and immediately places them on the phone with an agent, who gathers information to personalize the consumer’s sales experience, who we refer to as an Advocate. We also use the data gathered by our Advocates to improve the sales process by experimenting with the questions our Advocates ask and building data models of how consumers’ answers affect agent-consumer fit, consumer-product fit, CAC, LTV, and long-term customer satisfaction.</w:t>
      </w:r>
    </w:p>
    <w:p>
      <w:pPr>
        <w:spacing w:after="0" w:line="82" w:lineRule="exact"/>
        <w:rPr>
          <w:rFonts w:ascii="Arial" w:cs="Arial" w:eastAsia="Arial" w:hAnsi="Arial"/>
          <w:sz w:val="17"/>
          <w:szCs w:val="17"/>
          <w:color w:val="auto"/>
        </w:rPr>
      </w:pPr>
    </w:p>
    <w:p>
      <w:pPr>
        <w:ind w:left="1140" w:hanging="438"/>
        <w:spacing w:after="0" w:line="270"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Lead Distribution</w:t>
      </w:r>
      <w:r>
        <w:rPr>
          <w:rFonts w:ascii="Arial" w:cs="Arial" w:eastAsia="Arial" w:hAnsi="Arial"/>
          <w:sz w:val="17"/>
          <w:szCs w:val="17"/>
          <w:color w:val="auto"/>
        </w:rPr>
        <w:t>. At the conclusion of the information-gathering process, and while the consumer is still on the phone, we use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lead auction system to make a health insurance market for the lead. External agencies participate in the auction along with our internal agency and programs, and present a pricing bid based on the consumer lead’s profile. We compete in the auction, winning the lead in the vast majority of cases, as our unit economics make typical consumer leads far more profitable for us to service than to distribute to external agencies. Our Assisted Live Transfer technology connects the call to the winner, via either warm (attended) transfer or cold (blind) transfer, dynamically chosen based on the availability of Advocates.</w:t>
      </w:r>
    </w:p>
    <w:p>
      <w:pPr>
        <w:spacing w:after="0" w:line="84" w:lineRule="exact"/>
        <w:rPr>
          <w:rFonts w:ascii="Arial" w:cs="Arial" w:eastAsia="Arial" w:hAnsi="Arial"/>
          <w:sz w:val="17"/>
          <w:szCs w:val="17"/>
          <w:color w:val="auto"/>
        </w:rPr>
      </w:pPr>
    </w:p>
    <w:p>
      <w:pPr>
        <w:ind w:left="1140" w:right="20" w:hanging="438"/>
        <w:spacing w:after="0" w:line="272"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Optimized Call Routing</w:t>
      </w:r>
      <w:r>
        <w:rPr>
          <w:rFonts w:ascii="Arial" w:cs="Arial" w:eastAsia="Arial" w:hAnsi="Arial"/>
          <w:sz w:val="17"/>
          <w:szCs w:val="17"/>
          <w:color w:val="auto"/>
        </w:rPr>
        <w:t>. If the consumer lead is distributed from an Advocate further into our internal sales process, our CallRouter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partitions the consumer leads into clusters 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continuously gathered and regularly analyzed by machine-learning experts and sales managers alike to ensure optimal call-routing.</w:t>
      </w:r>
    </w:p>
    <w:p>
      <w:pPr>
        <w:spacing w:after="0" w:line="139" w:lineRule="exact"/>
        <w:rPr>
          <w:sz w:val="20"/>
          <w:szCs w:val="20"/>
          <w:color w:val="auto"/>
        </w:rPr>
      </w:pPr>
    </w:p>
    <w:p>
      <w:pPr>
        <w:jc w:val="both"/>
        <w:ind w:left="1140" w:right="140" w:hanging="438"/>
        <w:spacing w:after="0" w:line="408" w:lineRule="auto"/>
        <w:tabs>
          <w:tab w:leader="none" w:pos="1140" w:val="left"/>
        </w:tabs>
        <w:numPr>
          <w:ilvl w:val="0"/>
          <w:numId w:val="89"/>
        </w:numPr>
        <w:rPr>
          <w:rFonts w:ascii="Arial" w:cs="Arial" w:eastAsia="Arial" w:hAnsi="Arial"/>
          <w:sz w:val="14"/>
          <w:szCs w:val="14"/>
          <w:color w:val="auto"/>
        </w:rPr>
      </w:pPr>
      <w:r>
        <w:rPr>
          <w:rFonts w:ascii="Arial" w:cs="Arial" w:eastAsia="Arial" w:hAnsi="Arial"/>
          <w:sz w:val="14"/>
          <w:szCs w:val="14"/>
          <w:b w:val="1"/>
          <w:bCs w:val="1"/>
          <w:i w:val="1"/>
          <w:iCs w:val="1"/>
          <w:color w:val="auto"/>
        </w:rPr>
        <w:t>Consumer Lead Management</w:t>
      </w:r>
      <w:r>
        <w:rPr>
          <w:rFonts w:ascii="Arial" w:cs="Arial" w:eastAsia="Arial" w:hAnsi="Arial"/>
          <w:sz w:val="14"/>
          <w:szCs w:val="14"/>
          <w:color w:val="auto"/>
        </w:rPr>
        <w:t>. As consumer leads are assigned and connected to agents, our BrokerOffice technology provides guidance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agents on the most appealing value proposition to the consumer based on the information previously collected about the consumer.</w:t>
      </w:r>
    </w:p>
    <w:p>
      <w:pPr>
        <w:ind w:left="1140" w:hanging="438"/>
        <w:spacing w:after="0" w:line="287" w:lineRule="auto"/>
        <w:tabs>
          <w:tab w:leader="none" w:pos="114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Marketplace</w:t>
      </w:r>
      <w:r>
        <w:rPr>
          <w:rFonts w:ascii="Arial" w:cs="Arial" w:eastAsia="Arial" w:hAnsi="Arial"/>
          <w:sz w:val="16"/>
          <w:szCs w:val="16"/>
          <w:color w:val="auto"/>
        </w:rPr>
        <w:t>. After reviewing the consumer’s profile in BrokerOffice, the agent launches our Marketplace technology. Our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provides comparative shopping capabilities for all products available to the consumer in their geography and across carriers.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72" w:lineRule="exact"/>
        <w:rPr>
          <w:rFonts w:ascii="Arial" w:cs="Arial" w:eastAsia="Arial" w:hAnsi="Arial"/>
          <w:sz w:val="16"/>
          <w:szCs w:val="16"/>
          <w:color w:val="auto"/>
        </w:rPr>
      </w:pPr>
    </w:p>
    <w:p>
      <w:pPr>
        <w:ind w:left="1140" w:right="40" w:hanging="438"/>
        <w:spacing w:after="0" w:line="275"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Electronic Applications</w:t>
      </w:r>
      <w:r>
        <w:rPr>
          <w:rFonts w:ascii="Arial" w:cs="Arial" w:eastAsia="Arial" w:hAnsi="Arial"/>
          <w:sz w:val="17"/>
          <w:szCs w:val="17"/>
          <w:color w:val="auto"/>
        </w:rPr>
        <w:t>. We utilize proprietary domain-specific language for the rapid development and deployment of compliant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carrier through custom integration partnerships.</w:t>
      </w:r>
    </w:p>
    <w:p>
      <w:pPr>
        <w:spacing w:after="0" w:line="80" w:lineRule="exact"/>
        <w:rPr>
          <w:rFonts w:ascii="Arial" w:cs="Arial" w:eastAsia="Arial" w:hAnsi="Arial"/>
          <w:sz w:val="17"/>
          <w:szCs w:val="17"/>
          <w:color w:val="auto"/>
        </w:rPr>
      </w:pPr>
    </w:p>
    <w:p>
      <w:pPr>
        <w:ind w:left="1140" w:right="140" w:hanging="438"/>
        <w:spacing w:after="0" w:line="270"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Lifecycle Management</w:t>
      </w:r>
      <w:r>
        <w:rPr>
          <w:rFonts w:ascii="Arial" w:cs="Arial" w:eastAsia="Arial" w:hAnsi="Arial"/>
          <w:sz w:val="17"/>
          <w:szCs w:val="17"/>
          <w:color w:val="auto"/>
        </w:rPr>
        <w:t>. We receive application submission, commission, and book of business data regularly from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carrier.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carriers to model how retention outcomes relate to consumer, marketing, and customer journey attributes so that every piece of our technology can be further optimized to maximize customer satisfaction and improve the sales process.</w:t>
      </w:r>
    </w:p>
    <w:p>
      <w:pPr>
        <w:spacing w:after="0" w:line="84" w:lineRule="exact"/>
        <w:rPr>
          <w:rFonts w:ascii="Arial" w:cs="Arial" w:eastAsia="Arial" w:hAnsi="Arial"/>
          <w:sz w:val="17"/>
          <w:szCs w:val="17"/>
          <w:color w:val="auto"/>
        </w:rPr>
      </w:pPr>
    </w:p>
    <w:p>
      <w:pPr>
        <w:ind w:left="1140" w:right="40" w:hanging="438"/>
        <w:spacing w:after="0" w:line="275"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Monitoring</w:t>
      </w:r>
      <w:r>
        <w:rPr>
          <w:rFonts w:ascii="Arial" w:cs="Arial" w:eastAsia="Arial" w:hAnsi="Arial"/>
          <w:sz w:val="17"/>
          <w:szCs w:val="17"/>
          <w:color w:val="auto"/>
        </w:rPr>
        <w:t>. We have also developed several enabling and monitoring technologies to detect and automatically address anomalies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inefficiencies in our operations based on deviations 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Agents</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Since our inception, our highly skilled and trained licensed agents have enabled us to enroll millions of people in Medicare and individual and family plans. In 2019, we employed on average over 931 agents, reaching a high of 1,453 agents employed during the three months ended December 31, 2019. Our technology, lead distribution, and workflow allow agents to work in our Benefits Center or to work remotely at home, providing us with a sustainable avenue for growth.</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Our agents benefit from a rigorous training program consisting of 6-8 weeks of classroom and interactive instruction prior to engaging with consumers. Our training courses cover insurance licensing, compliance requirements, customer service interactions, live role playing, and systems use. Most importantly, our trainings emphasize the GoHealth Way by prioritizing the trust and wellbeing of our customers above all else. We provide additional training on a regular basis to ensure our agents have the most up-to-date information regarding plan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benefits, changing regulations, and best practices. We are continuously updating and improving agent training to drive increased agent efficiency. We have analyzed our most productive agents and revised our recruiting, training and onboarding processes to most closely match the skills and experiences of our most successful agents. The opportunity to reduce the variability in our agent performance is significant, as our top 25% of agents for the multi-carrier sales outlet of the Medicare—Internal segment on average are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w:t>
      </w:r>
    </w:p>
    <w:p>
      <w:pPr>
        <w:spacing w:after="0" w:line="166"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We competitively compensate agents to incentivize their productivity, increase member retention, and improve customer satisfaction. In addition to paying each agent an hourly wage, we also compensate our agents through a structured bonus program. Our bonus program is designed to compensate agents based on the customer experience and plan lifetime. Customer experience is measured through a customer satisfaction survey. Plan lifetime is measured through policy issuance and retention.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employ data-driven, omni-channel marketing efforts to increase consumer phone calls and visits to our website and convert those calls and visits into customers. Our marketing initiatives include:</w:t>
      </w:r>
    </w:p>
    <w:p>
      <w:pPr>
        <w:spacing w:after="0" w:line="81" w:lineRule="exact"/>
        <w:rPr>
          <w:sz w:val="20"/>
          <w:szCs w:val="20"/>
          <w:color w:val="auto"/>
        </w:rPr>
      </w:pPr>
    </w:p>
    <w:p>
      <w:pPr>
        <w:ind w:left="1580" w:right="60" w:hanging="329"/>
        <w:spacing w:after="0" w:line="271" w:lineRule="auto"/>
        <w:tabs>
          <w:tab w:leader="none" w:pos="158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Offline Media Marketing</w:t>
      </w:r>
      <w:r>
        <w:rPr>
          <w:rFonts w:ascii="Arial" w:cs="Arial" w:eastAsia="Arial" w:hAnsi="Arial"/>
          <w:sz w:val="18"/>
          <w:szCs w:val="18"/>
          <w:color w:val="auto"/>
        </w:rPr>
        <w:t>. Our offline media channel consists of branded advertisements run on television (both linear and over-the-top) and radio, as well as targeted direct mail campaigns.</w:t>
      </w:r>
    </w:p>
    <w:p>
      <w:pPr>
        <w:spacing w:after="0" w:line="80" w:lineRule="exact"/>
        <w:rPr>
          <w:rFonts w:ascii="Arial" w:cs="Arial" w:eastAsia="Arial" w:hAnsi="Arial"/>
          <w:sz w:val="18"/>
          <w:szCs w:val="18"/>
          <w:color w:val="auto"/>
        </w:rPr>
      </w:pPr>
    </w:p>
    <w:p>
      <w:pPr>
        <w:ind w:left="1580" w:right="100" w:hanging="329"/>
        <w:spacing w:after="0" w:line="307" w:lineRule="auto"/>
        <w:tabs>
          <w:tab w:leader="none" w:pos="158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Digital (Online) Media</w:t>
      </w:r>
      <w:r>
        <w:rPr>
          <w:rFonts w:ascii="Arial" w:cs="Arial" w:eastAsia="Arial" w:hAnsi="Arial"/>
          <w:sz w:val="16"/>
          <w:szCs w:val="16"/>
          <w:color w:val="auto"/>
        </w:rPr>
        <w:t>. Our digital media channel consists of branded advertisements run on paid search, display, native and social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 platforms. These paid media efforts are supported by unpaid email and organic search campaigns. Our online advertising programs are delivered across all Internet-enabled devices, including desktop computers, tablet computers and smart phones.</w:t>
      </w:r>
    </w:p>
    <w:p>
      <w:pPr>
        <w:spacing w:after="0" w:line="56" w:lineRule="exact"/>
        <w:rPr>
          <w:rFonts w:ascii="Arial" w:cs="Arial" w:eastAsia="Arial" w:hAnsi="Arial"/>
          <w:sz w:val="16"/>
          <w:szCs w:val="16"/>
          <w:color w:val="auto"/>
        </w:rPr>
      </w:pPr>
    </w:p>
    <w:p>
      <w:pPr>
        <w:ind w:left="1580" w:right="120" w:hanging="329"/>
        <w:spacing w:after="0" w:line="255" w:lineRule="auto"/>
        <w:tabs>
          <w:tab w:leader="none" w:pos="158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Partners</w:t>
      </w:r>
      <w:r>
        <w:rPr>
          <w:rFonts w:ascii="Arial" w:cs="Arial" w:eastAsia="Arial" w:hAnsi="Arial"/>
          <w:sz w:val="18"/>
          <w:szCs w:val="18"/>
          <w:color w:val="auto"/>
        </w:rPr>
        <w:t>. Our marketing partner consumer acquisition channel consists of a network comprised of hundreds of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drive consumers to our e-commerce platform and Benefits Center. These partners include healthcare industry participants, such as insurance carriers, financial and online services partners in industries, such as banking and insurance, as well as affiliate organizations.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 and Compliance</w:t>
      </w:r>
    </w:p>
    <w:p>
      <w:pPr>
        <w:spacing w:after="0" w:line="118"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169"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Medicare segments are subject to regulations and guidelines issued by CMS that place a number of requirements on carriers, agents and brokers in connection with the marketing and sale of Medicare Advantage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carriers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COVID-19 pandemic.</w:t>
      </w:r>
    </w:p>
    <w:p>
      <w:pPr>
        <w:spacing w:after="0" w:line="166"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Accountability Act, or HIPAA, require us to maintain the privacy of individually-identifiable health information that we collect on behalf of carriers,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0"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we have entered into contracts with carriers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or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178"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color w:val="auto"/>
        </w:rPr>
        <w:t>These requirements are evolving, and states are beginning to adopt additional requirements, including California, where the CCPA took effect beginning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well as a private right of action for data breaches that is expected to increase data breach litigation. In addition to government action, health insurance carrier expectations relating to privacy and security protections are increasing and evolving. We have incurred significant costs to develop new processes and procedures and to adopt new technology in an effort to comply with privacy and security laws and regulations and carrier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carriers.</w:t>
      </w:r>
    </w:p>
    <w:p>
      <w:pPr>
        <w:spacing w:after="0" w:line="178"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Federal and state consumer protection laws are being applied increasingly by 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97"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New York’s cybersecurity regulation for financial services companies requires entities under the jurisdiction of NYDFS, including insurance entities, to establish and maintain a cybersecurity program designed to protect private consumer data. The Cybersecurity Model Law adopted by the NAIC is functionally similar to the NYDFS rule and is intended to establish the standards for data security and for the investigation and notification of data breaches applicable to insurance licensees in states adopting the law.</w:t>
      </w:r>
    </w:p>
    <w:p>
      <w:pPr>
        <w:spacing w:after="0" w:line="190"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Telephone Consumer Protection Act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carrier-employed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carrier relationships, proprietary technology, machine-learning capabilities and extensive data, efficient business processes, and highly skilled and trained agents.</w:t>
      </w:r>
    </w:p>
    <w:p>
      <w:pPr>
        <w:spacing w:after="0" w:line="178" w:lineRule="exact"/>
        <w:rPr>
          <w:sz w:val="20"/>
          <w:szCs w:val="20"/>
          <w:color w:val="auto"/>
        </w:rPr>
      </w:pPr>
    </w:p>
    <w:p>
      <w:pPr>
        <w:ind w:left="160" w:right="80"/>
        <w:spacing w:after="0" w:line="281" w:lineRule="auto"/>
        <w:rPr>
          <w:sz w:val="20"/>
          <w:szCs w:val="20"/>
          <w:color w:val="auto"/>
        </w:rPr>
      </w:pPr>
      <w:r>
        <w:rPr>
          <w:rFonts w:ascii="Arial" w:cs="Arial" w:eastAsia="Arial" w:hAnsi="Arial"/>
          <w:sz w:val="17"/>
          <w:szCs w:val="17"/>
          <w:i w:val="1"/>
          <w:iCs w:val="1"/>
          <w:color w:val="auto"/>
        </w:rPr>
        <w:t xml:space="preserve">Government. </w:t>
      </w:r>
      <w:r>
        <w:rPr>
          <w:rFonts w:ascii="Arial" w:cs="Arial" w:eastAsia="Arial" w:hAnsi="Arial"/>
          <w:sz w:val="17"/>
          <w:szCs w:val="17"/>
          <w:color w:val="auto"/>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6"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competitiveness of Medicare Plans compared to the original Medicare program, as well as the compensation that health insurance carriers are allowed to pay to us.</w:t>
      </w:r>
    </w:p>
    <w:p>
      <w:pPr>
        <w:spacing w:after="0" w:line="175"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i w:val="1"/>
          <w:iCs w:val="1"/>
          <w:color w:val="auto"/>
        </w:rPr>
        <w:t xml:space="preserve">Carrier-employed agents. </w:t>
      </w:r>
      <w:r>
        <w:rPr>
          <w:rFonts w:ascii="Arial" w:cs="Arial" w:eastAsia="Arial" w:hAnsi="Arial"/>
          <w:sz w:val="18"/>
          <w:szCs w:val="18"/>
          <w:color w:val="auto"/>
        </w:rPr>
        <w:t>Some health insurance carriers directly market and sell their plans to consumers through their own agents, call centers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Although we offer health insurance plans for many of these carriers, they also compete with us by offering their plans directly to consumers. Most of these carriers have brand recognition, significant financial resources, and have become experienced in marketing their products to consumers through traditional and emerging channels.</w:t>
      </w:r>
    </w:p>
    <w:p>
      <w:pPr>
        <w:spacing w:after="0" w:line="190" w:lineRule="exact"/>
        <w:rPr>
          <w:sz w:val="20"/>
          <w:szCs w:val="20"/>
          <w:color w:val="auto"/>
        </w:rPr>
      </w:pPr>
    </w:p>
    <w:p>
      <w:pPr>
        <w:jc w:val="both"/>
        <w:ind w:left="160" w:right="40"/>
        <w:spacing w:after="0" w:line="281" w:lineRule="auto"/>
        <w:rPr>
          <w:sz w:val="20"/>
          <w:szCs w:val="20"/>
          <w:color w:val="auto"/>
        </w:rPr>
      </w:pPr>
      <w:r>
        <w:rPr>
          <w:rFonts w:ascii="Arial" w:cs="Arial" w:eastAsia="Arial" w:hAnsi="Arial"/>
          <w:sz w:val="17"/>
          <w:szCs w:val="17"/>
          <w:i w:val="1"/>
          <w:iCs w:val="1"/>
          <w:color w:val="auto"/>
        </w:rPr>
        <w:t xml:space="preserve">Independent agents and brokers. </w:t>
      </w:r>
      <w:r>
        <w:rPr>
          <w:rFonts w:ascii="Arial" w:cs="Arial" w:eastAsia="Arial" w:hAnsi="Arial"/>
          <w:sz w:val="17"/>
          <w:szCs w:val="17"/>
          <w:color w:val="auto"/>
        </w:rPr>
        <w:t>We compete with thousands of local insurance agents and brokers across the United States who sell insurance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their communities. While many of these agents offer health insurance products without significant utilization of advanced technology or the Internet, a number have embraced telesales or established websites providing an online shopping experience for consumers.</w:t>
      </w:r>
    </w:p>
    <w:p>
      <w:pPr>
        <w:spacing w:after="0" w:line="62"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i w:val="1"/>
          <w:iCs w:val="1"/>
          <w:color w:val="auto"/>
        </w:rPr>
        <w:t xml:space="preserve">Internet marketers and telesales distribution platforms. </w:t>
      </w:r>
      <w:r>
        <w:rPr>
          <w:rFonts w:ascii="Arial" w:cs="Arial" w:eastAsia="Arial" w:hAnsi="Arial"/>
          <w:sz w:val="18"/>
          <w:szCs w:val="18"/>
          <w:color w:val="auto"/>
        </w:rPr>
        <w:t>There are many marketing companies and distribution platforms that use the Internet or telesales</w:t>
      </w:r>
      <w:r>
        <w:rPr>
          <w:rFonts w:ascii="Arial" w:cs="Arial" w:eastAsia="Arial" w:hAnsi="Arial"/>
          <w:sz w:val="18"/>
          <w:szCs w:val="18"/>
          <w:i w:val="1"/>
          <w:iCs w:val="1"/>
          <w:color w:val="auto"/>
        </w:rPr>
        <w:t xml:space="preserve"> </w:t>
      </w:r>
      <w:r>
        <w:rPr>
          <w:rFonts w:ascii="Arial" w:cs="Arial" w:eastAsia="Arial" w:hAnsi="Arial"/>
          <w:sz w:val="18"/>
          <w:szCs w:val="18"/>
          <w:color w:val="auto"/>
        </w:rPr>
        <w:t>models to find consumers interested in purchasing health insurance and are compensated for referring those consumers to agents and carriers. We compete with these companies using similar business models to ours, such as eHealth, Inc. and SelectQuote Inc., for qualified prospects, sales, and carrier relationships.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18"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As of March 31, 2020, we employed 1,857 full-time employees, including 781 full time equivalent agents, and no part-time employees. We employed 1,810 people in the United States and 47 in Slovakia. During the Medicare annual enrollment period, we typically hire additional full time employees. None of our employees are represented by a labor union or are party to a collective bargaining agreement, and we have had no labor-related work stoppages. We believe that we have good relationships with our employees.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color w:val="auto"/>
        </w:rPr>
        <w:t>Our principal executive offices are located in Chicago, Illinois. In addition to our principal executive offices, we operate from one additional office located in Chicago, Illinois and from offices located in Charlotte, North Carolina; Lindon, Utah; and Slovakia. We lease each of our offices.</w:t>
      </w:r>
    </w:p>
    <w:p>
      <w:pPr>
        <w:spacing w:after="0" w:line="128" w:lineRule="exact"/>
        <w:rPr>
          <w:sz w:val="20"/>
          <w:szCs w:val="20"/>
          <w:color w:val="auto"/>
        </w:rPr>
      </w:pPr>
    </w:p>
    <w:p>
      <w:pPr>
        <w:jc w:val="both"/>
        <w:ind w:left="160" w:right="440"/>
        <w:spacing w:after="0" w:line="259" w:lineRule="auto"/>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use alternate facilities. We believe that our facilities are adequate for our needs and believe that we should be able to renew any of our leases or secure similar property without an adverse impact on our operations.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60" w:right="40"/>
        <w:spacing w:after="0" w:line="301"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60"/>
          </w:cols>
          <w:pgMar w:left="320" w:top="456"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provides information regarding our executive officers and members of our board of directors as of the date of this prospectus:</w:t>
      </w:r>
    </w:p>
    <w:p>
      <w:pPr>
        <w:sectPr>
          <w:pgSz w:w="11900" w:h="16838" w:orient="portrait"/>
          <w:cols w:equalWidth="0" w:num="1">
            <w:col w:w="11080"/>
          </w:cols>
          <w:pgMar w:left="320" w:top="456" w:right="499" w:bottom="1440" w:gutter="0" w:footer="0" w:header="0"/>
        </w:sect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auto"/>
        </w:rPr>
        <w:t>Name</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Clinton P. Jones</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Brandon M. Cruz</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r>
        <w:rPr>
          <w:rFonts w:ascii="Arial" w:cs="Arial" w:eastAsia="Arial" w:hAnsi="Arial"/>
          <w:sz w:val="14"/>
          <w:szCs w:val="14"/>
          <w:b w:val="1"/>
          <w:bCs w:val="1"/>
          <w:color w:val="auto"/>
        </w:rPr>
        <w:t xml:space="preser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13970</wp:posOffset>
            </wp:positionV>
            <wp:extent cx="43649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6499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  Co-Founder, Chief Executive Officer and Co-Chair of the Board of Directors</w:t>
      </w:r>
    </w:p>
    <w:p>
      <w:pPr>
        <w:spacing w:after="0" w:line="4" w:lineRule="exact"/>
        <w:rPr>
          <w:sz w:val="20"/>
          <w:szCs w:val="20"/>
          <w:color w:val="auto"/>
        </w:rPr>
      </w:pPr>
    </w:p>
    <w:p>
      <w:pPr>
        <w:ind w:left="340" w:hanging="310"/>
        <w:spacing w:after="0" w:line="24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Co-Founder, Chief Strategy Officer, Special Advisor to the Executive Team and Co-Chair of the Board of Directors</w:t>
      </w:r>
    </w:p>
    <w:p>
      <w:pPr>
        <w:spacing w:after="0" w:line="1" w:lineRule="exact"/>
        <w:rPr>
          <w:sz w:val="20"/>
          <w:szCs w:val="20"/>
          <w:color w:val="auto"/>
        </w:rPr>
      </w:pPr>
    </w:p>
    <w:p>
      <w:pPr>
        <w:sectPr>
          <w:pgSz w:w="11900" w:h="16838" w:orient="portrait"/>
          <w:cols w:equalWidth="0" w:num="2">
            <w:col w:w="3140" w:space="720"/>
            <w:col w:w="722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01"/>
        </w:trPr>
        <w:tc>
          <w:tcPr>
            <w:tcW w:w="2600" w:type="dxa"/>
            <w:vAlign w:val="bottom"/>
          </w:tcPr>
          <w:p>
            <w:pPr>
              <w:spacing w:after="0" w:line="201" w:lineRule="exact"/>
              <w:rPr>
                <w:sz w:val="20"/>
                <w:szCs w:val="20"/>
                <w:color w:val="auto"/>
              </w:rPr>
            </w:pPr>
            <w:r>
              <w:rPr>
                <w:rFonts w:ascii="Arial" w:cs="Arial" w:eastAsia="Arial" w:hAnsi="Arial"/>
                <w:sz w:val="18"/>
                <w:szCs w:val="18"/>
                <w:color w:val="auto"/>
              </w:rPr>
              <w:t>Shane E. Cruz</w:t>
            </w: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3240" w:type="dxa"/>
            <w:vAlign w:val="bottom"/>
          </w:tcPr>
          <w:p>
            <w:pPr>
              <w:ind w:left="60"/>
              <w:spacing w:after="0" w:line="201" w:lineRule="exact"/>
              <w:rPr>
                <w:sz w:val="20"/>
                <w:szCs w:val="20"/>
                <w:color w:val="auto"/>
              </w:rPr>
            </w:pPr>
            <w:r>
              <w:rPr>
                <w:rFonts w:ascii="Arial" w:cs="Arial" w:eastAsia="Arial" w:hAnsi="Arial"/>
                <w:sz w:val="18"/>
                <w:szCs w:val="18"/>
                <w:color w:val="auto"/>
              </w:rPr>
              <w:t>Chief Operating Officer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Brian Farley</w:t>
            </w: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3240" w:type="dxa"/>
            <w:vAlign w:val="bottom"/>
          </w:tcPr>
          <w:p>
            <w:pPr>
              <w:ind w:left="60"/>
              <w:spacing w:after="0"/>
              <w:rPr>
                <w:sz w:val="20"/>
                <w:szCs w:val="20"/>
                <w:color w:val="auto"/>
              </w:rPr>
            </w:pPr>
            <w:r>
              <w:rPr>
                <w:rFonts w:ascii="Arial" w:cs="Arial" w:eastAsia="Arial" w:hAnsi="Arial"/>
                <w:sz w:val="18"/>
                <w:szCs w:val="18"/>
                <w:color w:val="auto"/>
                <w:w w:val="89"/>
              </w:rPr>
              <w:t>Chief Legal Officer and Corporate Secretary</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Travis J. Matthiesen</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32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James A. Sharman</w:t>
            </w: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324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Rahm Emanuel</w:t>
            </w: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Joseph G. Flanagan</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Helene D. Gayle</w:t>
            </w: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Jeremy W. Gelber</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Anita V. Pramoda</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Miriam A. Tawil</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27"/>
        </w:trPr>
        <w:tc>
          <w:tcPr>
            <w:tcW w:w="2600" w:type="dxa"/>
            <w:vAlign w:val="bottom"/>
          </w:tcPr>
          <w:p>
            <w:pPr>
              <w:spacing w:after="0"/>
              <w:rPr>
                <w:sz w:val="20"/>
                <w:szCs w:val="20"/>
                <w:color w:val="auto"/>
              </w:rPr>
            </w:pPr>
            <w:r>
              <w:rPr>
                <w:rFonts w:ascii="Arial" w:cs="Arial" w:eastAsia="Arial" w:hAnsi="Arial"/>
                <w:sz w:val="18"/>
                <w:szCs w:val="18"/>
                <w:color w:val="auto"/>
              </w:rPr>
              <w:t>Alexander E. Timm</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w:t>
      </w:r>
    </w:p>
    <w:p>
      <w:pPr>
        <w:spacing w:after="0" w:line="118"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b w:val="1"/>
          <w:bCs w:val="1"/>
          <w:i w:val="1"/>
          <w:iCs w:val="1"/>
          <w:color w:val="auto"/>
        </w:rPr>
        <w:t xml:space="preserve">Clinton P. Jones </w:t>
      </w:r>
      <w:r>
        <w:rPr>
          <w:rFonts w:ascii="Arial" w:cs="Arial" w:eastAsia="Arial" w:hAnsi="Arial"/>
          <w:sz w:val="16"/>
          <w:szCs w:val="16"/>
          <w:color w:val="auto"/>
        </w:rPr>
        <w:t>is the co-founder of GoHealth and has served as GoHealth’s Chief Executive Officer since GoHealth’s founding in 2001. He has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a member of GoHealth, Inc.’s board of directors since 2020 and a member of GoHealth Holdings, LLC’s board of managers since 2019, as well as serving on the board of managers of GoHealth’s predecessor since its founding in 2001. He also serves as member of the board of directors of Bridge Legal. From June 2000 to January 2001, Mr. Jones served as Intranet Market Manager for Holt Value, a former division of Credit Suisse. Mr. Jones speaks regularly at industry events and conferences. He is also active in insurance regulatory forums. In 2013, Mr. Jones was recognized by Ernst &amp; Young as the Midwest Entrepreneur of the Year and was also named to the annual Chicago leadership list, Crain’s 40 under 40. Mr. Jones holds Bachelor of Science degrees in both Marketing and Management Information Systems from Miami University.</w:t>
      </w:r>
    </w:p>
    <w:p>
      <w:pPr>
        <w:spacing w:after="0" w:line="16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We believe Mr. Jones is qualified to serve on GoHealth, Inc.’s board of directors due to his extensive experience in the insurance industry and his knowledge of our business in particular, gained through his services as our co-founder and Chief Executive Officer.</w:t>
      </w:r>
    </w:p>
    <w:p>
      <w:pPr>
        <w:spacing w:after="0" w:line="152"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b w:val="1"/>
          <w:bCs w:val="1"/>
          <w:i w:val="1"/>
          <w:iCs w:val="1"/>
          <w:color w:val="auto"/>
        </w:rPr>
        <w:t xml:space="preserve">Brandon M. Cruz </w:t>
      </w:r>
      <w:r>
        <w:rPr>
          <w:rFonts w:ascii="Arial" w:cs="Arial" w:eastAsia="Arial" w:hAnsi="Arial"/>
          <w:sz w:val="17"/>
          <w:szCs w:val="17"/>
          <w:color w:val="auto"/>
        </w:rPr>
        <w:t>is the co-founder of GoHealth and has served as GoHealth’s Chief Strategy Officer and Special Advisor to the Executive Team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Prior to this role, he served as President of GoHealth since its founding in 2001. He has also been a member of GoHealth, Inc.’s board of directors since 2020 and a member of GoHealth Holdings, LLC’s board of managers since 2019, as well as serving on the board of managers of GoHealth’s predecessor since its founding. From 1999 to 2000, Mr. Cruz worked at Lante Corp. as a systems developer. Mr. Cruz is recognized throughout the technology industry as an influential thought leader, and speaks regularly on topics related to technology, health insurance and business operations. He is a board member of the Young Presidents’ Organization and serves on the board of Homecare Holdings, HealthJoy, and Imerman Angels. Mr. Cruz has also served as a member of the board of directors of Creatix, Inc., our subsidiary, from 2016 to 2019. In 2013, Mr. Cruz was recognized by Ernst &amp; Young as the Midwest Entrepreneur of the Year and was also named to the annual Chicago leadership list, Crain’s 40 under 40. Mr. Cruz holds a Bachelor of Science degree in Management Information Systems from Miami University, and is a member of the Miami University Business Advisory Council.</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6" w:right="49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We believe Mr. Cruz is qualified to serve on GoHealth, Inc.’s board of directors due to his extensive experience in the insurance industry and his knowledge of our business in particular, gained through his services as our co-founder and Chief Strategy Officer and Special Advisor to the Executive Team.</w:t>
      </w:r>
    </w:p>
    <w:p>
      <w:pPr>
        <w:spacing w:after="0" w:line="186"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b w:val="1"/>
          <w:bCs w:val="1"/>
          <w:i w:val="1"/>
          <w:iCs w:val="1"/>
          <w:color w:val="auto"/>
        </w:rPr>
        <w:t xml:space="preserve">Shane E. Cruz </w:t>
      </w:r>
      <w:r>
        <w:rPr>
          <w:rFonts w:ascii="Arial" w:cs="Arial" w:eastAsia="Arial" w:hAnsi="Arial"/>
          <w:sz w:val="16"/>
          <w:szCs w:val="16"/>
          <w:color w:val="auto"/>
        </w:rPr>
        <w:t>has served as GoHealth’s Chief Operating Officer since 2020 and prior to that, was the Chief Technology Officer of GoHealth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Previously, Mr. Cruz served as GoHealth’s Senior Vice President of Technology from 2012 to 2014 and as Vice President of Technology from 2006 to 2012. Mr. Cruz also served as a member of the board of directors of HealthJoy, our affiliate, from 2014 to 2019 and as a member of the board of directors of Creatix, Inc., our subsidiary, from 2015 to 2019. Mr. Cruz holds Bachelor of Science degrees in Computer Science and Engineering and a Master of Engineering in Electrical Engineering and Computer Science from the Massachusetts Institute of Technology.</w:t>
      </w:r>
    </w:p>
    <w:p>
      <w:pPr>
        <w:spacing w:after="0" w:line="161"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b w:val="1"/>
          <w:bCs w:val="1"/>
          <w:i w:val="1"/>
          <w:iCs w:val="1"/>
          <w:color w:val="auto"/>
        </w:rPr>
        <w:t xml:space="preserve">Brian Farley </w:t>
      </w:r>
      <w:r>
        <w:rPr>
          <w:rFonts w:ascii="Arial" w:cs="Arial" w:eastAsia="Arial" w:hAnsi="Arial"/>
          <w:sz w:val="18"/>
          <w:szCs w:val="18"/>
          <w:color w:val="auto"/>
        </w:rPr>
        <w:t>has served as GoHealth’s Chief Legal Officer and Corporate Secretary since 2020. Previously, Mr. Farley served in various roles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Allscripts Healthcare Solutions, Inc., including most recently as Executive Vice President, General Counsel and Chief Administrative Officer from 2013 to 2020. He also served in various positions, including as Corporate Vice President and General Counsel, at Motorola Mobility LLC, a provider of mobile communication devices and video and data delivery solutions, from 2005 to 2013. Mr. Farley holds a Bachelor of Arts in Political Economics from Colorado College, a Juris Doctor from The George Washington University National Law Center and an Executive Master’s in Business Administration from University of Colorado.</w:t>
      </w:r>
    </w:p>
    <w:p>
      <w:pPr>
        <w:spacing w:after="0" w:line="19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b w:val="1"/>
          <w:bCs w:val="1"/>
          <w:i w:val="1"/>
          <w:iCs w:val="1"/>
          <w:color w:val="auto"/>
        </w:rPr>
        <w:t xml:space="preserve">Travis J. Matthiesen </w:t>
      </w:r>
      <w:r>
        <w:rPr>
          <w:rFonts w:ascii="Arial" w:cs="Arial" w:eastAsia="Arial" w:hAnsi="Arial"/>
          <w:sz w:val="17"/>
          <w:szCs w:val="17"/>
          <w:color w:val="auto"/>
        </w:rPr>
        <w:t>has served as GoHealth’s Chief Financial Officer since 2018. Prior to serving as Chief Financial Officer, he served as GoHealth’s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Finance and Marketplace Operations from 2017 to 2018 and as GoHealth’s Corporate Controller from 2010 to 2017. He also served as a member of the board of directors of Creatix, Inc., our subsidiary, from 2018 to 2019. From 2006 to 2010, Mr. Matthiesen worked at the Assurance and Advisory Services Department of Ernst &amp; Young LLP. Mr. Matthiesen holds a Master of Business Administration from the University of Notre Dame and a Bachelor of Science degree in Accounting from Cedarville University.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 xml:space="preserve">James A. Sharman </w:t>
      </w:r>
      <w:r>
        <w:rPr>
          <w:rFonts w:ascii="Arial" w:cs="Arial" w:eastAsia="Arial" w:hAnsi="Arial"/>
          <w:sz w:val="17"/>
          <w:szCs w:val="17"/>
          <w:color w:val="auto"/>
        </w:rPr>
        <w:t>has served as GoHealth’s President since 2020 and prior to that, was the Chief Operating Officer of GoHealth since 2018.</w:t>
      </w:r>
    </w:p>
    <w:p>
      <w:pPr>
        <w:spacing w:after="0" w:line="31"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Mr. Sharman was also appointed as a director of Spartan Motors Inc.,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From 2006 through 2014, Mr. Sharman served as Managing Partner of Truecast Capital, LLC, an investment firm. His work history includes President and Chief Executive Officer of World Kitchen, Inc. and Rubicon Technology, Inc. He was Senior Vice President of Global Supply Chain for CNH as well as Vice President and General Manager, Latin America, for the Case Corporation. He served as the Commanding Officer of an Engineering Company in the United States Army and was an Assistant Professor at the United States Military Academy at West Point. Mr. Sharman holds a Master of Business Administration from Duke University and Bachelor of Science degree in Engineering from the United States Military Academy at West Point.</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w:t>
      </w:r>
    </w:p>
    <w:p>
      <w:pPr>
        <w:spacing w:after="0" w:line="118" w:lineRule="exact"/>
        <w:rPr>
          <w:sz w:val="20"/>
          <w:szCs w:val="20"/>
          <w:color w:val="auto"/>
        </w:rPr>
      </w:pPr>
    </w:p>
    <w:p>
      <w:pPr>
        <w:ind w:left="160" w:right="80"/>
        <w:spacing w:after="0" w:line="252" w:lineRule="auto"/>
        <w:rPr>
          <w:sz w:val="20"/>
          <w:szCs w:val="20"/>
          <w:color w:val="auto"/>
        </w:rPr>
      </w:pPr>
      <w:r>
        <w:rPr>
          <w:rFonts w:ascii="Arial" w:cs="Arial" w:eastAsia="Arial" w:hAnsi="Arial"/>
          <w:sz w:val="18"/>
          <w:szCs w:val="18"/>
          <w:b w:val="1"/>
          <w:bCs w:val="1"/>
          <w:i w:val="1"/>
          <w:iCs w:val="1"/>
          <w:color w:val="auto"/>
        </w:rPr>
        <w:t xml:space="preserve">Rahm Emanuel </w:t>
      </w:r>
      <w:r>
        <w:rPr>
          <w:rFonts w:ascii="Arial" w:cs="Arial" w:eastAsia="Arial" w:hAnsi="Arial"/>
          <w:sz w:val="18"/>
          <w:szCs w:val="18"/>
          <w:color w:val="auto"/>
        </w:rPr>
        <w:t>has served as a member of GoHealth, Inc.’s board of directors since 2020 and as a member of GoHealth Holdings, LLC’s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since 2020. Mr. Emanuel has been Senior Counselor at Centerview Partners since 2019, served as Mayor of Chicago from 2011 to 2019, as White House Chief of Staff from 2009 to 2010, as Chairman of the House Democratic Caucus from 2007 to 2009 and as a member of the United States House of Representatives from Illinois’s 5</w:t>
      </w:r>
      <w:r>
        <w:rPr>
          <w:rFonts w:ascii="Arial" w:cs="Arial" w:eastAsia="Arial" w:hAnsi="Arial"/>
          <w:sz w:val="15"/>
          <w:szCs w:val="15"/>
          <w:color w:val="auto"/>
        </w:rPr>
        <w:t>th</w:t>
      </w:r>
      <w:r>
        <w:rPr>
          <w:rFonts w:ascii="Arial" w:cs="Arial" w:eastAsia="Arial" w:hAnsi="Arial"/>
          <w:sz w:val="18"/>
          <w:szCs w:val="18"/>
          <w:color w:val="auto"/>
        </w:rPr>
        <w:t xml:space="preserve"> District from 2003 to 2009. From 2005 to 2007, Mr. Emanuel was the Chairman of the Democratic Congressional Campaign Committee. Mr. Emanuel worked at the investment bank Wasserstein Parella &amp; Co. from 1998 to 2000 and served as a member of the board of</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40"/>
          </w:cols>
          <w:pgMar w:left="320" w:top="456" w:right="5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80"/>
        <w:spacing w:after="0" w:line="259" w:lineRule="auto"/>
        <w:rPr>
          <w:sz w:val="20"/>
          <w:szCs w:val="20"/>
          <w:color w:val="auto"/>
        </w:rPr>
      </w:pPr>
      <w:r>
        <w:rPr>
          <w:rFonts w:ascii="Arial" w:cs="Arial" w:eastAsia="Arial" w:hAnsi="Arial"/>
          <w:sz w:val="18"/>
          <w:szCs w:val="18"/>
          <w:color w:val="auto"/>
        </w:rPr>
        <w:t>directors of Freddie Mac from 2000 to 2001 and a member of the board of directors of the Chicago Mercantile Exchange from 1999 to 2001. Under President Clinton’s administration, Mr. Emanuel served as Senior Advisor to the President from 1992 to 1998. Mr. Emanuel holds a Bachelor of Arts degree from Sarah Lawrence College and a Master of Arts degree from Northwestern University.</w:t>
      </w:r>
    </w:p>
    <w:p>
      <w:pPr>
        <w:spacing w:after="0" w:line="186" w:lineRule="exact"/>
        <w:rPr>
          <w:sz w:val="20"/>
          <w:szCs w:val="20"/>
          <w:color w:val="auto"/>
        </w:rPr>
      </w:pPr>
    </w:p>
    <w:p>
      <w:pPr>
        <w:ind w:left="160" w:right="720"/>
        <w:spacing w:after="0" w:line="271" w:lineRule="auto"/>
        <w:rPr>
          <w:sz w:val="20"/>
          <w:szCs w:val="20"/>
          <w:color w:val="auto"/>
        </w:rPr>
      </w:pPr>
      <w:r>
        <w:rPr>
          <w:rFonts w:ascii="Arial" w:cs="Arial" w:eastAsia="Arial" w:hAnsi="Arial"/>
          <w:sz w:val="18"/>
          <w:szCs w:val="18"/>
          <w:color w:val="auto"/>
        </w:rPr>
        <w:t>We believe Mr. Emanuel is qualified to serve on GoHealth, Inc.’s board of directors due to his financial expertise and many years of leadership experience.</w:t>
      </w:r>
    </w:p>
    <w:p>
      <w:pPr>
        <w:spacing w:after="0" w:line="17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b w:val="1"/>
          <w:bCs w:val="1"/>
          <w:i w:val="1"/>
          <w:iCs w:val="1"/>
          <w:color w:val="auto"/>
        </w:rPr>
        <w:t xml:space="preserve">Joseph G. Flanagan </w:t>
      </w:r>
      <w:r>
        <w:rPr>
          <w:rFonts w:ascii="Arial" w:cs="Arial" w:eastAsia="Arial" w:hAnsi="Arial"/>
          <w:sz w:val="17"/>
          <w:szCs w:val="17"/>
          <w:color w:val="auto"/>
        </w:rPr>
        <w:t>has served as a member of GoHealth, Inc.’s board of directors since 2020 and as a member of GoHealth Holdings, LLC’s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managers since 2020. Mr. Flanagan has also served as the President and Chief Executive Officer and as a member of the board of directors of R1 RCM Inc. (“R1”), a healthcare revenue cycle management company, since May 2016, after having served as R1’s President and Chief Operating Officer since April 2016. Mr. Flanagan joined R1 as Chief Operating Officer in April 2013 after serving as Senior Vice President of worldwide operations and supply chain at Applied Materials, Inc., a supplier of equipment, services and software for the manufacture of semiconductor chips for electronics, from 2010 to 2013, and as President of Nortel Business Services for Nortel Networks from 2009 to 2010. From 1993 to 2006, Mr. Flanagan worked for General Electric, holding leadership positions in many divisions. Mr. Flanagan holds a Bachelor of Science degree in Engineering from the United States Merchant Marine Academy.</w:t>
      </w:r>
    </w:p>
    <w:p>
      <w:pPr>
        <w:spacing w:after="0" w:line="180"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We believe Mr. Flanagan is qualified to serve on GoHealth, Inc.’s board of directors due to his knowledge of the healthcare industry and extensive board experience.</w:t>
      </w:r>
    </w:p>
    <w:p>
      <w:pPr>
        <w:spacing w:after="0" w:line="175"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b w:val="1"/>
          <w:bCs w:val="1"/>
          <w:i w:val="1"/>
          <w:iCs w:val="1"/>
          <w:color w:val="auto"/>
        </w:rPr>
        <w:t xml:space="preserve">Helene D. Gayle </w:t>
      </w:r>
      <w:r>
        <w:rPr>
          <w:rFonts w:ascii="Arial" w:cs="Arial" w:eastAsia="Arial" w:hAnsi="Arial"/>
          <w:sz w:val="17"/>
          <w:szCs w:val="17"/>
          <w:color w:val="auto"/>
        </w:rPr>
        <w:t>has served as a member of GoHealth, Inc.’s board of directors since 2020. Dr. Gayle has been the Chief Executive Officer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Chicago Community Trust since 2017. Prior to joining The Chicago Community Trust, from 2015 to 2017, Dr. Gayle served as the Chief Executive Officer at the McKinsey Social Initiative, a nonprofit organization launched by McKinsey &amp; Company that implements programs that bring together varied stakeholders to address complex global social challenges. From 2006 to 2015, Dr. Gayle served as President and Chief Executive Officer of CARE USA, a leading international humanitarian organization. For twenty years, from 1984 to 2004, Dr. Gayle worked for the Centers for Disease Control, with a variety of different assignments and retired as a Rear Admiral in the Public Health Service and an Assistant Surgeon General. From 2001 to 2006, she also worked at the Bill &amp; Melinda Gates Foundation directing programs on HIV/AIDS and other global health issues. Dr. Gayle serves as a member of the board of directors of The Coca-Cola Company, Colgate-Palmolive Company, the Federal Reserve Bank of Chicago, the Brookings Institution, the Center for Strategic and International Studies, the New America and the ONE Campaign. She is a member of the America Academy of Arts and Sciences, Council on Foreign Relations, the American Public Health Association, the National Academy of Medicine, and the American Academy of Pediatrics. Dr. Gayle was named one of Forbes’ “100 Most Powerful Women,” and she has authored numerous articles on global and domestic public health issues, poverty alleviation, gender equality, and social justice. She has also received eighteen honorary degrees and holds faculty appointments at the University of Washington and Emory University. Dr. Gayle holds a Bachelor of Arts in Psychology from Barnard College of Columbia University, a Doctor of Medicine degree from the University of Pennsylvania and a Master of Public Health degree from Johns Hopkins University.</w:t>
      </w:r>
    </w:p>
    <w:p>
      <w:pPr>
        <w:spacing w:after="0" w:line="18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We believe Dr. Gayle is qualified to serve on GoHealth, Inc.’s board of directors due to her extensive knowledge of the healthcare industry, extensive board experience and many years of leadership experience.</w:t>
      </w:r>
    </w:p>
    <w:p>
      <w:pPr>
        <w:spacing w:after="0" w:line="175" w:lineRule="exact"/>
        <w:rPr>
          <w:sz w:val="20"/>
          <w:szCs w:val="20"/>
          <w:color w:val="auto"/>
        </w:rPr>
      </w:pPr>
    </w:p>
    <w:p>
      <w:pPr>
        <w:jc w:val="both"/>
        <w:ind w:left="160" w:right="140"/>
        <w:spacing w:after="0" w:line="272" w:lineRule="auto"/>
        <w:rPr>
          <w:sz w:val="20"/>
          <w:szCs w:val="20"/>
          <w:color w:val="auto"/>
        </w:rPr>
      </w:pPr>
      <w:r>
        <w:rPr>
          <w:rFonts w:ascii="Arial" w:cs="Arial" w:eastAsia="Arial" w:hAnsi="Arial"/>
          <w:sz w:val="17"/>
          <w:szCs w:val="17"/>
          <w:b w:val="1"/>
          <w:bCs w:val="1"/>
          <w:i w:val="1"/>
          <w:iCs w:val="1"/>
          <w:color w:val="auto"/>
        </w:rPr>
        <w:t xml:space="preserve">Jeremy W. Gelber </w:t>
      </w:r>
      <w:r>
        <w:rPr>
          <w:rFonts w:ascii="Arial" w:cs="Arial" w:eastAsia="Arial" w:hAnsi="Arial"/>
          <w:sz w:val="17"/>
          <w:szCs w:val="17"/>
          <w:color w:val="auto"/>
        </w:rPr>
        <w:t>has served as a member of GoHealth, Inc.’s board of directors since 2020 and as a member of GoHealth Holdings, LLC’s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managers since 2019.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and also served as Executive Director in the Healthcare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6"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Investment Banking Division at Morgan Stanley. Mr. Gelber holds a Bachelor of Science degree from Dartmouth College and a Doctor of Medicine degree from Jefferson Medical College.</w:t>
      </w:r>
    </w:p>
    <w:p>
      <w:pPr>
        <w:spacing w:after="0" w:line="17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We believe Mr. Gelber is qualified to serve on GoHealth, Inc.’s board of directors due to his knowledge of the healthcare industry, broad financial expertise and many years of leadership experience.</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b w:val="1"/>
          <w:bCs w:val="1"/>
          <w:i w:val="1"/>
          <w:iCs w:val="1"/>
          <w:color w:val="auto"/>
        </w:rPr>
        <w:t xml:space="preserve">Anita V. Pramoda </w:t>
      </w:r>
      <w:r>
        <w:rPr>
          <w:rFonts w:ascii="Arial" w:cs="Arial" w:eastAsia="Arial" w:hAnsi="Arial"/>
          <w:sz w:val="18"/>
          <w:szCs w:val="18"/>
          <w:color w:val="auto"/>
        </w:rPr>
        <w:t>has served as a member of GoHealth, Inc.’s board of directors since 2020. Ms. Pramoda also serves as a member of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the Federal Reserve Bank of San Francisco (Los Angeles) and Health Catalyst, Inc., a provider of data and analytics technology and services to healthcare organizations. Ms. Pramoda is a Venture Partner and Executive Advisor at the Technology Crossover Ventures. Previously, Ms. Pramoda served as a member of the board of directors of Dignity Health Foundation, from 2013 to 2017, Allscripts Healthcare, LLC, from 2013 to 2016 and as Chief Financial Officer at Epic Systems Corporation, from 2009 to 2012. Ms. Pramoda holds a Master in Business Administration degree from the University of Pennsylvania - The Wharton School.</w:t>
      </w:r>
    </w:p>
    <w:p>
      <w:pPr>
        <w:spacing w:after="0" w:line="194"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believe Ms. Pramoda is qualified to serve on GoHealth, Inc.’s board of directors due to her extensive knowledge of the healthcare industry, extensive board experience and many years of leadership experience.</w:t>
      </w:r>
    </w:p>
    <w:p>
      <w:pPr>
        <w:spacing w:after="0" w:line="175"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b w:val="1"/>
          <w:bCs w:val="1"/>
          <w:i w:val="1"/>
          <w:iCs w:val="1"/>
          <w:color w:val="auto"/>
        </w:rPr>
        <w:t xml:space="preserve">Miriam A. Tawil </w:t>
      </w:r>
      <w:r>
        <w:rPr>
          <w:rFonts w:ascii="Arial" w:cs="Arial" w:eastAsia="Arial" w:hAnsi="Arial"/>
          <w:sz w:val="16"/>
          <w:szCs w:val="16"/>
          <w:color w:val="auto"/>
        </w:rPr>
        <w:t>has served as a member of GoHealth, Inc.’s board of directors since 2020. Ms. Tawil has been a Managing Director of Centerbridge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2012, where she focuses on investments in the healthcare and financial services sectors. Ms. Tawil also serves as a member of the board of directors of Civitas Solutions, Inc., Duo Bank of Canada and Remedi SeniorCare Holding Corporation.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w:t>
      </w:r>
    </w:p>
    <w:p>
      <w:pPr>
        <w:spacing w:after="0" w:line="161"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We believe Ms. Tawil is qualified to serve on GoHealth, Inc.’s board of directors due to her extensive knowledge of the healthcare industry, broad financial expertise and years of leadership experience.</w:t>
      </w:r>
    </w:p>
    <w:p>
      <w:pPr>
        <w:spacing w:after="0" w:line="17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b w:val="1"/>
          <w:bCs w:val="1"/>
          <w:i w:val="1"/>
          <w:iCs w:val="1"/>
          <w:color w:val="auto"/>
        </w:rPr>
        <w:t xml:space="preserve">Alexander E. Timm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Timm is also the Chief Executive Officer of Root Insurance Company, which he co-founded in 2015.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w:t>
      </w:r>
    </w:p>
    <w:p>
      <w:pPr>
        <w:spacing w:after="0" w:line="159"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Mr. Timm is qualified to serve on GoHealth, Inc.’s board of directors due to his extensive insurance industry experience, as well as his success in the entrepreneurial, tech, and data science industries.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160" w:right="80"/>
        <w:spacing w:after="0" w:line="301" w:lineRule="auto"/>
        <w:rPr>
          <w:sz w:val="20"/>
          <w:szCs w:val="20"/>
          <w:color w:val="auto"/>
        </w:rPr>
      </w:pPr>
      <w:r>
        <w:rPr>
          <w:rFonts w:ascii="Arial" w:cs="Arial" w:eastAsia="Arial" w:hAnsi="Arial"/>
          <w:sz w:val="17"/>
          <w:szCs w:val="17"/>
          <w:color w:val="auto"/>
        </w:rPr>
        <w:t>Brandon M. Cruz, our Co-Founder, Chief Strategy Officer and Special Advisor to the Executive Team and Director is the brother of Shane E. Cruz, our Chief Operating Officer. Otherwise, there are no family relationships among any of our executive officers or directors.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18"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Our business and affairs are managed under the direction of our board of directors, which will consist of nine members upon consummation of the Transactions. Our amended and restated certificate of incorporation will provide that, subject to the rights of the holders of preferred stock, the number of directors on our board of directors shall be fixed exclusively by resolution adopted by our board of directors (provided that such number shall not be less than the aggregate number of directors that the parties to the Stockholders Agreement are</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6" w:right="5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40"/>
        <w:spacing w:after="0" w:line="259" w:lineRule="auto"/>
        <w:rPr>
          <w:sz w:val="20"/>
          <w:szCs w:val="20"/>
          <w:color w:val="auto"/>
        </w:rPr>
      </w:pPr>
      <w:r>
        <w:rPr>
          <w:rFonts w:ascii="Arial" w:cs="Arial" w:eastAsia="Arial" w:hAnsi="Arial"/>
          <w:sz w:val="18"/>
          <w:szCs w:val="18"/>
          <w:color w:val="auto"/>
        </w:rPr>
        <w:t>entitled to designate from time to time). Our amended and restated certificate of incorporation and our amended and restated bylaws will provide that our board of directors will be divided into three classes, as nearly equal in number as possible, with the directors in each class serving for a three-year term, and one class being elected each year by our stockholders.</w:t>
      </w:r>
    </w:p>
    <w:p>
      <w:pPr>
        <w:spacing w:after="0" w:line="186"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7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Prior to the consummation of the Transactions, we will enter into the Stockholders Agreement with Centerbridge and NVX Holdings, pursuant to which each party thereto will agree to vote, or cause to be voted, all of their outstanding shares of our Class A common stock and Class B common stock at any annual or special meeting of stockholders in which directors are elected, so as to cause the election of the Centerbridge Directors, Centerbridge-Designated Independent Directors, Founders Directors and Founders-Designated Independent Directors. Immediately following the consummation of the Transactions, Centerbridge will own 80,792,677 shares of Class B common stock of GoHealth, Inc., which represents approximately 25.8% of the combined voting power of all of GoHealth, Inc.’s common stock. Our Founders will own 96,885,138 shares of Class B common stock of GoHealth, Inc., which represents approximately 30.9% of the combined voting power of all of GoHealth, Inc.’s common stock. For a description of the terms of the Stockholders Agreement, see “Certain Relationships and Related Party Transactions—Stockholders Agreement.”</w:t>
      </w:r>
    </w:p>
    <w:p>
      <w:pPr>
        <w:spacing w:after="0" w:line="166" w:lineRule="exact"/>
        <w:rPr>
          <w:sz w:val="20"/>
          <w:szCs w:val="20"/>
          <w:color w:val="auto"/>
        </w:rPr>
      </w:pPr>
    </w:p>
    <w:p>
      <w:pPr>
        <w:jc w:val="both"/>
        <w:ind w:left="160" w:right="100"/>
        <w:spacing w:after="0" w:line="297" w:lineRule="auto"/>
        <w:rPr>
          <w:sz w:val="20"/>
          <w:szCs w:val="20"/>
          <w:color w:val="auto"/>
        </w:rPr>
      </w:pPr>
      <w:r>
        <w:rPr>
          <w:rFonts w:ascii="Arial" w:cs="Arial" w:eastAsia="Arial" w:hAnsi="Arial"/>
          <w:sz w:val="16"/>
          <w:szCs w:val="16"/>
          <w:color w:val="auto"/>
        </w:rPr>
        <w:t>In accordance with our amended and restated certificate of incorporation and amended and restated bylaws, each of which will be in effect immediately prior to the consummation of the Transactions, our board of directors will be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p>
    <w:p>
      <w:pPr>
        <w:spacing w:after="0" w:line="66" w:lineRule="exact"/>
        <w:rPr>
          <w:sz w:val="20"/>
          <w:szCs w:val="20"/>
          <w:color w:val="auto"/>
        </w:rPr>
      </w:pPr>
    </w:p>
    <w:p>
      <w:pPr>
        <w:ind w:left="1140" w:right="60" w:hanging="438"/>
        <w:spacing w:after="0" w:line="271"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 directors will be Rahm Emanuel, Helene D. Gayle and Alexander E. Timm, and their terms will expire at the annual meeting of stockholders to be held in 2021;</w:t>
      </w:r>
    </w:p>
    <w:p>
      <w:pPr>
        <w:spacing w:after="0" w:line="80"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 directors will be Brandon M. Cruz, Joseph G. Flanagan and Miriam A. Tawil, and their terms will expire at the annual meeting of stockholders to be held in 2022; and</w:t>
      </w:r>
    </w:p>
    <w:p>
      <w:pPr>
        <w:spacing w:after="0" w:line="80"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III directors will be Clinton P. Jones, Jeremy W. Gelber and Anita V. Pramoda, and their terms will expire at the annual meeting of stockholders to be held in 2023.</w:t>
      </w:r>
    </w:p>
    <w:p>
      <w:pPr>
        <w:spacing w:after="0" w:line="17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Prior to the consummation of the Transactions, our board of directors undertook a review of the independence of our directors and considered whether any director has a relationship with us that could compromise that director’s ability to exercise independent judgment in carrying out that director’s responsibilities. Our board of directors has affirmatively determined that Rahm Emanuel, Joseph G. Flanagan, Helene D. Gayle, Jeremy W. Gelber, Anita V. Pramoda, Miriam A. Tawil and Alexander E. Timm are each an “independent director,” as defined under the Nasdaq rules. In making these determinations, our board of directors considered the current 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Party Transactions.”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6"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Controlled Company Exception</w:t>
      </w:r>
    </w:p>
    <w:p>
      <w:pPr>
        <w:spacing w:after="0" w:line="11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After the consummation of the Transactions, NVX Holdings and Centerbridge will have more than 50% of the combined voting power of our common stock. As a result, we will be a “controlled company” within the meaning of the corporate governance standards of the Nasdaq rules and intend to elect not to comply with certain corporate governance standards, including that: (1) a majority of our board of directors consists of “independent directors,” as defined under the Nasdaq rules; (2) we have a nominating and corporate governance committee that is composed entirely of independent directors with a written charter addressing the committee’s purpose and responsibilities; (3) we have a compensation committee that is composed entirely of independent directors with a written charter addressing the committee’s purpose and responsibilities; and (4) we perform annual performance evaluations of the nominating and corporate governance and compensation committees. We intend to rely on the foregoing exemptions provided to controlled companies under the Nasdaq rules. Therefore, immediately following the consummation of the Transactions,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the Nasdaq, we will be required to comply with these provisions within the applicable transition periods. See “Risk Factors—Risks Related to the Offering and Ownership of our Class A Common Stock—We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18"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its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27" w:lineRule="exact"/>
        <w:rPr>
          <w:sz w:val="20"/>
          <w:szCs w:val="20"/>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discussing with our independent registered public accounting firm any audit problems or difficulties and management’s response;</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60" w:hanging="438"/>
        <w:spacing w:after="0" w:line="271" w:lineRule="auto"/>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w:t>
      </w:r>
    </w:p>
    <w:p>
      <w:pPr>
        <w:spacing w:after="0" w:line="175" w:lineRule="exact"/>
        <w:rPr>
          <w:sz w:val="20"/>
          <w:szCs w:val="20"/>
          <w:color w:val="auto"/>
        </w:rPr>
      </w:pPr>
    </w:p>
    <w:p>
      <w:pPr>
        <w:ind w:left="160" w:right="160"/>
        <w:spacing w:after="0" w:line="266" w:lineRule="auto"/>
        <w:rPr>
          <w:sz w:val="20"/>
          <w:szCs w:val="20"/>
          <w:color w:val="auto"/>
        </w:rPr>
      </w:pPr>
      <w:r>
        <w:rPr>
          <w:rFonts w:ascii="Arial" w:cs="Arial" w:eastAsia="Arial" w:hAnsi="Arial"/>
          <w:sz w:val="17"/>
          <w:szCs w:val="17"/>
          <w:color w:val="auto"/>
        </w:rPr>
        <w:t xml:space="preserve">Upon the consummation of the Transactions, our audit committee will consist of Joseph G. Flanagan, Anita V. Pramoda and Alexander E. Timm, with Anita V. Pramoda serving as chair. Rule 10A-3 of the Exchange Act and the Nasdaq rules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affirmatively determined that Joseph G. Flanagan, Anita V. Pramoda and Alexander E. Timm each meet the definition of “independent director” for purposes of serving on the audit committee under the Nasdaq rules and the independence standards under Rule 10A-3 of the Exchange Act and the Nasdaq rules. Each member of our audit committee meets the financial literacy requirements of the Nasdaq rules. In addition, our board of directors has determined that Anita V. Pramoda will qualify as an “audit committee financial expert,” as such term is defined in Item 407(d)(5) of Regulation S-K. Our board of directors will adopt a written charter for the audit committee, which will be available on our principal corporate website at </w:t>
      </w:r>
      <w:r>
        <w:rPr>
          <w:rFonts w:ascii="Arial" w:cs="Arial" w:eastAsia="Arial" w:hAnsi="Arial"/>
          <w:sz w:val="17"/>
          <w:szCs w:val="17"/>
          <w:i w:val="1"/>
          <w:iCs w:val="1"/>
          <w:color w:val="auto"/>
        </w:rPr>
        <w:t>www.gohealth.com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27" w:lineRule="exact"/>
        <w:rPr>
          <w:sz w:val="20"/>
          <w:szCs w:val="20"/>
          <w:color w:val="auto"/>
        </w:rPr>
      </w:pPr>
    </w:p>
    <w:p>
      <w:pPr>
        <w:ind w:left="1140" w:right="120" w:hanging="438"/>
        <w:spacing w:after="0" w:line="301" w:lineRule="auto"/>
        <w:tabs>
          <w:tab w:leader="none" w:pos="11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our board of directors, consistent with criteria approved by our board of directors as set forth in our corporate governance guidelines and in accordance with the terms of the Stockholders Agreement;</w:t>
      </w:r>
    </w:p>
    <w:p>
      <w:pPr>
        <w:spacing w:after="0" w:line="58" w:lineRule="exact"/>
        <w:rPr>
          <w:rFonts w:ascii="Arial" w:cs="Arial" w:eastAsia="Arial" w:hAnsi="Arial"/>
          <w:sz w:val="17"/>
          <w:szCs w:val="17"/>
          <w:color w:val="auto"/>
        </w:rPr>
      </w:pPr>
    </w:p>
    <w:p>
      <w:pPr>
        <w:ind w:left="1140" w:right="100" w:hanging="438"/>
        <w:spacing w:after="0" w:line="271" w:lineRule="auto"/>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annually reviewing the committee structure of the board of directors and recommending to the board of the directors the directors to serve as members of each committee;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21" w:lineRule="exact"/>
        <w:rPr>
          <w:sz w:val="20"/>
          <w:szCs w:val="20"/>
          <w:color w:val="auto"/>
        </w:rPr>
      </w:pPr>
    </w:p>
    <w:p>
      <w:pPr>
        <w:ind w:left="160" w:right="140"/>
        <w:spacing w:after="0" w:line="269" w:lineRule="auto"/>
        <w:rPr>
          <w:sz w:val="20"/>
          <w:szCs w:val="20"/>
          <w:color w:val="auto"/>
        </w:rPr>
      </w:pPr>
      <w:r>
        <w:rPr>
          <w:rFonts w:ascii="Arial" w:cs="Arial" w:eastAsia="Arial" w:hAnsi="Arial"/>
          <w:sz w:val="17"/>
          <w:szCs w:val="17"/>
          <w:color w:val="auto"/>
        </w:rPr>
        <w:t xml:space="preserve">Upon the consummation of the Transactions, our nominating and corporate governance committee will consist of Clinton P. Jones, Rahm Emanuel, Joseph G. Flanagan, Helene D. Gayle and Jeremy W. Gelber, with Rahm Emanuel serving as chair. We intend to avail ourselves of the “controlled company” exception under the Nasdaq rules, which exempts us from the requirement that we have a nominating and corporate governance committee composed entirely of independent directors. Clinton P. Jones and Brandon M. Cruz do not qualify as “independent directors” under the Nasdaq rules. Our board of directors will adopt a written charter for the nominating and corporate governance committee, which will be available on our principal corporate website at </w:t>
      </w:r>
      <w:r>
        <w:rPr>
          <w:rFonts w:ascii="Arial" w:cs="Arial" w:eastAsia="Arial" w:hAnsi="Arial"/>
          <w:sz w:val="17"/>
          <w:szCs w:val="17"/>
          <w:i w:val="1"/>
          <w:iCs w:val="1"/>
          <w:color w:val="auto"/>
        </w:rPr>
        <w:t>www.gohealth.com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27" w:lineRule="exact"/>
        <w:rPr>
          <w:sz w:val="20"/>
          <w:szCs w:val="20"/>
          <w:color w:val="auto"/>
        </w:rPr>
      </w:pPr>
    </w:p>
    <w:p>
      <w:pPr>
        <w:ind w:left="1140" w:hanging="438"/>
        <w:spacing w:after="0" w:line="271" w:lineRule="auto"/>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our Chief Executive Officer and other executive officers;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director compensation; and</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incentive compensation and equity-based plans and arrangements and making grants of cash-based and equity-based awards under such plans.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60"/>
          </w:cols>
          <w:pgMar w:left="320" w:top="456"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 xml:space="preserve">Upon the consummation of the Transactions, our compensation committee will consist of Brandon M. Cruz, Rahm Emanuel and Jeremy W. Gelber, with Brandon M. Cruz serving as chair. We intend to avail ourselves of the “controlled company” exception under the Nasdaq rules, which exempts us from the requirement that we have a compensation committee composed entirely of independent directors. Clinton P. Jones and Brandon M. Cruz do not qualify as “independent directors” under the Nasdaq rules. Our board of directors will adopt a written charter for the compensation committee, which will be available on our principal corporate website at </w:t>
      </w:r>
      <w:r>
        <w:rPr>
          <w:rFonts w:ascii="Arial" w:cs="Arial" w:eastAsia="Arial" w:hAnsi="Arial"/>
          <w:sz w:val="16"/>
          <w:szCs w:val="16"/>
          <w:i w:val="1"/>
          <w:iCs w:val="1"/>
          <w:color w:val="auto"/>
        </w:rPr>
        <w:t>www.gohealth.com</w:t>
      </w:r>
      <w:r>
        <w:rPr>
          <w:rFonts w:ascii="Arial" w:cs="Arial" w:eastAsia="Arial" w:hAnsi="Arial"/>
          <w:sz w:val="16"/>
          <w:szCs w:val="16"/>
          <w:color w:val="auto"/>
        </w:rPr>
        <w:t xml:space="preserve"> substantially concurrently with the consummation of the Transactions. The information on any of our websites is deemed not to be incorporated in this prospectus or to be part of this prospectus.</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 Oversight</w:t>
      </w:r>
    </w:p>
    <w:p>
      <w:pPr>
        <w:spacing w:after="0" w:line="11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policies and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Brandon M. Cruz, a member of our compensation committee, is an officer and employee of the Company. Other than Mr. Cruz, no other members of our compensation committee is or has been an officer or employee of the Company. 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 xml:space="preserve">Prior to the completion of the Transactions, we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t>
      </w:r>
      <w:r>
        <w:rPr>
          <w:rFonts w:ascii="Arial" w:cs="Arial" w:eastAsia="Arial" w:hAnsi="Arial"/>
          <w:sz w:val="17"/>
          <w:szCs w:val="17"/>
          <w:i w:val="1"/>
          <w:iCs w:val="1"/>
          <w:color w:val="auto"/>
        </w:rPr>
        <w:t>www.gohealth.com</w:t>
      </w:r>
      <w:r>
        <w:rPr>
          <w:rFonts w:ascii="Arial" w:cs="Arial" w:eastAsia="Arial" w:hAnsi="Arial"/>
          <w:sz w:val="17"/>
          <w:szCs w:val="17"/>
          <w:color w:val="auto"/>
        </w:rPr>
        <w:t>. In addition, we intend to post on our website all disclosures that are required by law or the Nasdaq rules concerning any amendments to, or waivers from, any provision of the code. The information on any of our websites is deemed not to be incorporated in this prospectus or to be part of this prospectus.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6"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“2019 Summary Compensation Table” below. For the year ended December 31, 2019, our “named executive officers” and their positions were as follows:</w:t>
      </w:r>
    </w:p>
    <w:p>
      <w:pPr>
        <w:spacing w:after="0" w:line="35" w:lineRule="exact"/>
        <w:rPr>
          <w:sz w:val="20"/>
          <w:szCs w:val="20"/>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Brandon M. Cruz, President (together with Clinton P. Jones,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Clinton P. Jones, Chief Executive Officer (together with Brandon M. Cruz,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Shane E. Cruz, Chief Technology Officer; and</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James A. Sharman, Chief Operating Officer.</w:t>
      </w:r>
    </w:p>
    <w:p>
      <w:pPr>
        <w:spacing w:after="0" w:line="221"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Summary Compensation Table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2019.</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Incentive Plan</w:t>
            </w:r>
          </w:p>
        </w:tc>
        <w:tc>
          <w:tcPr>
            <w:tcW w:w="10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80" w:type="dxa"/>
            <w:vAlign w:val="bottom"/>
            <w:gridSpan w:val="2"/>
            <w:vMerge w:val="continue"/>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4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260" w:type="dxa"/>
            <w:vAlign w:val="bottom"/>
          </w:tcPr>
          <w:p>
            <w:pPr>
              <w:spacing w:after="0"/>
              <w:rPr>
                <w:sz w:val="15"/>
                <w:szCs w:val="15"/>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4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2019</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325,000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3,989,833</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5,893</w:t>
            </w:r>
          </w:p>
        </w:tc>
        <w:tc>
          <w:tcPr>
            <w:tcW w:w="480" w:type="dxa"/>
            <w:vAlign w:val="bottom"/>
            <w:tcBorders>
              <w:top w:val="single" w:sz="8" w:color="CCEEFF"/>
            </w:tcBorders>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w w:val="90"/>
              </w:rPr>
              <w:t>(3)</w:t>
            </w: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4,670,726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President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3,989,833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1,595,933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8,657,748</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10,903,681</w:t>
            </w: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Technology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Sharman</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1,595,933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15,136,805</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17,832,738</w:t>
            </w:r>
          </w:p>
        </w:tc>
        <w:tc>
          <w:tcPr>
            <w:tcW w:w="0" w:type="dxa"/>
            <w:vAlign w:val="bottom"/>
          </w:tcPr>
          <w:p>
            <w:pPr>
              <w:spacing w:after="0"/>
              <w:rPr>
                <w:sz w:val="1"/>
                <w:szCs w:val="1"/>
                <w:color w:val="auto"/>
              </w:rPr>
            </w:pPr>
          </w:p>
        </w:tc>
      </w:tr>
      <w:tr>
        <w:trPr>
          <w:trHeight w:val="227"/>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ind w:left="600" w:right="40" w:hanging="433"/>
        <w:spacing w:after="0" w:line="264" w:lineRule="auto"/>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profits interests granted during the year ended December 31, 2019 computed in accordance with FASB ASC Topic 718, Compensation—Stock Compensation. See Note 8 of the audited consolidated financial statements included elsewhere in this prospectus for a discussion of the relevant assumptions used in calculating these amounts. The amounts reported in this column reflect the aggregate grant date fair value for the profits interests as determined for financial accounting purposes and do not correspond to the actual economic value that may be received by the named executive officers from these awards. With respect to all performance-vesting awards granted in the year ended December 31, 2019, the value was calculated using a Monte-Carlo simulation model. Under ASC 718,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2" w:lineRule="exact"/>
        <w:rPr>
          <w:rFonts w:ascii="Arial" w:cs="Arial" w:eastAsia="Arial" w:hAnsi="Arial"/>
          <w:sz w:val="17"/>
          <w:szCs w:val="17"/>
          <w:color w:val="auto"/>
        </w:rPr>
      </w:pPr>
    </w:p>
    <w:p>
      <w:pPr>
        <w:ind w:left="600" w:right="180" w:hanging="433"/>
        <w:spacing w:after="0" w:line="256"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Amounts reflect annual cash performance-based bonuses earned during the year ended December 31, 2019. For additional information about the annual cash performance-based bonuses, please see the section titled “2019 Bonuses” below.</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880" w:hanging="433"/>
        <w:spacing w:after="0" w:line="255"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Amount reflects (i) $293 in life and accidental death and dismemberment, or AD&amp;D, insurance premiums; and (ii) $5,600 in matching contributions under the Company’s 401(k) plan.</w:t>
      </w:r>
    </w:p>
    <w:p>
      <w:pPr>
        <w:ind w:left="600" w:hanging="433"/>
        <w:spacing w:after="0" w:line="248"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Amount reflects (i) $270 in life and AD&amp;D insurance premiums; (ii) $5,600 in matching contributions under the Company’s 401(k) plan; (iii) a $716,725 distribution payment made to Mr. Cruz in connection with the Centerbridge Acquisition in respect of NVX Holdings phantom stock held by Mr. Cruz at the time of the distribution payment, and which Mr. Cruz continued to hold thereafter, and (iv) a $7,935,153 change in control payment made to Mr. Cruz in exchange for (and as the result of a modification of) his Norvax, LLC Class C Units in connection with the Centerbridge Acquisition.</w:t>
      </w:r>
    </w:p>
    <w:p>
      <w:pPr>
        <w:ind w:left="600" w:right="560" w:hanging="433"/>
        <w:spacing w:after="0" w:line="318" w:lineRule="auto"/>
        <w:tabs>
          <w:tab w:leader="none" w:pos="6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Amount reflects (i) $293 in life and AD&amp;D insurance premiums and (ii) a $15,136,512 change in control payment made to Mr. Sharman in exchange for (and as the result of a modification of) his Norvax, LLC Class C Units in connection with the Centerbridge Acquisition.</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Salaries</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Base salaries were not changed for the year ended December 31, 2019.</w:t>
      </w:r>
    </w:p>
    <w:p>
      <w:pPr>
        <w:spacing w:after="0" w:line="186"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In connection with this offering, we expect that our executive compensation program will evolve to reflect our status as a newly publicly-traded company, while still supporting our overall business and compensation objectives. In connection with this offering, management has retained Pearl Meyer, an independent executive compensation consultant, to help advise on our post-offering executive compensation program.</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Bonuses</w:t>
      </w:r>
    </w:p>
    <w:p>
      <w:pPr>
        <w:spacing w:after="0" w:line="11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The Company provides annual incentive cash bonuses, which we refer to as “Annual Bonuses,” to its named executive officers under its 2019 Executive Compensation and Bonus Plan, which we refer to as the “Annual Bonus Plan.” Under the Annual Bonus Plan, Annual Bonuses are determined based on achievement of Company revenue and EBITDA targets. Company targets are generally established by the board of directors in its discretion during the first quarter of the fiscal year.</w:t>
      </w:r>
    </w:p>
    <w:p>
      <w:pPr>
        <w:spacing w:after="0" w:line="190"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Annual Bonuses are generally paid after the end of the fiscal year in which they were earned, with any payments occurring prior to the completion of our annual audit reconciled after the completion of the annual audit. In the event Company revenue or EBITDA falls below 80% of the pre-established target in any given year, no Annual Bonus is paid in respect of that target. For the fiscal year ended December 31, 2019, 60% of each named executive officer’s Annual Bonus was based on the Company’s EBITDA performance and 40% of each named executive officer’s Annual Bonus was based on the Company’s revenue performance.</w:t>
      </w:r>
    </w:p>
    <w:p>
      <w:pPr>
        <w:spacing w:after="0" w:line="193"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Annual Bonus amounts are based on individualized target amounts for the applicable year, with ultimate payouts ranging from 20% to 200% of these individualized targets. For the fiscal year ended December 31, 2019, the target Annual Bonus amounts for Brandon M. Cruz, Clinton P. Jones, and Shane E. Cruz were $175,000 and the target Annual Bonus amount for James A. Sharman was $350,000. For the fiscal year ended December 31, 2019, Annual Bonuses were paid out at 200% of target, resulting in Annual Bonuses of $350,000 each for Brandon M. Cruz, Clinton P. Jones, and Shane E. Cruz and $700,000 for James A. Sharman.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Our named executive officers currently hold profits interests in Blizzard Management Feeder, LLC. We refer to these profits interests as “Incentive Units.” Specifically, in the fiscal year ended December 31, 2019, Brandon M. Cruz and Clinton P. Jones were each granted 12,239,764 Incentive Units and Shane E. Cruz and James A. Sharman were each granted 4,895,906 Incentive Units, as set forth below. The Incentive Units are divided approximately one-third and two-thirds between Service Units, which generally vest in equal annual installments over five years, and Performance Units, which generally vest subject to satisfaction of performance-vesting targets, respectively.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6"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In connection with this offering, we intend to amend the agreements pursuant to which the Incentive Units were granted to our executive officers to provide that satisfaction of the performance-vesting targets will be measured against the deemed return on investment to Centerbridge based on the initial public offering price of this offering, as adjusted to account for Centerbridge liabilities, and that the Performance Units will vest upon the effectiveness of this offering to the extent such performance-vesting targets have been satisfied. The amendment will provide that one-third (1/3) of the vested Performance Units, if any, will be subject to lock-up terms with similar restrictions to the lock-up agreement described under “Shares Eligible for Future Sale—Lock-Up Agreements,” which terms are currently contemplated to end 180 days after the effective date of this prospectus, and the remaining two-thirds (2/3) of the vested Performance Units, if any, will be subject to lock-up terms with similar restrictions to the lock-up agreement described under “Shares Eligible for Future Sale—Lock-Up Agreements,” but which terms will end eighteen (18) months after the consummation of this offering. These amendments, as well as an amendment to Brandon Cruz’s agreement, dated as of April 16, 2020, also provide for accelerated vesting of the Service Units upon an executive’s termination of employment by the Company without Cause (as such term is defined in the Incentive Unit plan document) or by the executive with Good Reason (to the extent such term is defined in the named executive officer’s services agreement with the Company, which agreements are described under the section titled “—Executive Compensation Arrangements” below); provided that Shane Cruz will only be entitled to such acceleration of vesting if such termination of his employment occurs within the twelve (12) month period beginning on the date of the consummation of this offering.</w:t>
      </w:r>
    </w:p>
    <w:p>
      <w:pPr>
        <w:spacing w:after="0" w:line="188"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Further, in connection with this offering, we intend to exchange each Incentive Unit for common units of Blizzard Management Feeder, LLC, which we refer to as “Management Common Units,” on a “value-for-value” basis based on the fair market value of the Incentive Units at the time of the offering and the common stock price in the offering. Following this conversion, the Management Common Units which are Service Units will be subject to the same vesting conditions as well as all other terms and conditions applicable to the Incentive Units which are Service Units under the existing Incentive Unit award agreements, as amended. Following this conversion, the Management Common Units which are Performance Units will be subject to the amended vesting conditions described above and any Management Common Units which are Performance Units that do not vest according to the amended vesting conditions described above in connection with this offering will be forfeited for no consideration. For additional information about the profits units to which the Incentive Units correspond, please see the section titled “—Parent Unit Plan” below.</w:t>
      </w:r>
    </w:p>
    <w:p>
      <w:pPr>
        <w:spacing w:after="0" w:line="166"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Under the documentation of the Incentive Units in effect as of December 31, 2019,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(to the extent such term is defined in the named executive officer’s services agreement with the Company, which agreements are described under the section titled “—Executive Compensation Arrangements” below), and the vesting of the Performance Units is based on achieving specified multiples of invested capital by Centerbridge, subject to the named executive officer’s continuous employment through the applicable vesting date. Additionally, in the event a named executive officer is terminated without Cause or as a result of death or disability or resigns for Good Reason, and any event occurs during the six-month period following the date of such termination that would have otherwise caused any unvested Incentive Units to become vested if the named executive officer had remained employed through the date of such event, then such unvested Incentive Units that would have become vested in connection with such event shall vest as though the named executive officer had remained employed during such period. The Compensation Committee of GoHealth Holdings, LLC, as the administrator of the Incentive Unit plan, has the discretion to accelerate the vesting of any Incentive Units, all Incentive Units, or any class of Incentive Units at any time and from time to time.</w:t>
      </w:r>
    </w:p>
    <w:p>
      <w:pPr>
        <w:spacing w:after="0" w:line="169"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The Incentive Unit plan document assigns to “Cause” the definition in the applicable participant’s employment or services agreement with the Company, or, in the absence of such an employment or services agreement, the meaning set forth in the Company’s operating agreement, which defines “Cause” as (i)(A) the willful failure or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6"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 xml:space="preserve">refusal to perform material responsibilities that have been reasonably requested by the board of directors; (B) dishonesty to the board of directors with respect to any material matter; or (C) misappropriation of funds or property of the Company or any of its subsidiaries or affiliates other than the occasional, customary and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use of Company property for personal purposes; provided, in the case of each of clause (i)(A)-(C), that, where the Company has determined reasonably and in good faith that such act can reasonably be cured, the Company has provided 30 days’ prior written notice of such conduct and such conduct is not cured within such 30 day period; (ii) the arrest or charging for (A) any felony or (B) a misdemeanor involving moral turpitude, deceit, dishonesty or fraud; (iii) the engagement in on-the-job conduct that consists either of gross misconduct or a material violation of the Company or any of its subsidiaries’ written code of ethics or company policies, and which is materially detrimental to the Company and its subsidiaries (including material reputational harm); or (iv) a breach of a non-competition covenant set forth in an employment agreement or restrictive covenants agreement.</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Incentive Units granted to our named executive officers in the fiscal year ended December 31, 2019.</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5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2019 Incentive Units</w:t>
            </w: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vMerge w:val="continue"/>
          </w:tcPr>
          <w:p>
            <w:pPr>
              <w:spacing w:after="0"/>
              <w:rPr>
                <w:sz w:val="15"/>
                <w:szCs w:val="15"/>
                <w:color w:val="auto"/>
              </w:rPr>
            </w:pPr>
          </w:p>
        </w:tc>
        <w:tc>
          <w:tcPr>
            <w:tcW w:w="4580" w:type="dxa"/>
            <w:vAlign w:val="bottom"/>
          </w:tcPr>
          <w:p>
            <w:pPr>
              <w:spacing w:after="0"/>
              <w:rPr>
                <w:sz w:val="15"/>
                <w:szCs w:val="15"/>
                <w:color w:val="auto"/>
              </w:rPr>
            </w:pPr>
          </w:p>
        </w:tc>
        <w:tc>
          <w:tcPr>
            <w:tcW w:w="128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1"/>
        </w:trPr>
        <w:tc>
          <w:tcPr>
            <w:tcW w:w="15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12,239,764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Clinton P. Jones</w:t>
            </w:r>
          </w:p>
        </w:tc>
        <w:tc>
          <w:tcPr>
            <w:tcW w:w="5860" w:type="dxa"/>
            <w:vAlign w:val="bottom"/>
            <w:gridSpan w:val="3"/>
          </w:tcPr>
          <w:p>
            <w:pPr>
              <w:jc w:val="right"/>
              <w:ind w:right="40"/>
              <w:spacing w:after="0"/>
              <w:rPr>
                <w:sz w:val="20"/>
                <w:szCs w:val="20"/>
                <w:color w:val="auto"/>
              </w:rPr>
            </w:pPr>
            <w:r>
              <w:rPr>
                <w:rFonts w:ascii="Arial" w:cs="Arial" w:eastAsia="Arial" w:hAnsi="Arial"/>
                <w:sz w:val="18"/>
                <w:szCs w:val="18"/>
                <w:color w:val="auto"/>
              </w:rPr>
              <w:t>12,239,764</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Shane E. Cruz</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9"/>
              </w:rPr>
              <w:t>James A. Sharman</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intend to adopt a 2020 Incentive Award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we believe is essential to our long-term success. We expect that the 2020 Incentive Award Plan will be effective prior to the effectiveness of this offering. For additional information about the 2020 Incentive Award Plan, please see the section titled “—New Incentive Plans” below.</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Elements of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4"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Internal Revenue Code of 1986, as amended (the “Code”), allows eligible employees to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named executive officers, in accordance with our compensation policies.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14"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 participate in our health and welfare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81" w:lineRule="exact"/>
        <w:rPr>
          <w:sz w:val="20"/>
          <w:szCs w:val="20"/>
          <w:color w:val="auto"/>
        </w:rPr>
      </w:pPr>
    </w:p>
    <w:p>
      <w:pPr>
        <w:ind w:left="1140" w:hanging="438"/>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6" w:right="5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commuter benefits;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221" w:lineRule="exact"/>
        <w:rPr>
          <w:sz w:val="20"/>
          <w:szCs w:val="20"/>
          <w:color w:val="auto"/>
        </w:rPr>
      </w:pPr>
    </w:p>
    <w:p>
      <w:pPr>
        <w:ind w:left="160" w:right="140"/>
        <w:spacing w:after="0" w:line="270"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employees, including our named executive officers. Brandon Cruz and Clinton Jones are also entitled to reimbursement for up to 100 hours of personal private airplane use per year, so long as such reimbursed costs are commercially reasonable and do not include hangar costs, catering, insurance, or personal property taxes. Neither Brandon Cruz nor Clinton Jones is entitled to any tax gross-up payment in connection with the reimbursement of these expenses. Neither Brandon Cruz nor Clinton Jones received any such airplane reimbursements for the year ended December 31, 2019 and, during the year ended December 31, 2019, we did not provide any other perquisites to our employees.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following table summarizes the number of Incentive Units underlying outstanding equity incentive plan awards for each named executive officer as of December 31, 2019.</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Incentive Unit Awards</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center"/>
              <w:ind w:right="460"/>
              <w:spacing w:after="0" w:line="118" w:lineRule="exact"/>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Unearned</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Number of Service</w:t>
            </w:r>
          </w:p>
        </w:tc>
        <w:tc>
          <w:tcPr>
            <w:tcW w:w="460" w:type="dxa"/>
            <w:vAlign w:val="bottom"/>
          </w:tcPr>
          <w:p>
            <w:pPr>
              <w:spacing w:after="0"/>
              <w:rPr>
                <w:sz w:val="13"/>
                <w:szCs w:val="13"/>
                <w:color w:val="auto"/>
              </w:rPr>
            </w:pPr>
          </w:p>
        </w:tc>
        <w:tc>
          <w:tcPr>
            <w:tcW w:w="150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6"/>
              </w:rPr>
              <w:t>Market Value of</w:t>
            </w:r>
          </w:p>
        </w:tc>
        <w:tc>
          <w:tcPr>
            <w:tcW w:w="140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1"/>
              </w:rPr>
              <w:t>Performance</w:t>
            </w:r>
          </w:p>
        </w:tc>
        <w:tc>
          <w:tcPr>
            <w:tcW w:w="10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3"/>
              </w:rPr>
              <w:t>Incentive Units That</w:t>
            </w:r>
          </w:p>
        </w:tc>
        <w:tc>
          <w:tcPr>
            <w:tcW w:w="460" w:type="dxa"/>
            <w:vAlign w:val="bottom"/>
          </w:tcPr>
          <w:p>
            <w:pPr>
              <w:spacing w:after="0"/>
              <w:rPr>
                <w:sz w:val="12"/>
                <w:szCs w:val="12"/>
                <w:color w:val="auto"/>
              </w:rPr>
            </w:pPr>
          </w:p>
        </w:tc>
        <w:tc>
          <w:tcPr>
            <w:tcW w:w="15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Service Incentive</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0" w:type="dxa"/>
            <w:vAlign w:val="bottom"/>
          </w:tcPr>
          <w:p>
            <w:pPr>
              <w:spacing w:after="0"/>
              <w:rPr>
                <w:sz w:val="1"/>
                <w:szCs w:val="1"/>
                <w:color w:val="auto"/>
              </w:rPr>
            </w:pPr>
          </w:p>
        </w:tc>
      </w:tr>
      <w:tr>
        <w:trPr>
          <w:trHeight w:val="147"/>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Grant Date</w:t>
            </w:r>
          </w:p>
        </w:tc>
        <w:tc>
          <w:tcPr>
            <w:tcW w:w="12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Have Not Vested (#)</w:t>
            </w:r>
          </w:p>
        </w:tc>
        <w:tc>
          <w:tcPr>
            <w:tcW w:w="460" w:type="dxa"/>
            <w:vAlign w:val="bottom"/>
          </w:tcPr>
          <w:p>
            <w:pPr>
              <w:spacing w:after="0"/>
              <w:rPr>
                <w:sz w:val="12"/>
                <w:szCs w:val="12"/>
                <w:color w:val="auto"/>
              </w:rPr>
            </w:pPr>
          </w:p>
        </w:tc>
        <w:tc>
          <w:tcPr>
            <w:tcW w:w="15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Units That Have</w:t>
            </w: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47"/>
        </w:trPr>
        <w:tc>
          <w:tcPr>
            <w:tcW w:w="35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xml:space="preserve">) </w:t>
            </w:r>
            <w:r>
              <w:rPr>
                <w:rFonts w:ascii="Arial" w:cs="Arial" w:eastAsia="Arial" w:hAnsi="Arial"/>
                <w:sz w:val="12"/>
                <w:szCs w:val="12"/>
                <w:b w:val="1"/>
                <w:bCs w:val="1"/>
                <w:color w:val="auto"/>
                <w:w w:val="92"/>
              </w:rPr>
              <w:t>(2)</w:t>
            </w: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1"/>
              </w:rPr>
              <w:t xml:space="preserve">Vested (#) </w:t>
            </w:r>
            <w:r>
              <w:rPr>
                <w:rFonts w:ascii="Arial" w:cs="Arial" w:eastAsia="Arial" w:hAnsi="Arial"/>
                <w:sz w:val="12"/>
                <w:szCs w:val="12"/>
                <w:b w:val="1"/>
                <w:bCs w:val="1"/>
                <w:color w:val="auto"/>
                <w:w w:val="91"/>
              </w:rPr>
              <w:t>(3)</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 xml:space="preserve">Vested ($)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12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8"/>
              </w:rPr>
              <w:t>October 3, 2019</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84"/>
              </w:rPr>
              <w:t>4,039,122</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1,446,814</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8,200,642</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2,543,019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w w:val="87"/>
              </w:rPr>
              <w:t>4,039,122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1,446,814</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8,200,642</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2,543,019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1,615,649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578,725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6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w w:val="87"/>
              </w:rPr>
              <w:t>1,615,649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578,725</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ind w:left="600" w:right="100" w:hanging="433"/>
        <w:spacing w:after="0" w:line="281" w:lineRule="auto"/>
        <w:tabs>
          <w:tab w:leader="none" w:pos="6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Service Units that vest in five equal annual installments on each of the first through fifth anniversaries of September 13, 2019, subject to the named executive officer’s continuous employment through the applicable vesting date.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(as such term is defined in the applicable participant’s services agreement with the Company). As described above, pursuant to the amendments entered into in connection with this offering, all unvested Service Units will be eligible to vest upon a termination without Cause or for Good Reason following this offering.</w:t>
      </w:r>
    </w:p>
    <w:p>
      <w:pPr>
        <w:spacing w:after="0" w:line="2" w:lineRule="exact"/>
        <w:rPr>
          <w:rFonts w:ascii="Arial" w:cs="Arial" w:eastAsia="Arial" w:hAnsi="Arial"/>
          <w:sz w:val="16"/>
          <w:szCs w:val="16"/>
          <w:color w:val="auto"/>
        </w:rPr>
      </w:pPr>
    </w:p>
    <w:p>
      <w:pPr>
        <w:ind w:left="600" w:right="380" w:hanging="433"/>
        <w:spacing w:after="0" w:line="248"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profits interests are not publicly traded and, therefore, there was no ascertainable public market value for the profits interests as of December 31, 2019. Therefore, the profits interests have been valued on the basis set forth in Footnote 1 of the 2019 Summary Compensation Table, above.</w:t>
      </w:r>
    </w:p>
    <w:p>
      <w:pPr>
        <w:ind w:left="600" w:right="120" w:hanging="433"/>
        <w:spacing w:after="0" w:line="252"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Performance Units that vest subject to satisfaction of performance-vesting targets. As described above, pursuant to the amendments entered into in connection with this offering, the performance-vesting targets will be measured, and the Performance Units will be eligible to vest to the extent they are deemed to be achieved in connection with this offering.</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18"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Our named executive officers’ employment and non-compete agreements in effect as of December 31, 2019 are described below. Additionally, in connection with this offering, we intend to enter into new employment agreements with each of our named executive officers, the material terms of which are described below in the section titled “—New Employment Agreements and Incentive Plans.”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Brandon M. Cruz Non-Compete Agreement</w:t>
      </w:r>
    </w:p>
    <w:p>
      <w:pPr>
        <w:spacing w:after="0" w:line="11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Mr. Cruz entered into a Non-Disclosure, Invention Assignment, Non-Competition and Non-Solicitation Agreement with the Company, which we refer to as a “Non-Competition Agreement,”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7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Mr. Cruz’s Incentive Units are subject to accelerated vesting as described in the section titled “—Share-based Compensation,” above. Mr. Cruz was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Clinton P. Jones Non-Compete Agreement</w:t>
      </w:r>
    </w:p>
    <w:p>
      <w:pPr>
        <w:spacing w:after="0" w:line="11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Mr. Jones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Jones’ employment with the Company. The Non-Competition Agreement also includes an invention assignment covenant and a covenant not to disclose any confidential information of the Company or any of its affiliates at all times following a termination of Mr. Jones’ employment for any reason.</w:t>
      </w:r>
    </w:p>
    <w:p>
      <w:pPr>
        <w:spacing w:after="0" w:line="193"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Mr. Jones’ Incentive Units are subject to accelerated vesting as described in the section titled “—Share-based Compensation,” above. Mr. Jones was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Shane E. Cruz Offer Letter</w:t>
      </w:r>
    </w:p>
    <w:p>
      <w:pPr>
        <w:spacing w:after="0" w:line="114"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On June 7, 2012, Mr. Cruz commenced employment with the Company under an employment offer letter entered into in connection with his hiring as the Company’s Vice President of Technology, as amended on April 3, 2018 and which continued to govern his employment as the Company’s Chief Technology Officer for the year ended December 31, 2019. Mr. Cruz’s offer letter provides for a base salary, eligibility to participate in the Annual Bonus Plan, and participation in the Company’s standard benefit plans. Mr. Cruz’s offer letter has no fixed term.</w:t>
      </w:r>
    </w:p>
    <w:p>
      <w:pPr>
        <w:spacing w:after="0" w:line="174" w:lineRule="exact"/>
        <w:rPr>
          <w:sz w:val="20"/>
          <w:szCs w:val="20"/>
          <w:color w:val="auto"/>
        </w:rPr>
      </w:pPr>
    </w:p>
    <w:p>
      <w:pPr>
        <w:ind w:left="160" w:right="500"/>
        <w:spacing w:after="0" w:line="301" w:lineRule="auto"/>
        <w:rPr>
          <w:sz w:val="20"/>
          <w:szCs w:val="20"/>
          <w:color w:val="auto"/>
        </w:rPr>
      </w:pPr>
      <w:r>
        <w:rPr>
          <w:rFonts w:ascii="Arial" w:cs="Arial" w:eastAsia="Arial" w:hAnsi="Arial"/>
          <w:sz w:val="17"/>
          <w:szCs w:val="17"/>
          <w:color w:val="auto"/>
        </w:rPr>
        <w:t>Pursuant to the terms of his offer letter, if Mr. Cruz’s employment had been terminated by the Company without cause, Mr. Cruz would have been entitled to receive from the Company four months’ severance pay based on his base salary on the date of such termination.</w:t>
      </w:r>
    </w:p>
    <w:p>
      <w:pPr>
        <w:spacing w:after="0" w:line="152"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Pursuant to the terms of his offer letter, Mr. Cruz also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Cruz’s Incentive Units are subject to accelerated vesting as described in the section titled “—Share-based Compensation,” above.</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James A. Sharman Offer Letter</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On February 5, 2018, Mr. Sharman commenced employment with the Company under an employment offer letter dated December 21, 2017 entered into in connection with his hiring as the Company’s Chief Operating Officer, which continued to govern his employment for the year ended December 31, 2019. Mr. Sharman’s offer letter provides for a base salary, eligibility to participate in the Annual Bonus Plan, eligibility to receive a profits interest grant, and participation in the Company’s standard benefit plans. Mr. Sharman’s offer letter has no fixed term.</w:t>
      </w:r>
    </w:p>
    <w:p>
      <w:pPr>
        <w:spacing w:after="0" w:line="17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Pursuant to the terms of his offer letter, if Mr. Sharman’s employment had been terminated by the Company without Cause or by Mr. Sharman for Good Reason, Mr. Sharman would have been entitled to receive from the Company (i) six months’ severance pay based on his base salary rate on the date of such termination, to be paid in accordance with normal payroll practices beginning on the first payroll date after the 60</w:t>
      </w:r>
      <w:r>
        <w:rPr>
          <w:rFonts w:ascii="Arial" w:cs="Arial" w:eastAsia="Arial" w:hAnsi="Arial"/>
          <w:sz w:val="14"/>
          <w:szCs w:val="14"/>
          <w:color w:val="auto"/>
        </w:rPr>
        <w:t>th</w:t>
      </w:r>
      <w:r>
        <w:rPr>
          <w:rFonts w:ascii="Arial" w:cs="Arial" w:eastAsia="Arial" w:hAnsi="Arial"/>
          <w:sz w:val="17"/>
          <w:szCs w:val="17"/>
          <w:color w:val="auto"/>
        </w:rPr>
        <w:t xml:space="preserve"> day following such termination and (ii) a pro-rata Annual Bonus based on the number of days during the calendar year in which Mr. Sharman is employed with the Company, in each case subject to Mr. Sharman’s execution of a release of claims in favor of the Company and his compliance with the covenants and restrictions in his Non-Compete Agreement, described below. Additionally, upon Mr. Sharman’s death or disability, Mr. Sharman would have been entitled to receive from the Company the pro-rated Annual Bonus described above.</w:t>
      </w:r>
    </w:p>
    <w:p>
      <w:pPr>
        <w:spacing w:after="0" w:line="178"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Pursuant to the terms of his offer letter, Mr. Sharman also entered into a Non-Competition Agreement with the Company prior to commencing employment, under which he is subject to a covenant not to compete with the Company and a covenant not to solicit employees or customers of the Company, each for two years after the termination of Mr. Sharman’s employment with the Company. The Non-Competition Agreement also includes an invention assignment covenant and a covenant to not disclose any confidential information of the Company or any of its affiliates at all times following a termination of Mr. Sharman’s employment for any reason.</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 xml:space="preserve">Mr. Sharman’s offer letter defines “Cause” as (i) Mr. Sharman’s gross negligence in the performance of his duties and responsibilities to the Company or any of its affiliates, or refusal or failure to follow or carry out any reasonable, written direction of the board of directors of the Company; (ii) a material breach by Mr. Sharman of any provision of his offer letter or Non-Competition Agreement that, if capable of cure, is not cured within 30 days of written notice of such breach by the Company to Mr. Sharman, provided, that the Company will not have to provide more than one notice and opportunity to cure with respect to any multiple, repeated, related or substantially similar events or circumstances; (iii) the commission of fraud, embezzlement, theft or other material dishonesty by Mr. Sharman; (iv) the commission by Mr. Sharman of, or plea by the executive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any felony or any other crime involving dishonesty or moral turpitude; or (v) any other conduct by Mr. Sharman that involves a material breach of fiduciary obligations on his part or otherwise could reasonably be expected to have a significant adverse effect upon the business, interests or reputation of the Company or any of its affiliates.</w:t>
      </w:r>
    </w:p>
    <w:p>
      <w:pPr>
        <w:spacing w:after="0" w:line="183"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Mr. Sharman’s offer letter defines, “Good Reason” as, without Mr. Sharman’s written consent, (i) a material reduction in Mr. Sharman’s salary which is not cured within 90 days following the Company’s receipt of written notice thereof from Mr. Sharman; (ii) a change in Mr. Sharman’s principal place of employment to outside of a 50 mile radius of Chicago, Illinois; (iii) a material adverse change in Mr. Sharman’s title, authority, duties, or responsibilities which is not cured within 90 days following the Company’s receipt of written notice thereof from Mr. Sharman; or (iv) any breach by the Company of any other material provision of Mr. Sharman’s offer letter, which breach is not cured within 30 days following Company’s receipt of written notice thereof from Mr. Sharman.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Mr. Sharman’s Incentive Units are subject to accelerated vesting as described in the section titled “—Share-based Compensation,” above.</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Director Compensation</w:t>
      </w:r>
    </w:p>
    <w:p>
      <w:pPr>
        <w:spacing w:after="0" w:line="118" w:lineRule="exact"/>
        <w:rPr>
          <w:sz w:val="20"/>
          <w:szCs w:val="20"/>
          <w:color w:val="auto"/>
        </w:rPr>
      </w:pPr>
    </w:p>
    <w:p>
      <w:pPr>
        <w:ind w:left="160" w:right="180"/>
        <w:spacing w:after="0" w:line="301" w:lineRule="auto"/>
        <w:rPr>
          <w:sz w:val="20"/>
          <w:szCs w:val="20"/>
          <w:color w:val="auto"/>
        </w:rPr>
      </w:pPr>
      <w:r>
        <w:rPr>
          <w:rFonts w:ascii="Arial" w:cs="Arial" w:eastAsia="Arial" w:hAnsi="Arial"/>
          <w:sz w:val="17"/>
          <w:szCs w:val="17"/>
          <w:color w:val="auto"/>
        </w:rPr>
        <w:t>None of our non-employee directors received any compensation for his or her service as a non-employee director during the year ended December 31, 2019 and none of our non-employee directors held Incentive Units (vested or unvested) as of December 31, 2019.</w:t>
      </w:r>
    </w:p>
    <w:p>
      <w:pPr>
        <w:spacing w:after="0" w:line="152"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Non-employee directors Rahm Emanuel, Alexander E. Timm and Joseph G. Flanagan currently hold profits interests in GoHealth Holdings, LLC, which were granted to them on February 17, 2020. We refer to these profits interests as “Director Units.” The Director Units generally vest in equal annual installments over five years, subject to the director’s continuous service with us through each applicable vesting date.</w:t>
      </w:r>
    </w:p>
    <w:p>
      <w:pPr>
        <w:spacing w:after="0" w:line="169"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In connection with this offering, we have approved and intend to implement a compensation policy that, effective upon the closing of this offering, will be applicable to all of our non-employee directors other than any non-employee director who is an employee of Centerbridge. Under this compensation policy, each such non-employee director will receive an annual cash retainer of $250,000. In addition, each such non-employee director who does not serve as a chairperson or co-chairperson of the board of directors or a committee of the board of directors or as the lead director of the board of directors (each, a “Non-Chair Director”) will receive an annual restricted stock unit award with a grant date value of $150,000 and each such non-employee director who serves as a chairperson or co-chairperson of the board of directors or a committee of the board of directors or as the lead director of the board of directors (each, a “Chair Director”) will receive an annual restricted stock unit award with a grant date value of $250,000, with all such restricted stock unit awards vesting in four equal installments on each of the first four quarterly anniversaries following the grant date of the award (or immediately prior to the date of the annual shareholder meeting immediately following the date of grant, if sooner), subject to such non-employee director continuing in service through such date (and any such non-employee director who commences service on a date other than the date of the annual shareholder meeting will receive a pro-rata restricted stock unit award for such initial year of service). In addition, in connection with any initial public offering (including this offering), each such Non-Chair Director will receive a restricted stock unit award with a grant date value of $150,000 and each such Chair Director will receive a restricted stock unit award with a grant date value of $250,000, with all such restricted stock unit awards vesting in four equal installments on each of the first four quarterly anniversaries following the grant date of the award. The vesting of all restricted stock unit awards under the policy will accelerate and vest in full upon a change in control (as defined in the 2020 Plan, described below). In addition, each non-employee director will be reimbursed for out-of-pocket expenses in connection with his or her services.</w:t>
      </w:r>
    </w:p>
    <w:p>
      <w:pPr>
        <w:spacing w:after="0" w:line="179" w:lineRule="exact"/>
        <w:rPr>
          <w:sz w:val="20"/>
          <w:szCs w:val="20"/>
          <w:color w:val="auto"/>
        </w:rPr>
      </w:pPr>
    </w:p>
    <w:p>
      <w:pPr>
        <w:ind w:left="160" w:right="100"/>
        <w:spacing w:after="0" w:line="252" w:lineRule="auto"/>
        <w:rPr>
          <w:sz w:val="20"/>
          <w:szCs w:val="20"/>
          <w:color w:val="auto"/>
        </w:rPr>
      </w:pPr>
      <w:r>
        <w:rPr>
          <w:rFonts w:ascii="Arial" w:cs="Arial" w:eastAsia="Arial" w:hAnsi="Arial"/>
          <w:sz w:val="18"/>
          <w:szCs w:val="18"/>
          <w:color w:val="auto"/>
        </w:rPr>
        <w:t>Additionally, in connection with this offering, all outstanding Director Units will be amended to provide that, in the event a director is required to leave the board of directors due to a conflict of interest or similar constraint involving public service, any unvested Director Units will accelerate and vest in full in connection with the director’s termination of service (provided that, if any such acceleration occurs prior to the eighteen (18) month anniversary of the consummation of this offering, then such accelerated Director Units will be subject to lock-up terms with similar restrictions to the lock-up agreement described under “Shares Eligible for Future Sale—Lock-Up Agreements,” but which terms will end eighteen (18) months after the consummation of this offering).</w:t>
      </w:r>
    </w:p>
    <w:p>
      <w:pPr>
        <w:spacing w:after="0" w:line="194"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Further, in connection with this offering, we intend to exchange each Director Unit for common units of GoHealth Holdings, LLC, which we refer to as “Director Common Units,” on a “value-for-value” basis based on the fair market value of the Director Units at the time of the offering and the common stock price in the offering. Following this conversion, the Director Common Units will be subject to the same vesting conditions as well as all other terms and conditions applicable to the Director Units under the existing Director Unit award agreements, as amended.</w:t>
      </w:r>
    </w:p>
    <w:p>
      <w:pPr>
        <w:spacing w:after="0" w:line="174"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Under the documentation of the Director Units in effect as of February 17, 2020, the vesting of all Director Units is generally subject to acceleration upon the occurrence of certain corporate transactions or the holder’s death or disability, and a pro-rata portion of the Director Units are generally subject to acceleration upon the holder’s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60"/>
          </w:cols>
          <w:pgMar w:left="320" w:top="456"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340"/>
        <w:spacing w:after="0" w:line="259" w:lineRule="auto"/>
        <w:rPr>
          <w:sz w:val="20"/>
          <w:szCs w:val="20"/>
          <w:color w:val="auto"/>
        </w:rPr>
      </w:pPr>
      <w:r>
        <w:rPr>
          <w:rFonts w:ascii="Arial" w:cs="Arial" w:eastAsia="Arial" w:hAnsi="Arial"/>
          <w:sz w:val="18"/>
          <w:szCs w:val="18"/>
          <w:color w:val="auto"/>
        </w:rPr>
        <w:t>termination of service by the Company without Cause (as such term is defined in the Parent Unit Plan document). The Compensation Committee of GoHealth Holdings, LLC, as the administrator of the Parent Unit Plan (as described below), has the discretion to accelerate the vesting of any or all Director Units at any time and from time to time.</w:t>
      </w:r>
    </w:p>
    <w:p>
      <w:pPr>
        <w:spacing w:after="0" w:line="186"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 xml:space="preserve">The Parent Unit Plan document assigns to “Cause” the definition in the applicable participant’s employment or services agreement with the Company, or, in the absence of such an employment or services agreement, the meaning set forth in the Company’s operating agreement, which defines “Cause” as (i)(A) the willful failure or refusal to perform material responsibilities that have been reasonably requested by the board of directors; (B) dishonesty to the board of directors with respect to any material matter; or (C) misappropriation of funds or property of the Company or any of its subsidiaries or affiliates other than the occasional, customary and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use of Company property for personal purposes; provided, in the case of each of clause (i)</w:t>
      </w:r>
    </w:p>
    <w:p>
      <w:pPr>
        <w:spacing w:after="0" w:line="2"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(A)-(C), that, where the Company has determined reasonably and in good faith that such act can reasonably be cured, the Company has provided 30 days’ prior written notice of such conduct and such conduct is not cured within such 30 day period; (ii) the arrest or charging for (A) any felony or (B) a misdemeanor involving moral turpitude, deceit, dishonesty or fraud; (iii) the engagement in on-the-job conduct that consists either of gross misconduct or a material violation of the Company or any of its subsidiaries’ written code of ethics or company policies, and which is materially detrimental to the Company and its subsidiaries (including material reputational harm); or (iv) a breach of a non-competition covenant set forth in an employment agreement or restrictive covenants agreement.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Parent Unit Plan</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The Incentive Units held by our named executive officers correspond to profits units issued under the GoHealth Holdings, LLC Profits Unit Plan, which we refer to as the “Parent Unit Plan,” to Blizzard Management Feeder, LLC. We refer to such units issued under the Parent Unit Plan as “Parent Units.” Parent Units and corresponding Incentive Units are issued under the same grant agreements, are subject to the same vesting conditions, and any changes to Parent Units flow through to the corresponding Incentive Units. Under the Parent Unit Plan, any acceleration of Parent Units upon a termination of employment is governed by the applicable award agreement. Additionally, GoHealth Holdings, LLC may make modifications to the Parent Unit Plan and any outstanding Parent Units as it determines to be necessary or appropriate in connection with an initial public offering. In connection with this offering, GoHealth Holdings, LLC intends to use its discretion to convert each outstanding Parent Unit into a common unit of GoHealth Holdings, LLC, which will cause a corresponding conversion of all outstanding Incentive Units into common units of Blizzard Management Feeder, LLC, as described in the section titled “—Share-Based Compensation” above.</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Employment Agreements and Incentive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New Employment Agreements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In connection with this offering, we have entered into employment agreements with each of our named executive officers, which we refer to as “New Employment Agreements.” The New Employment Agreements for Clinton P. Jones, James A. Sharman, and Shane E. Cruz will become effective as of the date of this offering and the New Employment Agreement for Brandon M. Cruz became effective on April 16, 2020 with an amendment and restatement of such agreement intended to be effective as of the date of this offering. The material terms of the New Employment Agreements are summarized below:</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Employment Term and Position</w:t>
      </w:r>
    </w:p>
    <w:p>
      <w:pPr>
        <w:spacing w:after="0" w:line="11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The term of employment for each of Clinton P. Jones, James A. Sharman, and Shane E. Cruz is three years from the date of this offering and the term of employment for Brandon M. Cruz is four years from the effective date of his agreement, each subject to automatic one-year extensions provided that neither party provides written notice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40"/>
          </w:cols>
          <w:pgMar w:left="320" w:top="456" w:right="5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of non-extension within ninety days of the expiration of the then-current term. During their respective terms of employment, Clinton Jones will serve as Chief Executive Officer of the Company and GoHealth Holdings, LLC (although his role may be changed by mutual agreement of the parties after expiration of the initial employment term), Brandon M. Cruz will serve as Chief Strategy Officer and Special Advisor to the Executive Team of the Company and GoHealth Holdings, LLC, James A. Sharman will serve as President of the Company and GoHealth Holdings, LLC (although his role may be changed by mutual agreement of the parties after the first twelve (12) months of the employment term), and Shane E. Cruz will serve as Chief Operating Officer of the Company and GoHealth Holdings, LLC.</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Base Salary and Annual Bonus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Pursuant to their New Employment Agreements, Clinton P. Jones and Brandon M. Cruz will each be entitled to base salaries of $325,000, James A.</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Sharman will be entitled to a base salary of $400,000 and Shane E. Cruz will be entitled to a base salary of $350,000.</w:t>
      </w:r>
    </w:p>
    <w:p>
      <w:pPr>
        <w:spacing w:after="0" w:line="208"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In addition, each of the named executive officers will be eligible to receive annual performance-based cash bonuses upon the attainment of individual and Company performance goals established by our board of directors in its sole discretion. Under his New Employment Agreement, Brandon M. Cruz’s annual performance-based cash bonus for calendar year 2020 will have a target amount equal to $175,000 and such annual bonus will be no less than the annual bonus paid to the Chief Executive Officer each calendar year during the employment term.</w:t>
      </w:r>
    </w:p>
    <w:p>
      <w:pPr>
        <w:spacing w:after="0" w:line="17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New Employment Agreements for Brandon M. Cruz and Clinton P. Jones also provide that they will continue to be entitled to reimbursement for up to 100 hours of personal private airplane use per year, so long as such reimbursed costs are commercially reasonable and do not include hangar costs, catering, insurance, or personal property taxes. Neither Brandon M. Cruz nor Clinton P. Jones is entitled to any tax gross-up payment in connection with the reimbursement of these expenses.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Severance</w:t>
      </w:r>
    </w:p>
    <w:p>
      <w:pPr>
        <w:spacing w:after="0" w:line="114"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Brandon M. Cruz’s New Employment Agreement provides for severance upon the Company’s non-extension of his term or upon his resignation for Good Reason, as defined therein. Such severance will consist of (a) continued base salary through the second anniversary of the termination of his employment, (b) any earned but unpaid annual bonus, and (c) two times his pro-rated annual bonus for the year in which the termination of employment occurs. The Company will also continue to pay the employer portion of applicable insurance premium payments for Brandon M. Cruz’s COBRA coverage under the Company’s group health plans for twelve months following his termination of employment for any reason.</w:t>
      </w:r>
    </w:p>
    <w:p>
      <w:pPr>
        <w:spacing w:after="0" w:line="176"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Clinton P. Jones’ New Employment Agreement provides for severance upon the Company’s termination of his employment without Cause or upon his resignation for Good Reason, each as defined therein. Such severance will consist of (a) continued base salary through the second anniversary of the termination of his employment, (b) any earned but unpaid annual bonus, (c) two times his pro-rated annual bonus for the year in which the termination of employment occurs, and (d) continued payment of the employer portion of his applicable insurance premium payments for COBRA coverage under the Company’s group health plans for two years.</w:t>
      </w:r>
    </w:p>
    <w:p>
      <w:pPr>
        <w:spacing w:after="0" w:line="193"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James A. Sharman’s and Shane E. Cruz’s New Employment Agreements provide for severance upon a termination of employment by the Company without Cause or upon a resignation by the named executive officer with Good Reason, each as defined therein. If such termination of employment does not occur during the 12-month period following a Change of Control (as defined in the 2020 Plan) of the Company, such severance will consist of (a) continued base salary through the first anniversary of the termination of employment, (b) any earned but unpaid annual bonus, (c) a pro-rated annual bonus for the year in which the termination of employment occurs, and (d) in the case of Shane E. Cruz, continued payment of the employer portion of his applicable insurance premium payments for COBRA coverage under the Company’s group health plans for one year and, in the case of James A.</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40"/>
          </w:cols>
          <w:pgMar w:left="320" w:top="456" w:right="5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Sharman, continued participation in the Company’s group health plan for one year under the same terms and conditions that existed for him at the time of his termination of employment and, at the end of such coverage and to the extent permitted by the Company’s group health plan and applicable law, continued COBRA coverage under the Company’s group health plans until he reaches age 65, with such COBRA premiums paid at his own expense. In the event James A. Sharman or Shane E. Cruz incurs such a termination of employment within the 12 month period beginning on a Change of Control of the Company, these severance amounts will increase to (a) continued base salary through the second anniversary of the termination of employment, (b) any earned but unpaid annual bonus, (c) two times a pro-rated annual bonus for the year in which the termination of employment occurs, and (d) for Shane E. Cruz, two years of continued payments of the employer portion of COBRA premiums and, for James A. Sharman two years of continued group health plan participation followed, to the extent permitted by the Company’s group health plan and applicable law, by COBRA coverage under the Company’s group health plans at his own expense until he reaches age 65.</w:t>
      </w:r>
    </w:p>
    <w:p>
      <w:pPr>
        <w:spacing w:after="0" w:line="18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In each case, the severance amounts provided under the New Employment Agreements are subject to the execution and non-revocation of a waiver and release of claims by the named executive officer in question.</w:t>
      </w:r>
    </w:p>
    <w:p>
      <w:pPr>
        <w:spacing w:after="0" w:line="17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Each of the named executive officers has entered a restrictive covenants agreement in connection with his New Employment Agreement, under which each named executive officer is subject to perpetual confidentiality and non-disparagement covenants and non-competition and non-solicitation covenants. The restriction period of the non-competition and non-solicitation covenants is (a) two years for Brandon M. Cruz and Clinton P. Jones in all cases and for James A. Sharman and Shane E. Cruz where their termination of employment occurs within the 12 month period beginning on a Change of Control of the Company and (b) one year for James A. Sharman and Shane E. Cruz in all other cases.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14" w:lineRule="exact"/>
        <w:rPr>
          <w:sz w:val="20"/>
          <w:szCs w:val="20"/>
          <w:color w:val="auto"/>
        </w:rPr>
      </w:pPr>
    </w:p>
    <w:p>
      <w:pPr>
        <w:ind w:left="160" w:right="80"/>
        <w:spacing w:after="0" w:line="307" w:lineRule="auto"/>
        <w:rPr>
          <w:sz w:val="20"/>
          <w:szCs w:val="20"/>
          <w:color w:val="auto"/>
        </w:rPr>
      </w:pPr>
      <w:r>
        <w:rPr>
          <w:rFonts w:ascii="Arial" w:cs="Arial" w:eastAsia="Arial" w:hAnsi="Arial"/>
          <w:sz w:val="16"/>
          <w:szCs w:val="16"/>
          <w:color w:val="auto"/>
        </w:rPr>
        <w:t>We have adopted and our shareholders have approved the 2020 Incentive Award Plan, or the 2020 Plan, under which we may grant cash and equity incentive awards to eligible employees and other service providers in order to attract, motivate and retain the talent for which we compete. The material terms of the 2020 Plan are summarized below. The 2020 Plan will be filed as an exhibit to the registration statement of which this prospectus is a part.</w:t>
      </w:r>
    </w:p>
    <w:p>
      <w:pPr>
        <w:spacing w:after="0" w:line="150"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i w:val="1"/>
          <w:iCs w:val="1"/>
          <w:color w:val="auto"/>
        </w:rPr>
        <w:t>Eligibility and Administration</w:t>
      </w:r>
      <w:r>
        <w:rPr>
          <w:rFonts w:ascii="Arial" w:cs="Arial" w:eastAsia="Arial" w:hAnsi="Arial"/>
          <w:sz w:val="17"/>
          <w:szCs w:val="17"/>
          <w:color w:val="auto"/>
        </w:rPr>
        <w:t>. Our employees, consultants and directors, and the employees and consultants of our parents and affiliates, will be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awards under the 2020 Plan. Following our initial public offering, the 2020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2020 Plan, Section 16 of the Exchange Act, and/or stock exchange rules, as applicable. The plan administrator will have the authority to make all determinations and interpretations under, prescribe all forms for use with, and adopt rules for the administration of, the 2020 Plan, subject to its express terms and conditions. The plan administrator will also set the terms and conditions of all awards under the 2020 Plan, including any vesting and vesting acceleration conditions.</w:t>
      </w:r>
    </w:p>
    <w:p>
      <w:pPr>
        <w:spacing w:after="0" w:line="180"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i w:val="1"/>
          <w:iCs w:val="1"/>
          <w:color w:val="auto"/>
        </w:rPr>
        <w:t>Limitation on Awards and Shares Available</w:t>
      </w:r>
      <w:r>
        <w:rPr>
          <w:rFonts w:ascii="Arial" w:cs="Arial" w:eastAsia="Arial" w:hAnsi="Arial"/>
          <w:sz w:val="16"/>
          <w:szCs w:val="16"/>
          <w:color w:val="auto"/>
        </w:rPr>
        <w:t>. A total of 6,465,359 shares of our Class A common stock will initially be available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2020 Plan. The number of shares initially available for issuance will be increased by an annual increase on January 1 of each calendar year beginning in 2021 and ending in and including 2030, equal to the lesser of (A) 5% of the shares of our Class A common stock outstanding on the final day of the immediately preceding calendar year and (B) a smaller number of shares as determined by our board of directors. No more than 6,465,359 shares of Class A common stock may be issued under the 2020 Plan upon the exercise of incentive stock options. Shares available under the 2020 Plan may be authorized but unissued shares, shares purchased on the open market or treasury shares.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6"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If any shares subject to an award under the 2020 Plan are forfeited, expire, are converted to shares of another entity in connection with certain corporate event, are surrendered pursuant to an “exchange program” (as described below) or if such award is settled for cash, any shares subject to such award may, to the extent of such forfeiture, expiration or cash settlement, be used again for new grants under the 2020 Plan. However, the following shares may not be used again for grant under the 2020 Plan: (i) shares tendered or withheld to satisfy the exercise price or tax withholding obligations associated with an award; (ii) shares subject to a stock appreciation right, or SAR, or other stock-settled award that are not issued in connection with the stock settlement of the SAR or other stock-settled award on its exercise; and (iii) shares purchased on the open market with the cash proceeds from the exercise of options.</w:t>
      </w:r>
    </w:p>
    <w:p>
      <w:pPr>
        <w:spacing w:after="0" w:line="197"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Awards granted under the 2020 Plan upon the assumption of, or in substitution for, outstanding equity awards previously granted by an entity in connection with a corporate transaction, such as a merger, combination, consolidation or acquisition of property or stock, will not reduce the shares available for grant under the 2020 Plan.</w:t>
      </w:r>
    </w:p>
    <w:p>
      <w:pPr>
        <w:spacing w:after="0" w:line="18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The 2020 Plan will provide that the sum of any cash compensation and the aggregate grant date fair value (determined as of the date of the grant under ASC 718 or any successor thereto) of all awards granted to a non-employee director pursuant to the 2020 Plan as compensation for services as a non-employee director during any calendar year shall not exceed the amount equal to $500,000 (with such amount increased to $750,000 for the calendar year of a non-employee director’s initial service). The plan administrator may make exceptions to this limit for individual non-employee directors in extraordinary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7"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2020 Plan provides for the grant of stock options, including incentive stock options, or ISOs, and nonqualified stock options, or NSOs,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dividend equivalents, restricted stock units, or RSUs, other stock-based awards, SARs, and cash awards. No determination has been made as to the types or amounts of awards that will be granted to specific individuals pursuant to the 2020 Plan. Certain awards under the 2020 Plan may constitute or provide for a deferral of compensation, subject to Section 409A of the Code, which may impose additional requirements on the terms and conditions of such awards. All awards under the 2020 Plan will be set forth in award agreements, which will detail all terms and conditions of the awards, including any applicable vesting and payment terms and post-termination exercise limitations. Awards other than cash awards generally will be settled in shares of our Class A common stock, but the plan administrator may provide for cash settlement of any award. A brief description of each award type follows.</w:t>
      </w:r>
    </w:p>
    <w:p>
      <w:pPr>
        <w:spacing w:after="0" w:line="100" w:lineRule="exact"/>
        <w:rPr>
          <w:sz w:val="20"/>
          <w:szCs w:val="20"/>
          <w:color w:val="auto"/>
        </w:rPr>
      </w:pPr>
    </w:p>
    <w:p>
      <w:pPr>
        <w:ind w:left="1140" w:hanging="438"/>
        <w:spacing w:after="0" w:line="288" w:lineRule="auto"/>
        <w:tabs>
          <w:tab w:leader="none" w:pos="114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provide for the purchase of shares of our Class A common stock in the future at an exercise price set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72" w:lineRule="exact"/>
        <w:rPr>
          <w:rFonts w:ascii="Arial" w:cs="Arial" w:eastAsia="Arial" w:hAnsi="Arial"/>
          <w:sz w:val="16"/>
          <w:szCs w:val="16"/>
          <w:color w:val="auto"/>
        </w:rPr>
      </w:pPr>
    </w:p>
    <w:p>
      <w:pPr>
        <w:ind w:left="1140" w:right="160" w:hanging="438"/>
        <w:spacing w:after="0" w:line="272" w:lineRule="auto"/>
        <w:tabs>
          <w:tab w:leader="none" w:pos="114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SARs entitle their holder, upon exercise, to receive from us an amount equal to the appreciation of the shares subject to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6"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line="284"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Restricted Stock and RSUs</w:t>
      </w:r>
      <w:r>
        <w:rPr>
          <w:rFonts w:ascii="Arial" w:cs="Arial" w:eastAsia="Arial" w:hAnsi="Arial"/>
          <w:sz w:val="16"/>
          <w:szCs w:val="16"/>
          <w:color w:val="auto"/>
        </w:rPr>
        <w:t>. Restricted stock is an award of nontransferable shares of our Class A common stock that remain forfeitable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and until specified conditions are met, and which may be subject to a purchase price. RSUs are contractual promises to deliver shares of our Class A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Holders of restricted stock generally have all of the rights of a stockholder upon the issuance of restricted stock, but dividends paid with respect to a share of restricted stock prior to such share vesting shall be paid to the holder only to the extent such share subsequently vests. RSU holders have no rights of a stockholder with respect to shares subject to RSUs unless and until such shares are delivered in settlement of the RSUs. In the sole discretion of the plan administrator, RSUs may also be settled for an amount of cash equal to the fair market value of the shares underlying the RSU on the RSU’s maturity date, or a combination of cash and shares.</w:t>
      </w:r>
    </w:p>
    <w:p>
      <w:pPr>
        <w:spacing w:after="0" w:line="79" w:lineRule="exact"/>
        <w:rPr>
          <w:rFonts w:ascii="Arial" w:cs="Arial" w:eastAsia="Arial" w:hAnsi="Arial"/>
          <w:sz w:val="16"/>
          <w:szCs w:val="16"/>
          <w:color w:val="auto"/>
        </w:rPr>
      </w:pPr>
    </w:p>
    <w:p>
      <w:pPr>
        <w:ind w:left="1140" w:right="20" w:hanging="438"/>
        <w:spacing w:after="0" w:line="290"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Other Stock or Cash-Based Awards</w:t>
      </w:r>
      <w:r>
        <w:rPr>
          <w:rFonts w:ascii="Arial" w:cs="Arial" w:eastAsia="Arial" w:hAnsi="Arial"/>
          <w:sz w:val="16"/>
          <w:szCs w:val="16"/>
          <w:color w:val="auto"/>
        </w:rPr>
        <w:t>. Other stock or cash-based awards are awards of cash, fully vested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other awards denominated in, linked to, or derived from shares of our common stock or value metrics related to our shares.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Conditions applicable to other stock or cash-based awards may be based on continuing service, the attainment of performance goals and/or such other conditions as the plan administrator may determine.</w:t>
      </w:r>
    </w:p>
    <w:p>
      <w:pPr>
        <w:spacing w:after="0" w:line="70" w:lineRule="exact"/>
        <w:rPr>
          <w:rFonts w:ascii="Arial" w:cs="Arial" w:eastAsia="Arial" w:hAnsi="Arial"/>
          <w:sz w:val="16"/>
          <w:szCs w:val="16"/>
          <w:color w:val="auto"/>
        </w:rPr>
      </w:pPr>
    </w:p>
    <w:p>
      <w:pPr>
        <w:ind w:left="1140" w:right="80" w:hanging="438"/>
        <w:spacing w:after="0" w:line="293"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Dividend Equivalents</w:t>
      </w:r>
      <w:r>
        <w:rPr>
          <w:rFonts w:ascii="Arial" w:cs="Arial" w:eastAsia="Arial" w:hAnsi="Arial"/>
          <w:sz w:val="16"/>
          <w:szCs w:val="16"/>
          <w:color w:val="auto"/>
        </w:rPr>
        <w:t>. Dividend equivalents represent the right to receive the equivalent value of dividends paid on shares of our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may be granted alone or in tandem with awards other than stock options or SARs. Dividend equivalents are credited as of dividend record dates during the period between the date an award is granted and the date such award terminates or expires, as determined by the plan administrator. Dividend equivalents paid with respect to an award that are based on dividends paid prior to the vesting of such award shall only be paid out to the extent the vesting conditions of the award are satisfied and the award vests.</w:t>
      </w:r>
    </w:p>
    <w:p>
      <w:pPr>
        <w:spacing w:after="0" w:line="161"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Performance awards include any of the foregoing awards that are granted subject to vesting and/or payment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attainment of specified performance goals or other criteria the plan administrator may determine, which may or may not be objectively determinable. Performance criteria upon which performance goals are established by the plan administrator may include but are not limited to: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(xxiii) individual employee performance; or (xxiv) any combination of the foregoing,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88" w:lineRule="exact"/>
        <w:rPr>
          <w:sz w:val="20"/>
          <w:szCs w:val="20"/>
          <w:color w:val="auto"/>
        </w:rPr>
      </w:pPr>
    </w:p>
    <w:p>
      <w:pPr>
        <w:ind w:left="160" w:right="860"/>
        <w:spacing w:after="0" w:line="271" w:lineRule="auto"/>
        <w:rPr>
          <w:sz w:val="20"/>
          <w:szCs w:val="20"/>
          <w:color w:val="auto"/>
        </w:rPr>
      </w:pPr>
      <w:r>
        <w:rPr>
          <w:rFonts w:ascii="Arial" w:cs="Arial" w:eastAsia="Arial" w:hAnsi="Arial"/>
          <w:sz w:val="18"/>
          <w:szCs w:val="18"/>
          <w:i w:val="1"/>
          <w:iCs w:val="1"/>
          <w:color w:val="auto"/>
        </w:rPr>
        <w:t>Certain Transactions and Adjustments</w:t>
      </w:r>
      <w:r>
        <w:rPr>
          <w:rFonts w:ascii="Arial" w:cs="Arial" w:eastAsia="Arial" w:hAnsi="Arial"/>
          <w:sz w:val="18"/>
          <w:szCs w:val="18"/>
          <w:color w:val="auto"/>
        </w:rPr>
        <w:t>. The plan administrator will have broad discretion to take action under the 2020 Plan, as well as make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the terms and conditions of existing and future awards, to prevent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6"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2020 Plan and outstanding awards. In the event of a "change in control" of our company (as defined in the 2020 Plan), to the extent that the surviving entity declines to continue, convert, assume or replace outstanding awards, the plan administrator may terminate any or all such awards in exchange for cash, rights or other property or may cause any or all such awards to become fully exercisable immediately prior to the transaction and all applicable forfeiture restrictions to lapse. In the case of any award so exercisable in lieu of assumption or substitution, the plan administrator shall provide notice that such awards will remain fully exercisable for fifteen (15) days after the date the plan administrator provides such notice (contingent upon the occurrence of the change in control) and that such awards shall terminate at the end of such period. In the event an outstanding award is assumed or substituted for an equivalent award in connection with a change in control and the holder of such award terminates employment without “cause” (as such term is defined in the sole discretion of the plan administrator or as set forth in the award agreement relating to such award) within the 12 months following the change in control, then such award will become fully vested and exercisable upon such termination of employment. Individual award agreements may provide for additional accelerated vesting and payment provisions. In addition, the plan administrator has discretion to institute and determine the terms and conditions of an exchange program, which is a program under which outstanding awards may be surrendered or cancelled in exchange for awards of the same type (which may have higher or lower exercise prices and different terms), awards of a different type, and/or cash, under which participants have the opportunity to transfer outstanding awards to a financial institution or other person or entity selected by the plan administrator, or under which the exercise price of an outstanding award may be reduced or increased.</w:t>
      </w:r>
    </w:p>
    <w:p>
      <w:pPr>
        <w:spacing w:after="0" w:line="177"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i w:val="1"/>
          <w:iCs w:val="1"/>
          <w:color w:val="auto"/>
        </w:rPr>
        <w:t>Foreign Participants, Claw-Back Provisions, Transferability, and Participant Payments</w:t>
      </w:r>
      <w:r>
        <w:rPr>
          <w:rFonts w:ascii="Arial" w:cs="Arial" w:eastAsia="Arial" w:hAnsi="Arial"/>
          <w:sz w:val="17"/>
          <w:szCs w:val="17"/>
          <w:color w:val="auto"/>
        </w:rPr>
        <w:t>. The plan administrator may modify award terms,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2020 Plan are generally non-transferable, and are exercisable only by the participant. With regard to tax withholding, exercise price and purchase price obligations arising in connection with awards under the 2020 Plan, the plan administrator may, in its discretion, accept cash or check, provide for net withholding of shares, allow shares of our Class A common stock that meet specified conditions to be repurchased, allow a “market sell order” or such other consideration as it deems suitable.</w:t>
      </w:r>
    </w:p>
    <w:p>
      <w:pPr>
        <w:spacing w:after="0" w:line="183"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amend or terminate the 2020 Plan at any time; however, except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changes in our capital structure, stockholder approval will be required for any amendment that increases the number of shares available under the 2020 Plan. No award may be granted pursuant to the 2020 Plan after the tenth anniversary of the date on which our board of directors adopts the 2020 Plan.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4" w:lineRule="exact"/>
        <w:rPr>
          <w:sz w:val="20"/>
          <w:szCs w:val="20"/>
          <w:color w:val="auto"/>
        </w:rPr>
      </w:pPr>
    </w:p>
    <w:p>
      <w:pPr>
        <w:ind w:left="160" w:right="80"/>
        <w:spacing w:after="0" w:line="335" w:lineRule="auto"/>
        <w:rPr>
          <w:sz w:val="20"/>
          <w:szCs w:val="20"/>
          <w:color w:val="auto"/>
        </w:rPr>
      </w:pPr>
      <w:r>
        <w:rPr>
          <w:rFonts w:ascii="Arial" w:cs="Arial" w:eastAsia="Arial" w:hAnsi="Arial"/>
          <w:sz w:val="16"/>
          <w:szCs w:val="16"/>
          <w:color w:val="auto"/>
        </w:rPr>
        <w:t>In connection with the offering, we have adopted, and our shareholders have approved, the 2020 Employee Stock Purchase Plan, or ESPP. The material terms of the ESPP are summarized below. The ESPP will be filed as an exhibit to the registration statement of which this prospectus is a part.</w:t>
      </w:r>
    </w:p>
    <w:p>
      <w:pPr>
        <w:spacing w:after="0" w:line="128"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The ESPP will be comprised of two distinct components in order to provide increased flexibility to grant options to purchase shares under the ESPP. Specifically, the ESPP will authorize (1) the grant of options to employees that are intended to qualify for favorable U.S. federal tax treatment under Section 423 of the Code (the “Section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456"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97" w:lineRule="auto"/>
        <w:rPr>
          <w:sz w:val="20"/>
          <w:szCs w:val="20"/>
          <w:color w:val="auto"/>
        </w:rPr>
      </w:pPr>
      <w:r>
        <w:rPr>
          <w:rFonts w:ascii="Arial" w:cs="Arial" w:eastAsia="Arial" w:hAnsi="Arial"/>
          <w:sz w:val="16"/>
          <w:szCs w:val="16"/>
          <w:color w:val="auto"/>
        </w:rPr>
        <w:t>423 Component”), and (2)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 (the “Non-Section 423 Component”). The Non-Section 423 Component will generally be operated and administered on terms and conditions similar to the Section 423 Component, except as otherwise required by applicable law, rule or regulation.</w:t>
      </w:r>
    </w:p>
    <w:p>
      <w:pPr>
        <w:spacing w:after="0" w:line="159"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 A total of 808,170 shares of our Class A common stock will be initially reserved for issuance under our ESPP.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number of shares available for issuance under the ESPP will be annually increased on January 1 of each calendar year beginning in 2021 and ending in 2030, by an amount equal to the lesser of: (i) 1% of the aggregate number of shares of our Class A common stock outstanding on the final day of the immediately preceding calendar year and (ii) such smaller number of shares as is determined by our board of directors. Subject to adjustment upon certain changes in our capitalization, no more than 4,849,019 shares of our Class A common stock will be available for issuance under the Section 423 Component.</w:t>
      </w:r>
    </w:p>
    <w:p>
      <w:pPr>
        <w:spacing w:after="0" w:line="19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The compensation committee of our board of directors will be the plan administrator of the ESPP and will have authority to interpret the terms of the ESPP and determine eligibility of participants.</w:t>
      </w:r>
    </w:p>
    <w:p>
      <w:pPr>
        <w:spacing w:after="0" w:line="175"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plan administrator may designate certain of our subsidiaries as participating “designated subsidiaries” in the ESPP and may change these</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Class A common or other class of stock.</w:t>
      </w:r>
    </w:p>
    <w:p>
      <w:pPr>
        <w:spacing w:after="0" w:line="17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Section 423 Component.</w:t>
      </w:r>
    </w:p>
    <w:p>
      <w:pPr>
        <w:spacing w:after="0" w:line="190" w:lineRule="exact"/>
        <w:rPr>
          <w:sz w:val="20"/>
          <w:szCs w:val="20"/>
          <w:color w:val="auto"/>
        </w:rPr>
      </w:pPr>
    </w:p>
    <w:p>
      <w:pPr>
        <w:ind w:left="160" w:right="420"/>
        <w:spacing w:after="0" w:line="255"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in the ESPP. Employees who choose not to participate, or are not eligible to participate at the start of an offering period but who become eligible thereafter, may enroll in any subsequent offering period.</w:t>
      </w:r>
    </w:p>
    <w:p>
      <w:pPr>
        <w:spacing w:after="0" w:line="190"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i w:val="1"/>
          <w:iCs w:val="1"/>
          <w:color w:val="auto"/>
        </w:rPr>
        <w:t>Participation in an Offering</w:t>
      </w:r>
      <w:r>
        <w:rPr>
          <w:rFonts w:ascii="Arial" w:cs="Arial" w:eastAsia="Arial" w:hAnsi="Arial"/>
          <w:sz w:val="18"/>
          <w:szCs w:val="18"/>
          <w:color w:val="auto"/>
        </w:rPr>
        <w:t>. Stock will be offered under the ESPP during offering periods. The length of offering periods under the ESPP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plan administrator and may be up to 27 months long. Employee payroll deductions will be used to purchase shares on the last day of each offering period (or such other date as set forth in the offering document). Offering periods under the ESPP will commence when determined by the plan administrator. The plan administrator may, in its discretion, modify the terms of future offering periods. To the extent applicable,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197"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ESPP will permit participants to purchase our Class A common stock through payroll deductions of up to 40% of their eligible compensation, which will include a participant’s gross base compensation for services to us. The maximum number of shares that may be purchased by a participant during any offering period or purchase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6"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period is 10,000 shares.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Class A common stock as of the first day of the offering period).</w:t>
      </w:r>
    </w:p>
    <w:p>
      <w:pPr>
        <w:spacing w:after="0" w:line="186"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On the first trading day of each offering period, each participant automatically will be granted an option to purchase shares of our Class A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Class A common stock on the first trading day of the offering period or on the applicable purchase date, which will be the final trading day of the applicable purchase period.</w:t>
      </w:r>
    </w:p>
    <w:p>
      <w:pPr>
        <w:spacing w:after="0" w:line="193" w:lineRule="exact"/>
        <w:rPr>
          <w:sz w:val="20"/>
          <w:szCs w:val="20"/>
          <w:color w:val="auto"/>
        </w:rPr>
      </w:pPr>
    </w:p>
    <w:p>
      <w:pPr>
        <w:jc w:val="both"/>
        <w:ind w:left="160" w:right="120"/>
        <w:spacing w:after="0" w:line="281" w:lineRule="auto"/>
        <w:rPr>
          <w:sz w:val="20"/>
          <w:szCs w:val="20"/>
          <w:color w:val="auto"/>
        </w:rPr>
      </w:pPr>
      <w:r>
        <w:rPr>
          <w:rFonts w:ascii="Arial" w:cs="Arial" w:eastAsia="Arial" w:hAnsi="Arial"/>
          <w:sz w:val="17"/>
          <w:szCs w:val="17"/>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shares of Class A common stock. Participation ends automatically upon a participant’s termination of employment.</w:t>
      </w:r>
    </w:p>
    <w:p>
      <w:pPr>
        <w:spacing w:after="0" w:line="169"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ESPP.</w:t>
      </w:r>
    </w:p>
    <w:p>
      <w:pPr>
        <w:spacing w:after="0" w:line="175" w:lineRule="exact"/>
        <w:rPr>
          <w:sz w:val="20"/>
          <w:szCs w:val="20"/>
          <w:color w:val="auto"/>
        </w:rPr>
      </w:pPr>
    </w:p>
    <w:p>
      <w:pPr>
        <w:ind w:left="160" w:right="80"/>
        <w:spacing w:after="0" w:line="268"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In the event of certain transactions or events affecting our Class A common stock, such as any stock dividend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80"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i w:val="1"/>
          <w:iCs w:val="1"/>
          <w:color w:val="auto"/>
        </w:rPr>
        <w:t>Plan Amendment; Termination</w:t>
      </w:r>
      <w:r>
        <w:rPr>
          <w:rFonts w:ascii="Arial" w:cs="Arial" w:eastAsia="Arial" w:hAnsi="Arial"/>
          <w:sz w:val="16"/>
          <w:szCs w:val="16"/>
          <w:color w:val="auto"/>
        </w:rPr>
        <w:t>. The plan administrator may amend, suspend or terminate the ESPP at any time. However, stockholder approval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ESPP must be obtained for any amendment which increases the aggregate number or changes the type of shares that may be sold pursuant to rights under the ESPP or changes the corporations or classes of corporations whose employees are eligible to participate in the ESPP.</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40"/>
          </w:cols>
          <w:pgMar w:left="320" w:top="456"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 xml:space="preserve">The following are summaries of certain transactions and relationships with our directors, executive officers and stockholders and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Related Party Agreements in Effect Prior to the Transactions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Expense Reimbursement Agreement</w:t>
      </w:r>
    </w:p>
    <w:p>
      <w:pPr>
        <w:spacing w:after="0" w:line="114" w:lineRule="exact"/>
        <w:rPr>
          <w:sz w:val="20"/>
          <w:szCs w:val="20"/>
          <w:color w:val="auto"/>
        </w:rPr>
      </w:pPr>
    </w:p>
    <w:p>
      <w:pPr>
        <w:ind w:left="160" w:right="240"/>
        <w:spacing w:after="0" w:line="253" w:lineRule="auto"/>
        <w:rPr>
          <w:sz w:val="20"/>
          <w:szCs w:val="20"/>
          <w:color w:val="auto"/>
        </w:rPr>
      </w:pPr>
      <w:r>
        <w:rPr>
          <w:rFonts w:ascii="Arial" w:cs="Arial" w:eastAsia="Arial" w:hAnsi="Arial"/>
          <w:sz w:val="18"/>
          <w:szCs w:val="18"/>
          <w:color w:val="auto"/>
        </w:rPr>
        <w:t>On September 13, 2019, in connection with the Centerbridge Acquisition, GoHealth Holdings, LLC, Norvax, LLC and an affiliate of the Sponsor entered into an expense reimbursement and indemnification agreement pursuant to which, GoHealth Holdings, LLC and Norvax, LLC agreed to indemnify and reimburse the Sponsor for up to $500,000 of certain out-of-pocket costs, fees and expenses incurred by or on behalf of the Sponsors in connection with the Centerbridge Acquisition and certain services provided to us by the Sponsor. To date, we have made payments totaling less than $60,000 pursuant to this agreement.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Agreements Involving our Founders</w:t>
      </w:r>
    </w:p>
    <w:p>
      <w:pPr>
        <w:spacing w:after="0" w:line="114"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proposed site in Linden, Utah, beginning in 2022. Our lease agreement with Wilson Tech 5, LLC expires on May 11, 2030;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three months ended March 31, 2020, the Successor 2019 Period, Predecessor 2019 Period and for the year ended December 31, 2018, we made aggregate lease payments of $321,000, $298,000, $758,000 and $1,025,000, respectively under the RPT Leases. Assuming none of the RPT Leases are terminated early, the remaining amounts due under the RPT Leases in aggregate is expected to be $6.9 million.</w:t>
      </w:r>
    </w:p>
    <w:p>
      <w:pPr>
        <w:spacing w:after="0" w:line="179"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On January 1, 2020, we entered into a non-exclusive aircraft dry lease agreement with N157BC, LLC, an entity wholly-owned and controlled by our Founders, which we amended and restated on May 29, 2020. The agreement allows us to use an aircraft owned by N157BC, LLC for our business and on an as-needed basis. The agreement has no set term and is terminable without cause by either party upon 30 days’ prior written notice. Under the agreement, we are required to pay $6,036.94 per flight hour for use of the aircraft.</w:t>
      </w:r>
    </w:p>
    <w:p>
      <w:pPr>
        <w:spacing w:after="0" w:line="190"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On March 2, 2018, we entered into an agreement with Rank Me Media, LLC, an entity wholly-owned and controlled by Patrick Cruz, brother to each of Brandon M. Cruz, our Chief Strategy Officer and Special Advisor to the Executive Team and a member of our board directors, and Shane E. Cruz, our Chief Operating Officer, to provide search engine optimization consulting services. This agreement had an initial term of 6 months and after the expiration of such period, automatically renews 1 month each month unless terminated by either party with a 30-day prior written notice. Under the agreement, we are required to pay a monthly flat fee retainer of $6,000 per month. For the three months ended March 31, 2020, the Successor 2019 Period, Predecessor 2019 Period and for the year ended December 31, 2018, we made aggregate payments of $18,000, $18,000, $57,000 and $42,000, respectively under this agreement.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6"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Transactions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In connection with the Transactions, we will engage in certain transactions with certain of our directors, executive officers and other persons and entities which are or will become holders of 5% or more of our voting securities upon the consummation of the Transactions. These transactions are described in “Our Organizational Structure.”</w:t>
      </w:r>
    </w:p>
    <w:p>
      <w:pPr>
        <w:spacing w:after="0" w:line="186"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We intend to use the net proceeds from this offering (including any net proceeds from any exercise of the underwriters’ option to purchase additional shares of Class A common stock) to purchase 80,816,989 LLC Interests (or 85,799,456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to pay cash to the Blocker Shareholders as partial consideration in the Blocker Merger.</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Receivable Agreement</w:t>
      </w:r>
    </w:p>
    <w:p>
      <w:pPr>
        <w:spacing w:after="0" w:line="118"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As described in “Our Organizational Structure,” we intend to use the net proceeds from this offering to purchase newly-issued LLC Interests directly from GoHealth Holdings, LLC and to pay cash to the Blocker Shareholders as partial consideration in the Blocker Merger. In addition, GoHealth Holdings, LLC intends to use the net proceeds it receives from the sale of LLC Interests to us to partially redeem certain of the LLC Interests held directly or indirectly by the Continuing Equity Owners, which is intended to be treated as a taxable sale of LLC Interests for U.S. federal income tax purposes. We expect to obtain an increase in our share of the tax basis of the assets of GoHealth Holdings, LLC in connection with the purchase of LLC Interests directly from GoHealth Holdings, LLC, the partial redemption of LLC Interests by GoHealth Holdings and the Blocker Merger. We will also acquire an allocable share of the existing tax basis in GoHealth Holdings, LLC’s assets in connection with the Transactions, including the Blocker Company’s share of existing tax basis, and we may obtain an increase to such allocable share of existing tax basis in connection with the consummation of the Transactions and in the future. In addition, we may obtain an increase in our share of the tax basis of the assets of GoHealth Holdings, LLC in the future, when (as described below under “—GoHealth Holdings, LLC Agreement—Agreement in Effect Upon Consummation of the Transactions— Common Unit Redemption Right”) a Continuing Equity Owner receives Class A common stock or, at our election (determined by at least two of our independent directors (within the meaning of the Nasdaq rules) who are disinterested), cash, as applicable, from us in connection with an exercise of such Continuing Equity Owner’s right to have LLC Interests held directly or indirectly by such Continuing Equity Owner redeemed (subject in certain circumstances to time-based vesting requirements and certain other restrictions) by GoHealth Holdings, LLC or, at our election (as determined by at least two of our independent directors (within the meaning of the Nasdaq rules) who are disinterested), exchanged or when GoHealth Holdings, LLC makes, or is deemed to make, certain distributions to the Continuing Equity Owners. We intend to treat such redemptions or exchanges as our direct purchase of LLC Interests from such Continuing Equity Owner for U.S. federal income and other applicable tax purposes, regardless of whether such LLC Interests are surrendered by a Continuing Equity Owner to GoHealth Holdings, LLC for redemption or sold to us upon the exercise of our election to acquire such LLC Interests directly (any resulting basis increases, together with the basis increases arising from (a) the purchase of newly-issued LLC Interests directly from GoHealth Holdings, LLC and the partial redemption of LLC Interests by GoHealth Holdings, LLC, as described under “Use of Proceeds,” and (b) certain distributions (or deemed distributions) from GoHealth Holdings, LLC, the “Basis Adjustments”). Any Basis Adjustment and our allocable share of the existing tax basis in GoHealth Holdings, LLC’s assets, including the Blocker Company’s share of existing tax basis (and increases to such allocable share of existing tax basis), may have the effect of reducing the amounts that we would otherwise pay in the future to various tax authorities. The Basis Adjustments and such existing tax basis (and increases to such allocable share of existing tax basis) may also decrease gains (or increase losses) on future dispositions of certain assets to the extent tax basis is allocated to those assets.</w:t>
      </w:r>
    </w:p>
    <w:p>
      <w:pPr>
        <w:spacing w:after="0" w:line="17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In connection with the transactions described above, we will enter into a Tax Receivable Agreement with GoHealth Holdings, LLC, Continuing Equity Owners and the Blocker Shareholders that will provide for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6"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w:t>
      </w:r>
    </w:p>
    <w:p>
      <w:pPr>
        <w:spacing w:after="0" w:line="172"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actual Basis Adjustments, as well as any amounts paid to the Continuing Equity Owners and the Blocker Shareholders under the Tax Receivable Agreement will vary depending on a number of factors, including:</w:t>
      </w:r>
    </w:p>
    <w:p>
      <w:pPr>
        <w:spacing w:after="0" w:line="81" w:lineRule="exact"/>
        <w:rPr>
          <w:sz w:val="20"/>
          <w:szCs w:val="20"/>
          <w:color w:val="auto"/>
        </w:rPr>
      </w:pPr>
    </w:p>
    <w:p>
      <w:pPr>
        <w:ind w:left="1140" w:right="60" w:hanging="438"/>
        <w:spacing w:after="0" w:line="255"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the timing of any future redemptions or exchanges</w:t>
      </w:r>
      <w:r>
        <w:rPr>
          <w:rFonts w:ascii="Arial" w:cs="Arial" w:eastAsia="Arial" w:hAnsi="Arial"/>
          <w:sz w:val="18"/>
          <w:szCs w:val="18"/>
          <w:color w:val="auto"/>
        </w:rPr>
        <w:t>—for instance, the increase in any tax deductions will vary depending on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which may fluctuate over time, of the depreciable or amortizable assets of GoHealth Holdings, LLC at the time of each redemption, exchange or distribution (or deemed distribution) as well as the amount of remaining existing tax basis at the time of such redemption, exchange or distribution (or deemed distribution);</w:t>
      </w:r>
    </w:p>
    <w:p>
      <w:pPr>
        <w:spacing w:after="0" w:line="96" w:lineRule="exact"/>
        <w:rPr>
          <w:rFonts w:ascii="Arial" w:cs="Arial" w:eastAsia="Arial" w:hAnsi="Arial"/>
          <w:sz w:val="18"/>
          <w:szCs w:val="18"/>
          <w:color w:val="auto"/>
        </w:rPr>
      </w:pPr>
    </w:p>
    <w:p>
      <w:pPr>
        <w:ind w:left="1140" w:hanging="438"/>
        <w:spacing w:after="0" w:line="368" w:lineRule="auto"/>
        <w:tabs>
          <w:tab w:leader="none" w:pos="1140" w:val="left"/>
        </w:tabs>
        <w:numPr>
          <w:ilvl w:val="0"/>
          <w:numId w:val="105"/>
        </w:numPr>
        <w:rPr>
          <w:rFonts w:ascii="Arial" w:cs="Arial" w:eastAsia="Arial" w:hAnsi="Arial"/>
          <w:sz w:val="14"/>
          <w:szCs w:val="14"/>
          <w:color w:val="auto"/>
        </w:rPr>
      </w:pPr>
      <w:r>
        <w:rPr>
          <w:rFonts w:ascii="Arial" w:cs="Arial" w:eastAsia="Arial" w:hAnsi="Arial"/>
          <w:sz w:val="14"/>
          <w:szCs w:val="14"/>
          <w:b w:val="1"/>
          <w:bCs w:val="1"/>
          <w:i w:val="1"/>
          <w:iCs w:val="1"/>
          <w:color w:val="auto"/>
        </w:rPr>
        <w:t>the price of shares of our Class A common stock at the time of the purchases from the Continuing Equity Owners in connection with this offering and any applicable redemptions or exchanges</w:t>
      </w:r>
      <w:r>
        <w:rPr>
          <w:rFonts w:ascii="Arial" w:cs="Arial" w:eastAsia="Arial" w:hAnsi="Arial"/>
          <w:sz w:val="14"/>
          <w:szCs w:val="14"/>
          <w:color w:val="auto"/>
        </w:rPr>
        <w:t>—the Basis Adjustments, as well as any related increase in any tax deductions,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directly related to the price of shares of our Class A common stock at the time of such purchases or future redemptions or exchanges;</w:t>
      </w:r>
    </w:p>
    <w:p>
      <w:pPr>
        <w:spacing w:after="0" w:line="21" w:lineRule="exact"/>
        <w:rPr>
          <w:rFonts w:ascii="Arial" w:cs="Arial" w:eastAsia="Arial" w:hAnsi="Arial"/>
          <w:sz w:val="14"/>
          <w:szCs w:val="14"/>
          <w:color w:val="auto"/>
        </w:rPr>
      </w:pPr>
    </w:p>
    <w:p>
      <w:pPr>
        <w:ind w:left="1140" w:right="60" w:hanging="438"/>
        <w:spacing w:after="0" w:line="271"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the extent to which such redemptions or exchanges are taxable</w:t>
      </w:r>
      <w:r>
        <w:rPr>
          <w:rFonts w:ascii="Arial" w:cs="Arial" w:eastAsia="Arial" w:hAnsi="Arial"/>
          <w:sz w:val="18"/>
          <w:szCs w:val="18"/>
          <w:color w:val="auto"/>
        </w:rPr>
        <w:t>—if a redemption or exchange is not taxable for any reason, increased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deductions will not be available; and</w:t>
      </w:r>
    </w:p>
    <w:p>
      <w:pPr>
        <w:spacing w:after="0" w:line="80" w:lineRule="exact"/>
        <w:rPr>
          <w:rFonts w:ascii="Arial" w:cs="Arial" w:eastAsia="Arial" w:hAnsi="Arial"/>
          <w:sz w:val="18"/>
          <w:szCs w:val="18"/>
          <w:color w:val="auto"/>
        </w:rPr>
      </w:pPr>
    </w:p>
    <w:p>
      <w:pPr>
        <w:ind w:left="1140" w:right="100" w:hanging="438"/>
        <w:spacing w:after="0" w:line="286" w:lineRule="auto"/>
        <w:tabs>
          <w:tab w:leader="none" w:pos="114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those benefits are treated as realized under the terms of the Tax Receivable Agreement. If we do not have sufficient taxable income to realize any of the applicable tax benefits, we generally will not be required (absent a material breach of a material obligation under the Tax Receivable Agreement, change of control or other circumstances requiring an early termination payment and treating any outstanding LLC Interests held directly or indirectly by Continuing Equity Owners as having been exchanged for Class A common stock for purposes of determining such early termination payment) to make payments under the Tax Receivable Agreement for that taxable year because no tax benefits will have been actually realized. However, any tax benefits that do not result in realized tax benefits in a given taxable year may generate tax attributes that may be utilized to generate tax benefits in previous or future taxable years. The utilization of any such tax attributes will result in payments under the Tax Receivable Agreement.</w:t>
      </w:r>
    </w:p>
    <w:p>
      <w:pPr>
        <w:spacing w:after="0" w:line="167"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For purposes of the Tax Receivable Agreement, cash savings in income tax will be computed by comparing our actual income tax liability to the amount of such taxes that we would have been required to pay had there been no existing basis in GoHealth Holdings, LLC’s assets, had there been no increases to such allocable share of existing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60"/>
          </w:cols>
          <w:pgMar w:left="320" w:top="456" w:right="5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tax basis, had there been no Basis Adjustments, had the Tax Receivable Agreement not been entered into and had there been no tax benefits to us as a result of any payments made under the Tax Receivable Agreement; provided that, for purposes of determining cash savings with respect to state and local income taxes we will use an assumed tax rate. The Tax Receivable Agreement will generally apply to each of our taxable years, beginning with the first taxable year ending after the consummation of the Transactions. There is no maximum term for the Tax Receivable Agreement; however, the Tax Receivable Agreement may be terminated by us pursuant to an early termination procedure that requires us to pay the Continuing Equity Owners an agreed-upon amount equal to the estimated present value of the remaining payments to be made under the agreement (calculated with certain assumptions, including regarding tax rates and utilization of the Basis Adjustments).</w:t>
      </w:r>
    </w:p>
    <w:p>
      <w:pPr>
        <w:spacing w:after="0" w:line="178"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auto"/>
        </w:rPr>
        <w:t>The payment obligations under the Tax Receivable Agreement are obligations of GoHealth, Inc. and not of GoHealth Holdings, LLC. Although the actual timing and amount of any payments that may be made under the Tax Receivable Agreement will vary, we expect that the payments that we may be required to make to the Continuing Equity Owners and the Blocker Shareholders could be substantial. Any payments made by us to the Continuing Equity Owners and the Blocker Shareholders under the Tax Receivable Agreement will generally reduce the amount of overall cash flow that might have otherwise been available to us or to GoHealth Holdings, LLC and, to the extent that we are unable to make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We anticipate funding ordinary course payments under the Tax Receivable Agreement from cash flow from operations of our subsidiaries, available cash or available borrowings under our Credit Facilities or any future debt agreements. See “Unaudited Pro Forma Condensed Consolidated Financial Information.” Decisions made by us in the course of running our business, such as with respect to mergers, asset sales, other forms of business combinations or other changes in control, may influence the timing and amount of payments that are received by a redeeming Continuing Equity Owner or a Blocker Shareholder under the Tax Receivable Agreement. For example, the earlier disposition of assets following an exchange or acquisition transaction will generally accelerate payments under the Tax Receivable Agreement and increase the present value of such payments.</w:t>
      </w:r>
    </w:p>
    <w:p>
      <w:pPr>
        <w:spacing w:after="0" w:line="18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Tax Receivable Agreement provides that if certain mergers, asset sales, other forms of business combination, or other changes of control were to occur, if we materially breach any of our material obligations under the Tax Receivable Agreement or if, at any time, we elect an early termination of the Tax Receivable Agreement, then the Tax Receivable Agreement will terminate and our obligations, or our successor’s obligations, under the Tax Receivable Agreement would accelerate and become due and payable, based on certain assumptions, including an assumption that we would have sufficient taxable income to fully utilize all potential future tax benefits that are subject to the Tax Receivable Agreement. In those circumstances, Continuing Equity Owners would be deemed to exchange any remaining outstanding LLC Interests for Class A common stock and would generally be entitled to payments under the Tax Receivable Agreement resulting from such deemed exchanges.</w:t>
      </w:r>
    </w:p>
    <w:p>
      <w:pPr>
        <w:spacing w:after="0" w:line="178" w:lineRule="exact"/>
        <w:rPr>
          <w:sz w:val="20"/>
          <w:szCs w:val="20"/>
          <w:color w:val="auto"/>
        </w:rPr>
      </w:pPr>
    </w:p>
    <w:p>
      <w:pPr>
        <w:ind w:left="160" w:right="420"/>
        <w:spacing w:after="0" w:line="301" w:lineRule="auto"/>
        <w:rPr>
          <w:sz w:val="20"/>
          <w:szCs w:val="20"/>
          <w:color w:val="auto"/>
        </w:rPr>
      </w:pPr>
      <w:r>
        <w:rPr>
          <w:rFonts w:ascii="Arial" w:cs="Arial" w:eastAsia="Arial" w:hAnsi="Arial"/>
          <w:sz w:val="17"/>
          <w:szCs w:val="17"/>
          <w:color w:val="auto"/>
        </w:rPr>
        <w:t>We may elect to completely terminate the Tax Receivable Agreement early only with the written approval of each of a majority of GoHealth, Inc.’s “independent directors” (within the meaning of Rule 10A-3 promulgated under the Exchange Act and the Nasdaq rules).</w:t>
      </w:r>
    </w:p>
    <w:p>
      <w:pPr>
        <w:spacing w:after="0" w:line="152"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As a result of the foregoing, we could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We also could be required to make cash payments to the Continuing Equity Owners and the Blocker Shareholders that are greater than the specified percentage of the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Payments under the Tax Receivable Agreement will generally be based on the tax reporting positions that we determine. We will not be reimbursed for any cash payments previously made to the Continuing Equity Owners and the Blocker Shareholders pursuant to the Tax Receivable Agreement if any tax benefits initially claimed by us are subsequently challenged by a taxing authority and ultimately disallowed. Instead, any excess cash payments made by us to a Continuing Equity Owner or a Blocker Shareholder will be netted against any future cash payments we might otherwise be required to make under the terms of the Tax Receivable Agreement to such Continuing Equity Owner or such Blocker Shareholder, as applicable. However, a challenge to any tax benefits initially claimed by us may not arise for a number of years following the initial time of such payment or, even if challenged early, such excess cash payment may be greater than the amount of future cash payments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 If we determine that a tax reserve or contingent liability must be established by us for generally accepted accounting principles in respect of an issue that would affect payments under the Tax Receivable Agreement, we may withhold payments to the Continuing Equity Owners and/or the Blocker Shareholders, as applicable, under the Tax Receivable Agreement and place them in an interest-bearing escrow account until the reserve or contingent liability is resolved.</w:t>
      </w:r>
    </w:p>
    <w:p>
      <w:pPr>
        <w:spacing w:after="0" w:line="188"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We will have full responsibility for, and sole discretion over, all GoHealth, Inc. tax matters, including the filing and amendment of all tax returns and claims for refund and defense of all tax contests, subject to certain participation and approval rights held by Centerbridge and NVX Holdings. If the outcome of any challenge to all or part of the Basis Adjustments or other tax benefits we claim, including as a result of acquiring our allocable share of the existing tax basis in GoHealth Holdings, LLC’s assets and increases to such allocable share of existing tax basis, would reasonably be expected to materially and adversely affect the payments to Continuing Equity Owners’ from us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w:t>
      </w:r>
    </w:p>
    <w:p>
      <w:pPr>
        <w:spacing w:after="0" w:line="166"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Under the Tax Receivable Agreement, we are required to provide the Continuing Equity Owners and Blocker Shareholders that hold an interest in the Tax Receivable Agreement with a schedule showing the calculation of payments that are due under the Tax Receivable Agreement with respect to each taxable year with respect to which a payment obligation arises within 90 days after filing our U.S. federal income tax return for such taxable year. This calculation will be based upon the advice of our tax advisors. Payments under the Tax Receivable Agreement will generally be made to the Continuing Equity Owners and the Blocker Shareholders within three business days after this schedule becomes final pursuant to the procedures set forth in the Tax Receivable Agreement, although interest on such payments will begin to accrue at a rate of LIBOR plus 100 basis points from the due date (without extensions) of such tax return. Any late payments that may be made under the Tax Receivable Agreement will continue to accrue interest at a rate equal to LIBOR plus 500 basis points, until such payments are made, generally including any late payments that we may subsequently make because we did not have enough available cash to satisfy our payment obligations at the time at which they originally arose.</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Holdings, LLC Agreement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Before Consummation of the Transactions</w:t>
      </w:r>
    </w:p>
    <w:p>
      <w:pPr>
        <w:spacing w:after="0" w:line="114" w:lineRule="exact"/>
        <w:rPr>
          <w:sz w:val="20"/>
          <w:szCs w:val="20"/>
          <w:color w:val="auto"/>
        </w:rPr>
      </w:pPr>
    </w:p>
    <w:p>
      <w:pPr>
        <w:ind w:left="160" w:right="80"/>
        <w:spacing w:after="0" w:line="307" w:lineRule="auto"/>
        <w:rPr>
          <w:sz w:val="20"/>
          <w:szCs w:val="20"/>
          <w:color w:val="auto"/>
        </w:rPr>
      </w:pPr>
      <w:r>
        <w:rPr>
          <w:rFonts w:ascii="Arial" w:cs="Arial" w:eastAsia="Arial" w:hAnsi="Arial"/>
          <w:sz w:val="16"/>
          <w:szCs w:val="16"/>
          <w:color w:val="auto"/>
        </w:rPr>
        <w:t>GoHealth Holdings, LLC and the Original Equity Owners are parties to the Amended and Restated Limited Liability Company Agreement of GoHealth Holdings, LLC (formerly known as Blizzard Parent, LLC), dated as of September 13, 2019, which governs the business operations of GoHealth Holdings, LLC and defines the relative rights and privileges associated with the existing units of GoHealth Holdings, LLC. We refer to this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6"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agreement as the Existing LLC Agreement. Under the Existing LLC Agreement, the board of managers of GoHealth Holdings, LLC has the full, exclusive and complete right, authority and discretion to manage and control the business and affairs of GoHealth Holdings, LLC, to interpret the provisions of the Existing LLC Agreement, to make all decisions affecting the business and affairs of GoHealth Holdings, LLC, to take all such actions as it deems necessary or appropriate to accomplish the purpose of the Company, and the day-to-day business operations of GoHealth Holdings, LLC are overseen and implemented by officers of GoHealth Holdings, LLC. Each Original Equity Owner’s rights under the Existing LLC Agreement continue until the effective time of the new GoHealth Holdings, LLC operating agreement to be adopted in connection with the Transactions, as described below, at which time the Continuing Equity Owners will continue as members that hold LLC Interests with the respective rights thereunder.</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Upon Consummation of the Transactions</w:t>
      </w:r>
    </w:p>
    <w:p>
      <w:pPr>
        <w:spacing w:after="0" w:line="114" w:lineRule="exact"/>
        <w:rPr>
          <w:sz w:val="20"/>
          <w:szCs w:val="20"/>
          <w:color w:val="auto"/>
        </w:rPr>
      </w:pPr>
    </w:p>
    <w:p>
      <w:pPr>
        <w:ind w:left="160" w:right="380"/>
        <w:spacing w:after="0" w:line="301" w:lineRule="auto"/>
        <w:rPr>
          <w:sz w:val="20"/>
          <w:szCs w:val="20"/>
          <w:color w:val="auto"/>
        </w:rPr>
      </w:pPr>
      <w:r>
        <w:rPr>
          <w:rFonts w:ascii="Arial" w:cs="Arial" w:eastAsia="Arial" w:hAnsi="Arial"/>
          <w:sz w:val="17"/>
          <w:szCs w:val="17"/>
          <w:color w:val="auto"/>
        </w:rPr>
        <w:t>In connection with the consummation of the Transactions, we and the Continuing Equity Owners will enter into GoHealth Holdings, LLC’s Second Amended and Restated Limited Liability Company Agreement, which we refer to as the GoHealth Holdings, LLC Agreement.</w:t>
      </w:r>
    </w:p>
    <w:p>
      <w:pPr>
        <w:spacing w:after="0" w:line="178" w:lineRule="exact"/>
        <w:rPr>
          <w:sz w:val="20"/>
          <w:szCs w:val="20"/>
          <w:color w:val="auto"/>
        </w:rPr>
      </w:pPr>
    </w:p>
    <w:p>
      <w:pPr>
        <w:ind w:left="1140" w:hanging="438"/>
        <w:spacing w:after="0" w:line="290" w:lineRule="auto"/>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Appointment as Managing Member</w:t>
      </w:r>
      <w:r>
        <w:rPr>
          <w:rFonts w:ascii="Arial" w:cs="Arial" w:eastAsia="Arial" w:hAnsi="Arial"/>
          <w:sz w:val="16"/>
          <w:szCs w:val="16"/>
          <w:color w:val="auto"/>
        </w:rPr>
        <w:t>. Under the GoHealth Holdings, LLC Agreement, we will become a member and the sole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GoHealth Holdings, LLC. As the sole manager, we will be able to control all of the day-to-day business affairs and decision-making of GoHealth Holdings, LLC without the approval of any other member. As such, we, through our officers and directors, will be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190" w:lineRule="exact"/>
        <w:rPr>
          <w:rFonts w:ascii="Arial" w:cs="Arial" w:eastAsia="Arial" w:hAnsi="Arial"/>
          <w:sz w:val="16"/>
          <w:szCs w:val="16"/>
          <w:color w:val="auto"/>
        </w:rPr>
      </w:pPr>
    </w:p>
    <w:p>
      <w:pPr>
        <w:ind w:left="1140" w:right="80" w:hanging="438"/>
        <w:spacing w:after="0" w:line="255" w:lineRule="auto"/>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Fees and Expenses</w:t>
      </w:r>
      <w:r>
        <w:rPr>
          <w:rFonts w:ascii="Arial" w:cs="Arial" w:eastAsia="Arial" w:hAnsi="Arial"/>
          <w:sz w:val="18"/>
          <w:szCs w:val="18"/>
          <w:color w:val="auto"/>
        </w:rPr>
        <w:t>. We will not be entitled to compensation for our services as the manager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be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216" w:lineRule="exact"/>
        <w:rPr>
          <w:rFonts w:ascii="Arial" w:cs="Arial" w:eastAsia="Arial" w:hAnsi="Arial"/>
          <w:sz w:val="18"/>
          <w:szCs w:val="18"/>
          <w:color w:val="auto"/>
        </w:rPr>
      </w:pPr>
    </w:p>
    <w:p>
      <w:pPr>
        <w:ind w:left="1140" w:hanging="438"/>
        <w:spacing w:after="0" w:line="283" w:lineRule="auto"/>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w:t>
      </w:r>
      <w:r>
        <w:rPr>
          <w:rFonts w:ascii="Arial" w:cs="Arial" w:eastAsia="Arial" w:hAnsi="Arial"/>
          <w:sz w:val="16"/>
          <w:szCs w:val="16"/>
          <w:color w:val="auto"/>
        </w:rPr>
        <w:t>. The GoHealth Holdings, LLC Agreement will require “tax distributions,” as that term is used in the agreement to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The GoHealth Holdings, LLC Agreement will also allow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60"/>
          </w:cols>
          <w:pgMar w:left="320" w:top="456"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hanging="438"/>
        <w:spacing w:after="0" w:line="269" w:lineRule="auto"/>
        <w:tabs>
          <w:tab w:leader="none" w:pos="114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Transfer Restrictions</w:t>
      </w:r>
      <w:r>
        <w:rPr>
          <w:rFonts w:ascii="Arial" w:cs="Arial" w:eastAsia="Arial" w:hAnsi="Arial"/>
          <w:sz w:val="17"/>
          <w:szCs w:val="17"/>
          <w:color w:val="auto"/>
        </w:rPr>
        <w:t>. The GoHealth Holdings, LLC Agreement generally does not permit transfers of LLC Interests by members,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178" w:lineRule="exact"/>
        <w:rPr>
          <w:rFonts w:ascii="Arial" w:cs="Arial" w:eastAsia="Arial" w:hAnsi="Arial"/>
          <w:sz w:val="17"/>
          <w:szCs w:val="17"/>
          <w:color w:val="auto"/>
        </w:rPr>
      </w:pPr>
    </w:p>
    <w:p>
      <w:pPr>
        <w:ind w:left="1140" w:right="60"/>
        <w:spacing w:after="0" w:line="267" w:lineRule="auto"/>
        <w:rPr>
          <w:rFonts w:ascii="Arial" w:cs="Arial" w:eastAsia="Arial" w:hAnsi="Arial"/>
          <w:sz w:val="17"/>
          <w:szCs w:val="17"/>
          <w:color w:val="auto"/>
        </w:rPr>
      </w:pPr>
      <w:r>
        <w:rPr>
          <w:rFonts w:ascii="Arial" w:cs="Arial" w:eastAsia="Arial" w:hAnsi="Arial"/>
          <w:sz w:val="17"/>
          <w:szCs w:val="17"/>
          <w:color w:val="auto"/>
        </w:rPr>
        <w:t>The GoHealth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LLC Interests shall be permitted to participate in such Pubco Offer by delivering a redemption notice, which shall be effective immediately prior to, and contingent upon, the consummation of such Pubco Offer. If a Pubco Offer is proposed by GoHealth, Inc., then GoHealth, Inc. is required to use its reasonable best efforts expeditiously and in good faith to take all such actions and do all such things as are necessary or desirable to enable and permit the holders of such LLC Interests to participate in such Pubco Offer to the same extent as or on an economically equivalent basis with the holders of shares of Class A common stock, provided that in no event shall any holder of LLC Interests be entitled to receive aggregate consideration for each common unit that is greater than the consideration payable in respect of each share of Class A common stock pursuant to the Pubco Offer.</w:t>
      </w:r>
    </w:p>
    <w:p>
      <w:pPr>
        <w:spacing w:after="0" w:line="179" w:lineRule="exact"/>
        <w:rPr>
          <w:rFonts w:ascii="Arial" w:cs="Arial" w:eastAsia="Arial" w:hAnsi="Arial"/>
          <w:sz w:val="17"/>
          <w:szCs w:val="17"/>
          <w:color w:val="auto"/>
        </w:rPr>
      </w:pPr>
    </w:p>
    <w:p>
      <w:pPr>
        <w:ind w:left="1140" w:right="20"/>
        <w:spacing w:after="0" w:line="253" w:lineRule="auto"/>
        <w:rPr>
          <w:rFonts w:ascii="Arial" w:cs="Arial" w:eastAsia="Arial" w:hAnsi="Arial"/>
          <w:sz w:val="17"/>
          <w:szCs w:val="17"/>
          <w:color w:val="auto"/>
        </w:rPr>
      </w:pPr>
      <w:r>
        <w:rPr>
          <w:rFonts w:ascii="Arial" w:cs="Arial" w:eastAsia="Arial" w:hAnsi="Arial"/>
          <w:sz w:val="18"/>
          <w:szCs w:val="18"/>
          <w:color w:val="auto"/>
        </w:rPr>
        <w:t>Except for certain exceptions, any transferee of LLC Interests must assume, by operation of law or executing a joinder to the GoHealth Holdings, LLC Agreement, all of the obligations of a transferring member with respect to the transferred units, and such transferee shall be bound by any limitations and obligations under the GoHealth Holdings, LLC Agreement even if the transferee is not admitted as a member of GoHealth Holdings, LLC. A member shall remain as a member with all rights and obligations until the transferee is accepted as substitute member in accordance with GoHealth Holdings, LLC Agreement.</w:t>
      </w:r>
    </w:p>
    <w:p>
      <w:pPr>
        <w:spacing w:after="0" w:line="219" w:lineRule="exact"/>
        <w:rPr>
          <w:rFonts w:ascii="Arial" w:cs="Arial" w:eastAsia="Arial" w:hAnsi="Arial"/>
          <w:sz w:val="17"/>
          <w:szCs w:val="17"/>
          <w:color w:val="auto"/>
        </w:rPr>
      </w:pPr>
    </w:p>
    <w:p>
      <w:pPr>
        <w:ind w:left="1140" w:right="80" w:hanging="438"/>
        <w:spacing w:after="0" w:line="293" w:lineRule="auto"/>
        <w:tabs>
          <w:tab w:leader="none" w:pos="114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The GoHealth Holdings, LLC Agreement will recapitalize the units currently held by the existing members of GoHealth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into a new single class of LLC Interests. The GoHealth Holdings, LLC Agreement will also reflect a split of LLC Interests such that one common unit can be acquired with the net proceeds received in the initial offering from the sale of one share of our Class A common stock, after the deduction of the underwriting discount and estimated offering expenses payable by us. Each common unit generally will entitle the holder to a pro-rata share of the net profits and net losses and distributions of GoHealth Holdings, LLC.</w:t>
      </w:r>
    </w:p>
    <w:p>
      <w:pPr>
        <w:spacing w:after="0" w:line="187" w:lineRule="exact"/>
        <w:rPr>
          <w:rFonts w:ascii="Arial" w:cs="Arial" w:eastAsia="Arial" w:hAnsi="Arial"/>
          <w:sz w:val="16"/>
          <w:szCs w:val="16"/>
          <w:color w:val="auto"/>
        </w:rPr>
      </w:pPr>
    </w:p>
    <w:p>
      <w:pPr>
        <w:ind w:left="1140" w:right="60" w:hanging="438"/>
        <w:spacing w:after="0" w:line="282" w:lineRule="auto"/>
        <w:tabs>
          <w:tab w:leader="none" w:pos="114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Maintenance of One-to-one Ratio between Shares of Class A Common Stock and LLC Interests Owned by the Company, and One-to-one Ratio between Shares of Class B Common Stock and LLC Interests Owned by Centerbridge and NVX Holdings</w:t>
      </w:r>
      <w:r>
        <w:rPr>
          <w:rFonts w:ascii="Arial" w:cs="Arial" w:eastAsia="Arial" w:hAnsi="Arial"/>
          <w:sz w:val="16"/>
          <w:szCs w:val="16"/>
          <w:color w:val="auto"/>
        </w:rPr>
        <w:t>.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w:t>
      </w:r>
    </w:p>
    <w:p>
      <w:pPr>
        <w:spacing w:after="0" w:line="1" w:lineRule="exact"/>
        <w:rPr>
          <w:rFonts w:ascii="Arial" w:cs="Arial" w:eastAsia="Arial" w:hAnsi="Arial"/>
          <w:sz w:val="16"/>
          <w:szCs w:val="16"/>
          <w:color w:val="auto"/>
        </w:rPr>
      </w:pPr>
    </w:p>
    <w:p>
      <w:pPr>
        <w:ind w:left="1140"/>
        <w:spacing w:after="0" w:line="292" w:lineRule="auto"/>
        <w:rPr>
          <w:rFonts w:ascii="Arial" w:cs="Arial" w:eastAsia="Arial" w:hAnsi="Arial"/>
          <w:sz w:val="16"/>
          <w:szCs w:val="16"/>
          <w:color w:val="auto"/>
        </w:rPr>
      </w:pPr>
      <w:r>
        <w:rPr>
          <w:rFonts w:ascii="Arial" w:cs="Arial" w:eastAsia="Arial" w:hAnsi="Arial"/>
          <w:sz w:val="16"/>
          <w:szCs w:val="16"/>
          <w:color w:val="auto"/>
        </w:rPr>
        <w:t>(2)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 This ratio requirement disregards (1) shares of our Class A common stock under unvested options issued by us,</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6"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firstLine="4"/>
        <w:spacing w:after="0" w:line="282" w:lineRule="auto"/>
        <w:tabs>
          <w:tab w:leader="none" w:pos="13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treasury stock, and (3) preferred stock or other debt or equity securities (including warrants, options or rights) issued by us that are convertible into or exercisable or exchangeable for shares of Class A common stock, except to the extent we have contributed the net proceeds from such other securities, including any exercise or purchase price payable upon conversion, exercise or exchange thereof, to the equity capital of GoHealth Holdings, LLC. In addition, the Class A common stock ratio requirement disregards all LLC Interests at any time held by any other person, including the Continuing Equity Owners and the holders of options over LLC Interests. If we issue, transfer or deliver from treasury stock or repurchase shares of Class A common stock in a transaction not contemplated by the GoHealth Holdings, LLC Agreement, we as manager of GoHealth Holdings, LLC have the authority to take all actions such that, after giving effect to all such issuances, transfers, deliveries or repurchases, the number of outstanding LLC Interests we own equals, on a one-for-one basis, the number of outstanding shares of Class A common stock. If we issue, transfer or deliver from treasury stock or repurchase or redeem any of our preferred stock in a transaction not contemplated by the GoHealth Holdings, LLC Agreement, we as manager have the authority to take all actions such that, after giving effect to all such issuances, transfers, deliveries repurchases or redemptions, we hold (in the case of any issuance, transfer or delivery) or cease to hold (in the case of any repurchase or redemption) equity interests in GoHealth Holdings, LLC which (in our good faith determination) are in the aggregate substantially equivalent to our preferred stock so issued, transferred, delivered, repurchased or redeemed. GoHealth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(1) our Class A common stock to maintain at all times a one-to-one ratio between the number of LLC Interests owned by us and the number of outstanding shares of our Class A common stock and (2) our Class B common stock to maintain at all times a one-to-one ratio between the number of LLC Interests owned by Centerbridge and our Founders and their permitted transferees, collectively, and the number of outstanding shares of our Class B common stock, as applicable, in each case, subject to exceptions.</w:t>
      </w:r>
    </w:p>
    <w:p>
      <w:pPr>
        <w:spacing w:after="0" w:line="196" w:lineRule="exact"/>
        <w:rPr>
          <w:rFonts w:ascii="Arial" w:cs="Arial" w:eastAsia="Arial" w:hAnsi="Arial"/>
          <w:sz w:val="16"/>
          <w:szCs w:val="16"/>
          <w:color w:val="auto"/>
        </w:rPr>
      </w:pPr>
    </w:p>
    <w:p>
      <w:pPr>
        <w:ind w:left="1140" w:hanging="438"/>
        <w:spacing w:after="0" w:line="282" w:lineRule="auto"/>
        <w:tabs>
          <w:tab w:leader="none" w:pos="114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LLC Interests upon Exercise of Options or Issuance of Other Equity Compensation</w:t>
      </w:r>
      <w:r>
        <w:rPr>
          <w:rFonts w:ascii="Arial" w:cs="Arial" w:eastAsia="Arial" w:hAnsi="Arial"/>
          <w:sz w:val="16"/>
          <w:szCs w:val="16"/>
          <w:color w:val="auto"/>
        </w:rPr>
        <w:t>. Upon the exercise of options issued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(as opposed to options issued by GoHealth Holdings, LLC), or the issuance of other types of equity compensation by us (such as the issuance of restricted or non-restricted stock, payment of bonuses in stock or settlement of stock appreciation rights in stock), we will have the right to acquire from GoHealth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GoHealth Holdings, LLC or its subsidiaries, we will make, or be deemed to make, a capital contribution in GoHealth Holdings, LLC equal to the aggregate value of such shares of Class A common stock and GoHealth Holdings, LLC will issue to us a number of LLC Interests equal to the number of shares we issued. When we issue shares of Class A common stock in settlement of stock options granted to persons that are officers or employees of GoHealth Holdings, LLC or its subsidiaries, then we will be deemed to have sold directly to the person exercising such award a portion of the value of each share of Class A common stock equal to the exercise price per share, and we will be deemed to have sold directly to GoHealth Holdings, LLC (or the applicable subsidiary of GoHealth Holdings, LLC) the difference between the exercise price and market price per share for each such share of Class A common stock. In cases where we grant other types of equity compensation to employees of GoHealth Holdings, LLC or its subsidiaries, on each applicable vesting date we will be deemed to have sold to GoHealth Holdings, LLC (or such subsidiary) the number of vested shares at a price equal to the market price per share, GoHealth Holdings, LLC (or such subsidiary) will deliver the shares to the applicable person, and we will be deemed to have made a capital contribution in GoHealth Holdings, LLC equal to the purchase price for such shares in exchange for an equal number of LLC Interests.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60"/>
          </w:cols>
          <w:pgMar w:left="320" w:top="456"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 w:hanging="438"/>
        <w:spacing w:after="0" w:line="268" w:lineRule="auto"/>
        <w:tabs>
          <w:tab w:leader="none" w:pos="114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Dissolution</w:t>
      </w:r>
      <w:r>
        <w:rPr>
          <w:rFonts w:ascii="Arial" w:cs="Arial" w:eastAsia="Arial" w:hAnsi="Arial"/>
          <w:sz w:val="17"/>
          <w:szCs w:val="17"/>
          <w:color w:val="auto"/>
        </w:rPr>
        <w:t>. The GoHealth Holdings, LLC Agreement will provide that the consent of GoHealth, Inc. as the managing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GoHealth Holdings, LLC and members holding a majority of the voting units will be required to voluntarily dissolve GoHealth Holdings, LLC. In addition to a voluntary dissolution, GoHealth Holdings, LLC will be dissolved upon the entry of a decree of judicial dissolution or other circumstances in accordance with Delaware law. Upon a dissolution event, the proceeds of a liquidation will be distributed in the following order: (1) first, to pay the expenses of winding up GoHealth Holdings, LLC; (2) second, to pay debts and liabilities owed to creditors of GoHealth Holdings, LLC, other than members; and (3) third, to the members pro-rata in accordance with their respective percentage ownership interests in GoHealth Holdings, LLC (as determined based on the number of LLC Interests held by a member relative to the aggregate number of all outstanding LLC Interests).</w:t>
      </w:r>
    </w:p>
    <w:p>
      <w:pPr>
        <w:spacing w:after="0" w:line="206" w:lineRule="exact"/>
        <w:rPr>
          <w:rFonts w:ascii="Arial" w:cs="Arial" w:eastAsia="Arial" w:hAnsi="Arial"/>
          <w:sz w:val="17"/>
          <w:szCs w:val="17"/>
          <w:color w:val="auto"/>
        </w:rPr>
      </w:pPr>
    </w:p>
    <w:p>
      <w:pPr>
        <w:ind w:left="1140" w:right="40" w:hanging="438"/>
        <w:spacing w:after="0" w:line="272" w:lineRule="auto"/>
        <w:tabs>
          <w:tab w:leader="none" w:pos="114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Confidentiality</w:t>
      </w:r>
      <w:r>
        <w:rPr>
          <w:rFonts w:ascii="Arial" w:cs="Arial" w:eastAsia="Arial" w:hAnsi="Arial"/>
          <w:sz w:val="17"/>
          <w:szCs w:val="17"/>
          <w:color w:val="auto"/>
        </w:rPr>
        <w:t>. We, as manager, and each member agree to maintain the confidentiality of GoHealth Holdings, LLC’s confidential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This obligation excludes information independently obtained or developed by the members, information that is in the public domain or otherwise disclosed to a member, in either such case not in violation of a confidentiality obligation of the GoHealth Holdings, LLC Agreement or approved for release by written authorization of the Chief Executive Officer, the Chief Financial Officer or the General Counsel of either GoHealth, Inc. or GoHealth Holdings, LLC.</w:t>
      </w:r>
    </w:p>
    <w:p>
      <w:pPr>
        <w:spacing w:after="0" w:line="202" w:lineRule="exact"/>
        <w:rPr>
          <w:rFonts w:ascii="Arial" w:cs="Arial" w:eastAsia="Arial" w:hAnsi="Arial"/>
          <w:sz w:val="17"/>
          <w:szCs w:val="17"/>
          <w:color w:val="auto"/>
        </w:rPr>
      </w:pPr>
    </w:p>
    <w:p>
      <w:pPr>
        <w:ind w:left="1140" w:right="440" w:hanging="438"/>
        <w:spacing w:after="0" w:line="271" w:lineRule="auto"/>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The GoHealth Holdings, LLC Agreement will provide for indemnification of the manager, members and officers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GoHealth Holdings, LLC and their respective subsidiaries or affiliates.</w:t>
      </w:r>
    </w:p>
    <w:p>
      <w:pPr>
        <w:spacing w:after="0" w:line="201" w:lineRule="exact"/>
        <w:rPr>
          <w:rFonts w:ascii="Arial" w:cs="Arial" w:eastAsia="Arial" w:hAnsi="Arial"/>
          <w:sz w:val="18"/>
          <w:szCs w:val="18"/>
          <w:color w:val="auto"/>
        </w:rPr>
      </w:pPr>
    </w:p>
    <w:p>
      <w:pPr>
        <w:ind w:left="1140" w:hanging="438"/>
        <w:spacing w:after="0" w:line="265" w:lineRule="auto"/>
        <w:tabs>
          <w:tab w:leader="none" w:pos="114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Common Unit Redemption Right</w:t>
      </w:r>
      <w:r>
        <w:rPr>
          <w:rFonts w:ascii="Arial" w:cs="Arial" w:eastAsia="Arial" w:hAnsi="Arial"/>
          <w:sz w:val="17"/>
          <w:szCs w:val="17"/>
          <w:color w:val="auto"/>
        </w:rPr>
        <w:t>. The GoHealth Holdings, LLC Agreement will provide a redemption right to the Continuing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 which will entitle them to have their LLC Interests redeemed (subject in certain circumstances to time-based vesting requirements) for, at our election (determined by at least two of our independent directors (within the meaning of the Nasdaq rules) who are disinterested), newly-issued shares of our Class A common stock on a one-for-one basis, or in connection with a redemption exercised in connection with the closing of this offering, a cash payment equal to the price per share for which shares of Class A common stock are sold in this offering less any applicable underwriters’ discounts or commissions and brokers’ fees or commissions,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 (1) the Continuing Equity Owners will be required to surrender a number of shares of our Class B common stock 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184" w:lineRule="exact"/>
        <w:rPr>
          <w:sz w:val="20"/>
          <w:szCs w:val="20"/>
          <w:color w:val="auto"/>
        </w:rPr>
      </w:pPr>
    </w:p>
    <w:p>
      <w:pPr>
        <w:ind w:left="1140" w:right="180"/>
        <w:spacing w:after="0" w:line="253" w:lineRule="auto"/>
        <w:rPr>
          <w:sz w:val="20"/>
          <w:szCs w:val="20"/>
          <w:color w:val="auto"/>
        </w:rPr>
      </w:pPr>
      <w:r>
        <w:rPr>
          <w:rFonts w:ascii="Arial" w:cs="Arial" w:eastAsia="Arial" w:hAnsi="Arial"/>
          <w:sz w:val="18"/>
          <w:szCs w:val="18"/>
          <w:color w:val="auto"/>
        </w:rPr>
        <w:t>Each Continuing Equity Owner’s redemption rights will be subject to certain customary limitations, including the expiration of any contractual lock-up period relating to the shares of our Class A common stock that may be applicable to such Continuing Equity Owner and the absence of any liens or encumbrances on such LLC Interests redeemed. Additionally, in the case we elect a cash settlement, such Continuing Equity Owner may rescind its redemption request within a specified period of time. Moreover, in the case of a settlement in Class A common stock, such redemption may be conditioned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80"/>
          </w:cols>
          <w:pgMar w:left="320" w:top="456"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80"/>
        <w:spacing w:after="0" w:line="282" w:lineRule="auto"/>
        <w:rPr>
          <w:sz w:val="20"/>
          <w:szCs w:val="20"/>
          <w:color w:val="auto"/>
        </w:rPr>
      </w:pPr>
      <w:r>
        <w:rPr>
          <w:rFonts w:ascii="Arial" w:cs="Arial" w:eastAsia="Arial" w:hAnsi="Arial"/>
          <w:sz w:val="16"/>
          <w:szCs w:val="16"/>
          <w:color w:val="auto"/>
        </w:rPr>
        <w:t>on the closing of an underwritten distribution of the shares of Class A common stock that may be issued in connection with such proposed redemption. In the case of a settlement in Class A common stock, such Continuing Equity Owner may also revoke or delay its redemption request if the following conditions exist: (1) any registration statement pursuant to which the resale of the Class A common stock to be registered for such Continuing Equity Owner at or immediately following the consummation of the redemption shall have ceased to be effective pursuant to any action or inaction by the SEC or no such resale registration statement has yet become effective; (2) we failed to cause any related prospectus to be supplemented by any required prospectus supplement necessary to effect such redemption; (3) we exercised our right to defer, delay or suspend the filing or effectiveness of a registration statement and such deferral, delay or suspension shall affect the ability of such Continuing Equity Owner to have its Class A common stock registered at or immediately following the consummation of the redemption; (4) such Continuing Equity Owner is in possession of any material non-public information concerning us, the receipt of which results in such Continuing Equity Owner being prohibited or restricted from selling Class A common stock at or immediately following the redemption without disclosure of such information (and we do not permit disclosure); (5) any stop order relating to the registration statement pursuant to which the Class A common stock was to be registered by such Continuing Equity Owner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we shall have failed to comply in all material respects with our obligations under the Registration Rights Agreement, and such failure shall have affected the ability of such Continuing Equity Owner to consummate the resale of the Class A common stock to be received upon such redemption pursuant to an effective registration statement; or (9) the redemption date would occur three business days or less prior to, or during, a black-out period.</w:t>
      </w:r>
    </w:p>
    <w:p>
      <w:pPr>
        <w:spacing w:after="0" w:line="172" w:lineRule="exact"/>
        <w:rPr>
          <w:sz w:val="20"/>
          <w:szCs w:val="20"/>
          <w:color w:val="auto"/>
        </w:rPr>
      </w:pPr>
    </w:p>
    <w:p>
      <w:pPr>
        <w:ind w:left="1140" w:right="40"/>
        <w:spacing w:after="0" w:line="259" w:lineRule="auto"/>
        <w:rPr>
          <w:sz w:val="20"/>
          <w:szCs w:val="20"/>
          <w:color w:val="auto"/>
        </w:rPr>
      </w:pPr>
      <w:r>
        <w:rPr>
          <w:rFonts w:ascii="Arial" w:cs="Arial" w:eastAsia="Arial" w:hAnsi="Arial"/>
          <w:sz w:val="18"/>
          <w:szCs w:val="18"/>
          <w:color w:val="auto"/>
        </w:rPr>
        <w:t>Moreover, 7,611,109 LLC Interests received in exchange for unvested profits units in connection with the Transactions will remain subject to their existing time-based vesting requirements. As such, the Former Profits Unit Holders who directly or indirectly hold these LLC Interests will not be able to exercise their redemption rights until the applicable vesting date.</w:t>
      </w:r>
    </w:p>
    <w:p>
      <w:pPr>
        <w:spacing w:after="0" w:line="186" w:lineRule="exact"/>
        <w:rPr>
          <w:sz w:val="20"/>
          <w:szCs w:val="20"/>
          <w:color w:val="auto"/>
        </w:rPr>
      </w:pPr>
    </w:p>
    <w:p>
      <w:pPr>
        <w:ind w:left="1140"/>
        <w:spacing w:after="0" w:line="267" w:lineRule="auto"/>
        <w:rPr>
          <w:sz w:val="20"/>
          <w:szCs w:val="20"/>
          <w:color w:val="auto"/>
        </w:rPr>
      </w:pPr>
      <w:r>
        <w:rPr>
          <w:rFonts w:ascii="Arial" w:cs="Arial" w:eastAsia="Arial" w:hAnsi="Arial"/>
          <w:sz w:val="17"/>
          <w:szCs w:val="17"/>
          <w:color w:val="auto"/>
        </w:rPr>
        <w:t>The GoHealth Holdings, LLC Agreement will require that in the case of a redemption by a Continuing Equity Owner we contribute cash or shares of our Class A common stock, as applicable, to GoHealth Holdings, LLC in exchange for an amount of newly-issued LLC Interests that will be issued to us equal to the number of LLC Interests redeemed from the Continuing Equity Owner. GoHealth Holdings, LLC will then distribute the cash or shares of our Class A common stock, as applicable, to such Continuing Equity Owner to complete the redemption. In the event of an election by a Continuing Equity Owner, we may, at our option, effect a direct exchange by GoHealth, Inc. of cash or our Class A common stock, as applicable, for such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209" w:lineRule="exact"/>
        <w:rPr>
          <w:sz w:val="20"/>
          <w:szCs w:val="20"/>
          <w:color w:val="auto"/>
        </w:rPr>
      </w:pPr>
    </w:p>
    <w:p>
      <w:pPr>
        <w:ind w:left="1140" w:right="80" w:hanging="438"/>
        <w:spacing w:after="0" w:line="259" w:lineRule="auto"/>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In addition to certain other requirements, our consent, as manager, and the consent of members holding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Interests then outstanding and entitled to vote (excluding LLC Interests held directly or indirectly by us) will generally be required to amend or modify the GoHealth Holdings, LLC Agreement.</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4" w:lineRule="exact"/>
        <w:rPr>
          <w:sz w:val="20"/>
          <w:szCs w:val="20"/>
          <w:color w:val="auto"/>
        </w:rPr>
      </w:pPr>
    </w:p>
    <w:p>
      <w:pPr>
        <w:ind w:left="160" w:right="740"/>
        <w:spacing w:after="0" w:line="271" w:lineRule="auto"/>
        <w:rPr>
          <w:sz w:val="20"/>
          <w:szCs w:val="20"/>
          <w:color w:val="auto"/>
        </w:rPr>
      </w:pPr>
      <w:r>
        <w:rPr>
          <w:rFonts w:ascii="Arial" w:cs="Arial" w:eastAsia="Arial" w:hAnsi="Arial"/>
          <w:sz w:val="18"/>
          <w:szCs w:val="18"/>
          <w:color w:val="auto"/>
        </w:rPr>
        <w:t>Pursuant to the Stockholders Agreement, (i) Centerbridge will have the right to designate that number of individuals, which, assuming all such individuals are successfully elected as Directors, when taken together with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6"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4" w:lineRule="auto"/>
        <w:rPr>
          <w:sz w:val="20"/>
          <w:szCs w:val="20"/>
          <w:color w:val="auto"/>
        </w:rPr>
      </w:pPr>
      <w:r>
        <w:rPr>
          <w:rFonts w:ascii="Arial" w:cs="Arial" w:eastAsia="Arial" w:hAnsi="Arial"/>
          <w:sz w:val="17"/>
          <w:szCs w:val="17"/>
          <w:color w:val="auto"/>
        </w:rPr>
        <w:t>any incumbent Centerbridge Director (as defined below) not standing for election in such election, would result in there being two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will have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will have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will have the right to designate for nomination that number of individuals, which, assuming all such individuals are successfully elected as Directors, when taken together with any incumbent Centerbridge-Designated Independent Director not standing for election in such election, would result in there being one Centerbridge-Designated Independent Director.</w:t>
      </w:r>
    </w:p>
    <w:p>
      <w:pPr>
        <w:spacing w:after="0" w:line="194"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Pursuant to the Stockholders Agreement, (i) NVX Holdings shall have the right designate that number of individuals, which, assuming all such individuals are successfully elected as Directors, when taken together with any incumbent Founders Director (as defined below) not standing for election in such election, would result in there being two Directors, or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 10% but at least 5% of our Class A common stock (assuming that all outstanding LLC Interests are redeemed for newly-issued shares of our class A common stock on a one-for-one basis), NVX Holdings will have the right to designate for nomination that number of individuals, which, assuming all such individuals are successfully elected as Directors, when taken together with any incumbent Founders Directors not standing for election in such election, would result in there being one Founders Director. In addition, (i) NVX Holdings will have the right to designate that number of individuals who satisfy the independence requirements specified in the Stockholders Agreement, which, assuming all such individuals are successfully elected as Directors, when taken together with any incumbent Founders-Designated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newly-issued shares 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40"/>
          </w:cols>
          <w:pgMar w:left="320" w:top="456" w:right="5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Additionally, pursuant to the Stockholders Agreement, each of Centerbridge and NVX Holdings will have the right to appoint one board observer so long as Centerbridge or NVX Holdings, respectively, beneficially own, directly or indirectly, at least 5% of our Class A common stock (assuming that all outstanding LLC Interests in GoHealth Holdings, LLC are redeemed for newly-issued shares of our Class A common stock on a one-for-one basis).</w:t>
      </w:r>
    </w:p>
    <w:p>
      <w:pPr>
        <w:spacing w:after="0" w:line="150" w:lineRule="exact"/>
        <w:rPr>
          <w:sz w:val="20"/>
          <w:szCs w:val="20"/>
          <w:color w:val="auto"/>
        </w:rPr>
      </w:pPr>
    </w:p>
    <w:p>
      <w:pPr>
        <w:ind w:left="160" w:right="160"/>
        <w:spacing w:after="0" w:line="281" w:lineRule="auto"/>
        <w:rPr>
          <w:sz w:val="20"/>
          <w:szCs w:val="20"/>
          <w:color w:val="auto"/>
        </w:rPr>
      </w:pPr>
      <w:r>
        <w:rPr>
          <w:rFonts w:ascii="Arial" w:cs="Arial" w:eastAsia="Arial" w:hAnsi="Arial"/>
          <w:sz w:val="16"/>
          <w:szCs w:val="16"/>
          <w:color w:val="auto"/>
        </w:rPr>
        <w:t>Each of Centerbridge and NVX Holdings will also agree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 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w:t>
      </w:r>
    </w:p>
    <w:p>
      <w:pPr>
        <w:spacing w:after="0" w:line="3" w:lineRule="exact"/>
        <w:rPr>
          <w:sz w:val="20"/>
          <w:szCs w:val="20"/>
          <w:color w:val="auto"/>
        </w:rPr>
      </w:pPr>
    </w:p>
    <w:p>
      <w:pPr>
        <w:ind w:left="160" w:right="20" w:firstLine="7"/>
        <w:spacing w:after="0" w:line="288" w:lineRule="auto"/>
        <w:tabs>
          <w:tab w:leader="none" w:pos="41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 See “Management—Composition of our Board of Directors.”</w:t>
      </w:r>
    </w:p>
    <w:p>
      <w:pPr>
        <w:spacing w:after="0" w:line="167"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15%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99" w:lineRule="exact"/>
        <w:rPr>
          <w:sz w:val="20"/>
          <w:szCs w:val="20"/>
          <w:color w:val="auto"/>
        </w:rPr>
      </w:pPr>
    </w:p>
    <w:p>
      <w:pPr>
        <w:ind w:left="1140" w:right="40" w:hanging="438"/>
        <w:spacing w:after="0" w:line="259"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sale, lease or exchange of all or substantially all of the property and assets of the Company and its subsidiaries, taken as a whole;</w:t>
      </w:r>
    </w:p>
    <w:p>
      <w:pPr>
        <w:spacing w:after="0" w:line="150" w:lineRule="exact"/>
        <w:rPr>
          <w:rFonts w:ascii="Arial" w:cs="Arial" w:eastAsia="Arial" w:hAnsi="Arial"/>
          <w:sz w:val="16"/>
          <w:szCs w:val="16"/>
          <w:color w:val="auto"/>
        </w:rPr>
      </w:pPr>
    </w:p>
    <w:p>
      <w:pPr>
        <w:jc w:val="both"/>
        <w:ind w:left="1140" w:right="80" w:hanging="438"/>
        <w:spacing w:after="0" w:line="259"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acquisition or disposition by the Company or any of its subsidiaries of assets, persons, equity interests or businesses, or entry into any join venture by the Company, where the aggregate consideration is greater than $50.0 million in any single transaction or series of related transactions;</w:t>
      </w:r>
    </w:p>
    <w:p>
      <w:pPr>
        <w:spacing w:after="0" w:line="92"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creation of a new class or series of capital stock or equity securities of the Company, GoHealth Holdings, LLC or any of their respective subsidiaries;</w:t>
      </w:r>
    </w:p>
    <w:p>
      <w:pPr>
        <w:spacing w:after="0" w:line="80" w:lineRule="exact"/>
        <w:rPr>
          <w:rFonts w:ascii="Arial" w:cs="Arial" w:eastAsia="Arial" w:hAnsi="Arial"/>
          <w:sz w:val="18"/>
          <w:szCs w:val="18"/>
          <w:color w:val="auto"/>
        </w:rPr>
      </w:pPr>
    </w:p>
    <w:p>
      <w:pPr>
        <w:ind w:left="1140" w:right="22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issuance of additional shares of Class A Common Stock, Class B Stock, Class C Stock, Preferred Stock or other equity securities of the Company, GoHealth Holdings, LLC or any of their respective subsidiaries;</w:t>
      </w:r>
    </w:p>
    <w:p>
      <w:pPr>
        <w:spacing w:after="0" w:line="80"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amendment or modification of the organizational documents of the Company, GoHealth Holdings, LLC or any of their respective subsidiaries;</w:t>
      </w:r>
    </w:p>
    <w:p>
      <w:pPr>
        <w:spacing w:after="0" w:line="80" w:lineRule="exact"/>
        <w:rPr>
          <w:rFonts w:ascii="Arial" w:cs="Arial" w:eastAsia="Arial" w:hAnsi="Arial"/>
          <w:sz w:val="18"/>
          <w:szCs w:val="18"/>
          <w:color w:val="auto"/>
        </w:rPr>
      </w:pPr>
    </w:p>
    <w:p>
      <w:pPr>
        <w:ind w:left="1140" w:right="56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40"/>
          </w:cols>
          <w:pgMar w:left="320" w:top="456" w:right="5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80" w:hanging="438"/>
        <w:spacing w:after="0" w:line="259"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settlement of any material litigation or similar action to which the Company or any subsidiary is a party or could otherwise be bound;</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engagement of, or change to, our independent auditor;</w:t>
      </w:r>
    </w:p>
    <w:p>
      <w:pPr>
        <w:spacing w:after="0" w:line="127" w:lineRule="exact"/>
        <w:rPr>
          <w:rFonts w:ascii="Arial" w:cs="Arial" w:eastAsia="Arial" w:hAnsi="Arial"/>
          <w:sz w:val="18"/>
          <w:szCs w:val="18"/>
          <w:color w:val="auto"/>
        </w:rPr>
      </w:pPr>
    </w:p>
    <w:p>
      <w:pPr>
        <w:ind w:left="1140" w:right="100" w:hanging="438"/>
        <w:spacing w:after="0" w:line="259"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92" w:lineRule="exact"/>
        <w:rPr>
          <w:rFonts w:ascii="Arial" w:cs="Arial" w:eastAsia="Arial" w:hAnsi="Arial"/>
          <w:sz w:val="18"/>
          <w:szCs w:val="18"/>
          <w:color w:val="auto"/>
        </w:rPr>
      </w:pPr>
    </w:p>
    <w:p>
      <w:pPr>
        <w:ind w:left="1140" w:right="20" w:hanging="438"/>
        <w:spacing w:after="0" w:line="255"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any increase, decrease or change in compensation (including equity compensation or other employment terms) with respect to our Chief Executive Officer, President, Chief Financial Officer, 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agreement, authorization or commitment to do any of the foregoing.</w:t>
      </w:r>
    </w:p>
    <w:p>
      <w:pPr>
        <w:spacing w:after="0" w:line="221"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99" w:lineRule="exact"/>
        <w:rPr>
          <w:sz w:val="20"/>
          <w:szCs w:val="20"/>
          <w:color w:val="auto"/>
        </w:rPr>
      </w:pPr>
    </w:p>
    <w:p>
      <w:pPr>
        <w:ind w:left="1140" w:right="340" w:hanging="438"/>
        <w:spacing w:after="0" w:line="271"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reorganization, recapitalization, voluntary bankruptcy, liquidation, dissolution or winding-up of the Company, GoHealth Holdings, LLC or any of their respective subsidiaries;</w:t>
      </w:r>
    </w:p>
    <w:p>
      <w:pPr>
        <w:spacing w:after="0" w:line="80" w:lineRule="exact"/>
        <w:rPr>
          <w:rFonts w:ascii="Arial" w:cs="Arial" w:eastAsia="Arial" w:hAnsi="Arial"/>
          <w:sz w:val="18"/>
          <w:szCs w:val="18"/>
          <w:color w:val="auto"/>
        </w:rPr>
      </w:pPr>
    </w:p>
    <w:p>
      <w:pPr>
        <w:ind w:left="1140" w:right="300" w:hanging="438"/>
        <w:spacing w:after="0" w:line="271"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 resignation, replacement or removal of the Company as the sole manager of GoHealth Holdings, LLC or (ii) appointment of any additional person as a manager of GoHealth Holdings, LLC;</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increase or decrease of the size of our Board;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material change to the primary nature of the Company and its subsidiaries’ business; and</w:t>
      </w:r>
    </w:p>
    <w:p>
      <w:pPr>
        <w:spacing w:after="0" w:line="127"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transaction with any affiliate, director or officer of the Company or any of its subsidiaries (other than employment arrangements with any such director or officer) involving an amount in excess of $3.0 million.</w:t>
      </w:r>
    </w:p>
    <w:p>
      <w:pPr>
        <w:spacing w:after="0" w:line="17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We intend to enter into a Registration Rights Agreement with certain of the Continuing Equity Owners in connection with this offering. The Registration Rights Agreement will provide certain of the Continuing Equity Owners with “demand” registration rights whereby, following our initial public offering and the expiration or waiver of any related lock-up period, such Continuing Equity Owners can require us to register under the Securities Act the offer and sale of shares of Class A common stock issuable to them, upon redemption or exchange of their LLC Interests. The Registration Rights Agreement will also provide for customary “piggyback” registration rights for all parties to the agreement.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6"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color w:val="auto"/>
        </w:rPr>
        <w:t>We intend to enter into an employment agreement with certain of our named executive officers in connection with this offering. See “Executive Compensation.”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Reserved Share Program</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At our request, an affiliate of BofA Securities, Inc., a participating underwriter, has reserved for sale, at the initial public offering price, up to 5% of the Class A common stock offered by this prospectus for sale to certain of our directors, officers and employees through a directed share program. See “Underwriting—Reserved Share Program” for more information.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1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Our board of directors will adopt a written related person transaction policy, to be effective upon the closing of this offering, setting forth the policies and procedures for the review and approval or ratification by our audit committee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with respect to the beneficial ownership of our Class A common stock and Class B common stock</w:t>
      </w:r>
    </w:p>
    <w:p>
      <w:pPr>
        <w:spacing w:after="0" w:line="31" w:lineRule="exact"/>
        <w:rPr>
          <w:sz w:val="20"/>
          <w:szCs w:val="20"/>
          <w:color w:val="auto"/>
        </w:rPr>
      </w:pPr>
    </w:p>
    <w:p>
      <w:pPr>
        <w:ind w:left="160" w:right="300" w:firstLine="7"/>
        <w:spacing w:after="0" w:line="256" w:lineRule="auto"/>
        <w:tabs>
          <w:tab w:leader="none" w:pos="41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(excluding this offering), as described in “Our Organizational Structure” and (2) as adjusted to give effect to this offering, for:</w:t>
      </w:r>
    </w:p>
    <w:p>
      <w:pPr>
        <w:spacing w:after="0" w:line="93"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As described in “Our Organizational Structure” and “Certain Relationships and Related Party Transactions,” each LLC Interest (other than LLC Interests held by us) is redeemable from time to time at each holder’s option (subject in certain circumstances to time-based vesting requirements) for, at our election (determined by at least two or our independent directors (within the meaning of the Nasdaq rules) who are disinterested), newly-issued shares of our Class A common stock on a one-for-one basis, or in connection with a redemption exercised in connection with the closing of this offering, a cash payment equal to price per share for which shares of Class A common stock are sold in this offering less any applicable underwriters’ discounts or commission and brokers’ fees or commissions,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connection with this offering, we will issue to each Continuing Equity Owner, for nominal consideration, one share of Class B common stock for each LLC Interest such Continuing Equity Owner will own. As a result, the number of shares of Class B common stock listed in the table below correlates to the number of LLC Interests Centerbridge and our Founders will own immediately after the Transactions. See “Our Organizational Structure.”</w:t>
      </w:r>
    </w:p>
    <w:p>
      <w:pPr>
        <w:spacing w:after="0" w:line="172"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June 30, 2020, are considered outstanding, although these shares are not considered outstanding for purposes of computing the percentage ownership of any other person. The percentage ownership of each individual or entity after giving effect to the Transactions and before this offering is computed on the basis of 40,682,961 shares of our Class A common stock outstanding and 254,879,007 shares of our Class B common stock outstanding. The percentage ownership of each individual or entity after the Transactions and after this offering is computed on the basis of 84,182,961 shares of our Class A common stock outstanding and 229,399,322 shares of our Class B common stock outstanding. The table does not reflect any shares of our Class A common stock that may be purchased in this offering by directors, executive officers or beneficial holders of more than 5% of our outstanding common stock through our Reserved Share Program described in “Underwriting— Reserved Share Program.” Unless otherwise indicated, the address of all listed stockholders is 214 West Huron Street, Chicago, Illinois 60654.</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60"/>
          </w:cols>
          <w:pgMar w:left="320" w:top="456"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60"/>
              <w:spacing w:after="0"/>
              <w:rPr>
                <w:sz w:val="20"/>
                <w:szCs w:val="20"/>
                <w:color w:val="auto"/>
              </w:rPr>
            </w:pPr>
            <w:r>
              <w:rPr>
                <w:rFonts w:ascii="Arial" w:cs="Arial" w:eastAsia="Arial" w:hAnsi="Arial"/>
                <w:sz w:val="11"/>
                <w:szCs w:val="11"/>
                <w:b w:val="1"/>
                <w:bCs w:val="1"/>
                <w:color w:val="auto"/>
                <w:w w:val="84"/>
              </w:rPr>
              <w:t>Class 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rPr>
                <w:sz w:val="20"/>
                <w:szCs w:val="20"/>
                <w:color w:val="auto"/>
              </w:rPr>
            </w:pPr>
            <w:r>
              <w:rPr>
                <w:rFonts w:ascii="Arial" w:cs="Arial" w:eastAsia="Arial" w:hAnsi="Arial"/>
                <w:sz w:val="11"/>
                <w:szCs w:val="11"/>
                <w:b w:val="1"/>
                <w:bCs w:val="1"/>
                <w:color w:val="auto"/>
                <w:w w:val="84"/>
              </w:rPr>
              <w:t>Class B</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80"/>
              <w:spacing w:after="0" w:line="121" w:lineRule="exact"/>
              <w:rPr>
                <w:sz w:val="20"/>
                <w:szCs w:val="20"/>
                <w:color w:val="auto"/>
              </w:rPr>
            </w:pPr>
            <w:r>
              <w:rPr>
                <w:rFonts w:ascii="Arial" w:cs="Arial" w:eastAsia="Arial" w:hAnsi="Arial"/>
                <w:sz w:val="11"/>
                <w:szCs w:val="11"/>
                <w:b w:val="1"/>
                <w:bCs w:val="1"/>
                <w:color w:val="auto"/>
                <w:w w:val="89"/>
              </w:rPr>
              <w:t>Common Stock</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5"/>
          </w:tcPr>
          <w:p>
            <w:pPr>
              <w:jc w:val="center"/>
              <w:ind w:right="240"/>
              <w:spacing w:after="0" w:line="121" w:lineRule="exact"/>
              <w:rPr>
                <w:sz w:val="20"/>
                <w:szCs w:val="20"/>
                <w:color w:val="auto"/>
              </w:rPr>
            </w:pPr>
            <w:r>
              <w:rPr>
                <w:rFonts w:ascii="Arial" w:cs="Arial" w:eastAsia="Arial" w:hAnsi="Arial"/>
                <w:sz w:val="11"/>
                <w:szCs w:val="11"/>
                <w:b w:val="1"/>
                <w:bCs w:val="1"/>
                <w:color w:val="auto"/>
                <w:w w:val="86"/>
              </w:rPr>
              <w:t>Common Stock</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00"/>
              <w:spacing w:after="0" w:line="121" w:lineRule="exact"/>
              <w:rPr>
                <w:sz w:val="20"/>
                <w:szCs w:val="20"/>
                <w:color w:val="auto"/>
              </w:rPr>
            </w:pPr>
            <w:r>
              <w:rPr>
                <w:rFonts w:ascii="Arial" w:cs="Arial" w:eastAsia="Arial" w:hAnsi="Arial"/>
                <w:sz w:val="11"/>
                <w:szCs w:val="11"/>
                <w:b w:val="1"/>
                <w:bCs w:val="1"/>
                <w:color w:val="auto"/>
                <w:w w:val="88"/>
              </w:rPr>
              <w:t>Beneficially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8"/>
              </w:rPr>
              <w:t>Beneficially</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4"/>
          </w:tcPr>
          <w:p>
            <w:pPr>
              <w:jc w:val="right"/>
              <w:ind w:right="620"/>
              <w:spacing w:after="0" w:line="121" w:lineRule="exact"/>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jc w:val="center"/>
              <w:ind w:left="100"/>
              <w:spacing w:after="0"/>
              <w:rPr>
                <w:sz w:val="20"/>
                <w:szCs w:val="20"/>
                <w:color w:val="auto"/>
              </w:rPr>
            </w:pPr>
            <w:r>
              <w:rPr>
                <w:rFonts w:ascii="Arial" w:cs="Arial" w:eastAsia="Arial" w:hAnsi="Arial"/>
                <w:sz w:val="11"/>
                <w:szCs w:val="11"/>
                <w:b w:val="1"/>
                <w:bCs w:val="1"/>
                <w:color w:val="auto"/>
                <w:w w:val="87"/>
              </w:rPr>
              <w:t>Owned</w:t>
            </w:r>
            <w:r>
              <w:rPr>
                <w:rFonts w:ascii="Arial" w:cs="Arial" w:eastAsia="Arial" w:hAnsi="Arial"/>
                <w:sz w:val="9"/>
                <w:szCs w:val="9"/>
                <w:b w:val="1"/>
                <w:bCs w:val="1"/>
                <w:color w:val="auto"/>
                <w:w w:val="87"/>
              </w:rPr>
              <w:t>(1)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99"/>
              <w:spacing w:after="0"/>
              <w:rPr>
                <w:sz w:val="20"/>
                <w:szCs w:val="20"/>
                <w:color w:val="auto"/>
              </w:rPr>
            </w:pPr>
            <w:r>
              <w:rPr>
                <w:rFonts w:ascii="Arial" w:cs="Arial" w:eastAsia="Arial" w:hAnsi="Arial"/>
                <w:sz w:val="11"/>
                <w:szCs w:val="11"/>
                <w:b w:val="1"/>
                <w:bCs w:val="1"/>
                <w:color w:val="auto"/>
                <w:w w:val="92"/>
              </w:rPr>
              <w:t>Owned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1"/>
                <w:szCs w:val="11"/>
                <w:b w:val="1"/>
                <w:bCs w:val="1"/>
                <w:color w:val="auto"/>
              </w:rPr>
              <w:t>Voting Power</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00"/>
        </w:trPr>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tcPr>
          <w:p>
            <w:pPr>
              <w:jc w:val="center"/>
              <w:ind w:left="199"/>
              <w:spacing w:after="0" w:line="100" w:lineRule="exact"/>
              <w:rPr>
                <w:sz w:val="20"/>
                <w:szCs w:val="20"/>
                <w:color w:val="auto"/>
              </w:rPr>
            </w:pPr>
            <w:r>
              <w:rPr>
                <w:rFonts w:ascii="Arial" w:cs="Arial" w:eastAsia="Arial" w:hAnsi="Arial"/>
                <w:sz w:val="11"/>
                <w:szCs w:val="11"/>
                <w:b w:val="1"/>
                <w:bCs w:val="1"/>
                <w:color w:val="auto"/>
              </w:rPr>
              <w:t>After</w:t>
            </w: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93"/>
              </w:rPr>
              <w:t>After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line="121" w:lineRule="exact"/>
              <w:rPr>
                <w:sz w:val="20"/>
                <w:szCs w:val="20"/>
                <w:color w:val="auto"/>
              </w:rPr>
            </w:pPr>
            <w:r>
              <w:rPr>
                <w:rFonts w:ascii="Arial" w:cs="Arial" w:eastAsia="Arial" w:hAnsi="Arial"/>
                <w:sz w:val="11"/>
                <w:szCs w:val="11"/>
                <w:b w:val="1"/>
                <w:bCs w:val="1"/>
                <w:color w:val="auto"/>
                <w:w w:val="87"/>
              </w:rPr>
              <w:t>Giving</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After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After</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40"/>
              <w:spacing w:after="0" w:line="121" w:lineRule="exact"/>
              <w:rPr>
                <w:sz w:val="20"/>
                <w:szCs w:val="20"/>
                <w:color w:val="auto"/>
              </w:rPr>
            </w:pPr>
            <w:r>
              <w:rPr>
                <w:rFonts w:ascii="Arial" w:cs="Arial" w:eastAsia="Arial" w:hAnsi="Arial"/>
                <w:sz w:val="11"/>
                <w:szCs w:val="11"/>
                <w:b w:val="1"/>
                <w:bCs w:val="1"/>
                <w:color w:val="auto"/>
                <w:w w:val="87"/>
              </w:rPr>
              <w:t>Giving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4"/>
              </w:rPr>
              <w:t>Effect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After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Giving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After</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Giving</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91"/>
              </w:rPr>
              <w:t>Effect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6"/>
              </w:rPr>
              <w:t>to the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Giving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Giving</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38"/>
              <w:spacing w:after="0" w:line="121" w:lineRule="exact"/>
              <w:rPr>
                <w:sz w:val="20"/>
                <w:szCs w:val="20"/>
                <w:color w:val="auto"/>
              </w:rPr>
            </w:pPr>
            <w:r>
              <w:rPr>
                <w:rFonts w:ascii="Arial" w:cs="Arial" w:eastAsia="Arial" w:hAnsi="Arial"/>
                <w:sz w:val="11"/>
                <w:szCs w:val="11"/>
                <w:b w:val="1"/>
                <w:bCs w:val="1"/>
                <w:color w:val="auto"/>
                <w:w w:val="93"/>
              </w:rPr>
              <w:t>After</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86"/>
              </w:rPr>
              <w:t>to the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8"/>
              <w:spacing w:after="0" w:line="121" w:lineRule="exact"/>
              <w:rPr>
                <w:sz w:val="20"/>
                <w:szCs w:val="20"/>
                <w:color w:val="auto"/>
              </w:rPr>
            </w:pPr>
            <w:r>
              <w:rPr>
                <w:rFonts w:ascii="Arial" w:cs="Arial" w:eastAsia="Arial" w:hAnsi="Arial"/>
                <w:sz w:val="11"/>
                <w:szCs w:val="11"/>
                <w:b w:val="1"/>
                <w:bCs w:val="1"/>
                <w:color w:val="auto"/>
                <w:w w:val="93"/>
              </w:rPr>
              <w:t>After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7"/>
              </w:rPr>
              <w:t>Transactions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7"/>
              </w:rPr>
              <w:t>Transactions</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18"/>
              <w:spacing w:after="0" w:line="121" w:lineRule="exact"/>
              <w:rPr>
                <w:sz w:val="20"/>
                <w:szCs w:val="20"/>
                <w:color w:val="auto"/>
              </w:rPr>
            </w:pPr>
            <w:r>
              <w:rPr>
                <w:rFonts w:ascii="Arial" w:cs="Arial" w:eastAsia="Arial" w:hAnsi="Arial"/>
                <w:sz w:val="11"/>
                <w:szCs w:val="11"/>
                <w:b w:val="1"/>
                <w:bCs w:val="1"/>
                <w:color w:val="auto"/>
                <w:w w:val="87"/>
              </w:rPr>
              <w:t>Giving</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91"/>
              </w:rPr>
              <w:t>and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38"/>
              <w:spacing w:after="0" w:line="121" w:lineRule="exact"/>
              <w:rPr>
                <w:sz w:val="20"/>
                <w:szCs w:val="20"/>
                <w:color w:val="auto"/>
              </w:rPr>
            </w:pPr>
            <w:r>
              <w:rPr>
                <w:rFonts w:ascii="Arial" w:cs="Arial" w:eastAsia="Arial" w:hAnsi="Arial"/>
                <w:sz w:val="11"/>
                <w:szCs w:val="11"/>
                <w:b w:val="1"/>
                <w:bCs w:val="1"/>
                <w:color w:val="auto"/>
                <w:w w:val="93"/>
              </w:rPr>
              <w:t>Giving</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and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Transactions</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1"/>
              </w:rPr>
              <w:t>and</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58"/>
              <w:spacing w:after="0" w:line="121" w:lineRule="exact"/>
              <w:rPr>
                <w:sz w:val="20"/>
                <w:szCs w:val="20"/>
                <w:color w:val="auto"/>
              </w:rPr>
            </w:pPr>
            <w:r>
              <w:rPr>
                <w:rFonts w:ascii="Arial" w:cs="Arial" w:eastAsia="Arial" w:hAnsi="Arial"/>
                <w:sz w:val="11"/>
                <w:szCs w:val="11"/>
                <w:b w:val="1"/>
                <w:bCs w:val="1"/>
                <w:color w:val="auto"/>
                <w:w w:val="84"/>
              </w:rPr>
              <w:t>Effect</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91"/>
              </w:rPr>
              <w:t>and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91"/>
              </w:rPr>
              <w:t>this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8"/>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and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this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1"/>
              </w:rPr>
              <w:t>and</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1"/>
              </w:rPr>
              <w:t>this</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58"/>
              <w:spacing w:after="0" w:line="121" w:lineRule="exact"/>
              <w:rPr>
                <w:sz w:val="20"/>
                <w:szCs w:val="20"/>
                <w:color w:val="auto"/>
              </w:rPr>
            </w:pPr>
            <w:r>
              <w:rPr>
                <w:rFonts w:ascii="Arial" w:cs="Arial" w:eastAsia="Arial" w:hAnsi="Arial"/>
                <w:sz w:val="11"/>
                <w:szCs w:val="11"/>
                <w:b w:val="1"/>
                <w:bCs w:val="1"/>
                <w:color w:val="auto"/>
                <w:w w:val="86"/>
              </w:rPr>
              <w:t>to the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81"/>
              </w:rPr>
              <w:t>this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8"/>
              </w:rPr>
              <w:t>Offering</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8"/>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this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Offering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1"/>
              </w:rPr>
              <w:t>this</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Offering</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5"/>
          </w:tcPr>
          <w:p>
            <w:pPr>
              <w:jc w:val="center"/>
              <w:ind w:right="200"/>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93"/>
              </w:rPr>
              <w:t>Offering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91"/>
              </w:rPr>
              <w:t>(With Full</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38"/>
              <w:spacing w:after="0" w:line="121" w:lineRule="exact"/>
              <w:rPr>
                <w:sz w:val="20"/>
                <w:szCs w:val="20"/>
                <w:color w:val="auto"/>
              </w:rPr>
            </w:pPr>
            <w:r>
              <w:rPr>
                <w:rFonts w:ascii="Arial" w:cs="Arial" w:eastAsia="Arial" w:hAnsi="Arial"/>
                <w:sz w:val="11"/>
                <w:szCs w:val="11"/>
                <w:b w:val="1"/>
                <w:bCs w:val="1"/>
                <w:color w:val="auto"/>
                <w:w w:val="81"/>
              </w:rPr>
              <w:t>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Offering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5"/>
              </w:rPr>
              <w:t>(With Full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Offering</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5"/>
              </w:rPr>
              <w:t>(With Full</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58"/>
              <w:spacing w:after="0" w:line="121" w:lineRule="exact"/>
              <w:rPr>
                <w:sz w:val="20"/>
                <w:szCs w:val="20"/>
                <w:color w:val="auto"/>
              </w:rPr>
            </w:pPr>
            <w:r>
              <w:rPr>
                <w:rFonts w:ascii="Arial" w:cs="Arial" w:eastAsia="Arial" w:hAnsi="Arial"/>
                <w:sz w:val="11"/>
                <w:szCs w:val="11"/>
                <w:b w:val="1"/>
                <w:bCs w:val="1"/>
                <w:color w:val="auto"/>
                <w:w w:val="86"/>
              </w:rPr>
              <w:t>and Before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86"/>
              </w:rPr>
              <w:t>(No Exercise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3"/>
              </w:rPr>
              <w:t>Exercise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8"/>
              <w:spacing w:after="0" w:line="121" w:lineRule="exact"/>
              <w:rPr>
                <w:sz w:val="20"/>
                <w:szCs w:val="20"/>
                <w:color w:val="auto"/>
              </w:rPr>
            </w:pPr>
            <w:r>
              <w:rPr>
                <w:rFonts w:ascii="Arial" w:cs="Arial" w:eastAsia="Arial" w:hAnsi="Arial"/>
                <w:sz w:val="11"/>
                <w:szCs w:val="11"/>
                <w:b w:val="1"/>
                <w:bCs w:val="1"/>
                <w:color w:val="auto"/>
                <w:w w:val="85"/>
              </w:rPr>
              <w:t>Before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line="121" w:lineRule="exact"/>
              <w:rPr>
                <w:sz w:val="20"/>
                <w:szCs w:val="20"/>
                <w:color w:val="auto"/>
              </w:rPr>
            </w:pPr>
            <w:r>
              <w:rPr>
                <w:rFonts w:ascii="Arial" w:cs="Arial" w:eastAsia="Arial" w:hAnsi="Arial"/>
                <w:sz w:val="11"/>
                <w:szCs w:val="11"/>
                <w:b w:val="1"/>
                <w:bCs w:val="1"/>
                <w:color w:val="auto"/>
                <w:w w:val="86"/>
              </w:rPr>
              <w:t>(No Exercise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8"/>
              </w:rPr>
              <w:t>Exercise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(No Exercise</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8"/>
              </w:rPr>
              <w:t>Exercise</w:t>
            </w:r>
          </w:p>
        </w:tc>
        <w:tc>
          <w:tcPr>
            <w:tcW w:w="0" w:type="dxa"/>
            <w:vAlign w:val="bottom"/>
          </w:tcPr>
          <w:p>
            <w:pPr>
              <w:spacing w:after="0"/>
              <w:rPr>
                <w:sz w:val="1"/>
                <w:szCs w:val="1"/>
                <w:color w:val="auto"/>
              </w:rPr>
            </w:pPr>
          </w:p>
        </w:tc>
      </w:tr>
      <w:tr>
        <w:trPr>
          <w:trHeight w:val="134"/>
        </w:trPr>
        <w:tc>
          <w:tcPr>
            <w:tcW w:w="1180" w:type="dxa"/>
            <w:vAlign w:val="bottom"/>
            <w:vMerge w:val="restart"/>
          </w:tcPr>
          <w:p>
            <w:pPr>
              <w:spacing w:after="0"/>
              <w:rPr>
                <w:sz w:val="20"/>
                <w:szCs w:val="20"/>
                <w:color w:val="auto"/>
              </w:rPr>
            </w:pPr>
            <w:r>
              <w:rPr>
                <w:rFonts w:ascii="Arial" w:cs="Arial" w:eastAsia="Arial" w:hAnsi="Arial"/>
                <w:sz w:val="11"/>
                <w:szCs w:val="11"/>
                <w:b w:val="1"/>
                <w:bCs w:val="1"/>
                <w:color w:val="auto"/>
                <w:w w:val="87"/>
              </w:rPr>
              <w:t>Name of beneficial owner</w:t>
            </w:r>
          </w:p>
        </w:tc>
        <w:tc>
          <w:tcPr>
            <w:tcW w:w="400" w:type="dxa"/>
            <w:vAlign w:val="bottom"/>
            <w:gridSpan w:val="2"/>
            <w:vMerge w:val="restart"/>
          </w:tcPr>
          <w:p>
            <w:pPr>
              <w:spacing w:after="0"/>
              <w:rPr>
                <w:sz w:val="11"/>
                <w:szCs w:val="11"/>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8"/>
              </w:rPr>
              <w:t>this Offering</w:t>
            </w:r>
          </w:p>
        </w:tc>
        <w:tc>
          <w:tcPr>
            <w:tcW w:w="860" w:type="dxa"/>
            <w:vAlign w:val="bottom"/>
            <w:gridSpan w:val="3"/>
          </w:tcPr>
          <w:p>
            <w:pPr>
              <w:jc w:val="center"/>
              <w:ind w:left="160"/>
              <w:spacing w:after="0"/>
              <w:rPr>
                <w:sz w:val="20"/>
                <w:szCs w:val="20"/>
                <w:color w:val="auto"/>
              </w:rPr>
            </w:pPr>
            <w:r>
              <w:rPr>
                <w:rFonts w:ascii="Arial" w:cs="Arial" w:eastAsia="Arial" w:hAnsi="Arial"/>
                <w:sz w:val="11"/>
                <w:szCs w:val="11"/>
                <w:b w:val="1"/>
                <w:bCs w:val="1"/>
                <w:color w:val="auto"/>
                <w:w w:val="91"/>
              </w:rPr>
              <w:t>Option)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99"/>
              <w:spacing w:after="0"/>
              <w:rPr>
                <w:sz w:val="20"/>
                <w:szCs w:val="20"/>
                <w:color w:val="auto"/>
              </w:rPr>
            </w:pPr>
            <w:r>
              <w:rPr>
                <w:rFonts w:ascii="Arial" w:cs="Arial" w:eastAsia="Arial" w:hAnsi="Arial"/>
                <w:sz w:val="11"/>
                <w:szCs w:val="11"/>
                <w:b w:val="1"/>
                <w:bCs w:val="1"/>
                <w:color w:val="auto"/>
                <w:w w:val="86"/>
              </w:rPr>
              <w:t>Option)</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58"/>
              <w:spacing w:after="0"/>
              <w:rPr>
                <w:sz w:val="20"/>
                <w:szCs w:val="20"/>
                <w:color w:val="auto"/>
              </w:rPr>
            </w:pPr>
            <w:r>
              <w:rPr>
                <w:rFonts w:ascii="Arial" w:cs="Arial" w:eastAsia="Arial" w:hAnsi="Arial"/>
                <w:sz w:val="11"/>
                <w:szCs w:val="11"/>
                <w:b w:val="1"/>
                <w:bCs w:val="1"/>
                <w:color w:val="auto"/>
                <w:w w:val="88"/>
              </w:rPr>
              <w:t>this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79"/>
              <w:spacing w:after="0"/>
              <w:rPr>
                <w:sz w:val="20"/>
                <w:szCs w:val="20"/>
                <w:color w:val="auto"/>
              </w:rPr>
            </w:pPr>
            <w:r>
              <w:rPr>
                <w:rFonts w:ascii="Arial" w:cs="Arial" w:eastAsia="Arial" w:hAnsi="Arial"/>
                <w:sz w:val="11"/>
                <w:szCs w:val="11"/>
                <w:b w:val="1"/>
                <w:bCs w:val="1"/>
                <w:color w:val="auto"/>
                <w:w w:val="91"/>
              </w:rPr>
              <w:t>Option)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jc w:val="center"/>
              <w:ind w:left="179"/>
              <w:spacing w:after="0"/>
              <w:rPr>
                <w:sz w:val="20"/>
                <w:szCs w:val="20"/>
                <w:color w:val="auto"/>
              </w:rPr>
            </w:pPr>
            <w:r>
              <w:rPr>
                <w:rFonts w:ascii="Arial" w:cs="Arial" w:eastAsia="Arial" w:hAnsi="Arial"/>
                <w:sz w:val="11"/>
                <w:szCs w:val="11"/>
                <w:b w:val="1"/>
                <w:bCs w:val="1"/>
                <w:color w:val="auto"/>
                <w:w w:val="91"/>
              </w:rPr>
              <w:t>Option)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Option)</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Option)</w:t>
            </w:r>
          </w:p>
        </w:tc>
        <w:tc>
          <w:tcPr>
            <w:tcW w:w="0" w:type="dxa"/>
            <w:vAlign w:val="bottom"/>
          </w:tcPr>
          <w:p>
            <w:pPr>
              <w:spacing w:after="0"/>
              <w:rPr>
                <w:sz w:val="1"/>
                <w:szCs w:val="1"/>
                <w:color w:val="auto"/>
              </w:rPr>
            </w:pPr>
          </w:p>
        </w:tc>
      </w:tr>
      <w:tr>
        <w:trPr>
          <w:trHeight w:val="120"/>
        </w:trPr>
        <w:tc>
          <w:tcPr>
            <w:tcW w:w="1180" w:type="dxa"/>
            <w:vAlign w:val="bottom"/>
            <w:tcBorders>
              <w:bottom w:val="single" w:sz="8" w:color="auto"/>
            </w:tcBorders>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2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320" w:type="dxa"/>
            <w:vAlign w:val="bottom"/>
            <w:tcBorders>
              <w:top w:val="single" w:sz="8" w:color="auto"/>
            </w:tcBorders>
          </w:tcPr>
          <w:p>
            <w:pPr>
              <w:jc w:val="right"/>
              <w:ind w:right="54"/>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6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20" w:type="dxa"/>
            <w:vAlign w:val="bottom"/>
            <w:tcBorders>
              <w:top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ind w:left="180"/>
              <w:spacing w:after="0" w:line="101" w:lineRule="exact"/>
              <w:rPr>
                <w:sz w:val="20"/>
                <w:szCs w:val="20"/>
                <w:color w:val="auto"/>
              </w:rPr>
            </w:pPr>
            <w:r>
              <w:rPr>
                <w:rFonts w:ascii="Arial" w:cs="Arial" w:eastAsia="Arial" w:hAnsi="Arial"/>
                <w:sz w:val="11"/>
                <w:szCs w:val="11"/>
                <w:b w:val="1"/>
                <w:bCs w:val="1"/>
                <w:color w:val="auto"/>
              </w:rPr>
              <w:t>Number</w:t>
            </w:r>
          </w:p>
        </w:tc>
        <w:tc>
          <w:tcPr>
            <w:tcW w:w="260" w:type="dxa"/>
            <w:vAlign w:val="bottom"/>
            <w:tcBorders>
              <w:top w:val="single" w:sz="8" w:color="auto"/>
            </w:tcBorders>
          </w:tcPr>
          <w:p>
            <w:pPr>
              <w:ind w:left="60"/>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40" w:type="dxa"/>
            <w:vAlign w:val="bottom"/>
            <w:tcBorders>
              <w:top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40" w:type="dxa"/>
            <w:vAlign w:val="bottom"/>
            <w:tcBorders>
              <w:top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40" w:type="dxa"/>
            <w:vAlign w:val="bottom"/>
            <w:tcBorders>
              <w:top w:val="single" w:sz="8" w:color="auto"/>
            </w:tcBorders>
          </w:tcPr>
          <w:p>
            <w:pPr>
              <w:ind w:left="60"/>
              <w:spacing w:after="0" w:line="101" w:lineRule="exact"/>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0"/>
                <w:szCs w:val="10"/>
                <w:color w:val="auto"/>
              </w:rPr>
            </w:pPr>
          </w:p>
        </w:tc>
        <w:tc>
          <w:tcPr>
            <w:tcW w:w="60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80" w:type="dxa"/>
            <w:vAlign w:val="bottom"/>
            <w:tcBorders>
              <w:top w:val="single" w:sz="8" w:color="CCEEFF"/>
            </w:tcBorders>
            <w:gridSpan w:val="3"/>
            <w:shd w:val="clear" w:color="auto" w:fill="CCEEFF"/>
          </w:tcPr>
          <w:p>
            <w:pPr>
              <w:spacing w:after="0" w:line="121" w:lineRule="exact"/>
              <w:rPr>
                <w:sz w:val="20"/>
                <w:szCs w:val="20"/>
                <w:color w:val="auto"/>
              </w:rPr>
            </w:pPr>
            <w:r>
              <w:rPr>
                <w:rFonts w:ascii="Arial" w:cs="Arial" w:eastAsia="Arial" w:hAnsi="Arial"/>
                <w:sz w:val="13"/>
                <w:szCs w:val="13"/>
                <w:b w:val="1"/>
                <w:bCs w:val="1"/>
                <w:i w:val="1"/>
                <w:iCs w:val="1"/>
                <w:color w:val="auto"/>
              </w:rPr>
              <w:t>5% Stockholders</w:t>
            </w: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Centerbridge</w:t>
            </w:r>
            <w:r>
              <w:rPr>
                <w:rFonts w:ascii="Arial" w:cs="Arial" w:eastAsia="Arial" w:hAnsi="Arial"/>
                <w:sz w:val="11"/>
                <w:szCs w:val="11"/>
                <w:color w:val="auto"/>
              </w:rPr>
              <w:t>(3)</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w w:val="94"/>
              </w:rPr>
              <w:t>131,048,348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95"/>
              </w:rPr>
              <w:t>100.0%</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96"/>
              </w:rPr>
              <w:t>121,475,638</w:t>
            </w:r>
          </w:p>
        </w:tc>
        <w:tc>
          <w:tcPr>
            <w:tcW w:w="60" w:type="dxa"/>
            <w:vAlign w:val="bottom"/>
          </w:tcPr>
          <w:p>
            <w:pPr>
              <w:spacing w:after="0"/>
              <w:rPr>
                <w:sz w:val="12"/>
                <w:szCs w:val="12"/>
                <w:color w:val="auto"/>
              </w:rPr>
            </w:pPr>
          </w:p>
        </w:tc>
        <w:tc>
          <w:tcPr>
            <w:tcW w:w="4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86"/>
              </w:rPr>
              <w:t>73.6%</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96"/>
              </w:rPr>
              <w:t>118,376,150</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92"/>
              </w:rPr>
              <w:t>70.3%</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90,365,387</w:t>
            </w:r>
          </w:p>
        </w:tc>
        <w:tc>
          <w:tcPr>
            <w:tcW w:w="40" w:type="dxa"/>
            <w:vAlign w:val="bottom"/>
          </w:tcPr>
          <w:p>
            <w:pPr>
              <w:spacing w:after="0"/>
              <w:rPr>
                <w:sz w:val="12"/>
                <w:szCs w:val="12"/>
                <w:color w:val="auto"/>
              </w:rPr>
            </w:pPr>
          </w:p>
        </w:tc>
        <w:tc>
          <w:tcPr>
            <w:tcW w:w="4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86"/>
              </w:rPr>
              <w:t>35.5%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80,792,677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w w:val="86"/>
              </w:rPr>
              <w:t>35.2%</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78,731,227</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92"/>
              </w:rPr>
              <w:t>35.2%</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38.7%</w:t>
            </w:r>
          </w:p>
        </w:tc>
        <w:tc>
          <w:tcPr>
            <w:tcW w:w="7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NVX Holdings</w:t>
            </w:r>
            <w:r>
              <w:rPr>
                <w:rFonts w:ascii="Arial" w:cs="Arial" w:eastAsia="Arial" w:hAnsi="Arial"/>
                <w:sz w:val="11"/>
                <w:szCs w:val="11"/>
                <w:color w:val="auto"/>
              </w:rPr>
              <w:t>(4)</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4"/>
              </w:rPr>
              <w:t>103,658,920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71.8%</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92,677,981</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6"/>
              </w:rPr>
              <w:t>52.4%</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90,313,274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50.2%</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4"/>
              </w:rPr>
              <w:t>103,658,920</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86"/>
              </w:rPr>
              <w:t>40.7%</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92,677,981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w w:val="86"/>
              </w:rPr>
              <w:t>40.4%</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90,313,274</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40.3%</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29.6%</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36"/>
        </w:trPr>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Blizzard Management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80" w:type="dxa"/>
            <w:vAlign w:val="bottom"/>
            <w:gridSpan w:val="3"/>
          </w:tcPr>
          <w:p>
            <w:pPr>
              <w:ind w:left="140"/>
              <w:spacing w:after="0"/>
              <w:rPr>
                <w:sz w:val="20"/>
                <w:szCs w:val="20"/>
                <w:color w:val="auto"/>
              </w:rPr>
            </w:pPr>
            <w:r>
              <w:rPr>
                <w:rFonts w:ascii="Arial" w:cs="Arial" w:eastAsia="Arial" w:hAnsi="Arial"/>
                <w:sz w:val="13"/>
                <w:szCs w:val="13"/>
                <w:color w:val="auto"/>
              </w:rPr>
              <w:t>Feeder, LLC</w:t>
            </w:r>
            <w:r>
              <w:rPr>
                <w:rFonts w:ascii="Arial" w:cs="Arial" w:eastAsia="Arial" w:hAnsi="Arial"/>
                <w:sz w:val="11"/>
                <w:szCs w:val="11"/>
                <w:color w:val="auto"/>
              </w:rPr>
              <w:t>(5)(6)</w:t>
            </w:r>
          </w:p>
        </w:tc>
        <w:tc>
          <w:tcPr>
            <w:tcW w:w="700" w:type="dxa"/>
            <w:vAlign w:val="bottom"/>
          </w:tcPr>
          <w:p>
            <w:pPr>
              <w:jc w:val="right"/>
              <w:spacing w:after="0"/>
              <w:rPr>
                <w:sz w:val="20"/>
                <w:szCs w:val="20"/>
                <w:color w:val="auto"/>
              </w:rPr>
            </w:pPr>
            <w:r>
              <w:rPr>
                <w:rFonts w:ascii="Arial" w:cs="Arial" w:eastAsia="Arial" w:hAnsi="Arial"/>
                <w:sz w:val="13"/>
                <w:szCs w:val="13"/>
                <w:color w:val="auto"/>
              </w:rPr>
              <w:t>25,523,434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38.6%</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24,340,157</w:t>
            </w:r>
          </w:p>
        </w:tc>
        <w:tc>
          <w:tcPr>
            <w:tcW w:w="6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22.4%</w:t>
            </w:r>
          </w:p>
        </w:tc>
        <w:tc>
          <w:tcPr>
            <w:tcW w:w="720" w:type="dxa"/>
            <w:vAlign w:val="bottom"/>
          </w:tcPr>
          <w:p>
            <w:pPr>
              <w:jc w:val="right"/>
              <w:spacing w:after="0"/>
              <w:rPr>
                <w:sz w:val="20"/>
                <w:szCs w:val="20"/>
                <w:color w:val="auto"/>
              </w:rPr>
            </w:pPr>
            <w:r>
              <w:rPr>
                <w:rFonts w:ascii="Arial" w:cs="Arial" w:eastAsia="Arial" w:hAnsi="Arial"/>
                <w:sz w:val="13"/>
                <w:szCs w:val="13"/>
                <w:color w:val="auto"/>
              </w:rPr>
              <w:t>24,085,344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21.2%</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25,523,434</w:t>
            </w: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10.0%</w:t>
            </w:r>
          </w:p>
        </w:tc>
        <w:tc>
          <w:tcPr>
            <w:tcW w:w="700" w:type="dxa"/>
            <w:vAlign w:val="bottom"/>
          </w:tcPr>
          <w:p>
            <w:pPr>
              <w:jc w:val="right"/>
              <w:spacing w:after="0"/>
              <w:rPr>
                <w:sz w:val="20"/>
                <w:szCs w:val="20"/>
                <w:color w:val="auto"/>
              </w:rPr>
            </w:pPr>
            <w:r>
              <w:rPr>
                <w:rFonts w:ascii="Arial" w:cs="Arial" w:eastAsia="Arial" w:hAnsi="Arial"/>
                <w:sz w:val="13"/>
                <w:szCs w:val="13"/>
                <w:color w:val="auto"/>
              </w:rPr>
              <w:t>24,340,157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10.6%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24,085,344</w:t>
            </w:r>
          </w:p>
        </w:tc>
        <w:tc>
          <w:tcPr>
            <w:tcW w:w="4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7.8%</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Norwest</w:t>
            </w:r>
            <w:r>
              <w:rPr>
                <w:rFonts w:ascii="Arial" w:cs="Arial" w:eastAsia="Arial" w:hAnsi="Arial"/>
                <w:sz w:val="11"/>
                <w:szCs w:val="11"/>
                <w:color w:val="auto"/>
              </w:rPr>
              <w:t>(7)</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32,689,492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44.6%</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29,226,585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6"/>
              </w:rPr>
              <w:t>25.8%</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28,480,858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24.1%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32,689,492</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86"/>
              </w:rPr>
              <w:t>12.8%</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29,226,585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w w:val="86"/>
              </w:rPr>
              <w:t>12.7%</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28,480,858</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12.7%</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9.3%</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6"/>
        </w:trPr>
        <w:tc>
          <w:tcPr>
            <w:tcW w:w="1580" w:type="dxa"/>
            <w:vAlign w:val="bottom"/>
            <w:gridSpan w:val="3"/>
          </w:tcPr>
          <w:p>
            <w:pPr>
              <w:spacing w:after="0" w:line="136" w:lineRule="exact"/>
              <w:rPr>
                <w:sz w:val="20"/>
                <w:szCs w:val="20"/>
                <w:color w:val="auto"/>
              </w:rPr>
            </w:pPr>
            <w:r>
              <w:rPr>
                <w:rFonts w:ascii="Arial" w:cs="Arial" w:eastAsia="Arial" w:hAnsi="Arial"/>
                <w:sz w:val="13"/>
                <w:szCs w:val="13"/>
                <w:b w:val="1"/>
                <w:bCs w:val="1"/>
                <w:i w:val="1"/>
                <w:iCs w:val="1"/>
                <w:color w:val="auto"/>
                <w:w w:val="97"/>
              </w:rPr>
              <w:t>Named Executive Officers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80" w:type="dxa"/>
            <w:vAlign w:val="bottom"/>
            <w:gridSpan w:val="3"/>
          </w:tcPr>
          <w:p>
            <w:pPr>
              <w:ind w:left="140"/>
              <w:spacing w:after="0"/>
              <w:rPr>
                <w:sz w:val="20"/>
                <w:szCs w:val="20"/>
                <w:color w:val="auto"/>
              </w:rPr>
            </w:pPr>
            <w:r>
              <w:rPr>
                <w:rFonts w:ascii="Arial" w:cs="Arial" w:eastAsia="Arial" w:hAnsi="Arial"/>
                <w:sz w:val="13"/>
                <w:szCs w:val="13"/>
                <w:b w:val="1"/>
                <w:bCs w:val="1"/>
                <w:i w:val="1"/>
                <w:iCs w:val="1"/>
                <w:color w:val="auto"/>
              </w:rPr>
              <w:t>and Directors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Clinton P. Jones</w:t>
            </w:r>
            <w:r>
              <w:rPr>
                <w:rFonts w:ascii="Arial" w:cs="Arial" w:eastAsia="Arial" w:hAnsi="Arial"/>
                <w:sz w:val="11"/>
                <w:szCs w:val="11"/>
                <w:color w:val="auto"/>
              </w:rPr>
              <w:t>(4)(6)(8)(9)</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4"/>
              </w:rPr>
              <w:t>105,789,599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72.2%</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94,803,468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6"/>
              </w:rPr>
              <w:t>53.0%</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92,437,643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50.8%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4"/>
              </w:rPr>
              <w:t>105,789,599</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86"/>
              </w:rPr>
              <w:t>41.5%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94,803,468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w w:val="86"/>
              </w:rPr>
              <w:t>41.3%</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92,437,643</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41.3%</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30.2%</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43"/>
        </w:trPr>
        <w:tc>
          <w:tcPr>
            <w:tcW w:w="1580" w:type="dxa"/>
            <w:vAlign w:val="bottom"/>
            <w:gridSpan w:val="3"/>
          </w:tcPr>
          <w:p>
            <w:pPr>
              <w:spacing w:after="0" w:line="143" w:lineRule="exact"/>
              <w:rPr>
                <w:sz w:val="20"/>
                <w:szCs w:val="20"/>
                <w:color w:val="auto"/>
              </w:rPr>
            </w:pPr>
            <w:r>
              <w:rPr>
                <w:rFonts w:ascii="Arial" w:cs="Arial" w:eastAsia="Arial" w:hAnsi="Arial"/>
                <w:sz w:val="13"/>
                <w:szCs w:val="13"/>
                <w:color w:val="auto"/>
              </w:rPr>
              <w:t>Brandon M. Cruz</w:t>
            </w:r>
            <w:r>
              <w:rPr>
                <w:rFonts w:ascii="Arial" w:cs="Arial" w:eastAsia="Arial" w:hAnsi="Arial"/>
                <w:sz w:val="11"/>
                <w:szCs w:val="11"/>
                <w:color w:val="auto"/>
              </w:rPr>
              <w:t>(4)(6)(8)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4"/>
              </w:rPr>
              <w:t>105,789,599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72.2%</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94,803,468</w:t>
            </w:r>
          </w:p>
        </w:tc>
        <w:tc>
          <w:tcPr>
            <w:tcW w:w="60" w:type="dxa"/>
            <w:vAlign w:val="bottom"/>
          </w:tcPr>
          <w:p>
            <w:pPr>
              <w:spacing w:after="0"/>
              <w:rPr>
                <w:sz w:val="12"/>
                <w:szCs w:val="12"/>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86"/>
              </w:rPr>
              <w:t>53.0%</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92,437,643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50.8%</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4"/>
              </w:rPr>
              <w:t>105,789,599</w:t>
            </w:r>
          </w:p>
        </w:tc>
        <w:tc>
          <w:tcPr>
            <w:tcW w:w="40" w:type="dxa"/>
            <w:vAlign w:val="bottom"/>
          </w:tcPr>
          <w:p>
            <w:pPr>
              <w:spacing w:after="0"/>
              <w:rPr>
                <w:sz w:val="12"/>
                <w:szCs w:val="12"/>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41.5%</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94,803,468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w w:val="86"/>
              </w:rPr>
              <w:t>41.3%</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92,437,643</w:t>
            </w:r>
          </w:p>
        </w:tc>
        <w:tc>
          <w:tcPr>
            <w:tcW w:w="4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41.3%</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30.2%</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8"/>
        </w:trPr>
        <w:tc>
          <w:tcPr>
            <w:tcW w:w="1180" w:type="dxa"/>
            <w:vAlign w:val="bottom"/>
          </w:tcPr>
          <w:p>
            <w:pPr>
              <w:ind w:left="140"/>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Shane E. Cruz</w:t>
            </w:r>
            <w:r>
              <w:rPr>
                <w:rFonts w:ascii="Arial" w:cs="Arial" w:eastAsia="Arial" w:hAnsi="Arial"/>
                <w:sz w:val="11"/>
                <w:szCs w:val="11"/>
                <w:color w:val="auto"/>
              </w:rPr>
              <w:t>(6)(11)</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2,753,477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6.3%</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2,549,999</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2.9%</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2,506,181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2,753,477</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2,549,999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2,506,181</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0.8%</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James A. Sharman</w:t>
            </w:r>
            <w:r>
              <w:rPr>
                <w:rFonts w:ascii="Arial" w:cs="Arial" w:eastAsia="Arial" w:hAnsi="Arial"/>
                <w:sz w:val="11"/>
                <w:szCs w:val="11"/>
                <w:color w:val="auto"/>
              </w:rPr>
              <w:t>(6)(12)</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4,534,795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10.0%</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4,142,616</w:t>
            </w:r>
          </w:p>
        </w:tc>
        <w:tc>
          <w:tcPr>
            <w:tcW w:w="60" w:type="dxa"/>
            <w:vAlign w:val="bottom"/>
          </w:tcPr>
          <w:p>
            <w:pPr>
              <w:spacing w:after="0"/>
              <w:rPr>
                <w:sz w:val="12"/>
                <w:szCs w:val="12"/>
                <w:color w:val="auto"/>
              </w:rPr>
            </w:pPr>
          </w:p>
        </w:tc>
        <w:tc>
          <w:tcPr>
            <w:tcW w:w="4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4.7%</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4,058,162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4,534,795</w:t>
            </w:r>
          </w:p>
        </w:tc>
        <w:tc>
          <w:tcPr>
            <w:tcW w:w="40" w:type="dxa"/>
            <w:vAlign w:val="bottom"/>
          </w:tcPr>
          <w:p>
            <w:pPr>
              <w:spacing w:after="0"/>
              <w:rPr>
                <w:sz w:val="12"/>
                <w:szCs w:val="12"/>
                <w:color w:val="auto"/>
              </w:rPr>
            </w:pPr>
          </w:p>
        </w:tc>
        <w:tc>
          <w:tcPr>
            <w:tcW w:w="4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4,142,616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4,058,162</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w:t>
            </w:r>
          </w:p>
        </w:tc>
        <w:tc>
          <w:tcPr>
            <w:tcW w:w="7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Rahm Emanuel</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Joseph G. Flanagan</w:t>
            </w:r>
          </w:p>
        </w:tc>
        <w:tc>
          <w:tcPr>
            <w:tcW w:w="820" w:type="dxa"/>
            <w:vAlign w:val="bottom"/>
            <w:gridSpan w:val="3"/>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Helene D. Gayle</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Jeremy W. Gelber</w:t>
            </w:r>
          </w:p>
        </w:tc>
        <w:tc>
          <w:tcPr>
            <w:tcW w:w="820" w:type="dxa"/>
            <w:vAlign w:val="bottom"/>
            <w:gridSpan w:val="3"/>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Anita V. Pramoda</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Miriam A. Tawil</w:t>
            </w:r>
          </w:p>
        </w:tc>
        <w:tc>
          <w:tcPr>
            <w:tcW w:w="820" w:type="dxa"/>
            <w:vAlign w:val="bottom"/>
            <w:gridSpan w:val="3"/>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Alexander E. Timm</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All directors and executive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80" w:type="dxa"/>
            <w:vAlign w:val="bottom"/>
            <w:gridSpan w:val="3"/>
          </w:tcPr>
          <w:p>
            <w:pPr>
              <w:ind w:left="140"/>
              <w:spacing w:after="0" w:line="148" w:lineRule="exact"/>
              <w:rPr>
                <w:sz w:val="20"/>
                <w:szCs w:val="20"/>
                <w:color w:val="auto"/>
              </w:rPr>
            </w:pPr>
            <w:r>
              <w:rPr>
                <w:rFonts w:ascii="Arial" w:cs="Arial" w:eastAsia="Arial" w:hAnsi="Arial"/>
                <w:sz w:val="13"/>
                <w:szCs w:val="13"/>
                <w:color w:val="auto"/>
              </w:rPr>
              <w:t>officers as a group</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gridSpan w:val="3"/>
          </w:tcPr>
          <w:p>
            <w:pPr>
              <w:ind w:left="140"/>
              <w:spacing w:after="0"/>
              <w:rPr>
                <w:sz w:val="20"/>
                <w:szCs w:val="20"/>
                <w:color w:val="auto"/>
              </w:rPr>
            </w:pPr>
            <w:r>
              <w:rPr>
                <w:rFonts w:ascii="Arial" w:cs="Arial" w:eastAsia="Arial" w:hAnsi="Arial"/>
                <w:sz w:val="13"/>
                <w:szCs w:val="13"/>
                <w:color w:val="auto"/>
              </w:rPr>
              <w:t>(13 persons)</w:t>
            </w:r>
            <w:r>
              <w:rPr>
                <w:rFonts w:ascii="Arial" w:cs="Arial" w:eastAsia="Arial" w:hAnsi="Arial"/>
                <w:sz w:val="11"/>
                <w:szCs w:val="11"/>
                <w:color w:val="auto"/>
              </w:rPr>
              <w:t>(13)</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116,237,383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91.6%</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104,629,623</w:t>
            </w:r>
          </w:p>
        </w:tc>
        <w:tc>
          <w:tcPr>
            <w:tcW w:w="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62.4%</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102,129,933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59.5%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116,237,383</w:t>
            </w:r>
          </w:p>
        </w:tc>
        <w:tc>
          <w:tcPr>
            <w:tcW w:w="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45.6%</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104,629,623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45.6%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102,129,933</w:t>
            </w:r>
          </w:p>
        </w:tc>
        <w:tc>
          <w:tcPr>
            <w:tcW w:w="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45.6%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33.4%</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20"/>
        </w:trPr>
        <w:tc>
          <w:tcPr>
            <w:tcW w:w="1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00" w:hanging="433"/>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0" w:lineRule="exact"/>
        <w:rPr>
          <w:sz w:val="20"/>
          <w:szCs w:val="20"/>
          <w:color w:val="auto"/>
        </w:rPr>
      </w:pPr>
    </w:p>
    <w:p>
      <w:pPr>
        <w:ind w:left="600" w:hanging="433"/>
        <w:spacing w:after="0" w:line="279" w:lineRule="auto"/>
        <w:tabs>
          <w:tab w:leader="none" w:pos="6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LLC Interest (other than LLC Interests held by us and 7,611,109 LLC Interests held by certain of the Former Profits Unit Holders that are initially subject to time-based vesting requirements) is redeemable from time to time at each holder’s option for, at our election (determined by at least two of our independent directors (within the meaning of the Nasdaq rules) who are disinterested), newly-issued shares of our Class A common stock on a one-for-one basis, in connection with a redemption exercised in connection with the closing of this offering, a cash payment equal to price per share for which shares of Class A common stock are sold in this offering less any applicable underwriters’ discounts or commission and brokers’ fees or commissions,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this table, beneficial ownership of LLC Interests has been reflected as beneficial ownership of shares of our Class A common stock for which such LLC Interests may be exchanged. When an LLC Interest is exchanged by a Continuing Equity Holder, a corresponding share of Class B common stock will be cancelled.</w:t>
      </w:r>
    </w:p>
    <w:p>
      <w:pPr>
        <w:spacing w:after="0" w:line="1" w:lineRule="exact"/>
        <w:rPr>
          <w:rFonts w:ascii="Arial" w:cs="Arial" w:eastAsia="Arial" w:hAnsi="Arial"/>
          <w:sz w:val="16"/>
          <w:szCs w:val="16"/>
          <w:color w:val="auto"/>
        </w:rPr>
      </w:pPr>
    </w:p>
    <w:p>
      <w:pPr>
        <w:ind w:left="600" w:right="40" w:hanging="433"/>
        <w:spacing w:after="0" w:line="248" w:lineRule="auto"/>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jc w:val="both"/>
        <w:ind w:left="600" w:right="160" w:hanging="433"/>
        <w:spacing w:after="0" w:line="252" w:lineRule="auto"/>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(i) 23,129,333 shares of Class A common stock that will be issued in connection with the Transactions to CCP III AIV VII Holdings, L.P., (ii) 17,553,628 shares of Class A common stock that will be issued in connection with the Transactions to CB Blizzard Co-Invest Holdings, L.P. and (iii) 90,365,387 LLC Interests (and associated shares of Class B</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6" w:right="4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spacing w:after="0" w:line="264" w:lineRule="auto"/>
        <w:rPr>
          <w:sz w:val="20"/>
          <w:szCs w:val="20"/>
          <w:color w:val="auto"/>
        </w:rPr>
      </w:pPr>
      <w:r>
        <w:rPr>
          <w:rFonts w:ascii="Arial" w:cs="Arial" w:eastAsia="Arial" w:hAnsi="Arial"/>
          <w:sz w:val="17"/>
          <w:szCs w:val="17"/>
          <w:color w:val="auto"/>
        </w:rPr>
        <w:t>common stock) that will be issued in connection with the Transactions to Blizzard Aggregator, LLC. Centerbridge Associates III, L.P. is the general partner of each of CCP III AIV VII Holdings, L.P. and CB Blizzard Co-Invest Holdings, L.P. CCP III Cayman GP Ltd., the general partner of Centerbridge Associates III, L.P., is the sole manager of Blizzard Aggregator, LLC. Each of Jeffrey H. Aronson and Mark T. Gallogly, as the directors of CCP III Cayman GP Ltd., may be deemed to share voting and dispositive power with respect to the shares held by each of CCP III AIV VII Holdings L.P., CB Blizzard Co-Invest Holdings, L.P. and Blizzard Aggregator, LLC. Such persons and entities disclaim beneficial ownership of the shares held by each of CCP III AIV VII Holdings, L.P., CB Blizzard Co-Invest Holdings, L.P. and Blizzard Aggregator, LLC, except to the extent of any proportionate pecuniary interest therein. The business address of each of the foregoing entities and individuals is c/o Centerbridge Partners, L.P., 375 Park Avenue, 11th Floor, New York, New York 10152.</w:t>
      </w:r>
    </w:p>
    <w:p>
      <w:pPr>
        <w:spacing w:after="0" w:line="5" w:lineRule="exact"/>
        <w:rPr>
          <w:sz w:val="20"/>
          <w:szCs w:val="20"/>
          <w:color w:val="auto"/>
        </w:rPr>
      </w:pPr>
    </w:p>
    <w:p>
      <w:pPr>
        <w:ind w:left="600" w:right="6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103,658,920 LLC Interests (and associated shares of Class B common stock) that will be issued in connection with the Transactions to NVX Holdings, Inc. Clinton P. Jones and Brandon M. Cruz are the Chief Executive Officer and President of NVX Holdings, Inc., respectively, and share voting and investment control over the shares held by NVX Holdings, Inc. The business address of NVX Holdings, Inc. is c/o NVX Holdings, Inc., 214 West Huron Street, Chicago, Illinois 60654.</w:t>
      </w:r>
    </w:p>
    <w:p>
      <w:pPr>
        <w:jc w:val="both"/>
        <w:ind w:left="600" w:right="8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25,523,434 LLC Interests (and associated shares of Class B common stock), 14,353,431 of which will vest upon the consummation of this offering, that will be issued in connection with the Transactions to Blizzard Management Feeder, LLC (“Feeder”) and directly held by Feeder for the benefit of Feeder’s members.</w:t>
      </w:r>
    </w:p>
    <w:p>
      <w:pPr>
        <w:ind w:left="600" w:right="120" w:hanging="433"/>
        <w:spacing w:after="0" w:line="262" w:lineRule="auto"/>
        <w:tabs>
          <w:tab w:leader="none" w:pos="6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Following the completion of the Transactions, each of the members of Feeder will directly hold common units of Feeder that correspond to the LLC Interests (and associated shares of Class B common stock) directly held by Feeder for each such member’s benefit and will be entitled to (subject to time-based vesting requirements) direct Feeder to (i) initiate a redemption of the LLC Interests held by Feeder for such member’s benefit for newly-issued shares of our Class A common stock on a one-for-one basis, in connection with a redemption exercised in connection with the closing of this offering, a cash payment equal to price per share for which shares of Class A common stock are sold in this offering less any applicable underwriters’ discounts or commission and brokers’ fees or commissions,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and (ii) vote the associated shares of Class B common stock held by Feeder for such member’s benefit on all matters presented to stockholders for a vote generally, including the election of directors.</w:t>
      </w:r>
    </w:p>
    <w:p>
      <w:pPr>
        <w:spacing w:after="0" w:line="5" w:lineRule="exact"/>
        <w:rPr>
          <w:rFonts w:ascii="Arial" w:cs="Arial" w:eastAsia="Arial" w:hAnsi="Arial"/>
          <w:sz w:val="17"/>
          <w:szCs w:val="17"/>
          <w:color w:val="auto"/>
        </w:rPr>
      </w:pPr>
    </w:p>
    <w:p>
      <w:pPr>
        <w:ind w:left="600" w:right="20" w:hanging="433"/>
        <w:spacing w:after="0" w:line="262" w:lineRule="auto"/>
        <w:tabs>
          <w:tab w:leader="none" w:pos="6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Consists of 32,689,492 LLC Interests (and associated shares of Class B common stock) that will be issued in connection with the Transactions to Norwest Equity Partners IX, LP (“NEP IX”). Itasca Partners IX, LLC is the general partner of NEP IX and may be deemed to have sole voting and dispositive power over the shares held by NEP IX. Norwest Venture Capital Management, Inc., the managing member of Itasca Partners IX, LLC, and Timothy C. DeVries, as Chief Executive Officer of Norwest Venture Capital Management, Inc., and members of the general partner, may be deemed to share voting and dispositive power over the shares held by NEP IX. Such persons and entities disclaim beneficial ownership of the shares held by NEP IX, except to the extent of any proportionate pecuniary interest therein. The address for these entities is 80 South Eighth Street, Suite 3600 IDS Center, Minneapolis, MN 55402.</w:t>
      </w:r>
    </w:p>
    <w:p>
      <w:pPr>
        <w:spacing w:after="0" w:line="4" w:lineRule="exact"/>
        <w:rPr>
          <w:rFonts w:ascii="Arial" w:cs="Arial" w:eastAsia="Arial" w:hAnsi="Arial"/>
          <w:sz w:val="17"/>
          <w:szCs w:val="17"/>
          <w:color w:val="auto"/>
        </w:rPr>
      </w:pPr>
    </w:p>
    <w:p>
      <w:pPr>
        <w:ind w:left="600" w:right="2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49,009 LLC Interests (and associated shares of Class B common stock) that will be issued in connection with the Transactions to BCCJ, LLC. As the members of the Board of Managers of BCCJ, LLC, Messrs. Jones and Cruz share voting and investment power with respect to such shares.</w:t>
      </w:r>
    </w:p>
    <w:p>
      <w:pPr>
        <w:ind w:left="600" w:right="240" w:hanging="433"/>
        <w:spacing w:after="0" w:line="252"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2,081,670 LLC Interests (and associated shares of Class B common stock), all of which will vest upon the consummation of this offering, that will be issued in connection with the Transactions to Feeder and directly held by Feeder for the benefit of Mr. Jones. The business address of Mr. Jones is 1703 North Dayton Street, Chicago, Illinois 60614.</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6"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280" w:hanging="433"/>
        <w:spacing w:after="0" w:line="253" w:lineRule="auto"/>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2,081,670 LLC Interests (and associated shares of Class B common stock), all of which will vest upon the consummation of this offering, that will be issued in connection with the Transactions to Feeder and directly held by Feeder for the benefit of Mr. Cruz. The business address of Mr. Cruz is 2015 North Dayton Street, Chicago, Illinois 60614.</w:t>
      </w:r>
    </w:p>
    <w:p>
      <w:pPr>
        <w:ind w:left="600" w:right="120" w:hanging="433"/>
        <w:spacing w:after="0" w:line="279" w:lineRule="auto"/>
        <w:tabs>
          <w:tab w:leader="none" w:pos="6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Consists of 1,106,901 </w:t>
      </w:r>
      <w:r>
        <w:rPr>
          <w:rFonts w:ascii="Arial" w:cs="Arial" w:eastAsia="Arial" w:hAnsi="Arial"/>
          <w:sz w:val="16"/>
          <w:szCs w:val="16"/>
          <w:i w:val="1"/>
          <w:iCs w:val="1"/>
          <w:color w:val="auto"/>
        </w:rPr>
        <w:t>LLC Interests (and associated shares of Class B common stock)</w:t>
      </w:r>
      <w:r>
        <w:rPr>
          <w:rFonts w:ascii="Arial" w:cs="Arial" w:eastAsia="Arial" w:hAnsi="Arial"/>
          <w:sz w:val="16"/>
          <w:szCs w:val="16"/>
          <w:color w:val="auto"/>
        </w:rPr>
        <w:t xml:space="preserve"> that will be issued in connection with the Transactions to Feeder and directly held by Feeder for the benefit of Shane E. Cruz 2020 Irrevocable Trust dated June 16, 2020, of which Mr. Cruz’s spouse is trustee and (ii) 1,646,576 LLC Interests (and associated shares of Class B common stock), 832,668 of which will vest upon the consummation of this offering, that will be issued in connection with the Transactions to Feeder and directly held by Feeder for the benefit of Mr. Cruz.</w:t>
      </w:r>
    </w:p>
    <w:p>
      <w:pPr>
        <w:ind w:left="600" w:hanging="433"/>
        <w:spacing w:after="0" w:line="262" w:lineRule="auto"/>
        <w:tabs>
          <w:tab w:leader="none" w:pos="6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Consists of (i) 3,702,127 LLC Interests (and associated shares of Class B common stock) that will be issued in connection with the Transactions to Feeder and directly held by Feeder for the benefit of James A. Sharman Gift Trust dated 7/18/2019, of which Mr. Sharman is trustee, and (ii) 832,668 LLC Interests (and associated shares of Class B common stock), all of which will vest upon the consummation of this offering, that will be issued in connection with the Transactions to Feeder and directly held by Feeder for the benefit of Mr. Sharman.</w:t>
      </w:r>
    </w:p>
    <w:p>
      <w:pPr>
        <w:spacing w:after="0" w:line="2" w:lineRule="exact"/>
        <w:rPr>
          <w:rFonts w:ascii="Arial" w:cs="Arial" w:eastAsia="Arial" w:hAnsi="Arial"/>
          <w:sz w:val="17"/>
          <w:szCs w:val="17"/>
          <w:color w:val="auto"/>
        </w:rPr>
      </w:pPr>
    </w:p>
    <w:p>
      <w:pPr>
        <w:ind w:left="600" w:right="60" w:hanging="433"/>
        <w:spacing w:after="0" w:line="256" w:lineRule="auto"/>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116,237,383 LLC Interests (and associated shares of Class B common stock), 6,661,344 of which will vest upon the consummation of this offering, directly or indirectly held by all our current directors and executive officers as a group.</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60"/>
          </w:cols>
          <w:pgMar w:left="320" w:top="456"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81" w:lineRule="exact"/>
        <w:rPr>
          <w:sz w:val="20"/>
          <w:szCs w:val="20"/>
          <w:color w:val="auto"/>
        </w:rPr>
      </w:pPr>
    </w:p>
    <w:p>
      <w:pPr>
        <w:ind w:left="1140" w:hanging="438"/>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1,100,000,000 shares of Class A common stock, par value $0.0001 per share;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690,000,000 shares of Class B common stock, par value $0.0001 per share;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20,000,000 shares of preferred stock, par value $0.0001 per share.</w:t>
      </w:r>
    </w:p>
    <w:p>
      <w:pPr>
        <w:spacing w:after="0" w:line="221"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We are selling 43,500,000 shares of Class A common stock in this offering (50,025,000 shares if the underwriters exercise in full their option to purchase additional shares of our Class A common stock). All shares of our Class A common stock outstanding upon consummation of this offering will be fully paid and non-assessable. We are issuing 229,399,322 shares of Class B common stock to the Continuing Equity Owners in connection with the Transactions for nominal consideration.</w:t>
      </w:r>
    </w:p>
    <w:p>
      <w:pPr>
        <w:spacing w:after="0" w:line="190" w:lineRule="exact"/>
        <w:rPr>
          <w:sz w:val="20"/>
          <w:szCs w:val="20"/>
          <w:color w:val="auto"/>
        </w:rPr>
      </w:pPr>
    </w:p>
    <w:p>
      <w:pPr>
        <w:ind w:left="160" w:right="20"/>
        <w:spacing w:after="0" w:line="335"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28" w:lineRule="exact"/>
        <w:rPr>
          <w:sz w:val="20"/>
          <w:szCs w:val="20"/>
          <w:color w:val="auto"/>
        </w:rPr>
      </w:pPr>
    </w:p>
    <w:p>
      <w:pPr>
        <w:jc w:val="both"/>
        <w:ind w:left="160" w:right="100"/>
        <w:spacing w:after="0" w:line="281"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Holders of shares of our Class A common stock are entitled to one vote for each share held of record on all matters submitted to a vote of stockholders.</w:t>
      </w:r>
    </w:p>
    <w:p>
      <w:pPr>
        <w:spacing w:after="0" w:line="244"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6"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Class A common stock and Class B common stock will be entitled to receive ratable portions of our remaining assets available for distribution; provided, that the holders of shares of Class B common stock shall not be entitled to receive more than $0.0001 per share of Class B common stock and upon receiving such amount, shall not be entitled to receive any of our other assets or funds with respect to such shares of Class B common stock.</w:t>
      </w:r>
    </w:p>
    <w:p>
      <w:pPr>
        <w:spacing w:after="0" w:line="193" w:lineRule="exact"/>
        <w:rPr>
          <w:sz w:val="20"/>
          <w:szCs w:val="20"/>
          <w:color w:val="auto"/>
        </w:rPr>
      </w:pPr>
    </w:p>
    <w:p>
      <w:pPr>
        <w:ind w:left="160" w:right="300"/>
        <w:spacing w:after="0" w:line="301" w:lineRule="auto"/>
        <w:rPr>
          <w:sz w:val="20"/>
          <w:szCs w:val="20"/>
          <w:color w:val="auto"/>
        </w:rPr>
      </w:pPr>
      <w:r>
        <w:rPr>
          <w:rFonts w:ascii="Arial" w:cs="Arial" w:eastAsia="Arial" w:hAnsi="Arial"/>
          <w:sz w:val="17"/>
          <w:szCs w:val="17"/>
          <w:color w:val="auto"/>
        </w:rPr>
        <w:t>Holders of shares of our Class A common stock do not have preemptive, subscription, redemption, or conversion rights with respect to such share of Class A common stock. There will be no redemption or sinking fund provisions applicable to the Class A common stock.</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Each share of our Class B common stock entitles its holders to one vote per share on all matters presented to our stockholders generally.</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6" w:right="5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Party Transactions— GoHealth Holdings, LLC Agreement.”</w:t>
      </w:r>
    </w:p>
    <w:p>
      <w:pPr>
        <w:spacing w:after="0" w:line="193"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86" w:lineRule="exact"/>
        <w:rPr>
          <w:sz w:val="20"/>
          <w:szCs w:val="20"/>
          <w:color w:val="auto"/>
        </w:rPr>
      </w:pPr>
    </w:p>
    <w:p>
      <w:pPr>
        <w:ind w:left="160" w:right="180"/>
        <w:spacing w:after="0" w:line="282" w:lineRule="auto"/>
        <w:rPr>
          <w:sz w:val="20"/>
          <w:szCs w:val="20"/>
          <w:color w:val="auto"/>
        </w:rPr>
      </w:pPr>
      <w:r>
        <w:rPr>
          <w:rFonts w:ascii="Arial" w:cs="Arial" w:eastAsia="Arial" w:hAnsi="Arial"/>
          <w:sz w:val="16"/>
          <w:szCs w:val="16"/>
          <w:color w:val="auto"/>
        </w:rPr>
        <w:t>Holders of our Class B common stock do not have any right to receive dividends or to receive a distribution upon dissolution or liquidation other than the right to receive $0.0001 per share of Class B common stock. Additionally, holders of shares of our Class B common stock do not have preemptive, subscription, redemption, or conversion rights with respect to such shares of Class B common stock. There will be no redemption or sinking fund provisions applicable to the Class B common stock. Any amendment of our amended and restated certificate of incorporation that gives holders of our Class B common stock (1) any rights to receive dividends or any other kind of distribution other than in connection with a dissolution or liquidation,</w:t>
      </w:r>
    </w:p>
    <w:p>
      <w:pPr>
        <w:spacing w:after="0" w:line="2" w:lineRule="exact"/>
        <w:rPr>
          <w:sz w:val="20"/>
          <w:szCs w:val="20"/>
          <w:color w:val="auto"/>
        </w:rPr>
      </w:pPr>
    </w:p>
    <w:p>
      <w:pPr>
        <w:ind w:left="160" w:right="660" w:firstLine="7"/>
        <w:spacing w:after="0" w:line="256" w:lineRule="auto"/>
        <w:tabs>
          <w:tab w:leader="none" w:pos="41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right to convert into or be exchanged for Class A common stock or (3) any other economic rights will require, in addition to stockholder approval, the affirmative vote of holders of our Class A common stock voting separately as a class.</w:t>
      </w:r>
    </w:p>
    <w:p>
      <w:pPr>
        <w:spacing w:after="0" w:line="188"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auto"/>
        </w:rPr>
        <w:t>Upon the consummation of the Transactions, the Continuing Equity Owners will own, in the aggregate, 229,399,322 shares of our Class B common stock.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4"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Upon the consummation of the Transactions and the effectiveness of our amended and restated certificate of incorporation that will become effective immediately prior to the consummation of the Transactions, the total of our authorized shares of preferred stock will be 20,000,000 shares. Upon the consummation of the Transactions, we will have no shares of preferred stock outstanding.</w:t>
      </w:r>
    </w:p>
    <w:p>
      <w:pPr>
        <w:spacing w:after="0" w:line="186"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terms of our amended and restated certificate of incorporation that will become effective immediately prior to the consummation of the Transactions,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We intend to enter into a Registration Rights Agreement with certain of the Continuing Equity Owners in connection with this offering pursuant to which such parties will have specified rights to require us to register all or a portion of their shares under the Securities Act. See “Certain Relationships and Related Party Transactions—Registration Rights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6" w:right="4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Forum Selection</w:t>
      </w:r>
    </w:p>
    <w:p>
      <w:pPr>
        <w:spacing w:after="0" w:line="118"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will also provide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Class A common stock in the foreseeable future. See “Dividend Policy” and “Risk Factors—Risks Related to the Offering and Ownership of our Class A Common Stock—Because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consummation of the Transactions,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but Unissued Shares</w:t>
      </w:r>
    </w:p>
    <w:p>
      <w:pPr>
        <w:spacing w:after="0" w:line="118"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 to any limitations imposed by the Nasdaq rules. These additional shares may be used for a variety of corporate finance transactions, acquisitions and employee benefit plans and, as described under “Certain Relationships and Related Party Transactions—GoHealth Holdings, LLC Agreement—</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6"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Agreement in Effect Upon Consummation of the Transactions—Common Unit Redemption Right,”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Classified Board of Directors</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the classes as nearly equal in number as possible and each class serving three-year staggered terms. Our amended and restated certificate of incorporation will also provide that subject to the rights of the holders of any series of preferred stock then outstanding, for as long as the amended and restated certificate of incorporation provides for a classified board of directors, any director, or the entire board of directors, may otherwise be removed only for cause by an affirmative vote of at least sixty-six and two-thirds percent (66 2/3%) of the voting power of all the outstanding shares of stock entitled to vote generally in the election of directors, at a meeting duly called for that purpose; provided, however, that the directors appointed pursuant to the Stockholders Agreement may be removed with or without cause in accordance with the terms thereof and the requirements of the DGCL. See “Management— Composition of our Board of Directors.” These provisions may have the effect of deferring, delaying or discouraging hostile takeovers, or changes in control of us or our management.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18" w:lineRule="exact"/>
        <w:rPr>
          <w:sz w:val="20"/>
          <w:szCs w:val="20"/>
          <w:color w:val="auto"/>
        </w:rPr>
      </w:pPr>
    </w:p>
    <w:p>
      <w:pPr>
        <w:ind w:left="160" w:right="120"/>
        <w:spacing w:after="0" w:line="284" w:lineRule="auto"/>
        <w:rPr>
          <w:sz w:val="20"/>
          <w:szCs w:val="20"/>
          <w:color w:val="auto"/>
        </w:rPr>
      </w:pPr>
      <w:r>
        <w:rPr>
          <w:rFonts w:ascii="Arial" w:cs="Arial" w:eastAsia="Arial" w:hAnsi="Arial"/>
          <w:sz w:val="16"/>
          <w:szCs w:val="16"/>
          <w:color w:val="auto"/>
        </w:rPr>
        <w:t>Our amended and restated certificate of incorporation will provide that at any time when Centerbridge beneficially owns, in the aggregate, at least forty percent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 However, at any time when Centerbridge beneficially owns, in the aggregate, less than forty percent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Special Meetings of Stockholders</w:t>
      </w:r>
    </w:p>
    <w:p>
      <w:pPr>
        <w:spacing w:after="0" w:line="11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Our amended and restated bylaws will provide that only the chairperson of our board of directors or a majority of our whole board of directors may call special meetings of our stockholders.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18"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In addition, our amended and restated bylaws will establish an advance notice procedure for stockholder proposals to be brought before an annual meeting of stockholders, including proposed nominations of candidates for election to our board of directors; provided, however, that so long as Centerbridge is entitled to nominate a director pursuant to the Stockholders Agreement, such advance notice provisions will not apply to Centerbridge in connection with the nomination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6"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Amendment of Certificate of Incorporation or Bylaws</w:t>
      </w:r>
    </w:p>
    <w:p>
      <w:pPr>
        <w:spacing w:after="0" w:line="11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 consummation of the Transactions, our bylaws may be amended or repealed by (i) a majority vote of our board of directors or (ii) at any time when Centerbridge beneficially owns, in the aggregate, less than forty percent (40%) in voting power of the corporation entitled to vote generally in the election of directors, by the affirmative vote of at least sixty-six and two-thirds percent (66 2/3%) of the voting power of all outstanding voting stock of the corporation entitled to vote, voting together as a single class.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203 of the DGCL</w:t>
      </w:r>
    </w:p>
    <w:p>
      <w:pPr>
        <w:spacing w:after="0" w:line="118"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Our amended and restated certificate of incorporation will contain a provision opting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0"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However, under our amended and restated certificate of incorporation, Centerbridge and NVX Holdings and any of their respective affiliates will not be deemed to be interested stockholders regardless of the percentage of our outstanding voting stock owned by them, and accordingly will not be subject to such restrictions.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18"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color w:val="auto"/>
        </w:rPr>
        <w:t>Our amended and restated certificate of incorporation and amended and restated bylaws provide indemnification for our directors and officers to the fullest extent permitted by the DGCL.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Opportunity Doctrine</w:t>
      </w:r>
    </w:p>
    <w:p>
      <w:pPr>
        <w:spacing w:after="0" w:line="118" w:lineRule="exact"/>
        <w:rPr>
          <w:sz w:val="20"/>
          <w:szCs w:val="20"/>
          <w:color w:val="auto"/>
        </w:rPr>
      </w:pPr>
    </w:p>
    <w:p>
      <w:pPr>
        <w:ind w:left="160" w:right="800"/>
        <w:spacing w:after="0" w:line="271"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amended and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6"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0" w:lineRule="auto"/>
        <w:rPr>
          <w:sz w:val="20"/>
          <w:szCs w:val="20"/>
          <w:color w:val="auto"/>
        </w:rPr>
      </w:pPr>
      <w:r>
        <w:rPr>
          <w:rFonts w:ascii="Arial" w:cs="Arial" w:eastAsia="Arial" w:hAnsi="Arial"/>
          <w:sz w:val="16"/>
          <w:szCs w:val="16"/>
          <w:color w:val="auto"/>
        </w:rPr>
        <w:t>restated certificate of incorporation will, to the fullest extent permitted from time to time by Delaware law, we renounce any interest or expectancy that we otherwise would have in, all rights to be offered an opportunity to participate in, any business opportunity that are from time to time may be presented to Centerbridge or its affiliates (other than us and our subsidiaries), and any of its or their respective principals, members, directors, partners, stockholders, officers, employees or other representatives (other than any such person who is also our employee or an employee of our subsidiaries), or any director or stockholder who is not employed by us or our subsidiaries (each such person, an “exempt person”). Our amended and restated certificate of incorporation will provide that, to the fullest extent permitted by law, no exempt person will have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The forgoing provisions shall not apply to an opportunity that was expressly offered to an exempt person solely in their capacity as a director, executive officer or employee of us or our subsidiaries. To the fullest extent permitted by Delaware law, no potential transaction or business opportunity may be deemed to be a corporate opportunity of the corporation or its subsidiaries unless</w:t>
      </w:r>
    </w:p>
    <w:p>
      <w:pPr>
        <w:spacing w:after="0" w:line="4" w:lineRule="exact"/>
        <w:rPr>
          <w:sz w:val="20"/>
          <w:szCs w:val="20"/>
          <w:color w:val="auto"/>
        </w:rPr>
      </w:pPr>
    </w:p>
    <w:p>
      <w:pPr>
        <w:ind w:left="160" w:right="280" w:firstLine="7"/>
        <w:spacing w:after="0" w:line="250" w:lineRule="auto"/>
        <w:tabs>
          <w:tab w:leader="none" w:pos="4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18" w:lineRule="exact"/>
        <w:rPr>
          <w:sz w:val="20"/>
          <w:szCs w:val="20"/>
          <w:color w:val="auto"/>
        </w:rPr>
      </w:pPr>
    </w:p>
    <w:p>
      <w:pPr>
        <w:jc w:val="both"/>
        <w:ind w:left="160" w:right="280"/>
        <w:spacing w:after="0" w:line="281"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Stockholders’ Derivative Actions</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Trading Symbol and Market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been approved to list our Class A common stock on The Nasdaq Global Select Market under the symbol “GOCO.”</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6"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INDEBTEDNESS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Credit Facilities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On September 13, 2019, in connection with the Centerbridge Acquisition, Norvax, LLC, or the Borrower, entered into a first lien credit agreement, or the Credit Agreement, which provides for the following:</w:t>
      </w:r>
    </w:p>
    <w:p>
      <w:pPr>
        <w:spacing w:after="0" w:line="81" w:lineRule="exact"/>
        <w:rPr>
          <w:sz w:val="20"/>
          <w:szCs w:val="20"/>
          <w:color w:val="auto"/>
        </w:rPr>
      </w:pPr>
    </w:p>
    <w:p>
      <w:pPr>
        <w:ind w:left="1140" w:hanging="438"/>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$300.0 million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$30.0 million aggregate principal amount senior secured revolving credit facility, or the Revolving Credit Facility.</w:t>
      </w:r>
    </w:p>
    <w:p>
      <w:pPr>
        <w:spacing w:after="0" w:line="221"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w:t>
      </w:r>
    </w:p>
    <w:p>
      <w:pPr>
        <w:spacing w:after="0" w:line="175"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As of March 31, 2020, we had $298.5 million and $117.0 million outstanding under the Term Loan Facility and the Incremental Term Loan Facility, respectively. As of March 31, 2020, our capacity under the Revolving Credit Facility was $30.0 million, with $30.0 million available for additional borrowings.</w:t>
      </w:r>
    </w:p>
    <w:p>
      <w:pPr>
        <w:spacing w:after="0" w:line="186"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Additionally, on May 7, 2020, the Borrower entered into an amendment to the Credit Agreement, which provides $20.0 million of additional revolving commitment under the Credit Facilities, or the Incremental Revolving Loan Facility.</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We collectively refer to the Term Loan Facility, the Revolving Credit Facility, the Incremental Term Loan Facility and the Incremental Revolving Loan Facility as the Credit Facilities.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or ABR, loans or LIBO Rate loans. Term loans, incremental term loans and revolving loans comprising each ABR borrowing under the Credit Facilities accrue interest at the ABR plus an applicable rate equal to 5.50% per annum. Term loans, incremental term loans and revolving loans comprising each LIBO Rate borrowing bear interest at the LIBO Rate plus an applicable rate equal to 6.50% per annum.</w:t>
      </w:r>
    </w:p>
    <w:p>
      <w:pPr>
        <w:spacing w:after="0" w:line="190"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14" w:lineRule="exact"/>
        <w:rPr>
          <w:sz w:val="20"/>
          <w:szCs w:val="20"/>
          <w:color w:val="auto"/>
        </w:rPr>
      </w:pPr>
    </w:p>
    <w:p>
      <w:pPr>
        <w:ind w:left="160" w:right="60"/>
        <w:spacing w:after="0" w:line="282" w:lineRule="auto"/>
        <w:rPr>
          <w:sz w:val="20"/>
          <w:szCs w:val="20"/>
          <w:color w:val="auto"/>
        </w:rPr>
      </w:pPr>
      <w:r>
        <w:rPr>
          <w:rFonts w:ascii="Arial" w:cs="Arial" w:eastAsia="Arial" w:hAnsi="Arial"/>
          <w:sz w:val="16"/>
          <w:szCs w:val="16"/>
          <w:color w:val="auto"/>
        </w:rPr>
        <w:t xml:space="preserve">The Credit Agreement requires that the Borrower, following the end of each fiscal year, commencing with the fiscal year ending December 31, 2020, repay the outstanding principal amount of all term loans under the Credit Facilities in an aggregate amount equal to (A) 50% of the excess cash flow of the Borrower and its restricted subsidiaries for such fiscal year if the Total Net Cash Leverage Ratio (as defined in the Credit Agreement) is greater than 4.50:1.00, which percentage is reduced to 25% if the Total Net Cash Leverage Ratio is less than or equal to 4.50:1.00 and greater than 4.00:1.00, which percentage is further reduced to 0% if the Total Net Cash Leverage Ratio is less than or equal to 4.00:1.00,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at the option of the Borrower,</w:t>
      </w:r>
    </w:p>
    <w:p>
      <w:pPr>
        <w:spacing w:after="0" w:line="2" w:lineRule="exact"/>
        <w:rPr>
          <w:sz w:val="20"/>
          <w:szCs w:val="20"/>
          <w:color w:val="auto"/>
        </w:rPr>
      </w:pPr>
    </w:p>
    <w:p>
      <w:pPr>
        <w:ind w:left="160" w:right="100" w:firstLine="7"/>
        <w:spacing w:after="0" w:line="250" w:lineRule="auto"/>
        <w:tabs>
          <w:tab w:leader="none" w:pos="41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incremental facilities, incremental equivalent debt and/or certain refinancing indebtedness, made during such fiscal year or after such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 time such prepayment is due.</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60"/>
          </w:cols>
          <w:pgMar w:left="320" w:top="456"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8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Voluntary Prepayment</w:t>
      </w:r>
    </w:p>
    <w:p>
      <w:pPr>
        <w:spacing w:after="0" w:line="114"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Amortization and Final Maturity</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Term Loan Facility is payable in quarterly installments (commencing on December 31, 2019) in the principal amount of 0.25% of the original principal amount of the Term Loan Facility. The remaining unpaid balance on the Term Loan Facility, together with all accrued and unpaid interest thereon, is due and payable on or prior to September 13, 2025. The Incremental Term Loan Facility is payable in quarterly installments (commencing on June 30, 2020) in the principal amount of 0.25% of the original principal amount of the Incremental Term Loan Facility. The remaining unpaid balance on the Term Loan Facility and the Incremental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Covenants and Other Matters</w:t>
      </w:r>
    </w:p>
    <w:p>
      <w:pPr>
        <w:spacing w:after="0" w:line="118"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40"/>
          </w:cols>
          <w:pgMar w:left="320" w:top="456" w:right="5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114"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color w:val="auto"/>
        </w:rPr>
        <w:t>In addition, the Credit Agreement contains financial covenants with respect to each of the Total Net Leverage Ratio, LTV Ratio and Liquidity, as detailed below.</w:t>
      </w:r>
    </w:p>
    <w:p>
      <w:pPr>
        <w:spacing w:after="0" w:line="81" w:lineRule="exact"/>
        <w:rPr>
          <w:sz w:val="20"/>
          <w:szCs w:val="20"/>
          <w:color w:val="auto"/>
        </w:rPr>
      </w:pPr>
    </w:p>
    <w:p>
      <w:pPr>
        <w:ind w:left="1140" w:right="20" w:hanging="438"/>
        <w:spacing w:after="0" w:line="288" w:lineRule="auto"/>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the Borrower’s Total Net Cash Leverage Ratio is greater than 5.50:1.00, the Total Leverage Covenant requires the Borrower to maintain a Total Net Leverage Ratio no greater than (i) for the fiscal quarter ending on March 31, 2020 to and including the fiscal quarter ending on June 30, 2020, 4.50:1.00, (ii) for the fiscal quarter ending on September 30, 2020 to and including the fiscal quarter ending on December 31, 2020, 4.00:1.00, (iii) for the fiscal quarter ending on March 31, 2021 to and including the fiscal quarter ending on December 31, 2021, 3.50:1.00 and (iv) for the fiscal quarter ending on March 31, 2022 and each fiscal quarter ending thereafter, 3.00:1.00,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72" w:lineRule="exact"/>
        <w:rPr>
          <w:rFonts w:ascii="Arial" w:cs="Arial" w:eastAsia="Arial" w:hAnsi="Arial"/>
          <w:sz w:val="16"/>
          <w:szCs w:val="16"/>
          <w:color w:val="auto"/>
        </w:rPr>
      </w:pPr>
    </w:p>
    <w:p>
      <w:pPr>
        <w:ind w:left="1140" w:right="300" w:hanging="438"/>
        <w:spacing w:after="0" w:line="284" w:lineRule="auto"/>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the Borrower’s Total Net Cash Leverage Ratio is greater than 5.50:1.00, the LTV Covenant requires the Borrower to maintain a LTV Ratio no greater than (i) for the fiscal quarter ending on March 31, 2020 to and including the fiscal quarter ending on June 30, 2020, 2.50:1.00, (ii) for the fiscal quarter ending on September 30, 2020 to and including the fiscal quarter ending on December 31, 2020,</w:t>
      </w:r>
    </w:p>
    <w:p>
      <w:pPr>
        <w:spacing w:after="0" w:line="1" w:lineRule="exact"/>
        <w:rPr>
          <w:rFonts w:ascii="Arial" w:cs="Arial" w:eastAsia="Arial" w:hAnsi="Arial"/>
          <w:sz w:val="16"/>
          <w:szCs w:val="16"/>
          <w:color w:val="auto"/>
        </w:rPr>
      </w:pPr>
    </w:p>
    <w:p>
      <w:pPr>
        <w:ind w:left="1140" w:right="120"/>
        <w:spacing w:after="0" w:line="250" w:lineRule="auto"/>
        <w:rPr>
          <w:rFonts w:ascii="Arial" w:cs="Arial" w:eastAsia="Arial" w:hAnsi="Arial"/>
          <w:sz w:val="16"/>
          <w:szCs w:val="16"/>
          <w:color w:val="auto"/>
        </w:rPr>
      </w:pPr>
      <w:r>
        <w:rPr>
          <w:rFonts w:ascii="Arial" w:cs="Arial" w:eastAsia="Arial" w:hAnsi="Arial"/>
          <w:sz w:val="18"/>
          <w:szCs w:val="18"/>
          <w:color w:val="auto"/>
        </w:rPr>
        <w:t>2.00:1.00, (iii) for the fiscal quarter ending on March 31, 2021, 1.50:1.00, (iv) for the fiscal quarter ending on June 30, 2021 to and including the fiscal quarter ending on December 31, 2021, 1.25:1.00 and (v) for the fiscal quarter ending on March 31, 2022 and each fiscal quarter ending thereafter, 1.00:1.00,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99" w:lineRule="exact"/>
        <w:rPr>
          <w:rFonts w:ascii="Arial" w:cs="Arial" w:eastAsia="Arial" w:hAnsi="Arial"/>
          <w:sz w:val="16"/>
          <w:szCs w:val="16"/>
          <w:color w:val="auto"/>
        </w:rPr>
      </w:pPr>
    </w:p>
    <w:p>
      <w:pPr>
        <w:ind w:left="1140" w:hanging="438"/>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all times, the Minimum Liquidity Covenant requires the Borrower to maintain Liquidity of no less than $10 million.</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is in compliance with all covenants as of March 31, 2020.</w:t>
      </w:r>
    </w:p>
    <w:p>
      <w:pPr>
        <w:spacing w:after="0" w:line="221" w:lineRule="exact"/>
        <w:rPr>
          <w:sz w:val="20"/>
          <w:szCs w:val="20"/>
          <w:color w:val="auto"/>
        </w:rPr>
      </w:pPr>
    </w:p>
    <w:p>
      <w:pPr>
        <w:jc w:val="both"/>
        <w:ind w:left="160" w:right="200"/>
        <w:spacing w:after="0" w:line="293"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61" w:lineRule="exact"/>
        <w:rPr>
          <w:sz w:val="20"/>
          <w:szCs w:val="20"/>
          <w:color w:val="auto"/>
        </w:rPr>
      </w:pPr>
    </w:p>
    <w:p>
      <w:pPr>
        <w:jc w:val="both"/>
        <w:ind w:left="160"/>
        <w:spacing w:after="0" w:line="335" w:lineRule="auto"/>
        <w:rPr>
          <w:sz w:val="20"/>
          <w:szCs w:val="20"/>
          <w:color w:val="auto"/>
        </w:rPr>
      </w:pPr>
      <w:r>
        <w:rPr>
          <w:rFonts w:ascii="Arial" w:cs="Arial" w:eastAsia="Arial" w:hAnsi="Arial"/>
          <w:sz w:val="16"/>
          <w:szCs w:val="16"/>
          <w:color w:val="auto"/>
        </w:rPr>
        <w:t>The foregoing summary describes the material provisions of the Credit Agreement, but may not contain all information that is important to you. We urge you to read the provisions of the Credit Agreement, which has been filed as an exhibit to the registration statement of which this prospectus forms a part.</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60"/>
          </w:cols>
          <w:pgMar w:left="320" w:top="456" w:right="5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of our Continuing Equity Owners), or the perception that such sales may occur, could adversely affect the market price of our Class A common stock. Although we have been approved to have our Class A common stock listed on The Nasdaq Global Select Market, we cannot assure you that there will be an active public market for our Class A common stock.</w:t>
      </w:r>
    </w:p>
    <w:p>
      <w:pPr>
        <w:spacing w:after="0" w:line="193"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Upon the closing of this offering, we will have outstanding an aggregate of 84,182,961 shares of Class A common stock, assuming the issuance of 43,500,000 shares of Class A common stock offered by us in this offering and the issuance of 40,682,961 shares of Class A common stock to the Blocker Shareholders in the Transactions.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and any Class A common stock purchased by our directors, officers and employees pursuant to our Reserved Share Program shall be subject to the lock-up agreements as described below under “—Lock-Up Agreements.”</w:t>
      </w:r>
    </w:p>
    <w:p>
      <w:pPr>
        <w:spacing w:after="0" w:line="197" w:lineRule="exact"/>
        <w:rPr>
          <w:sz w:val="20"/>
          <w:szCs w:val="20"/>
          <w:color w:val="auto"/>
        </w:rPr>
      </w:pPr>
    </w:p>
    <w:p>
      <w:pPr>
        <w:ind w:left="160" w:right="200"/>
        <w:spacing w:after="0" w:line="281" w:lineRule="auto"/>
        <w:rPr>
          <w:sz w:val="20"/>
          <w:szCs w:val="20"/>
          <w:color w:val="auto"/>
        </w:rPr>
      </w:pPr>
      <w:r>
        <w:rPr>
          <w:rFonts w:ascii="Arial" w:cs="Arial" w:eastAsia="Arial" w:hAnsi="Arial"/>
          <w:sz w:val="17"/>
          <w:szCs w:val="17"/>
          <w:color w:val="auto"/>
        </w:rPr>
        <w:t>The remaining 40,682,961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the Securities Act, including Rules 144 or 701 under the Securities Act, which are summarized below.</w:t>
      </w:r>
    </w:p>
    <w:p>
      <w:pPr>
        <w:spacing w:after="0" w:line="169"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In addition, each LLC Interest held directly or indirectly by our Continuing Equity Owners will be redeemable, at the election of each Continuing Equity Owner (subject in certain circumstances to time-based vesting requirements), for, at our election determined by at least two of our independent directors (within the meaning of the Nasdaq rules) who are disinterested), newly-issued shares of our Class A common stock on a one-for-one basis, in connection with a redemption exercised in connection with the closing of this offering, a cash payment equal to price per share for which shares of Class A common stock are sold in this offering less any applicable underwriters’ discounts or commission and brokers’ fees or commissions, or to the extent there is cash available from a secondary offering, a cash payment equal to a volume weighted average market price of one share of Class A common stock for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Upon consummation of the Transactions, our Continuing Equity Owners will hold 229,399,322 LLC Interests (excluding 7,611,109 LLC Interests to be held directly or indirectly by certain Profits Unit Holders that are subject to time-based vesting requirements), all of which will be exchangeable for shares of our Class A common stock. The shares of Class A common stock we issue upon such exchanges would be “restricted securities” as defined in Rule 144 unless we register such issuances. However, we will enter into a Registration Rights Agreement with certain of the Original Equity Owners that will require us, subject to customary conditions, to register under the Securities Act these shares of Class A common stock. See “Certain Relationships and Related Party Transactions—Registration Rights Agreement.”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We, our officers and directors and substantially all of our stockholders have agreed that, without the prior written consent of any two of Goldman Sachs &amp; Co. LLC, BofA Securities, Inc. and Morgan Stanley &amp; Co. LLC, we and they will not, subject to certain exceptions, during the period ending 180 days after the date of this prospectus:</w:t>
      </w:r>
    </w:p>
    <w:p>
      <w:pPr>
        <w:spacing w:after="0" w:line="92" w:lineRule="exact"/>
        <w:rPr>
          <w:sz w:val="20"/>
          <w:szCs w:val="20"/>
          <w:color w:val="auto"/>
        </w:rPr>
      </w:pPr>
    </w:p>
    <w:p>
      <w:pPr>
        <w:ind w:left="1140" w:right="460" w:hanging="438"/>
        <w:spacing w:after="0" w:line="271" w:lineRule="auto"/>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any shares of our common stock, or any options or warrants to purchase any shares of our common stock, or any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6"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securities convertible into, or exchangeable for, or that represent the right to receive, shares of our common stock;</w:t>
      </w:r>
    </w:p>
    <w:p>
      <w:pPr>
        <w:spacing w:after="0" w:line="127" w:lineRule="exact"/>
        <w:rPr>
          <w:sz w:val="20"/>
          <w:szCs w:val="20"/>
          <w:color w:val="auto"/>
        </w:rPr>
      </w:pPr>
    </w:p>
    <w:p>
      <w:pPr>
        <w:ind w:left="1140" w:right="80" w:hanging="438"/>
        <w:spacing w:after="0" w:line="297" w:lineRule="auto"/>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common stock or any securities convertible into or exercisable or exchangeable for shares of our common stock,</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whether any transaction described above is to be settled by delivery of our common stock or such other securities, in cash or otherwise;</w:t>
      </w:r>
    </w:p>
    <w:p>
      <w:pPr>
        <w:spacing w:after="0" w:line="127" w:lineRule="exact"/>
        <w:rPr>
          <w:sz w:val="20"/>
          <w:szCs w:val="20"/>
          <w:color w:val="auto"/>
        </w:rPr>
      </w:pPr>
    </w:p>
    <w:p>
      <w:pPr>
        <w:ind w:left="1140" w:right="480" w:hanging="438"/>
        <w:spacing w:after="0" w:line="271" w:lineRule="auto"/>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engage in or cause any action or activity described above or transaction or arrangement described above; or</w:t>
      </w:r>
    </w:p>
    <w:p>
      <w:pPr>
        <w:spacing w:after="0" w:line="80"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shares of common stock.</w:t>
      </w:r>
    </w:p>
    <w:p>
      <w:pPr>
        <w:spacing w:after="0" w:line="17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two of Goldman Sachs &amp; Co. LLC, BofA Securities, Inc. and Morgan Stanley &amp; Co. LLC, in their sole discretion as representatives, may release the common stock and other securities subject to the lock-up agreements described above in whole or in part at any time. In certain circumstances, the release of shares of common stock from the lock-up restrictions described above will trigger a pro rata release of shares of common stock held by certain other holders. These agreements are subject to certain exceptions. See “Underwriting.”</w:t>
      </w:r>
    </w:p>
    <w:p>
      <w:pPr>
        <w:spacing w:after="0" w:line="190"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In addition, certain of our employees who hold Performance Units, including certain of our executive officers, have entered into lock-up agreements in substantially the same form as the lock-up agreements with the underwriters as further described in the section titled “Executive Compensation—Share-Based Compensation.”</w:t>
      </w:r>
    </w:p>
    <w:p>
      <w:pPr>
        <w:spacing w:after="0" w:line="186"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In general, a person who has beneficially owned our Class A common stock that are restricted shares for at least six months would be entitled to sell such securities, provided that (1) such person is not deemed to have been one of our affiliates at the time of, or at any time during the 90 days preceding, a sale and (2) we are subject to the Exchange Act periodic reporting requirements for at least 90 days before the sale. Persons who have beneficially owned our Class A common stock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85" w:lineRule="exact"/>
        <w:rPr>
          <w:sz w:val="20"/>
          <w:szCs w:val="20"/>
          <w:color w:val="auto"/>
        </w:rPr>
      </w:pPr>
    </w:p>
    <w:p>
      <w:pPr>
        <w:ind w:left="1580" w:hanging="329"/>
        <w:spacing w:after="0"/>
        <w:tabs>
          <w:tab w:leader="none" w:pos="1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 of the number of our Class A common stock then outstanding; or</w:t>
      </w:r>
    </w:p>
    <w:p>
      <w:pPr>
        <w:spacing w:after="0" w:line="127" w:lineRule="exact"/>
        <w:rPr>
          <w:rFonts w:ascii="Arial" w:cs="Arial" w:eastAsia="Arial" w:hAnsi="Arial"/>
          <w:sz w:val="18"/>
          <w:szCs w:val="18"/>
          <w:color w:val="auto"/>
        </w:rPr>
      </w:pPr>
    </w:p>
    <w:p>
      <w:pPr>
        <w:ind w:left="1580" w:right="80" w:hanging="329"/>
        <w:spacing w:after="0" w:line="275" w:lineRule="auto"/>
        <w:tabs>
          <w:tab w:leader="none" w:pos="15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average weekly trading volume of our Class A common stock on the Nasdaq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6"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Plans</w:t>
      </w:r>
    </w:p>
    <w:p>
      <w:pPr>
        <w:spacing w:after="0" w:line="118"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subject to outstanding stock options and Class A common stock issued or issuable under our 2020 Plan. After consummation of this offering, 2,426,100 shares of Class A common stock issuable pursuant to stock options and approximately 305,068 shares of Class A common stock issuable pursuant to restricted share units, in each case, are intended to be granted to certain of our directors, executive officers and other employees.</w:t>
      </w:r>
    </w:p>
    <w:p>
      <w:pPr>
        <w:spacing w:after="0" w:line="159"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We expect to file the registration statement covering shares offered pursuant to our 2020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“Certain Relationships and Related Party Transactions—Registration Rights Agreement.”</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20"/>
          </w:cols>
          <w:pgMar w:left="320" w:top="456" w:right="5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NON-U.S. HOLDERS OF CLASS A COMMON STOCK</w:t>
      </w:r>
    </w:p>
    <w:p>
      <w:pPr>
        <w:spacing w:after="0" w:line="20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67"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80" w:lineRule="exact"/>
        <w:rPr>
          <w:sz w:val="20"/>
          <w:szCs w:val="20"/>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27" w:lineRule="exact"/>
        <w:rPr>
          <w:rFonts w:ascii="Arial" w:cs="Arial" w:eastAsia="Arial" w:hAnsi="Arial"/>
          <w:sz w:val="18"/>
          <w:szCs w:val="18"/>
          <w:color w:val="auto"/>
        </w:rPr>
      </w:pPr>
    </w:p>
    <w:p>
      <w:pPr>
        <w:ind w:left="1140" w:right="80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27" w:lineRule="exact"/>
        <w:rPr>
          <w:rFonts w:ascii="Arial" w:cs="Arial" w:eastAsia="Arial" w:hAnsi="Arial"/>
          <w:sz w:val="18"/>
          <w:szCs w:val="18"/>
          <w:color w:val="auto"/>
        </w:rPr>
      </w:pPr>
    </w:p>
    <w:p>
      <w:pPr>
        <w:ind w:left="1140" w:right="52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27" w:lineRule="exact"/>
        <w:rPr>
          <w:rFonts w:ascii="Arial" w:cs="Arial" w:eastAsia="Arial" w:hAnsi="Arial"/>
          <w:sz w:val="18"/>
          <w:szCs w:val="18"/>
          <w:color w:val="auto"/>
        </w:rPr>
      </w:pPr>
    </w:p>
    <w:p>
      <w:pPr>
        <w:ind w:left="1140" w:right="96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27"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an entity will depend on the status of the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80"/>
          </w:cols>
          <w:pgMar w:left="320" w:top="456"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of a Non-U.S. Holder</w:t>
      </w:r>
    </w:p>
    <w:p>
      <w:pPr>
        <w:spacing w:after="0" w:line="118"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2" w:lineRule="exact"/>
        <w:rPr>
          <w:sz w:val="20"/>
          <w:szCs w:val="20"/>
          <w:color w:val="auto"/>
        </w:rPr>
      </w:pPr>
    </w:p>
    <w:p>
      <w:pPr>
        <w:ind w:left="1140" w:hanging="438"/>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27" w:lineRule="exact"/>
        <w:rPr>
          <w:rFonts w:ascii="Arial" w:cs="Arial" w:eastAsia="Arial" w:hAnsi="Arial"/>
          <w:sz w:val="18"/>
          <w:szCs w:val="18"/>
          <w:color w:val="auto"/>
        </w:rPr>
      </w:pPr>
    </w:p>
    <w:p>
      <w:pPr>
        <w:ind w:left="1140" w:right="280" w:hanging="438"/>
        <w:spacing w:after="0" w:line="259"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71" w:lineRule="exact"/>
        <w:rPr>
          <w:sz w:val="20"/>
          <w:szCs w:val="20"/>
          <w:color w:val="auto"/>
        </w:rPr>
      </w:pPr>
    </w:p>
    <w:p>
      <w:pPr>
        <w:ind w:left="160" w:right="340"/>
        <w:spacing w:after="0" w:line="27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80"/>
          </w:cols>
          <w:pgMar w:left="320" w:top="456"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rate of 30% (or such lower rate specified by an applicable income tax treaty) on such effectively connected dividends, as adjusted for certain items.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 or Other Taxable Disposition</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81" w:lineRule="exact"/>
        <w:rPr>
          <w:sz w:val="20"/>
          <w:szCs w:val="20"/>
          <w:color w:val="auto"/>
        </w:rPr>
      </w:pPr>
    </w:p>
    <w:p>
      <w:pPr>
        <w:ind w:left="1140" w:right="20" w:hanging="438"/>
        <w:spacing w:after="0" w:line="259"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2"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0" w:lineRule="exact"/>
        <w:rPr>
          <w:rFonts w:ascii="Arial" w:cs="Arial" w:eastAsia="Arial" w:hAnsi="Arial"/>
          <w:sz w:val="18"/>
          <w:szCs w:val="18"/>
          <w:color w:val="auto"/>
        </w:rPr>
      </w:pPr>
    </w:p>
    <w:p>
      <w:pPr>
        <w:ind w:left="1140" w:right="180" w:hanging="438"/>
        <w:spacing w:after="0" w:line="271"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75"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6"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0"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40"/>
          </w:cols>
          <w:pgMar w:left="320" w:top="456" w:right="5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20"/>
        <w:spacing w:after="0" w:line="307" w:lineRule="auto"/>
        <w:rPr>
          <w:sz w:val="20"/>
          <w:szCs w:val="20"/>
          <w:color w:val="auto"/>
        </w:rPr>
      </w:pPr>
      <w:r>
        <w:rPr>
          <w:rFonts w:ascii="Arial" w:cs="Arial" w:eastAsia="Arial" w:hAnsi="Arial"/>
          <w:sz w:val="16"/>
          <w:szCs w:val="16"/>
          <w:color w:val="auto"/>
        </w:rPr>
        <w:t>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5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00"/>
          </w:cols>
          <w:pgMar w:left="320" w:top="456" w:right="5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jc w:val="both"/>
        <w:ind w:left="160" w:right="160"/>
        <w:spacing w:after="0" w:line="307" w:lineRule="auto"/>
        <w:rPr>
          <w:sz w:val="20"/>
          <w:szCs w:val="20"/>
          <w:color w:val="auto"/>
        </w:rPr>
      </w:pPr>
      <w:r>
        <w:rPr>
          <w:rFonts w:ascii="Arial" w:cs="Arial" w:eastAsia="Arial" w:hAnsi="Arial"/>
          <w:sz w:val="16"/>
          <w:szCs w:val="16"/>
          <w:color w:val="auto"/>
        </w:rPr>
        <w:t>We, GoHealth Holdings, LLC and Goldman Sachs &amp; Co. LLC, BofA Securities, Inc., and Morgan Stanley &amp; Co. LLC, acting as representatives of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w:t>
      </w:r>
    </w:p>
    <w:p>
      <w:pPr>
        <w:spacing w:after="0" w:line="172" w:lineRule="exact"/>
        <w:rPr>
          <w:sz w:val="20"/>
          <w:szCs w:val="20"/>
          <w:color w:val="auto"/>
        </w:rPr>
      </w:pPr>
    </w:p>
    <w:tbl>
      <w:tblPr>
        <w:tblLayout w:type="fixed"/>
        <w:tblInd w:w="1920" w:type="dxa"/>
        <w:tblCellMar>
          <w:top w:w="0" w:type="dxa"/>
          <w:left w:w="0" w:type="dxa"/>
          <w:bottom w:w="0" w:type="dxa"/>
          <w:right w:w="0" w:type="dxa"/>
        </w:tblCellMar>
      </w:tblPr>
      <w:tr>
        <w:trPr>
          <w:trHeight w:val="18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Underwriters</w:t>
            </w:r>
          </w:p>
        </w:tc>
        <w:tc>
          <w:tcPr>
            <w:tcW w:w="552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color w:val="auto"/>
                <w:w w:val="95"/>
              </w:rPr>
              <w:t>Number of Shares</w:t>
            </w:r>
          </w:p>
        </w:tc>
      </w:tr>
      <w:tr>
        <w:trPr>
          <w:trHeight w:val="201"/>
        </w:trPr>
        <w:tc>
          <w:tcPr>
            <w:tcW w:w="62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Goldman Sachs &amp; Co. LLC</w:t>
            </w:r>
          </w:p>
        </w:tc>
        <w:tc>
          <w:tcPr>
            <w:tcW w:w="10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11,540,550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62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10,679,250</w:t>
            </w:r>
          </w:p>
        </w:tc>
        <w:tc>
          <w:tcPr>
            <w:tcW w:w="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8,430,300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2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60" w:type="dxa"/>
            <w:vAlign w:val="bottom"/>
          </w:tcPr>
          <w:p>
            <w:pPr>
              <w:jc w:val="right"/>
              <w:spacing w:after="0"/>
              <w:rPr>
                <w:sz w:val="20"/>
                <w:szCs w:val="20"/>
                <w:color w:val="auto"/>
              </w:rPr>
            </w:pPr>
            <w:r>
              <w:rPr>
                <w:rFonts w:ascii="Arial" w:cs="Arial" w:eastAsia="Arial" w:hAnsi="Arial"/>
                <w:sz w:val="18"/>
                <w:szCs w:val="18"/>
                <w:color w:val="auto"/>
              </w:rPr>
              <w:t>2,175,000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28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1060" w:type="dxa"/>
            <w:vAlign w:val="bottom"/>
          </w:tcPr>
          <w:p>
            <w:pPr>
              <w:jc w:val="right"/>
              <w:spacing w:after="0"/>
              <w:rPr>
                <w:sz w:val="20"/>
                <w:szCs w:val="20"/>
                <w:color w:val="auto"/>
              </w:rPr>
            </w:pPr>
            <w:r>
              <w:rPr>
                <w:rFonts w:ascii="Arial" w:cs="Arial" w:eastAsia="Arial" w:hAnsi="Arial"/>
                <w:sz w:val="18"/>
                <w:szCs w:val="18"/>
                <w:color w:val="auto"/>
              </w:rPr>
              <w:t>2,175,000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28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060" w:type="dxa"/>
            <w:vAlign w:val="bottom"/>
          </w:tcPr>
          <w:p>
            <w:pPr>
              <w:jc w:val="right"/>
              <w:spacing w:after="0"/>
              <w:rPr>
                <w:sz w:val="20"/>
                <w:szCs w:val="20"/>
                <w:color w:val="auto"/>
              </w:rPr>
            </w:pPr>
            <w:r>
              <w:rPr>
                <w:rFonts w:ascii="Arial" w:cs="Arial" w:eastAsia="Arial" w:hAnsi="Arial"/>
                <w:sz w:val="18"/>
                <w:szCs w:val="18"/>
                <w:color w:val="auto"/>
              </w:rPr>
              <w:t>2,175,000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791,700</w:t>
            </w:r>
          </w:p>
        </w:tc>
        <w:tc>
          <w:tcPr>
            <w:tcW w:w="40" w:type="dxa"/>
            <w:vAlign w:val="bottom"/>
            <w:shd w:val="clear" w:color="auto" w:fill="CCEEFF"/>
          </w:tcPr>
          <w:p>
            <w:pPr>
              <w:spacing w:after="0"/>
              <w:rPr>
                <w:sz w:val="18"/>
                <w:szCs w:val="18"/>
                <w:color w:val="auto"/>
              </w:rPr>
            </w:pPr>
          </w:p>
        </w:tc>
      </w:tr>
      <w:tr>
        <w:trPr>
          <w:trHeight w:val="214"/>
        </w:trPr>
        <w:tc>
          <w:tcPr>
            <w:tcW w:w="62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791,700</w:t>
            </w:r>
          </w:p>
        </w:tc>
        <w:tc>
          <w:tcPr>
            <w:tcW w:w="40" w:type="dxa"/>
            <w:vAlign w:val="bottom"/>
          </w:tcPr>
          <w:p>
            <w:pPr>
              <w:spacing w:after="0"/>
              <w:rPr>
                <w:sz w:val="18"/>
                <w:szCs w:val="18"/>
                <w:color w:val="auto"/>
              </w:rPr>
            </w:pPr>
          </w:p>
        </w:tc>
      </w:tr>
      <w:tr>
        <w:trPr>
          <w:trHeight w:val="214"/>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391,500</w:t>
            </w:r>
          </w:p>
        </w:tc>
        <w:tc>
          <w:tcPr>
            <w:tcW w:w="40" w:type="dxa"/>
            <w:vAlign w:val="bottom"/>
            <w:shd w:val="clear" w:color="auto" w:fill="CCEEFF"/>
          </w:tcPr>
          <w:p>
            <w:pPr>
              <w:spacing w:after="0"/>
              <w:rPr>
                <w:sz w:val="18"/>
                <w:szCs w:val="18"/>
                <w:color w:val="auto"/>
              </w:rPr>
            </w:pPr>
          </w:p>
        </w:tc>
      </w:tr>
      <w:tr>
        <w:trPr>
          <w:trHeight w:val="220"/>
        </w:trPr>
        <w:tc>
          <w:tcPr>
            <w:tcW w:w="62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The underwriters have an option to buy up to an additional 6,525,000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90" w:lineRule="exact"/>
        <w:rPr>
          <w:sz w:val="20"/>
          <w:szCs w:val="20"/>
          <w:color w:val="auto"/>
        </w:rPr>
      </w:pPr>
    </w:p>
    <w:p>
      <w:pPr>
        <w:ind w:left="160" w:right="60"/>
        <w:spacing w:after="0" w:line="301" w:lineRule="auto"/>
        <w:rPr>
          <w:sz w:val="20"/>
          <w:szCs w:val="20"/>
          <w:color w:val="auto"/>
        </w:rPr>
      </w:pPr>
      <w:r>
        <w:rPr>
          <w:rFonts w:ascii="Arial" w:cs="Arial" w:eastAsia="Arial" w:hAnsi="Arial"/>
          <w:sz w:val="17"/>
          <w:szCs w:val="17"/>
          <w:color w:val="auto"/>
        </w:rPr>
        <w:t>The following tables show the per share and total underwriting discount to be paid to the underwriters by us. Such amounts are shown assuming both no exercise and full exercise of the underwriters’ option to purchase 6,525,000 additional shares of Class A common stock.</w:t>
      </w:r>
    </w:p>
    <w:p>
      <w:pPr>
        <w:spacing w:after="0" w:line="170"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 Exercise</w:t>
            </w:r>
          </w:p>
        </w:tc>
        <w:tc>
          <w:tcPr>
            <w:tcW w:w="18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Full Exercise</w:t>
            </w:r>
          </w:p>
        </w:tc>
      </w:tr>
      <w:tr>
        <w:trPr>
          <w:trHeight w:val="207"/>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tcBorders>
              <w:top w:val="single" w:sz="8" w:color="CCEEFF"/>
            </w:tcBorders>
            <w:shd w:val="clear" w:color="auto" w:fill="CCEEFF"/>
          </w:tcPr>
          <w:p>
            <w:pPr>
              <w:spacing w:after="0"/>
              <w:rPr>
                <w:sz w:val="18"/>
                <w:szCs w:val="18"/>
                <w:color w:val="auto"/>
              </w:rPr>
            </w:pPr>
          </w:p>
        </w:tc>
      </w:t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50,242,500.00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57,778,875.00</w:t>
            </w:r>
          </w:p>
        </w:tc>
      </w:tr>
    </w:tbl>
    <w:p>
      <w:pPr>
        <w:spacing w:after="0" w:line="187"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 discount of up to $0.693 per share of Class A common stock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6"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We, our officers and directors and substantially all of our stockholders have agreed that, without the prior written consent of any two of Goldman Sachs &amp; Co. LLC, BofA Securities, Inc. and Morgan Stanley &amp; Co. LLC, we and they will not, subject to certain exceptions, during the period ending 180 days after the date of this prospectus:</w:t>
      </w:r>
    </w:p>
    <w:p>
      <w:pPr>
        <w:spacing w:after="0" w:line="92" w:lineRule="exact"/>
        <w:rPr>
          <w:sz w:val="20"/>
          <w:szCs w:val="20"/>
          <w:color w:val="auto"/>
        </w:rPr>
      </w:pPr>
    </w:p>
    <w:p>
      <w:pPr>
        <w:ind w:left="1140" w:right="460" w:hanging="438"/>
        <w:spacing w:after="0" w:line="271" w:lineRule="auto"/>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any shares of our common stock, or any options or warrants to purchase any shares of our common stock, or any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6"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securities convertible into, or exchangeable for, or that represent the right to receive, shares of our common stock;</w:t>
      </w:r>
    </w:p>
    <w:p>
      <w:pPr>
        <w:spacing w:after="0" w:line="127" w:lineRule="exact"/>
        <w:rPr>
          <w:sz w:val="20"/>
          <w:szCs w:val="20"/>
          <w:color w:val="auto"/>
        </w:rPr>
      </w:pPr>
    </w:p>
    <w:p>
      <w:pPr>
        <w:ind w:left="1140" w:hanging="438"/>
        <w:spacing w:after="0" w:line="293" w:lineRule="auto"/>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common stock or any securities convertible into or exercisable or exchangeable for shares of our common stock, whether any transaction described above is to be settled by delivery of our common stock or such other securities, in cash or otherwise;</w:t>
      </w:r>
    </w:p>
    <w:p>
      <w:pPr>
        <w:spacing w:after="0" w:line="67" w:lineRule="exact"/>
        <w:rPr>
          <w:rFonts w:ascii="Arial" w:cs="Arial" w:eastAsia="Arial" w:hAnsi="Arial"/>
          <w:sz w:val="16"/>
          <w:szCs w:val="16"/>
          <w:color w:val="auto"/>
        </w:rPr>
      </w:pPr>
    </w:p>
    <w:p>
      <w:pPr>
        <w:ind w:left="1140" w:right="440" w:hanging="438"/>
        <w:spacing w:after="0" w:line="271"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cause any action or activity described above or transaction or arrangement described above; or</w:t>
      </w:r>
    </w:p>
    <w:p>
      <w:pPr>
        <w:spacing w:after="0" w:line="80" w:lineRule="exact"/>
        <w:rPr>
          <w:rFonts w:ascii="Arial" w:cs="Arial" w:eastAsia="Arial" w:hAnsi="Arial"/>
          <w:sz w:val="18"/>
          <w:szCs w:val="18"/>
          <w:color w:val="auto"/>
        </w:rPr>
      </w:pPr>
    </w:p>
    <w:p>
      <w:pPr>
        <w:ind w:left="1140" w:right="20" w:hanging="438"/>
        <w:spacing w:after="0" w:line="271"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shares of common stock.</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27" w:lineRule="exact"/>
        <w:rPr>
          <w:sz w:val="20"/>
          <w:szCs w:val="20"/>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sale of the shares to the underwriters or any transfer or disposition in connection with the Transactions;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shares of Class A common stock acquired in the open market after completion of this offering;</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as a bona fide gift, provided that such done or donees agree to be bound by the lock-up restrictions;</w:t>
      </w:r>
    </w:p>
    <w:p>
      <w:pPr>
        <w:spacing w:after="0" w:line="127" w:lineRule="exact"/>
        <w:rPr>
          <w:rFonts w:ascii="Arial" w:cs="Arial" w:eastAsia="Arial" w:hAnsi="Arial"/>
          <w:sz w:val="18"/>
          <w:szCs w:val="18"/>
          <w:color w:val="auto"/>
        </w:rPr>
      </w:pPr>
    </w:p>
    <w:p>
      <w:pPr>
        <w:ind w:left="1140" w:right="400" w:hanging="438"/>
        <w:spacing w:after="0" w:line="27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to any beneficiary pursuant to a will, other testamentary document or intestate succession, provided that such beneficiary agrees to be bound by the lock-up restrictions;</w:t>
      </w:r>
    </w:p>
    <w:p>
      <w:pPr>
        <w:spacing w:after="0" w:line="80" w:lineRule="exact"/>
        <w:rPr>
          <w:rFonts w:ascii="Arial" w:cs="Arial" w:eastAsia="Arial" w:hAnsi="Arial"/>
          <w:sz w:val="18"/>
          <w:szCs w:val="18"/>
          <w:color w:val="auto"/>
        </w:rPr>
      </w:pPr>
    </w:p>
    <w:p>
      <w:pPr>
        <w:ind w:left="1140" w:right="220" w:hanging="438"/>
        <w:spacing w:after="0" w:line="307"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shares transferred to any trust, partnership, limited liability company or other entity for the direct or indirect benefit of the holder or any immediate family, or if the holder is a trust, to any beneficiary (including such beneficiary’s estate) of the holder, provided that the trustee of the trust or the applicable entity or beneficiary agrees to be bound in writing by the lock-up restrictions;</w:t>
      </w:r>
    </w:p>
    <w:p>
      <w:pPr>
        <w:spacing w:after="0" w:line="56" w:lineRule="exact"/>
        <w:rPr>
          <w:rFonts w:ascii="Arial" w:cs="Arial" w:eastAsia="Arial" w:hAnsi="Arial"/>
          <w:sz w:val="16"/>
          <w:szCs w:val="16"/>
          <w:color w:val="auto"/>
        </w:rPr>
      </w:pPr>
    </w:p>
    <w:p>
      <w:pPr>
        <w:ind w:left="1140" w:right="180" w:hanging="438"/>
        <w:spacing w:after="0" w:line="27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or disposition pursuant to an order of a court or regulatory agency or to comply with any regulations related to ownership of the shares;</w:t>
      </w:r>
    </w:p>
    <w:p>
      <w:pPr>
        <w:spacing w:after="0" w:line="80" w:lineRule="exact"/>
        <w:rPr>
          <w:rFonts w:ascii="Arial" w:cs="Arial" w:eastAsia="Arial" w:hAnsi="Arial"/>
          <w:sz w:val="18"/>
          <w:szCs w:val="18"/>
          <w:color w:val="auto"/>
        </w:rPr>
      </w:pPr>
    </w:p>
    <w:p>
      <w:pPr>
        <w:ind w:left="1140" w:hanging="438"/>
        <w:spacing w:after="0" w:line="255"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pursuant to a bona fide third party pursuant to a tender or exchange offer for securities of the Company or other transaction, including, without limitation, a merger, consolidation or other business combination, involving a change of control of the Company that, in each case, has been approved by the Company’s board of directors, provided that any securities subject to the lock-up restrictions that are not so transferred remain subject to the lock-up restrictions;</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shares transferred to us upon death, disability or termination of employment;</w:t>
      </w:r>
    </w:p>
    <w:p>
      <w:pPr>
        <w:spacing w:after="0" w:line="127" w:lineRule="exact"/>
        <w:rPr>
          <w:rFonts w:ascii="Arial" w:cs="Arial" w:eastAsia="Arial" w:hAnsi="Arial"/>
          <w:sz w:val="18"/>
          <w:szCs w:val="18"/>
          <w:color w:val="auto"/>
        </w:rPr>
      </w:pPr>
    </w:p>
    <w:p>
      <w:pPr>
        <w:jc w:val="both"/>
        <w:ind w:left="1140" w:right="500" w:hanging="438"/>
        <w:spacing w:after="0" w:line="255"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grants of awards or any securities pursuant to the terms of an employee equity-based compensation plan, incentive plan, stock plan, dividend reinvestment plan or otherwise in any equity compensation arrangements in effect on the date hereof and described herein; provided that each newly appointed director or executive officer that is a recipient executes a lock-up agreement with respect to the remaining portion of the applicable restricted period;</w:t>
      </w:r>
    </w:p>
    <w:p>
      <w:pPr>
        <w:spacing w:after="0" w:line="96" w:lineRule="exact"/>
        <w:rPr>
          <w:rFonts w:ascii="Arial" w:cs="Arial" w:eastAsia="Arial" w:hAnsi="Arial"/>
          <w:sz w:val="18"/>
          <w:szCs w:val="18"/>
          <w:color w:val="auto"/>
        </w:rPr>
      </w:pPr>
    </w:p>
    <w:p>
      <w:pPr>
        <w:ind w:left="1140" w:right="40" w:hanging="438"/>
        <w:spacing w:after="0" w:line="281" w:lineRule="auto"/>
        <w:tabs>
          <w:tab w:leader="none" w:pos="11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transfers of shares or other securities upon a vesting or settlement event or upon the exercise of options to purchase securities on a “cashless” or “net exercise” basis to the extent permitted by the instruments representing such options so long as such securities or options were granted under plans described in this prospectus and certain other conditions are met;</w:t>
      </w:r>
    </w:p>
    <w:p>
      <w:pPr>
        <w:spacing w:after="0" w:line="75" w:lineRule="exact"/>
        <w:rPr>
          <w:rFonts w:ascii="Arial" w:cs="Arial" w:eastAsia="Arial" w:hAnsi="Arial"/>
          <w:sz w:val="17"/>
          <w:szCs w:val="17"/>
          <w:color w:val="auto"/>
        </w:rPr>
      </w:pPr>
    </w:p>
    <w:p>
      <w:pPr>
        <w:ind w:left="1140" w:right="280" w:hanging="438"/>
        <w:spacing w:after="0" w:line="27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of shares to us in connection with the repurchase of shares or other securities granted under any stock incentive plan, stock purchase plan or other equity award plan descried in this prospectus,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40"/>
          </w:cols>
          <w:pgMar w:left="320" w:top="456" w:right="5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provided that the underlying shares or other securities shall continue to be subject to the lock-up restrictions;</w:t>
      </w:r>
    </w:p>
    <w:p>
      <w:pPr>
        <w:spacing w:after="0" w:line="127" w:lineRule="exact"/>
        <w:rPr>
          <w:sz w:val="20"/>
          <w:szCs w:val="20"/>
          <w:color w:val="auto"/>
        </w:rPr>
      </w:pPr>
    </w:p>
    <w:p>
      <w:pPr>
        <w:ind w:left="1140" w:right="60" w:hanging="438"/>
        <w:spacing w:after="0" w:line="275" w:lineRule="auto"/>
        <w:tabs>
          <w:tab w:leader="none" w:pos="11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transfers to another corporation, partnership, limited liability company, trust or other business entity that is an affiliate of the holder, or to any investment fund or other entity controlled or managed by the holder or its affiliates, in each case without consideration, or as part of a distribution, transfer or disposition without consideration by the holder to its stockholders, partners, members, beneficiaries or other equity holders; provided, however, that the transferee execute executes a lock-up agreement;</w:t>
      </w:r>
    </w:p>
    <w:p>
      <w:pPr>
        <w:spacing w:after="0" w:line="80" w:lineRule="exact"/>
        <w:rPr>
          <w:rFonts w:ascii="Arial" w:cs="Arial" w:eastAsia="Arial" w:hAnsi="Arial"/>
          <w:sz w:val="17"/>
          <w:szCs w:val="17"/>
          <w:color w:val="auto"/>
        </w:rPr>
      </w:pPr>
    </w:p>
    <w:p>
      <w:pPr>
        <w:ind w:left="1140" w:right="80" w:hanging="438"/>
        <w:spacing w:after="0" w:line="271"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any plan in effect on the date hereof and described herein or any assumed benefit plan contemplated below;</w:t>
      </w:r>
    </w:p>
    <w:p>
      <w:pPr>
        <w:spacing w:after="0" w:line="80" w:lineRule="exact"/>
        <w:rPr>
          <w:rFonts w:ascii="Arial" w:cs="Arial" w:eastAsia="Arial" w:hAnsi="Arial"/>
          <w:sz w:val="18"/>
          <w:szCs w:val="18"/>
          <w:color w:val="auto"/>
        </w:rPr>
      </w:pPr>
    </w:p>
    <w:p>
      <w:pPr>
        <w:ind w:left="1140" w:right="120" w:hanging="438"/>
        <w:spacing w:after="0" w:line="253"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applicable restricted period and (ii) to the extent a public announcement or filing under the Exchange Act, if any, is required of or voluntarily made by the Company regarding the establishment or amendment of such plan, such announcement or filing shall include a statement to the effect that no transfer of common stock may be made; or</w:t>
      </w:r>
    </w:p>
    <w:p>
      <w:pPr>
        <w:spacing w:after="0" w:line="99" w:lineRule="exact"/>
        <w:rPr>
          <w:rFonts w:ascii="Arial" w:cs="Arial" w:eastAsia="Arial" w:hAnsi="Arial"/>
          <w:sz w:val="18"/>
          <w:szCs w:val="18"/>
          <w:color w:val="auto"/>
        </w:rPr>
      </w:pPr>
    </w:p>
    <w:p>
      <w:pPr>
        <w:ind w:left="1140" w:right="20" w:hanging="438"/>
        <w:spacing w:after="0" w:line="255"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issuance by the Company of up to 5% of the outstanding shares of Class A common stock in connection with the acquisition of the assets of, or a majority or controlling portion of the equity of, or a joint venture with another entity in connection with its acquisition by the Company or any of its subsidiaries of such entity, provided that the recipient executes a lock-up agreement with respect to the remaining portion of the applicable restricted period.</w:t>
      </w:r>
    </w:p>
    <w:p>
      <w:pPr>
        <w:spacing w:after="0" w:line="190"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two of Goldman Sachs &amp; Co. LLC, BofA Securities, Inc. and Morgan Stanley &amp; Co. LLC, in their sole discretion as representatives, may release the common stock and other securities subject to the lock up agreements described above in whole or in part at any time. In certain circumstances, the release of shares of common stock from the lock-up restrictions described above will trigger a pro rata release of shares of common stock held by certain other holders.</w:t>
      </w:r>
    </w:p>
    <w:p>
      <w:pPr>
        <w:spacing w:after="0" w:line="190"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Prior to the offering, there has been no public market for the shares of Class A common stock. The initial public offering price has been negotiated among us and the representatives. Among the factors to be considered in determining the initial public offering price of the shares of Class A common stock, in addition to prevailing market conditions, will be our historical performance, estimates our business potential and earnings prospects, an assessment of our management and the consideration of the above factors in relation to market valuation of companies in related businesses.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been approved to list our Class A common stock on The Nasdaq Global Select Market under the symbol “GOCO.”</w:t>
      </w:r>
    </w:p>
    <w:p>
      <w:pPr>
        <w:spacing w:after="0" w:line="221"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of Class A common stock than they are required to purchase in the offering, and a short position represents the amount of such sales that have not been covered by subsequent purchases. A “covered short position” is a short position that is not greater than the amount of additional shares of Class A common stock for which the underwriters’ option described above may be exercised. The underwriters may cover any covered short position by either exercising their option to purchase additional shares of Class A common stock or purchasing shares of Class A common stock in the open market. In determining the source of shares of Class A common stock to cover the covered short position, the underwriters will consider, among other things, the price of shares of Class A common stock available for purchase in the open market as compared to the price at which they may purchase additional shares of Class A common stock pursuant to the option described above. “Naked” short sales are any short sales that create a short position greater than the amount of additional shares of Class A common stock for which the option described above may be exercised. The underwriters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80"/>
          </w:cols>
          <w:pgMar w:left="320" w:top="456" w:right="4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must cover any such naked short position by purchasing shares of Class A common stock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90"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of Class A common stock sold by or for the account of such underwriter in stabilizing or short covering transactions.</w:t>
      </w:r>
    </w:p>
    <w:p>
      <w:pPr>
        <w:spacing w:after="0" w:line="186" w:lineRule="exact"/>
        <w:rPr>
          <w:sz w:val="20"/>
          <w:szCs w:val="20"/>
          <w:color w:val="auto"/>
        </w:rPr>
      </w:pPr>
    </w:p>
    <w:p>
      <w:pPr>
        <w:ind w:left="160" w:right="120"/>
        <w:spacing w:after="0" w:line="29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Reserved Share Program</w:t>
      </w:r>
    </w:p>
    <w:p>
      <w:pPr>
        <w:spacing w:after="0" w:line="114"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At our request, an affiliate of BofA Securities, Inc., a participating underwriter, has reserved for sale, at the initial public offering price, up to 5% of the Class A common stock offered by this prospectus for sale to certain of our directors, officers and employees through a reserved share program, or Reserved Share Program. If these persons purchase reserved shares of Class A common stock,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Any shares sold in the Reserved Share Program to a director or executive officer who has entered into a lock-up agreement shall be subject to the provisions of such lock-up agreement.</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(each, a “Relevant State”) who are “qualified investors” within the meaning of Article 2(e) of the Prospectus Regulation. This prospectus has been prepared on the basis that any offer of shares of Class A common stock in any Relevant State will be made pursuant to an exemption under the Prospectus Regulation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the underwriters to publish a prospectus pursuant to Article 3 of the Prospectus Regulation in relation to such offer. Neither us nor the underwriters have authorized, nor do they authorize, the making of any offer of shares of Class A common stock in circumstances in which an obligation arises for us or the underwriters to publish a prospectus for such offer.</w:t>
      </w:r>
    </w:p>
    <w:p>
      <w:pPr>
        <w:spacing w:after="0" w:line="167"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In relation to each Relevant State, no offer of shares of Class A common stock which are the subject of the offering contemplated by this prospectus to the public may be made in that Relevant State other than:</w:t>
      </w:r>
    </w:p>
    <w:p>
      <w:pPr>
        <w:spacing w:after="0" w:line="81" w:lineRule="exact"/>
        <w:rPr>
          <w:sz w:val="20"/>
          <w:szCs w:val="20"/>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27" w:lineRule="exact"/>
        <w:rPr>
          <w:rFonts w:ascii="Arial" w:cs="Arial" w:eastAsia="Arial" w:hAnsi="Arial"/>
          <w:sz w:val="18"/>
          <w:szCs w:val="18"/>
          <w:color w:val="auto"/>
        </w:rPr>
      </w:pPr>
    </w:p>
    <w:p>
      <w:pPr>
        <w:ind w:left="1140" w:right="120" w:hanging="545"/>
        <w:spacing w:after="0" w:line="271"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1"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provided that no such offer of shares of Class A common stock shall require us or any representative to publish a prospectus pursuant to Article 3 of the Prospectus Regulation or supplement a prospectus pursuant to Article 23 of the Prospectus Regulation.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80"/>
          </w:cols>
          <w:pgMar w:left="320" w:top="456"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United Kingdom</w:t>
      </w:r>
    </w:p>
    <w:p>
      <w:pPr>
        <w:spacing w:after="0" w:line="114"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Financial Services and Markets Act 2000 (the “FSMA”)) in connection with the issue or sale of the shares of Class A common stock may only be communicated or caused to be communicated in circumstances in which Section 21(1) of the FSMA does not apply to us.</w:t>
      </w:r>
    </w:p>
    <w:p>
      <w:pPr>
        <w:spacing w:after="0" w:line="186"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of Class A common stock in, from or otherwise involving the United Kingdom.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Canada</w:t>
      </w:r>
    </w:p>
    <w:p>
      <w:pPr>
        <w:spacing w:after="0" w:line="114"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9" w:lineRule="exact"/>
        <w:rPr>
          <w:sz w:val="20"/>
          <w:szCs w:val="20"/>
          <w:color w:val="auto"/>
        </w:rPr>
      </w:pPr>
    </w:p>
    <w:p>
      <w:pPr>
        <w:ind w:left="160" w:right="260"/>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9"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Hong Kong</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shares of Class A common stock have not been and will not be offered or sold in Hong Kong by means of any document other than (i) to “professional investors” within the meaning of the Securities and Futures Ordinance of Hong Kong (Cap. 571, Laws of Hong Kong) (the “SFO”) and any rules made thereunder, or (ii) in other circumstances which do not result in the document being a “prospectus” within the meaning of the Companies (Winding Up and Miscellaneous Provisions) Ordinance of Hong Kong (Cap. 32, Laws of Hong</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60"/>
          </w:cols>
          <w:pgMar w:left="320" w:top="456" w:right="5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Kong) (the “C(WUMP)O”) or which do not constitute an offer to the public within the meaning of the C(WUMP)O; and no advertisement, invitation or document relating to the shares of Class A common stock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SFO and any rules made thereunder.</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Singapore</w:t>
      </w:r>
    </w:p>
    <w:p>
      <w:pPr>
        <w:spacing w:after="0" w:line="11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(each as defined in Section 2(1) of the SFA) of that corporation shall not be transferable for 6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or securities-based derivatives pursuant to Section 275(1A) of the SFA, (3) where no consideration is or will be given for the transfer, (4) where the transfer is by operation of law, (5) as specified in Section 276(7) of the SFA, or (6) as specified in Regulation 37A of the Securities and Futures (Offers of Investments) (Shares and Securities-based Derivatives Contracts) Regulations 2018 of Singapore (“Regulation 37A”).</w:t>
      </w:r>
    </w:p>
    <w:p>
      <w:pPr>
        <w:spacing w:after="0" w:line="183"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securities-based derivatives or other assets), (3) where no consideration is or will be given for the transfer, (4) where the transfer is by operation of law, (5) as specified in Section 276(7) of the SFA, or (6) as specified in Regulation 37A.</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Japan</w:t>
      </w:r>
    </w:p>
    <w:p>
      <w:pPr>
        <w:spacing w:after="0" w:line="114"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shares of Class A common stock have not been and will not be registered under the Financial Instruments and Exchange Act of Japan (Act No. 25 of 1948, as amended), or the FIEA. The shares of Class A common stock</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40"/>
          </w:cols>
          <w:pgMar w:left="320" w:top="456" w:right="5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have not been and will not be offered or sold, directly or indirectly, in Japan or to or for the account or benefit of any resident of Japan (including any person resident in Japan or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the FIEA and otherwise in compliance with any relevant laws and regulations of Japan.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Switzerland</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94" w:lineRule="exact"/>
        <w:rPr>
          <w:sz w:val="20"/>
          <w:szCs w:val="20"/>
          <w:color w:val="auto"/>
        </w:rPr>
      </w:pPr>
    </w:p>
    <w:p>
      <w:pPr>
        <w:ind w:left="160" w:right="160"/>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4"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Australia</w:t>
      </w:r>
    </w:p>
    <w:p>
      <w:pPr>
        <w:spacing w:after="0" w:line="114"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80"/>
          </w:cols>
          <w:pgMar w:left="320" w:top="456"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0"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We estimate that our share of the total expenses of the offering, excluding the underwriting discount, will be approximately $11,200,000.00. We have agreed to reimburse the underwriters for expenses relating to clearance of this offering with the Financial Industry Regulatory Authority of up to $35,000.</w:t>
      </w:r>
    </w:p>
    <w:p>
      <w:pPr>
        <w:spacing w:after="0" w:line="186"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We and GoHealth Holdings, LLC have agreed to indemnify the several underwriters against certain liabilities, including liabilities under the Securities Act.</w:t>
      </w:r>
    </w:p>
    <w:p>
      <w:pPr>
        <w:spacing w:after="0" w:line="17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3"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040"/>
          </w:cols>
          <w:pgMar w:left="320" w:top="456" w:right="5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New York, New York. Sidley Austin LLP, New York, New York, has acted as counsel for the underwriters in connection with certain legal matters related to this offering.</w:t>
      </w: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consolidated financial statements of GoHealth Holdings, LLC and its subsidiaries at December 31, 2019 (Successor period) and 2018 (Predecessor period), and for the period from September 13, 2019 to December 31, 2019 (Successor period), the period from January 1, 2019 to September 12, 2019 and the year ended December 31, 2018 (Predecessor period),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financial statement of GoHealth, Inc. as of March 27, 2020, appearing in this prospectus and registration statement has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97"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 xml:space="preserve">Upon the closing of this offering, we will be required to file periodic reports, proxy statements, and other information with the SEC pursuant to the Exchange Act. The SEC also maintains an internet website that contains reports, proxy statements and other information about registrants, like us, that file electronically with the SEC. The address of that 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also maintain a website at </w:t>
      </w:r>
      <w:r>
        <w:rPr>
          <w:rFonts w:ascii="Arial" w:cs="Arial" w:eastAsia="Arial" w:hAnsi="Arial"/>
          <w:sz w:val="16"/>
          <w:szCs w:val="16"/>
          <w:i w:val="1"/>
          <w:iCs w:val="1"/>
          <w:color w:val="auto"/>
        </w:rPr>
        <w:t>www.gohealth.com</w:t>
      </w:r>
      <w:r>
        <w:rPr>
          <w:rFonts w:ascii="Arial" w:cs="Arial" w:eastAsia="Arial" w:hAnsi="Arial"/>
          <w:sz w:val="16"/>
          <w:szCs w:val="16"/>
          <w:color w:val="auto"/>
        </w:rPr>
        <w:t>, through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00"/>
          </w:cols>
          <w:pgMar w:left="320" w:top="456" w:right="5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460" w:type="dxa"/>
            <w:vAlign w:val="bottom"/>
            <w:gridSpan w:val="8"/>
          </w:tcPr>
          <w:p>
            <w:pPr>
              <w:spacing w:after="0"/>
              <w:rPr>
                <w:sz w:val="20"/>
                <w:szCs w:val="20"/>
                <w:color w:val="auto"/>
              </w:rPr>
            </w:pPr>
            <w:r>
              <w:rPr>
                <w:rFonts w:ascii="Arial" w:cs="Arial" w:eastAsia="Arial" w:hAnsi="Arial"/>
                <w:sz w:val="14"/>
                <w:szCs w:val="14"/>
                <w:b w:val="1"/>
                <w:bCs w:val="1"/>
                <w:color w:val="auto"/>
              </w:rPr>
              <w:t>Audited Consolidated Financial Statements</w:t>
            </w: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w w:val="95"/>
              </w:rPr>
              <w:t>Page</w:t>
            </w:r>
          </w:p>
        </w:tc>
      </w:tr>
      <w:tr>
        <w:trPr>
          <w:trHeight w:val="173"/>
        </w:trPr>
        <w:tc>
          <w:tcPr>
            <w:tcW w:w="2660" w:type="dxa"/>
            <w:vAlign w:val="bottom"/>
            <w:tcBorders>
              <w:top w:val="single" w:sz="8" w:color="auto"/>
            </w:tcBorders>
            <w:gridSpan w:val="4"/>
          </w:tcPr>
          <w:p>
            <w:pPr>
              <w:spacing w:after="0" w:line="173" w:lineRule="exact"/>
              <w:rPr>
                <w:sz w:val="20"/>
                <w:szCs w:val="20"/>
                <w:color w:val="auto"/>
              </w:rPr>
            </w:pPr>
            <w:r>
              <w:rPr>
                <w:rFonts w:ascii="Arial" w:cs="Arial" w:eastAsia="Arial" w:hAnsi="Arial"/>
                <w:sz w:val="18"/>
                <w:szCs w:val="18"/>
                <w:b w:val="1"/>
                <w:bCs w:val="1"/>
                <w:color w:val="auto"/>
              </w:rPr>
              <w:t>GoHealth, Inc.</w:t>
            </w:r>
          </w:p>
        </w:tc>
        <w:tc>
          <w:tcPr>
            <w:tcW w:w="8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F-1</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Balance sheet as of March 27,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F-2</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Notes to balance sheet</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F-3</w:t>
            </w:r>
          </w:p>
        </w:tc>
      </w:tr>
      <w:tr>
        <w:trPr>
          <w:trHeight w:val="308"/>
        </w:trPr>
        <w:tc>
          <w:tcPr>
            <w:tcW w:w="10460" w:type="dxa"/>
            <w:vAlign w:val="bottom"/>
            <w:gridSpan w:val="8"/>
          </w:tcPr>
          <w:p>
            <w:pPr>
              <w:spacing w:after="0"/>
              <w:rPr>
                <w:sz w:val="20"/>
                <w:szCs w:val="20"/>
                <w:color w:val="auto"/>
              </w:rPr>
            </w:pPr>
            <w:r>
              <w:rPr>
                <w:rFonts w:ascii="Arial" w:cs="Arial" w:eastAsia="Arial" w:hAnsi="Arial"/>
                <w:sz w:val="18"/>
                <w:szCs w:val="18"/>
                <w:b w:val="1"/>
                <w:bCs w:val="1"/>
                <w:color w:val="auto"/>
              </w:rPr>
              <w:t>GoHealth Holdings, LLC and subsidiaries</w:t>
            </w:r>
          </w:p>
        </w:tc>
        <w:tc>
          <w:tcPr>
            <w:tcW w:w="400" w:type="dxa"/>
            <w:vAlign w:val="bottom"/>
          </w:tcPr>
          <w:p>
            <w:pPr>
              <w:spacing w:after="0"/>
              <w:rPr>
                <w:sz w:val="24"/>
                <w:szCs w:val="24"/>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F-4</w:t>
            </w:r>
          </w:p>
        </w:tc>
      </w:tr>
      <w:tr>
        <w:trPr>
          <w:trHeight w:val="214"/>
        </w:trPr>
        <w:tc>
          <w:tcPr>
            <w:tcW w:w="10460" w:type="dxa"/>
            <w:vAlign w:val="bottom"/>
            <w:gridSpan w:val="8"/>
          </w:tcPr>
          <w:p>
            <w:pPr>
              <w:spacing w:after="0"/>
              <w:rPr>
                <w:rFonts w:ascii="Arial" w:cs="Arial" w:eastAsia="Arial" w:hAnsi="Arial"/>
                <w:sz w:val="18"/>
                <w:szCs w:val="18"/>
                <w:u w:val="single" w:color="auto"/>
                <w:color w:val="0000EE"/>
                <w:w w:val="91"/>
              </w:rPr>
            </w:pPr>
            <w:hyperlink w:anchor="page236">
              <w:r>
                <w:rPr>
                  <w:rFonts w:ascii="Arial" w:cs="Arial" w:eastAsia="Arial" w:hAnsi="Arial"/>
                  <w:sz w:val="18"/>
                  <w:szCs w:val="18"/>
                  <w:u w:val="single" w:color="auto"/>
                  <w:color w:val="0000EE"/>
                  <w:w w:val="91"/>
                </w:rPr>
                <w:t>Consolidated statements of income (loss)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F-5</w:t>
            </w:r>
          </w:p>
        </w:tc>
      </w:tr>
      <w:tr>
        <w:trPr>
          <w:trHeight w:val="188"/>
        </w:trPr>
        <w:tc>
          <w:tcPr>
            <w:tcW w:w="9760" w:type="dxa"/>
            <w:vAlign w:val="bottom"/>
            <w:tcBorders>
              <w:bottom w:val="single" w:sz="8" w:color="0000EE"/>
            </w:tcBorders>
            <w:gridSpan w:val="6"/>
          </w:tcPr>
          <w:p>
            <w:pPr>
              <w:spacing w:after="0" w:line="189" w:lineRule="exact"/>
              <w:rPr>
                <w:rFonts w:ascii="Arial" w:cs="Arial" w:eastAsia="Arial" w:hAnsi="Arial"/>
                <w:sz w:val="18"/>
                <w:szCs w:val="18"/>
                <w:color w:val="0000EE"/>
                <w:w w:val="87"/>
              </w:rPr>
            </w:pPr>
            <w:hyperlink w:anchor="page237">
              <w:r>
                <w:rPr>
                  <w:rFonts w:ascii="Arial" w:cs="Arial" w:eastAsia="Arial" w:hAnsi="Arial"/>
                  <w:sz w:val="18"/>
                  <w:szCs w:val="18"/>
                  <w:color w:val="0000EE"/>
                  <w:w w:val="87"/>
                </w:rPr>
                <w:t>Consolidated statements of comprehensive income (loss) for the Successor 2019 Period, the Predecessor 2019 Period and the year ended</w:t>
              </w:r>
            </w:hyperlink>
          </w:p>
        </w:tc>
        <w:tc>
          <w:tcPr>
            <w:tcW w:w="70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180" w:type="dxa"/>
            <w:vAlign w:val="bottom"/>
          </w:tcPr>
          <w:p>
            <w:pPr>
              <w:spacing w:after="0"/>
              <w:rPr>
                <w:sz w:val="16"/>
                <w:szCs w:val="16"/>
                <w:color w:val="auto"/>
              </w:rPr>
            </w:pPr>
          </w:p>
        </w:tc>
        <w:tc>
          <w:tcPr>
            <w:tcW w:w="10280" w:type="dxa"/>
            <w:vAlign w:val="bottom"/>
            <w:gridSpan w:val="7"/>
          </w:tcPr>
          <w:p>
            <w:pPr>
              <w:spacing w:after="0" w:line="194" w:lineRule="exact"/>
              <w:rPr>
                <w:rFonts w:ascii="Arial" w:cs="Arial" w:eastAsia="Arial" w:hAnsi="Arial"/>
                <w:sz w:val="18"/>
                <w:szCs w:val="18"/>
                <w:color w:val="0000EE"/>
              </w:rPr>
            </w:pPr>
            <w:hyperlink w:anchor="page237">
              <w:r>
                <w:rPr>
                  <w:rFonts w:ascii="Arial" w:cs="Arial" w:eastAsia="Arial" w:hAnsi="Arial"/>
                  <w:sz w:val="18"/>
                  <w:szCs w:val="18"/>
                  <w:color w:val="0000EE"/>
                </w:rPr>
                <w:t>December 31, 2018</w:t>
              </w:r>
            </w:hyperlink>
          </w:p>
        </w:tc>
        <w:tc>
          <w:tcPr>
            <w:tcW w:w="400" w:type="dxa"/>
            <w:vAlign w:val="bottom"/>
          </w:tcPr>
          <w:p>
            <w:pPr>
              <w:ind w:left="60"/>
              <w:spacing w:after="0" w:line="194" w:lineRule="exact"/>
              <w:rPr>
                <w:sz w:val="20"/>
                <w:szCs w:val="20"/>
                <w:color w:val="auto"/>
              </w:rPr>
            </w:pPr>
            <w:r>
              <w:rPr>
                <w:rFonts w:ascii="Arial" w:cs="Arial" w:eastAsia="Arial" w:hAnsi="Arial"/>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0"/>
        </w:trPr>
        <w:tc>
          <w:tcPr>
            <w:tcW w:w="10460" w:type="dxa"/>
            <w:vAlign w:val="bottom"/>
            <w:gridSpan w:val="8"/>
          </w:tcPr>
          <w:p>
            <w:pPr>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Consolidated balance sheets as of December 31, 2019 and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F-7</w:t>
            </w:r>
          </w:p>
        </w:tc>
      </w:tr>
      <w:tr>
        <w:trPr>
          <w:trHeight w:val="188"/>
        </w:trPr>
        <w:tc>
          <w:tcPr>
            <w:tcW w:w="10460" w:type="dxa"/>
            <w:vAlign w:val="bottom"/>
            <w:gridSpan w:val="8"/>
          </w:tcPr>
          <w:p>
            <w:pPr>
              <w:spacing w:after="0" w:line="189" w:lineRule="exact"/>
              <w:rPr>
                <w:rFonts w:ascii="Arial" w:cs="Arial" w:eastAsia="Arial" w:hAnsi="Arial"/>
                <w:sz w:val="18"/>
                <w:szCs w:val="18"/>
                <w:color w:val="0000EE"/>
                <w:w w:val="88"/>
              </w:rPr>
            </w:pPr>
            <w:hyperlink w:anchor="page239">
              <w:r>
                <w:rPr>
                  <w:rFonts w:ascii="Arial" w:cs="Arial" w:eastAsia="Arial" w:hAnsi="Arial"/>
                  <w:sz w:val="18"/>
                  <w:szCs w:val="18"/>
                  <w:color w:val="0000EE"/>
                  <w:w w:val="88"/>
                </w:rPr>
                <w:t>Consolidated statements of changes in members’ equity as of Successor 2019 Period, Predecessor 2019 Period and the year ended December 31,</w:t>
              </w:r>
            </w:hyperlink>
          </w:p>
        </w:tc>
        <w:tc>
          <w:tcPr>
            <w:tcW w:w="400" w:type="dxa"/>
            <w:vAlign w:val="bottom"/>
          </w:tcPr>
          <w:p>
            <w:pPr>
              <w:spacing w:after="0"/>
              <w:rPr>
                <w:sz w:val="16"/>
                <w:szCs w:val="16"/>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4"/>
              </w:rPr>
            </w:pPr>
            <w:hyperlink w:anchor="page239">
              <w:r>
                <w:rPr>
                  <w:rFonts w:ascii="Arial" w:cs="Arial" w:eastAsia="Arial" w:hAnsi="Arial"/>
                  <w:sz w:val="18"/>
                  <w:szCs w:val="18"/>
                  <w:color w:val="0000EE"/>
                  <w:w w:val="84"/>
                </w:rPr>
                <w:t>2018</w:t>
              </w:r>
            </w:hyperlink>
          </w:p>
        </w:tc>
        <w:tc>
          <w:tcPr>
            <w:tcW w:w="104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62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ind w:left="60"/>
              <w:spacing w:after="0" w:line="194" w:lineRule="exact"/>
              <w:rPr>
                <w:sz w:val="20"/>
                <w:szCs w:val="20"/>
                <w:color w:val="auto"/>
              </w:rPr>
            </w:pPr>
            <w:r>
              <w:rPr>
                <w:rFonts w:ascii="Arial" w:cs="Arial" w:eastAsia="Arial" w:hAnsi="Arial"/>
                <w:sz w:val="18"/>
                <w:szCs w:val="18"/>
                <w:color w:val="auto"/>
              </w:rPr>
              <w:t>F-8</w:t>
            </w:r>
          </w:p>
        </w:tc>
      </w:tr>
      <w:tr>
        <w:trPr>
          <w:trHeight w:val="220"/>
        </w:trPr>
        <w:tc>
          <w:tcPr>
            <w:tcW w:w="10460" w:type="dxa"/>
            <w:vAlign w:val="bottom"/>
            <w:gridSpan w:val="8"/>
          </w:tcPr>
          <w:p>
            <w:pPr>
              <w:spacing w:after="0"/>
              <w:rPr>
                <w:rFonts w:ascii="Arial" w:cs="Arial" w:eastAsia="Arial" w:hAnsi="Arial"/>
                <w:sz w:val="18"/>
                <w:szCs w:val="18"/>
                <w:u w:val="single" w:color="auto"/>
                <w:color w:val="0000EE"/>
                <w:w w:val="93"/>
              </w:rPr>
            </w:pPr>
            <w:hyperlink w:anchor="page240">
              <w:r>
                <w:rPr>
                  <w:rFonts w:ascii="Arial" w:cs="Arial" w:eastAsia="Arial" w:hAnsi="Arial"/>
                  <w:sz w:val="18"/>
                  <w:szCs w:val="18"/>
                  <w:u w:val="single" w:color="auto"/>
                  <w:color w:val="0000EE"/>
                  <w:w w:val="93"/>
                </w:rPr>
                <w:t>Consolidated statements of cash flows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F-9</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Notes to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F-10</w:t>
            </w:r>
          </w:p>
        </w:tc>
      </w:tr>
      <w:tr>
        <w:trPr>
          <w:trHeight w:val="256"/>
        </w:trPr>
        <w:tc>
          <w:tcPr>
            <w:tcW w:w="10460" w:type="dxa"/>
            <w:vAlign w:val="bottom"/>
            <w:gridSpan w:val="8"/>
          </w:tcPr>
          <w:p>
            <w:pPr>
              <w:spacing w:after="0"/>
              <w:rPr>
                <w:sz w:val="20"/>
                <w:szCs w:val="20"/>
                <w:color w:val="auto"/>
              </w:rPr>
            </w:pPr>
            <w:r>
              <w:rPr>
                <w:rFonts w:ascii="Arial" w:cs="Arial" w:eastAsia="Arial" w:hAnsi="Arial"/>
                <w:sz w:val="14"/>
                <w:szCs w:val="14"/>
                <w:b w:val="1"/>
                <w:bCs w:val="1"/>
                <w:color w:val="auto"/>
              </w:rPr>
              <w:t>Unaudited Condensed Consolidated Financial Statements</w:t>
            </w:r>
          </w:p>
        </w:tc>
        <w:tc>
          <w:tcPr>
            <w:tcW w:w="400" w:type="dxa"/>
            <w:vAlign w:val="bottom"/>
          </w:tcPr>
          <w:p>
            <w:pPr>
              <w:spacing w:after="0"/>
              <w:rPr>
                <w:sz w:val="22"/>
                <w:szCs w:val="22"/>
                <w:color w:val="auto"/>
              </w:rPr>
            </w:pPr>
          </w:p>
        </w:tc>
      </w:tr>
      <w:tr>
        <w:trPr>
          <w:trHeight w:val="193"/>
        </w:trPr>
        <w:tc>
          <w:tcPr>
            <w:tcW w:w="3520" w:type="dxa"/>
            <w:vAlign w:val="bottom"/>
            <w:tcBorders>
              <w:top w:val="single" w:sz="8" w:color="auto"/>
            </w:tcBorders>
            <w:gridSpan w:val="5"/>
          </w:tcPr>
          <w:p>
            <w:pPr>
              <w:spacing w:after="0" w:line="193" w:lineRule="exact"/>
              <w:rPr>
                <w:sz w:val="20"/>
                <w:szCs w:val="20"/>
                <w:color w:val="auto"/>
              </w:rPr>
            </w:pPr>
            <w:r>
              <w:rPr>
                <w:rFonts w:ascii="Arial" w:cs="Arial" w:eastAsia="Arial" w:hAnsi="Arial"/>
                <w:sz w:val="18"/>
                <w:szCs w:val="18"/>
                <w:b w:val="1"/>
                <w:bCs w:val="1"/>
                <w:color w:val="auto"/>
                <w:w w:val="98"/>
              </w:rPr>
              <w:t>GoHealth Holdings, LLC and subsidiaries</w:t>
            </w:r>
          </w:p>
        </w:tc>
        <w:tc>
          <w:tcPr>
            <w:tcW w:w="6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Condensed consolidated statements of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F-42</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4">
              <w:r>
                <w:rPr>
                  <w:rFonts w:ascii="Arial" w:cs="Arial" w:eastAsia="Arial" w:hAnsi="Arial"/>
                  <w:sz w:val="18"/>
                  <w:szCs w:val="18"/>
                  <w:u w:val="single" w:color="auto"/>
                  <w:color w:val="0000EE"/>
                </w:rPr>
                <w:t>Condensed consolidated statements of comprehensive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F-43</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5">
              <w:r>
                <w:rPr>
                  <w:rFonts w:ascii="Arial" w:cs="Arial" w:eastAsia="Arial" w:hAnsi="Arial"/>
                  <w:sz w:val="18"/>
                  <w:szCs w:val="18"/>
                  <w:u w:val="single" w:color="auto"/>
                  <w:color w:val="0000EE"/>
                </w:rPr>
                <w:t>Condensed consolidated balance sheets as of March 31, 2020 and December 31,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6">
              <w:r>
                <w:rPr>
                  <w:rFonts w:ascii="Arial" w:cs="Arial" w:eastAsia="Arial" w:hAnsi="Arial"/>
                  <w:sz w:val="18"/>
                  <w:szCs w:val="18"/>
                  <w:u w:val="single" w:color="auto"/>
                  <w:color w:val="0000EE"/>
                </w:rPr>
                <w:t>Condensed consolidated statements of changes in members’ equity as of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Condensed consolidated statements of cash flows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Notes to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r>
    </w:tbl>
    <w:p>
      <w:pPr>
        <w:sectPr>
          <w:pgSz w:w="11900" w:h="16838" w:orient="portrait"/>
          <w:cols w:equalWidth="0" w:num="1">
            <w:col w:w="11020"/>
          </w:cols>
          <w:pgMar w:left="320" w:top="456" w:right="5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 the Shareholder and Board of Directors of GoHealth, Inc.</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Opinion on the Financial Statement</w:t>
      </w:r>
    </w:p>
    <w:p>
      <w:pPr>
        <w:spacing w:after="0" w:line="114"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We have audited the accompanying balance sheet of GoHealth, Inc. (the “Company”) as of March 27, 2020, and the related notes (collectively referred to as the “financial statement”). In our opinion, the financial statement presents fairly, in all material respects, the financial position of GoHealth, Inc. at March 27, 2020, in conformity with U.S. generally accepted accounting principles.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ectPr>
          <w:pgSz w:w="11900" w:h="16838" w:orient="portrait"/>
          <w:cols w:equalWidth="0" w:num="1">
            <w:col w:w="11060"/>
          </w:cols>
          <w:pgMar w:left="320" w:top="456" w:right="5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92"/>
              </w:rPr>
              <w:t>GoHealth, Inc.</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87"/>
              </w:rPr>
              <w:t>Balance Sheet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9900" w:type="dxa"/>
            <w:vAlign w:val="bottom"/>
          </w:tcPr>
          <w:p>
            <w:pPr>
              <w:jc w:val="center"/>
              <w:ind w:left="931"/>
              <w:spacing w:after="0"/>
              <w:rPr>
                <w:sz w:val="20"/>
                <w:szCs w:val="20"/>
                <w:color w:val="auto"/>
              </w:rPr>
            </w:pPr>
            <w:r>
              <w:rPr>
                <w:rFonts w:ascii="Arial" w:cs="Arial" w:eastAsia="Arial" w:hAnsi="Arial"/>
                <w:sz w:val="18"/>
                <w:szCs w:val="18"/>
                <w:color w:val="auto"/>
                <w:w w:val="90"/>
              </w:rPr>
              <w:t>(dollars in actuals)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7"/>
        </w:trPr>
        <w:tc>
          <w:tcPr>
            <w:tcW w:w="990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27,</w:t>
            </w:r>
          </w:p>
        </w:tc>
      </w:tr>
      <w:tr>
        <w:trPr>
          <w:trHeight w:val="170"/>
        </w:trPr>
        <w:tc>
          <w:tcPr>
            <w:tcW w:w="9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4"/>
        </w:trPr>
        <w:tc>
          <w:tcPr>
            <w:tcW w:w="99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$0.001 par value, 1,000 shares authorized, issued and outstanding</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balance sheet.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Balance Sheet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Nature of Business</w:t>
      </w:r>
    </w:p>
    <w:p>
      <w:pPr>
        <w:spacing w:after="0" w:line="118" w:lineRule="exact"/>
        <w:rPr>
          <w:sz w:val="20"/>
          <w:szCs w:val="20"/>
          <w:color w:val="auto"/>
        </w:rPr>
      </w:pPr>
    </w:p>
    <w:p>
      <w:pPr>
        <w:jc w:val="both"/>
        <w:ind w:left="160" w:right="160"/>
        <w:spacing w:after="0" w:line="255" w:lineRule="auto"/>
        <w:rPr>
          <w:sz w:val="20"/>
          <w:szCs w:val="20"/>
          <w:color w:val="auto"/>
        </w:rPr>
      </w:pPr>
      <w:r>
        <w:rPr>
          <w:rFonts w:ascii="Arial" w:cs="Arial" w:eastAsia="Arial" w:hAnsi="Arial"/>
          <w:sz w:val="18"/>
          <w:szCs w:val="18"/>
          <w:color w:val="auto"/>
        </w:rPr>
        <w:t>GoHealth, Inc. (the “Company”) was incorporated in Delaware on March 27, 2020. Pursuant to a reorganization into a holding company structure, the Company will be a holding company and its principal asset will be a controlling equity interest in GoHealth Holdings, LLC (“GHH, LLC”), formerly known as Blizzard Parent, LLC. As the sole managing member of GHH, LLC, the Company will operate and control all of the business and affairs of GHH, LLC, and through GHH, LLC and its subsidiaries, conduct its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The balance sheet is presented in accordance with accounting principles generally accepted in the United States. Separate statements of income, comprehensive income, changes in stockholder’s equity, and cash flows have not been presented because the Company has not engaged in any activities except in connection with its 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cash as of the balance sheet date was cash on hand held in deposit, and is carried at fair value, which approximates carrying value.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The Company is treated as a subchapter C corporation, and therefore, is subject to both federal and state income taxes. GHH, LLC continues to be recognized as a limited liability company, a pass-through entity for income tax purposes.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Stockholder’s Equity</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March 27, 2020, the Company was authorized to issue 1,000 shares of common stock, $0.001 par value. On March 27, 2020, the Company issued 1,000 shares of common stock for $1, all of which were owned by GHH, LLC.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Subsequent Events</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Company has evaluated subsequent events through May 8, 2020, the date on which the balance sheet was available for issuance, and is not aware of any subsequent events that would require recognition or disclosure in the financial statement.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40"/>
          </w:cols>
          <w:pgMar w:left="320" w:top="456" w:right="5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right="4380"/>
        <w:spacing w:after="0" w:line="374" w:lineRule="auto"/>
        <w:rPr>
          <w:sz w:val="20"/>
          <w:szCs w:val="20"/>
          <w:color w:val="auto"/>
        </w:rPr>
      </w:pPr>
      <w:r>
        <w:rPr>
          <w:rFonts w:ascii="Arial" w:cs="Arial" w:eastAsia="Arial" w:hAnsi="Arial"/>
          <w:sz w:val="18"/>
          <w:szCs w:val="18"/>
          <w:b w:val="1"/>
          <w:bCs w:val="1"/>
          <w:color w:val="auto"/>
        </w:rPr>
        <w:t xml:space="preserve">To the Members and Board of Directors of GoHealth Holdings, LLC and Subsidiaries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We have audited the accompanying consolidated balance sheets of GoHealth Holdings, LLC and subsidiaries (Successor) (the “Company”) as of December 31, 2019 (Successor period) and 2018 (Predecessor period), the related consolidated statements of income (loss), comprehensive income (loss), changes in members’ equity and cash flows for the period from September 13, 2019 to December 31, 2019 (Successor period), the period from January 1, 2019 to September 12, 2019 and the year ended December 31, 2018 (Predecessor period), and the related notes (collectively referred to as the “consolidated financial statements”). In our opinion, the consolidated financial statements present fairly, in all material respects, the financial position of the Company at December 31, 2019 (Successor period) and 2018 (Predecessor period), and the results of its operations and its cash flows for the period from September 13, 2019 to December 31, 2019 (Successor period), the period from January 1, 2019 to September 12, 2019 and the year ended December 31, 2018 (Predecessor period), in conformity with U.S. generally accepted accounting principles.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14" w:lineRule="exact"/>
        <w:rPr>
          <w:sz w:val="20"/>
          <w:szCs w:val="20"/>
          <w:color w:val="auto"/>
        </w:rPr>
      </w:pPr>
    </w:p>
    <w:p>
      <w:pPr>
        <w:ind w:left="160" w:right="380"/>
        <w:spacing w:after="0" w:line="335"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revenue as a result of the full retrospective adoption of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amended.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60"/>
          </w:cols>
          <w:pgMar w:left="320" w:top="456" w:right="5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91"/>
              </w:rPr>
              <w:t>GoHealth Holdings, LLC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89"/>
              </w:rPr>
              <w:t>Consolidated Statements of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tcPr>
          <w:p>
            <w:pPr>
              <w:jc w:val="center"/>
              <w:ind w:left="3751"/>
              <w:spacing w:after="0"/>
              <w:rPr>
                <w:sz w:val="20"/>
                <w:szCs w:val="20"/>
                <w:color w:val="auto"/>
              </w:rPr>
            </w:pPr>
            <w:r>
              <w:rPr>
                <w:rFonts w:ascii="Arial" w:cs="Arial" w:eastAsia="Arial" w:hAnsi="Arial"/>
                <w:sz w:val="18"/>
                <w:szCs w:val="18"/>
                <w:color w:val="auto"/>
                <w:w w:val="89"/>
              </w:rPr>
              <w:t>(dollars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7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1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65,144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284,393</w:t>
            </w: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 attributable to GoHealth Holdings, LLC and Subsidiaries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-4050030</wp:posOffset>
            </wp:positionV>
            <wp:extent cx="6929755" cy="40595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40595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8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3"/>
        <w:spacing w:after="0"/>
        <w:tabs>
          <w:tab w:leader="none" w:pos="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175,834    $  144,378</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55,176</w:t>
      </w:r>
      <w:r>
        <w:rPr>
          <w:rFonts w:ascii="Arial" w:cs="Arial" w:eastAsia="Arial" w:hAnsi="Arial"/>
          <w:sz w:val="16"/>
          <w:szCs w:val="16"/>
          <w:color w:val="auto"/>
        </w:rPr>
        <w:t>81,827</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339"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79,169</w:t>
      </w:r>
      <w:r>
        <w:rPr>
          <w:sz w:val="20"/>
          <w:szCs w:val="20"/>
          <w:color w:val="auto"/>
        </w:rPr>
        <w:tab/>
      </w:r>
      <w:r>
        <w:rPr>
          <w:rFonts w:ascii="Arial" w:cs="Arial" w:eastAsia="Arial" w:hAnsi="Arial"/>
          <w:sz w:val="18"/>
          <w:szCs w:val="18"/>
          <w:color w:val="auto"/>
        </w:rPr>
        <w:t>79,582</w:t>
      </w:r>
    </w:p>
    <w:p>
      <w:pPr>
        <w:spacing w:after="0" w:line="20"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37,769</w:t>
      </w:r>
      <w:r>
        <w:rPr>
          <w:sz w:val="20"/>
          <w:szCs w:val="20"/>
          <w:color w:val="auto"/>
        </w:rPr>
        <w:tab/>
      </w:r>
      <w:r>
        <w:rPr>
          <w:rFonts w:ascii="Arial" w:cs="Arial" w:eastAsia="Arial" w:hAnsi="Arial"/>
          <w:sz w:val="18"/>
          <w:szCs w:val="18"/>
          <w:color w:val="auto"/>
        </w:rPr>
        <w:t>28,129</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49,149</w:t>
      </w:r>
      <w:r>
        <w:rPr>
          <w:sz w:val="20"/>
          <w:szCs w:val="20"/>
          <w:color w:val="auto"/>
        </w:rPr>
        <w:tab/>
      </w:r>
      <w:r>
        <w:rPr>
          <w:rFonts w:ascii="Arial" w:cs="Arial" w:eastAsia="Arial" w:hAnsi="Arial"/>
          <w:sz w:val="18"/>
          <w:szCs w:val="18"/>
          <w:color w:val="auto"/>
        </w:rPr>
        <w:t>46,076</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40,312</w:t>
      </w:r>
      <w:r>
        <w:rPr>
          <w:sz w:val="20"/>
          <w:szCs w:val="20"/>
          <w:color w:val="auto"/>
        </w:rPr>
        <w:tab/>
      </w:r>
      <w:r>
        <w:rPr>
          <w:rFonts w:ascii="Arial" w:cs="Arial" w:eastAsia="Arial" w:hAnsi="Arial"/>
          <w:sz w:val="18"/>
          <w:szCs w:val="18"/>
          <w:color w:val="auto"/>
        </w:rPr>
        <w:t>16,197</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79,219</w:t>
      </w:r>
      <w:r>
        <w:rPr>
          <w:sz w:val="20"/>
          <w:szCs w:val="20"/>
          <w:color w:val="auto"/>
        </w:rPr>
        <w:tab/>
      </w:r>
      <w:r>
        <w:rPr>
          <w:rFonts w:ascii="Arial" w:cs="Arial" w:eastAsia="Arial" w:hAnsi="Arial"/>
          <w:sz w:val="18"/>
          <w:szCs w:val="18"/>
          <w:color w:val="auto"/>
        </w:rPr>
        <w:t>27,458</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72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287,885</w:t>
      </w:r>
      <w:r>
        <w:rPr>
          <w:sz w:val="20"/>
          <w:szCs w:val="20"/>
          <w:color w:val="auto"/>
        </w:rPr>
        <w:tab/>
      </w:r>
      <w:r>
        <w:rPr>
          <w:rFonts w:ascii="Arial" w:cs="Arial" w:eastAsia="Arial" w:hAnsi="Arial"/>
          <w:sz w:val="17"/>
          <w:szCs w:val="17"/>
          <w:color w:val="auto"/>
        </w:rPr>
        <w:t>197,442</w:t>
      </w:r>
    </w:p>
    <w:p>
      <w:pPr>
        <w:spacing w:after="0" w:line="45" w:lineRule="exact"/>
        <w:rPr>
          <w:sz w:val="20"/>
          <w:szCs w:val="20"/>
          <w:color w:val="auto"/>
        </w:rPr>
      </w:pPr>
    </w:p>
    <w:p>
      <w:pPr>
        <w:ind w:left="320"/>
        <w:spacing w:after="0"/>
        <w:tabs>
          <w:tab w:leader="none" w:pos="1500" w:val="left"/>
        </w:tabs>
        <w:rPr>
          <w:sz w:val="20"/>
          <w:szCs w:val="20"/>
          <w:color w:val="auto"/>
        </w:rPr>
      </w:pPr>
      <w:r>
        <w:rPr>
          <w:rFonts w:ascii="Arial" w:cs="Arial" w:eastAsia="Arial" w:hAnsi="Arial"/>
          <w:sz w:val="18"/>
          <w:szCs w:val="18"/>
          <w:color w:val="auto"/>
        </w:rPr>
        <w:t>(56,875)</w:t>
      </w:r>
      <w:r>
        <w:rPr>
          <w:sz w:val="20"/>
          <w:szCs w:val="20"/>
          <w:color w:val="auto"/>
        </w:rPr>
        <w:tab/>
      </w:r>
      <w:r>
        <w:rPr>
          <w:rFonts w:ascii="Arial" w:cs="Arial" w:eastAsia="Arial" w:hAnsi="Arial"/>
          <w:sz w:val="18"/>
          <w:szCs w:val="18"/>
          <w:color w:val="auto"/>
        </w:rPr>
        <w:t>28,763</w:t>
      </w:r>
    </w:p>
    <w:p>
      <w:pPr>
        <w:spacing w:after="0" w:line="11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20" w:lineRule="exact"/>
        <w:rPr>
          <w:sz w:val="20"/>
          <w:szCs w:val="20"/>
          <w:color w:val="auto"/>
        </w:rPr>
      </w:pPr>
    </w:p>
    <w:p>
      <w:pPr>
        <w:ind w:left="1680" w:hanging="1123"/>
        <w:spacing w:after="0"/>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(379)</w:t>
      </w:r>
    </w:p>
    <w:p>
      <w:pPr>
        <w:spacing w:after="0" w:line="32"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(57,129)</w:t>
      </w:r>
      <w:r>
        <w:rPr>
          <w:rFonts w:ascii="Arial" w:cs="Arial" w:eastAsia="Arial" w:hAnsi="Arial"/>
          <w:sz w:val="16"/>
          <w:szCs w:val="16"/>
          <w:color w:val="auto"/>
        </w:rPr>
        <w:t>28,160</w:t>
      </w:r>
    </w:p>
    <w:p>
      <w:pPr>
        <w:spacing w:after="0" w:line="114" w:lineRule="exact"/>
        <w:rPr>
          <w:sz w:val="20"/>
          <w:szCs w:val="20"/>
          <w:color w:val="auto"/>
        </w:rPr>
      </w:pPr>
    </w:p>
    <w:p>
      <w:pPr>
        <w:ind w:left="1840" w:hanging="1201"/>
        <w:spacing w:after="0"/>
        <w:tabs>
          <w:tab w:leader="none" w:pos="1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46</w:t>
      </w:r>
    </w:p>
    <w:p>
      <w:pPr>
        <w:spacing w:after="0" w:line="34"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7"/>
          <w:szCs w:val="17"/>
          <w:color w:val="auto"/>
        </w:rPr>
        <w:t>(57,063)</w:t>
      </w:r>
      <w:r>
        <w:rPr>
          <w:sz w:val="20"/>
          <w:szCs w:val="20"/>
          <w:color w:val="auto"/>
        </w:rPr>
        <w:tab/>
      </w:r>
      <w:r>
        <w:rPr>
          <w:rFonts w:ascii="Arial" w:cs="Arial" w:eastAsia="Arial" w:hAnsi="Arial"/>
          <w:sz w:val="17"/>
          <w:szCs w:val="17"/>
          <w:color w:val="auto"/>
        </w:rPr>
        <w:t>28,114</w:t>
      </w:r>
    </w:p>
    <w:p>
      <w:pPr>
        <w:spacing w:after="0" w:line="121" w:lineRule="exact"/>
        <w:rPr>
          <w:sz w:val="20"/>
          <w:szCs w:val="20"/>
          <w:color w:val="auto"/>
        </w:rPr>
      </w:pPr>
    </w:p>
    <w:p>
      <w:pPr>
        <w:jc w:val="both"/>
        <w:ind w:firstLine="602"/>
        <w:spacing w:after="0" w:line="306"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(57,063</w:t>
      </w:r>
      <w:r>
        <w:rPr>
          <w:rFonts w:ascii="Arial" w:cs="Arial" w:eastAsia="Arial" w:hAnsi="Arial"/>
          <w:sz w:val="18"/>
          <w:szCs w:val="18"/>
          <w:color w:val="auto"/>
        </w:rPr>
        <w:t xml:space="preserve">) </w:t>
      </w:r>
      <w:r>
        <w:rPr>
          <w:rFonts w:ascii="Arial" w:cs="Arial" w:eastAsia="Arial" w:hAnsi="Arial"/>
          <w:sz w:val="18"/>
          <w:szCs w:val="18"/>
          <w:u w:val="single" w:color="auto"/>
          <w:color w:val="auto"/>
        </w:rPr>
        <w:t>$ 28,117</w:t>
      </w:r>
    </w:p>
    <w:p>
      <w:pPr>
        <w:sectPr>
          <w:pgSz w:w="11900" w:h="16838" w:orient="portrait"/>
          <w:cols w:equalWidth="0" w:num="2">
            <w:col w:w="8240" w:space="720"/>
            <w:col w:w="2080"/>
          </w:cols>
          <w:pgMar w:left="320" w:top="456" w:right="5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4"/>
              </w:rPr>
              <w:t>Successor</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58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CCEEFF"/>
            </w:tcBorders>
          </w:tcPr>
          <w:p>
            <w:pPr>
              <w:spacing w:after="0"/>
              <w:rPr>
                <w:sz w:val="14"/>
                <w:szCs w:val="14"/>
                <w:color w:val="auto"/>
              </w:rPr>
            </w:pPr>
          </w:p>
        </w:tc>
        <w:tc>
          <w:tcPr>
            <w:tcW w:w="4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Less: Net comprehensive loss attributable to non-controlling interests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Net comprehensive income (loss) attributable to GoHealth Holdings, LLC and</w:t>
            </w: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15,978</w:t>
            </w:r>
          </w:p>
        </w:tc>
        <w:tc>
          <w:tcPr>
            <w:tcW w:w="5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52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12,276</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$904 in 2019 and $835 in 2018</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24,461</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9,855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101,078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143,769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54,028</w:t>
            </w: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281,853</w:t>
            </w: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76,842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6,339</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782,783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13,582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22,568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56,003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18,336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113,065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47,984</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97,489</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288,233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242,700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629,086</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Redeemable Class B units – $10.00 par value; 4,930,000 issued and outstanding as of December 31, 2018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246,000</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Preferred units – $1.00 par value; 541,263,042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547,542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Class A Common units – $1.00 par value; 237,938,682 units authorized, issued and outstanding at December 31, 2019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218,911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w w:val="94"/>
              </w:rPr>
              <w:t>Class B Common units – $1.00 par value; 102,061,318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93,708</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Preferred Earnout Units – no par value; none authorized, issued, and outstanding at December 31, 2019</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Profits Units – no par value; 97,918,116 units authorized; 78,398,133 units issued; and none outstanding as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A units – $10.00 par value; 8,365,000 units issued and outstanding as of December 31, 2018</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Class B units – $10.00 par value; 220,000 units issued and outstanding as of December 31, 2018</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(17)</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Retained earnings (deficit)</w:t>
            </w:r>
          </w:p>
        </w:tc>
        <w:tc>
          <w:tcPr>
            <w:tcW w:w="10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520" w:type="dxa"/>
            <w:vAlign w:val="bottom"/>
            <w:gridSpan w:val="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 (deficit)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860,144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(186,653)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vMerge w:val="restart"/>
          </w:tcPr>
          <w:p>
            <w:pPr>
              <w:jc w:val="right"/>
              <w:ind w:right="400"/>
              <w:spacing w:after="0"/>
              <w:rPr>
                <w:sz w:val="20"/>
                <w:szCs w:val="20"/>
                <w:color w:val="auto"/>
              </w:rPr>
            </w:pPr>
            <w:r>
              <w:rPr>
                <w:rFonts w:ascii="Arial" w:cs="Arial" w:eastAsia="Arial" w:hAnsi="Arial"/>
                <w:sz w:val="12"/>
                <w:szCs w:val="12"/>
                <w:b w:val="1"/>
                <w:bCs w:val="1"/>
                <w:color w:val="auto"/>
              </w:rPr>
              <w:t>Class A</w:t>
            </w:r>
          </w:p>
        </w:tc>
        <w:tc>
          <w:tcPr>
            <w:tcW w:w="1080" w:type="dxa"/>
            <w:vAlign w:val="bottom"/>
            <w:gridSpan w:val="5"/>
            <w:vMerge w:val="restart"/>
          </w:tcPr>
          <w:p>
            <w:pPr>
              <w:ind w:left="300"/>
              <w:spacing w:after="0"/>
              <w:rPr>
                <w:sz w:val="20"/>
                <w:szCs w:val="20"/>
                <w:color w:val="auto"/>
              </w:rPr>
            </w:pPr>
            <w:r>
              <w:rPr>
                <w:rFonts w:ascii="Arial" w:cs="Arial" w:eastAsia="Arial" w:hAnsi="Arial"/>
                <w:sz w:val="12"/>
                <w:szCs w:val="12"/>
                <w:b w:val="1"/>
                <w:bCs w:val="1"/>
                <w:color w:val="auto"/>
              </w:rPr>
              <w:t>Class B</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10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Other</w:t>
            </w:r>
          </w:p>
        </w:tc>
        <w:tc>
          <w:tcPr>
            <w:tcW w:w="62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160" w:type="dxa"/>
            <w:vAlign w:val="bottom"/>
            <w:gridSpan w:val="5"/>
            <w:vMerge w:val="restart"/>
          </w:tcPr>
          <w:p>
            <w:pPr>
              <w:jc w:val="right"/>
              <w:ind w:right="240"/>
              <w:spacing w:after="0"/>
              <w:rPr>
                <w:sz w:val="20"/>
                <w:szCs w:val="20"/>
                <w:color w:val="auto"/>
              </w:rPr>
            </w:pPr>
            <w:r>
              <w:rPr>
                <w:rFonts w:ascii="Arial" w:cs="Arial" w:eastAsia="Arial" w:hAnsi="Arial"/>
                <w:sz w:val="12"/>
                <w:szCs w:val="12"/>
                <w:b w:val="1"/>
                <w:bCs w:val="1"/>
                <w:color w:val="auto"/>
              </w:rPr>
              <w:t>Preferred Units</w:t>
            </w:r>
          </w:p>
        </w:tc>
        <w:tc>
          <w:tcPr>
            <w:tcW w:w="112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rPr>
              <w:t>Common Units</w:t>
            </w:r>
          </w:p>
        </w:tc>
        <w:tc>
          <w:tcPr>
            <w:tcW w:w="10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Common Units</w:t>
            </w:r>
          </w:p>
        </w:tc>
        <w:tc>
          <w:tcPr>
            <w:tcW w:w="1060" w:type="dxa"/>
            <w:vAlign w:val="bottom"/>
            <w:gridSpan w:val="6"/>
            <w:vMerge w:val="restart"/>
          </w:tcPr>
          <w:p>
            <w:pPr>
              <w:jc w:val="right"/>
              <w:ind w:right="220"/>
              <w:spacing w:after="0"/>
              <w:rPr>
                <w:sz w:val="20"/>
                <w:szCs w:val="20"/>
                <w:color w:val="auto"/>
              </w:rPr>
            </w:pPr>
            <w:r>
              <w:rPr>
                <w:rFonts w:ascii="Arial" w:cs="Arial" w:eastAsia="Arial" w:hAnsi="Arial"/>
                <w:sz w:val="12"/>
                <w:szCs w:val="12"/>
                <w:b w:val="1"/>
                <w:bCs w:val="1"/>
                <w:color w:val="auto"/>
              </w:rPr>
              <w:t>Class A Units</w:t>
            </w:r>
          </w:p>
        </w:tc>
        <w:tc>
          <w:tcPr>
            <w:tcW w:w="1000" w:type="dxa"/>
            <w:vAlign w:val="bottom"/>
            <w:gridSpan w:val="6"/>
            <w:vMerge w:val="restart"/>
          </w:tcPr>
          <w:p>
            <w:pPr>
              <w:jc w:val="right"/>
              <w:ind w:right="200"/>
              <w:spacing w:after="0"/>
              <w:rPr>
                <w:sz w:val="20"/>
                <w:szCs w:val="20"/>
                <w:color w:val="auto"/>
              </w:rPr>
            </w:pPr>
            <w:r>
              <w:rPr>
                <w:rFonts w:ascii="Arial" w:cs="Arial" w:eastAsia="Arial" w:hAnsi="Arial"/>
                <w:sz w:val="12"/>
                <w:szCs w:val="12"/>
                <w:b w:val="1"/>
                <w:bCs w:val="1"/>
                <w:color w:val="auto"/>
              </w:rPr>
              <w:t>Class B Units</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120" w:type="dxa"/>
            <w:vAlign w:val="bottom"/>
            <w:gridSpan w:val="5"/>
            <w:vMerge w:val="continue"/>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1060" w:type="dxa"/>
            <w:vAlign w:val="bottom"/>
            <w:gridSpan w:val="6"/>
            <w:vMerge w:val="continue"/>
          </w:tcPr>
          <w:p>
            <w:pPr>
              <w:spacing w:after="0"/>
              <w:rPr>
                <w:sz w:val="7"/>
                <w:szCs w:val="7"/>
                <w:color w:val="auto"/>
              </w:rPr>
            </w:pPr>
          </w:p>
        </w:tc>
        <w:tc>
          <w:tcPr>
            <w:tcW w:w="1000" w:type="dxa"/>
            <w:vAlign w:val="bottom"/>
            <w:gridSpan w:val="6"/>
            <w:vMerge w:val="continue"/>
          </w:tcPr>
          <w:p>
            <w:pPr>
              <w:spacing w:after="0"/>
              <w:rPr>
                <w:sz w:val="7"/>
                <w:szCs w:val="7"/>
                <w:color w:val="auto"/>
              </w:rPr>
            </w:pPr>
          </w:p>
        </w:tc>
        <w:tc>
          <w:tcPr>
            <w:tcW w:w="2660" w:type="dxa"/>
            <w:vAlign w:val="bottom"/>
            <w:gridSpan w:val="11"/>
            <w:vMerge w:val="restart"/>
          </w:tcPr>
          <w:p>
            <w:pPr>
              <w:spacing w:after="0" w:line="134" w:lineRule="exact"/>
              <w:rPr>
                <w:sz w:val="20"/>
                <w:szCs w:val="20"/>
                <w:color w:val="auto"/>
              </w:rPr>
            </w:pPr>
            <w:r>
              <w:rPr>
                <w:rFonts w:ascii="Arial" w:cs="Arial" w:eastAsia="Arial" w:hAnsi="Arial"/>
                <w:sz w:val="12"/>
                <w:szCs w:val="12"/>
                <w:b w:val="1"/>
                <w:bCs w:val="1"/>
                <w:color w:val="auto"/>
              </w:rPr>
              <w:t>Earnings   Non-Controlling  Comprehensive</w:t>
            </w:r>
          </w:p>
        </w:tc>
        <w:tc>
          <w:tcPr>
            <w:tcW w:w="80" w:type="dxa"/>
            <w:vAlign w:val="bottom"/>
          </w:tcPr>
          <w:p>
            <w:pPr>
              <w:spacing w:after="0"/>
              <w:rPr>
                <w:sz w:val="7"/>
                <w:szCs w:val="7"/>
                <w:color w:val="auto"/>
              </w:rPr>
            </w:pPr>
          </w:p>
        </w:tc>
        <w:tc>
          <w:tcPr>
            <w:tcW w:w="540" w:type="dxa"/>
            <w:vAlign w:val="bottom"/>
            <w:gridSpan w:val="2"/>
            <w:vMerge w:val="restart"/>
          </w:tcPr>
          <w:p>
            <w:pPr>
              <w:jc w:val="right"/>
              <w:ind w:right="180"/>
              <w:spacing w:after="0" w:line="134"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gridSpan w:val="11"/>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3"/>
              </w:rPr>
              <w:t>Units</w:t>
            </w: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Interests</w:t>
            </w:r>
          </w:p>
        </w:tc>
        <w:tc>
          <w:tcPr>
            <w:tcW w:w="6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(Loss) Income</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Predecessor:</w:t>
            </w: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January 1,2018, before the</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rPr>
                <w:sz w:val="20"/>
                <w:szCs w:val="20"/>
                <w:color w:val="auto"/>
              </w:rPr>
            </w:pPr>
            <w:r>
              <w:rPr>
                <w:rFonts w:ascii="Arial" w:cs="Arial" w:eastAsia="Arial" w:hAnsi="Arial"/>
                <w:sz w:val="12"/>
                <w:szCs w:val="12"/>
                <w:color w:val="auto"/>
              </w:rPr>
              <w:t>606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(49,238)</w:t>
            </w:r>
          </w:p>
        </w:tc>
        <w:tc>
          <w:tcPr>
            <w:tcW w:w="200" w:type="dxa"/>
            <w:vAlign w:val="bottom"/>
            <w:gridSpan w:val="2"/>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(48,787)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Cumulative effect of adoption of</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ASC 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vMerge w:val="restart"/>
          </w:tcPr>
          <w:p>
            <w:pPr>
              <w:spacing w:after="0"/>
              <w:rPr>
                <w:sz w:val="3"/>
                <w:szCs w:val="3"/>
                <w:color w:val="auto"/>
              </w:rPr>
            </w:pPr>
          </w:p>
        </w:tc>
        <w:tc>
          <w:tcPr>
            <w:tcW w:w="2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2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Balance at January 1, 2018, after the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8,365</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(20,631)</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(20,180)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Reclassification of Redeemable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Class B to Class B Units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2,200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Member distributions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Acquisition of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Net income (loss)</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28,114</w:t>
            </w:r>
          </w:p>
        </w:tc>
        <w:tc>
          <w:tcPr>
            <w:tcW w:w="0" w:type="dxa"/>
            <w:vAlign w:val="bottom"/>
          </w:tcPr>
          <w:p>
            <w:pPr>
              <w:spacing w:after="0"/>
              <w:rPr>
                <w:sz w:val="1"/>
                <w:szCs w:val="1"/>
                <w:color w:val="auto"/>
              </w:rPr>
            </w:pPr>
          </w:p>
        </w:tc>
      </w:tr>
      <w:tr>
        <w:trPr>
          <w:trHeight w:val="15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December 31, 2018</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(189,102)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(186,653)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Conversion of Redeemable Class B</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360"/>
              <w:spacing w:after="0" w:line="134" w:lineRule="exact"/>
              <w:rPr>
                <w:sz w:val="20"/>
                <w:szCs w:val="20"/>
                <w:color w:val="auto"/>
              </w:rPr>
            </w:pPr>
            <w:r>
              <w:rPr>
                <w:rFonts w:ascii="Arial" w:cs="Arial" w:eastAsia="Arial" w:hAnsi="Arial"/>
                <w:sz w:val="12"/>
                <w:szCs w:val="12"/>
                <w:color w:val="auto"/>
                <w:w w:val="98"/>
              </w:rPr>
              <w:t>Units and Class B Units to Class A</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Units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5,150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386,604</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(220)</w:t>
            </w:r>
          </w:p>
        </w:tc>
        <w:tc>
          <w:tcPr>
            <w:tcW w:w="1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(2,200)</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384,404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loss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September 12, 2019</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13,515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87"/>
              </w:rPr>
              <w:t>386,839</w:t>
            </w:r>
          </w:p>
        </w:tc>
        <w:tc>
          <w:tcPr>
            <w:tcW w:w="3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(384,569)</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Successor:</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September 13, 2019</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541,263</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color w:val="auto"/>
                <w:w w:val="99"/>
              </w:rPr>
              <w:t>$541,263</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237,939</w:t>
            </w:r>
          </w:p>
        </w:tc>
        <w:tc>
          <w:tcPr>
            <w:tcW w:w="62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$214,145</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102,061</w:t>
            </w:r>
          </w:p>
        </w:tc>
        <w:tc>
          <w:tcPr>
            <w:tcW w:w="580" w:type="dxa"/>
            <w:vAlign w:val="bottom"/>
            <w:gridSpan w:val="3"/>
          </w:tcPr>
          <w:p>
            <w:pPr>
              <w:jc w:val="right"/>
              <w:ind w:right="80"/>
              <w:spacing w:after="0"/>
              <w:rPr>
                <w:sz w:val="20"/>
                <w:szCs w:val="20"/>
                <w:color w:val="auto"/>
              </w:rPr>
            </w:pPr>
            <w:r>
              <w:rPr>
                <w:rFonts w:ascii="Arial" w:cs="Arial" w:eastAsia="Arial" w:hAnsi="Arial"/>
                <w:sz w:val="12"/>
                <w:szCs w:val="12"/>
                <w:color w:val="auto"/>
              </w:rPr>
              <w:t>$ 91,855</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847,263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(3,545)</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w w:val="99"/>
              </w:rPr>
              <w:t>Share-based compensation expense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income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9,824</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4,318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1,853</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15,995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December 31, 2019</w:t>
            </w: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w w:val="96"/>
              </w:rPr>
              <w:t>541,263</w:t>
            </w:r>
          </w:p>
        </w:tc>
        <w:tc>
          <w:tcPr>
            <w:tcW w:w="66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547,542</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237,939</w:t>
            </w:r>
          </w:p>
        </w:tc>
        <w:tc>
          <w:tcPr>
            <w:tcW w:w="5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3"/>
              </w:rPr>
              <w:t>$ 218,911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102,061</w:t>
            </w:r>
          </w:p>
        </w:tc>
        <w:tc>
          <w:tcPr>
            <w:tcW w:w="58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$ 93,708</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860,144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1"/>
              </w:rPr>
              <w:t>Successor</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600" w:type="dxa"/>
            <w:vAlign w:val="bottom"/>
            <w:gridSpan w:val="2"/>
          </w:tcPr>
          <w:p>
            <w:pPr>
              <w:spacing w:after="0"/>
              <w:rPr>
                <w:sz w:val="10"/>
                <w:szCs w:val="10"/>
                <w:color w:val="auto"/>
              </w:rPr>
            </w:pPr>
          </w:p>
        </w:tc>
        <w:tc>
          <w:tcPr>
            <w:tcW w:w="38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September 13,</w:t>
            </w: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15,995</w:t>
            </w:r>
          </w:p>
        </w:tc>
        <w:tc>
          <w:tcPr>
            <w:tcW w:w="480" w:type="dxa"/>
            <w:vAlign w:val="bottom"/>
            <w:tcBorders>
              <w:left w:val="single" w:sz="8" w:color="auto"/>
            </w:tcBorders>
            <w:gridSpan w:val="2"/>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(57,063)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Adjustments to reconcile net income (loss) to net cash (used in) provided by operating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87,060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28,217</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70,700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(15,113)</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(203,956)</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(2,316)</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17,860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11,935</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80,828</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19,228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(2,494)</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4"/>
              </w:rPr>
              <w:t>9,281</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(807,591)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(2,419)</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(810,010)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Borrowings under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payments under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(351)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Payments under revolving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(59,915)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(82,320)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(9,283)</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received upon issuance of preferred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541,263</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Member distributions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830,879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9"/>
        </w:trPr>
        <w:tc>
          <w:tcPr>
            <w:tcW w:w="6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11,568</w:t>
            </w:r>
          </w:p>
        </w:tc>
        <w:tc>
          <w:tcPr>
            <w:tcW w:w="58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708</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c>
          <w:tcPr>
            <w:tcW w:w="580" w:type="dxa"/>
            <w:vAlign w:val="bottom"/>
            <w:shd w:val="clear" w:color="auto" w:fill="CCEEFF"/>
          </w:tcPr>
          <w:p>
            <w:pPr>
              <w:spacing w:after="0"/>
              <w:rPr>
                <w:sz w:val="18"/>
                <w:szCs w:val="18"/>
                <w:color w:val="auto"/>
              </w:rPr>
            </w:pPr>
          </w:p>
        </w:tc>
        <w:tc>
          <w:tcPr>
            <w:tcW w:w="480" w:type="dxa"/>
            <w:vAlign w:val="bottom"/>
            <w:tcBorders>
              <w:left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79"/>
              </w:rPr>
              <w:t>122</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September 13, 2019 through December 31, 2019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January 1, 2019 through September 12,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Year Ended December 31, 2018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p>
      <w:pPr>
        <w:ind w:left="160" w:right="4740" w:firstLine="7"/>
        <w:spacing w:after="0" w:line="374" w:lineRule="auto"/>
        <w:tabs>
          <w:tab w:leader="none" w:pos="338"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260"/>
        <w:spacing w:after="0" w:line="288" w:lineRule="auto"/>
        <w:rPr>
          <w:sz w:val="20"/>
          <w:szCs w:val="20"/>
          <w:color w:val="auto"/>
        </w:rPr>
      </w:pPr>
      <w:r>
        <w:rPr>
          <w:rFonts w:ascii="Arial" w:cs="Arial" w:eastAsia="Arial" w:hAnsi="Arial"/>
          <w:sz w:val="16"/>
          <w:szCs w:val="16"/>
          <w:color w:val="auto"/>
        </w:rPr>
        <w:t xml:space="preserve">As a result of the Acquisition, which is discussed further in </w:t>
      </w:r>
      <w:r>
        <w:rPr>
          <w:rFonts w:ascii="Arial" w:cs="Arial" w:eastAsia="Arial" w:hAnsi="Arial"/>
          <w:sz w:val="16"/>
          <w:szCs w:val="16"/>
          <w:i w:val="1"/>
          <w:iCs w:val="1"/>
          <w:color w:val="auto"/>
        </w:rPr>
        <w:t>Note 2 – Acquisition</w:t>
      </w:r>
      <w:r>
        <w:rPr>
          <w:rFonts w:ascii="Arial" w:cs="Arial" w:eastAsia="Arial" w:hAnsi="Arial"/>
          <w:sz w:val="16"/>
          <w:szCs w:val="16"/>
          <w:color w:val="auto"/>
        </w:rPr>
        <w:t>, Norvax was determined to be the accounting acquirer and Norvax’s historical assets and liabilities are reflected at fair value as of the acquisition date. The financial information for the period after September 13, 2019, represents the consolidated financial information of the “Successor” company. Prior to September 13, 2019, the consolidated financial statements include the accounts of the “Predecessor” company. References to the “Successor 2019 Period” refer to the period from September 13, 2019 through December 31, 2019. References to the “Predecessor 2019 Period” refer to the period from January 1, 2019 through September 12, 2019, prior to the Acquisition. Due to the change in the basis of accounting, resulting from the application of the acquisition method of accounting, the Predecessor’s consolidated financial statements and the Successor’s consolidated financial statements are not necessarily comparable.</w:t>
      </w:r>
    </w:p>
    <w:p>
      <w:pPr>
        <w:spacing w:after="0" w:line="166"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consolidated financial statements have been prepared in conformity with accounting principles generally accepted in the United States of America (“U.S. GAAP”). All intercompany balances and transactions are eliminated in consolidation.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 xml:space="preserve">Effective January 1, 2019, the Company adopted the requirements of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method,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 xml:space="preserve">requires adjusting prior periods as if ASC 606 had been in effect as of the beginning of the earliest period presented. Thus, the accompanying consolidated predecessor balance sheet of Norvax as of December 31, 2018, as well as the accompanying consolidated statements of income (loss), comprehensive income (loss), changes in members’ equity, and cash flows for the year then ended, have been adjusted to reflect the adoption of ASC 606, as have all related disclosures. The adoption had a material impact on the Company’s consolidated financial statements. See “Revenue Recognition” below for additional information on ASC 606 and </w:t>
      </w:r>
      <w:r>
        <w:rPr>
          <w:rFonts w:ascii="Arial" w:cs="Arial" w:eastAsia="Arial" w:hAnsi="Arial"/>
          <w:sz w:val="17"/>
          <w:szCs w:val="17"/>
          <w:i w:val="1"/>
          <w:iCs w:val="1"/>
          <w:color w:val="auto"/>
        </w:rPr>
        <w:t>Note 13 – Adoption Impact of New Revenue Standard</w:t>
      </w:r>
      <w:r>
        <w:rPr>
          <w:rFonts w:ascii="Arial" w:cs="Arial" w:eastAsia="Arial" w:hAnsi="Arial"/>
          <w:sz w:val="17"/>
          <w:szCs w:val="17"/>
          <w:color w:val="auto"/>
        </w:rPr>
        <w:t xml:space="preserve"> for further discussion of the adoption and the impact on the Company’s previously reported historical results.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December 31, 2019, and 2018, the Company’s cash balances in the United States exceeded the FDIC-insured limits by $12,026 and $255,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accounts receivable,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193"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Accounts receivable and commissions receivable are primarily derived from customers located in North America. The Company performs ongoing credit evaluations of customers’ financial condition and requires no collateral from customers. The Company maintains an allowance for doubtful accounts receivable based upon the expected collectability of accounts receivable balances.</w:t>
      </w:r>
    </w:p>
    <w:p>
      <w:pPr>
        <w:spacing w:after="0" w:line="18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December 31, 2019, five customers each represented 10% or more of the Company’s total accounts receivable and, in aggregate, represented 87%, or $21,220, of the Company’s total accounts receivable. As of December 31, 2018, three customers each represented 10% or more of the Company’s total accounts receivable and, in aggregate, represented 58%, or $5,681, of the Company’s total accounts receivable. No other customers represented 10% or more of the Company’s total accounts receivable at December 31, 2019 and 2018.</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Currency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The Company is exposed to currency fluctuations from certain vendors and customers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weighted-average exchange rate for the period. Translation adjustments are included as a component of accumulated other comprehensive (loss) income. Gains and losses from foreign currency transactions are included in other income (expense) and are immaterial for all periods presented.</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18" w:lineRule="exact"/>
        <w:rPr>
          <w:sz w:val="20"/>
          <w:szCs w:val="20"/>
          <w:color w:val="auto"/>
        </w:rPr>
      </w:pPr>
    </w:p>
    <w:p>
      <w:pPr>
        <w:ind w:left="160" w:right="300"/>
        <w:spacing w:after="0" w:line="297"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Receivable</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Commissions receivable are contract assets that represent estimated variable consideration for renewal commissions to be received from insurance carriers for performance obligations that have been satisfied. The current portion of commissions receivable are future renewal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years ended December 31, 2019 or 2018.</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Payable</w:t>
      </w:r>
    </w:p>
    <w:p>
      <w:pPr>
        <w:spacing w:after="0" w:line="118" w:lineRule="exact"/>
        <w:rPr>
          <w:sz w:val="20"/>
          <w:szCs w:val="20"/>
          <w:color w:val="auto"/>
        </w:rPr>
      </w:pPr>
    </w:p>
    <w:p>
      <w:pPr>
        <w:jc w:val="both"/>
        <w:ind w:left="160" w:right="400"/>
        <w:spacing w:after="0" w:line="259" w:lineRule="auto"/>
        <w:rPr>
          <w:sz w:val="20"/>
          <w:szCs w:val="20"/>
          <w:color w:val="auto"/>
        </w:rPr>
      </w:pPr>
      <w:r>
        <w:rPr>
          <w:rFonts w:ascii="Arial" w:cs="Arial" w:eastAsia="Arial" w:hAnsi="Arial"/>
          <w:sz w:val="18"/>
          <w:szCs w:val="18"/>
          <w:color w:val="auto"/>
        </w:rPr>
        <w:t>Commissions payable represent the estimated share of policy renewal commissions earned by the Company’s external channel agents. The current portion of commissions payable are future renewal commissions expected to be paid within one year, while the non-current portion of commissions payable are expected to be paid beyond one year.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as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Description</w:t>
            </w:r>
          </w:p>
        </w:tc>
        <w:tc>
          <w:tcPr>
            <w:tcW w:w="472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86"/>
        </w:trPr>
        <w:tc>
          <w:tcPr>
            <w:tcW w:w="5800" w:type="dxa"/>
            <w:vAlign w:val="bottom"/>
            <w:gridSpan w:val="2"/>
          </w:tcPr>
          <w:p>
            <w:pPr>
              <w:spacing w:after="0" w:line="187" w:lineRule="exact"/>
              <w:rPr>
                <w:sz w:val="20"/>
                <w:szCs w:val="20"/>
                <w:color w:val="auto"/>
              </w:rPr>
            </w:pPr>
            <w:r>
              <w:rPr>
                <w:rFonts w:ascii="Arial" w:cs="Arial" w:eastAsia="Arial" w:hAnsi="Arial"/>
                <w:sz w:val="18"/>
                <w:szCs w:val="18"/>
                <w:color w:val="auto"/>
              </w:rPr>
              <w:t>Computer equipment and software</w:t>
            </w:r>
          </w:p>
        </w:tc>
        <w:tc>
          <w:tcPr>
            <w:tcW w:w="5120" w:type="dxa"/>
            <w:vAlign w:val="bottom"/>
          </w:tcPr>
          <w:p>
            <w:pPr>
              <w:jc w:val="center"/>
              <w:spacing w:after="0" w:line="187" w:lineRule="exact"/>
              <w:rPr>
                <w:sz w:val="20"/>
                <w:szCs w:val="20"/>
                <w:color w:val="auto"/>
              </w:rPr>
            </w:pPr>
            <w:r>
              <w:rPr>
                <w:rFonts w:ascii="Arial" w:cs="Arial" w:eastAsia="Arial" w:hAnsi="Arial"/>
                <w:sz w:val="18"/>
                <w:szCs w:val="18"/>
                <w:color w:val="auto"/>
                <w:w w:val="88"/>
              </w:rPr>
              <w:t>3 years</w:t>
            </w:r>
          </w:p>
        </w:tc>
      </w:tr>
      <w:tr>
        <w:trPr>
          <w:trHeight w:val="214"/>
        </w:trPr>
        <w:tc>
          <w:tcPr>
            <w:tcW w:w="5800" w:type="dxa"/>
            <w:vAlign w:val="bottom"/>
            <w:gridSpan w:val="2"/>
          </w:tcPr>
          <w:p>
            <w:pPr>
              <w:spacing w:after="0"/>
              <w:rPr>
                <w:sz w:val="20"/>
                <w:szCs w:val="20"/>
                <w:color w:val="auto"/>
              </w:rPr>
            </w:pPr>
            <w:r>
              <w:rPr>
                <w:rFonts w:ascii="Arial" w:cs="Arial" w:eastAsia="Arial" w:hAnsi="Arial"/>
                <w:sz w:val="18"/>
                <w:szCs w:val="18"/>
                <w:color w:val="auto"/>
              </w:rPr>
              <w:t>Office equipment and furniture</w:t>
            </w:r>
          </w:p>
        </w:tc>
        <w:tc>
          <w:tcPr>
            <w:tcW w:w="512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27"/>
        </w:trPr>
        <w:tc>
          <w:tcPr>
            <w:tcW w:w="5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Lesser of useful life (typically 5 years) or remaining lease term</w:t>
            </w:r>
          </w:p>
        </w:tc>
      </w:tr>
    </w:tbl>
    <w:p>
      <w:pPr>
        <w:spacing w:after="0" w:line="20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Expenditures for major renewals and improvements that extend the useful life of property and equipment are capitalized. Expenditure of maintenance and repairs are charged to expense as incurred.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 xml:space="preserve">The Company accounts for costs incurred to develop and maintain source code software and other internally developed software applications, primarily consisting of employee-related and third-party contractor costs, pursuant to ASC Topic 350-40, </w:t>
      </w:r>
      <w:r>
        <w:rPr>
          <w:rFonts w:ascii="Arial" w:cs="Arial" w:eastAsia="Arial" w:hAnsi="Arial"/>
          <w:sz w:val="17"/>
          <w:szCs w:val="17"/>
          <w:i w:val="1"/>
          <w:iCs w:val="1"/>
          <w:color w:val="auto"/>
        </w:rPr>
        <w:t>Internal Use Software</w:t>
      </w:r>
      <w:r>
        <w:rPr>
          <w:rFonts w:ascii="Arial" w:cs="Arial" w:eastAsia="Arial" w:hAnsi="Arial"/>
          <w:sz w:val="17"/>
          <w:szCs w:val="17"/>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Income (Loss).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allocates the fair value of the purchase consideration of its acquired businesses to the tangible assets, liabilities assumed, and intangible assets acquired based on the estimated fair values at the acquisition date. The excess of the fair value of purchase consideration over the fair values of these identifiable assets and liabilities is recorded as goodwill. Transaction costs are recognized separately from the business combination and are expensed as incurred.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color w:val="auto"/>
        </w:rPr>
        <w:t>The Company tests goodwill for impairment on an annual basis in the fourth quarter of each year or whenever events or changes in circumstances indicate that the goodwill may be impaired.</w:t>
      </w:r>
    </w:p>
    <w:p>
      <w:pPr>
        <w:spacing w:after="0" w:line="17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asset or group of assets may not be recoverable. If the carrying amount of an indefinite-lived intangible asset exceeds its fair value, an impairment loss is recognized in an amount equal to that excess.</w:t>
      </w:r>
    </w:p>
    <w:p>
      <w:pPr>
        <w:spacing w:after="0" w:line="164" w:lineRule="exact"/>
        <w:rPr>
          <w:sz w:val="20"/>
          <w:szCs w:val="20"/>
          <w:color w:val="auto"/>
        </w:rPr>
      </w:pPr>
    </w:p>
    <w:p>
      <w:pPr>
        <w:ind w:left="160" w:right="620"/>
        <w:spacing w:after="0" w:line="335" w:lineRule="auto"/>
        <w:rPr>
          <w:sz w:val="20"/>
          <w:szCs w:val="20"/>
          <w:color w:val="auto"/>
        </w:rPr>
      </w:pPr>
      <w:r>
        <w:rPr>
          <w:rFonts w:ascii="Arial" w:cs="Arial" w:eastAsia="Arial" w:hAnsi="Arial"/>
          <w:sz w:val="16"/>
          <w:szCs w:val="16"/>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28" w:lineRule="exact"/>
        <w:rPr>
          <w:sz w:val="20"/>
          <w:szCs w:val="20"/>
          <w:color w:val="auto"/>
        </w:rPr>
      </w:pPr>
    </w:p>
    <w:p>
      <w:pPr>
        <w:ind w:left="160" w:right="300"/>
        <w:spacing w:after="0" w:line="253" w:lineRule="auto"/>
        <w:rPr>
          <w:sz w:val="20"/>
          <w:szCs w:val="20"/>
          <w:color w:val="auto"/>
        </w:rPr>
      </w:pPr>
      <w:r>
        <w:rPr>
          <w:rFonts w:ascii="Arial" w:cs="Arial" w:eastAsia="Arial" w:hAnsi="Arial"/>
          <w:sz w:val="18"/>
          <w:szCs w:val="18"/>
          <w:color w:val="auto"/>
        </w:rPr>
        <w:t>The Company amortizes the cost of definite-lived intangible assets over the respective estimated useful lives on a straight-line basis. Significant judgment is applied when evaluating if an intangible asset has a definite useful life. Intangible assets subject to amortization are also evaluated for impairment when indicators of impairment are determined to exist. Definite-lived intangible assets could become impaired in the future as a result of declines in profitability due to changes in volume, market pricing, cost, manner in which an asset is used, laws and regulations, or the business environment.</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 xml:space="preserve">The Company applies the accounting guidance related to fair value measurements and discloses information on all financial instruments reported at fair value that enables an assessment of the inputs used in determining the reported fair values. See </w:t>
      </w:r>
      <w:r>
        <w:rPr>
          <w:rFonts w:ascii="Arial" w:cs="Arial" w:eastAsia="Arial" w:hAnsi="Arial"/>
          <w:sz w:val="18"/>
          <w:szCs w:val="18"/>
          <w:i w:val="1"/>
          <w:iCs w:val="1"/>
          <w:color w:val="auto"/>
        </w:rPr>
        <w:t>Note 4 – Fair Value Measurements</w:t>
      </w:r>
      <w:r>
        <w:rPr>
          <w:rFonts w:ascii="Arial" w:cs="Arial" w:eastAsia="Arial" w:hAnsi="Arial"/>
          <w:sz w:val="18"/>
          <w:szCs w:val="18"/>
          <w:color w:val="auto"/>
        </w:rPr>
        <w:t xml:space="preserve"> for further discussion around fair value determinations.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6"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 The Company adopted ASC 606 using the full retrospective method and, accordingly, its historical financial statements and related disclosures have been recasted herein to reflect the adoption of ASC 606 for all periods presented.</w:t>
      </w:r>
    </w:p>
    <w:p>
      <w:pPr>
        <w:spacing w:after="0" w:line="174"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92" w:lineRule="exact"/>
        <w:rPr>
          <w:sz w:val="20"/>
          <w:szCs w:val="20"/>
          <w:color w:val="auto"/>
        </w:rPr>
      </w:pPr>
    </w:p>
    <w:p>
      <w:pPr>
        <w:ind w:left="1140" w:right="100" w:hanging="438"/>
        <w:spacing w:after="0" w:line="270" w:lineRule="auto"/>
        <w:tabs>
          <w:tab w:leader="none" w:pos="11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As a result of the implementation of ASC 606,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Deferred Revenue</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Deferred revenue includes deferred technology licensing implementation fees and amounts collected from development funds or technology licensing customers in advance of the Company satisfying its performance obligations for such customers. The Company expects to recognize revenue associated with these remaining performance obligations in the next 12 months.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5"/>
              <w:spacing w:after="0" w:line="118" w:lineRule="exact"/>
              <w:rPr>
                <w:sz w:val="20"/>
                <w:szCs w:val="20"/>
                <w:color w:val="auto"/>
              </w:rPr>
            </w:pPr>
            <w:r>
              <w:rPr>
                <w:rFonts w:ascii="Arial" w:cs="Arial" w:eastAsia="Arial" w:hAnsi="Arial"/>
                <w:sz w:val="13"/>
                <w:szCs w:val="13"/>
                <w:b w:val="1"/>
                <w:bCs w:val="1"/>
                <w:color w:val="auto"/>
              </w:rPr>
              <w:t>Period from</w:t>
            </w:r>
          </w:p>
        </w:tc>
        <w:tc>
          <w:tcPr>
            <w:tcW w:w="620" w:type="dxa"/>
            <w:vAlign w:val="bottom"/>
            <w:gridSpan w:val="2"/>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560"/>
              <w:spacing w:after="0" w:line="118"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88"/>
              </w:rPr>
              <w:t>September 13, 2019</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780"/>
              <w:spacing w:after="0" w:line="147"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through</w:t>
            </w:r>
          </w:p>
        </w:tc>
        <w:tc>
          <w:tcPr>
            <w:tcW w:w="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December 31, 2019</w:t>
            </w:r>
          </w:p>
        </w:tc>
        <w:tc>
          <w:tcPr>
            <w:tcW w:w="20" w:type="dxa"/>
            <w:vAlign w:val="bottom"/>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12, 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Medicare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119,828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84,218</w:t>
            </w: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5,407</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9,354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35,320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33,861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15,409</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39,519</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Ancillary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5,483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175,834</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21"/>
        </w:trPr>
        <w:tc>
          <w:tcPr>
            <w:tcW w:w="60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308,491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231,010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226,205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Incremental Costs to Obtain a Contract</w:t>
      </w:r>
    </w:p>
    <w:p>
      <w:pPr>
        <w:spacing w:after="0" w:line="118"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The Company reviewed its sales compensation plans, which are directed at converting leads into carrier approved submissions, and concluded that they are fulfillment costs and not costs to obtain a contract with a health insurance carrier, which the Company defines as its customer. Additionally, the Company reviewed compensation plans related to personnel responsible for identifying new health insurance carriers as well as entering into contracts with new health insurance carriers and concluded that no incremental costs are incurred to obtain such contracts.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Cost of Revenue</w:t>
      </w:r>
    </w:p>
    <w:p>
      <w:pPr>
        <w:spacing w:after="0" w:line="118" w:lineRule="exact"/>
        <w:rPr>
          <w:sz w:val="20"/>
          <w:szCs w:val="20"/>
          <w:color w:val="auto"/>
        </w:rPr>
      </w:pPr>
    </w:p>
    <w:p>
      <w:pPr>
        <w:jc w:val="both"/>
        <w:ind w:left="160" w:right="200"/>
        <w:spacing w:after="0" w:line="307" w:lineRule="auto"/>
        <w:rPr>
          <w:sz w:val="20"/>
          <w:szCs w:val="20"/>
          <w:color w:val="auto"/>
        </w:rPr>
      </w:pPr>
      <w:r>
        <w:rPr>
          <w:rFonts w:ascii="Arial" w:cs="Arial" w:eastAsia="Arial" w:hAnsi="Arial"/>
          <w:sz w:val="16"/>
          <w:szCs w:val="16"/>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 and Advertising</w:t>
      </w:r>
    </w:p>
    <w:p>
      <w:pPr>
        <w:spacing w:after="0" w:line="118"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Advertising expenses consist of costs incurred to acquire consumers through online, television, and direct mail advertisements. Advertising costs incurred in the Successor 2019 Period, Predecessor 2019 Period, and in the year ended December 31, 2018, totaled $18,844, $29,308, and $25,613, respectively.</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Company also has arrangements with certain carriers that allow the Company to increase marketing efforts, including through direct mail, television advertisements, and online advertising for various insurance products that are being offered by these carriers. The Company records the amounts received as a reduction of the marketing costs incurred.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Care and Enrollment</w:t>
      </w:r>
    </w:p>
    <w:p>
      <w:pPr>
        <w:spacing w:after="0" w:line="118" w:lineRule="exact"/>
        <w:rPr>
          <w:sz w:val="20"/>
          <w:szCs w:val="20"/>
          <w:color w:val="auto"/>
        </w:rPr>
      </w:pPr>
    </w:p>
    <w:p>
      <w:pPr>
        <w:ind w:left="160" w:right="640"/>
        <w:spacing w:after="0" w:line="335" w:lineRule="auto"/>
        <w:rPr>
          <w:sz w:val="20"/>
          <w:szCs w:val="20"/>
          <w:color w:val="auto"/>
        </w:rPr>
      </w:pPr>
      <w:r>
        <w:rPr>
          <w:rFonts w:ascii="Arial" w:cs="Arial" w:eastAsia="Arial" w:hAnsi="Arial"/>
          <w:sz w:val="16"/>
          <w:szCs w:val="16"/>
          <w:color w:val="auto"/>
        </w:rPr>
        <w:t>Customer care and enrollment expenses primarily consist of compensation (including share-based compensation expense) and benefits costs for enrollment personnel who assist consumers during the insurance policy application process, along with management and support personnel.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carrier and federal marketplaces. Technology expense also includes costs for contracted services and supplies, and amortization expense to capitalized software.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18"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General and administrative expenses include compensation and benefits costs for staff working in the Company’s executive, finance, legal, human resources, and facilities departments. These expenses also include facilities costs and fees paid for outside professional services, including audit, tax, legal, and governmental affairs.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 Expense</w:t>
      </w:r>
    </w:p>
    <w:p>
      <w:pPr>
        <w:spacing w:after="0" w:line="118"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Company grants time-vesting units and performance-vesting profit units. Compensation expense for time-vesting units is recognized on a straight-line basis over the requisite service period.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of its investment in the Company. Such an exit event is not considered probable until it consummates. The estimated grant date fair value of the Company’s profit interests is determined using a Monte Carlo simulation and Level 3 inputs.</w:t>
      </w:r>
    </w:p>
    <w:p>
      <w:pPr>
        <w:spacing w:after="0" w:line="17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Assumptions utilized in the model for valuing the awards include expected volatility, dividend yield and risk-free interest rate. Additionally, forfeitures are accounted for as they occur.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maintains a tax-qualified 401(k) retirement plan (the Plan) that provides eligible employees with an opportunity to save for retirement on a tax-advantaged basis. Eligible employees may defer compensation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6" w:right="5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190"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contributes 50% of the first 4% of compensation a participant contributes to the Plan. These matching contributions are expensed as incurred. The Company recognized expense of $150, $346 and $392 for the Successor 2019 Period, the Predecessor 2019 Period, and the year ended December 31, 2018, respectively, related to these matching contributions. The Company also may make non-elective contributions to the 401(k) plan, which, if made, vest 20% after two years and 20% annually thereafter.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 xml:space="preserve">The Company accounts for income taxes under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190"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Company is a limited liability company and is treated as a partnership for income tax purposes. The Company is not directly liable for income taxes for federal purposes.</w:t>
      </w:r>
    </w:p>
    <w:p>
      <w:pPr>
        <w:spacing w:after="0" w:line="175" w:lineRule="exact"/>
        <w:rPr>
          <w:sz w:val="20"/>
          <w:szCs w:val="20"/>
          <w:color w:val="auto"/>
        </w:rPr>
      </w:pPr>
    </w:p>
    <w:p>
      <w:pPr>
        <w:ind w:left="160" w:right="220"/>
        <w:spacing w:after="0" w:line="281" w:lineRule="auto"/>
        <w:rPr>
          <w:sz w:val="20"/>
          <w:szCs w:val="20"/>
          <w:color w:val="auto"/>
        </w:rPr>
      </w:pPr>
      <w:r>
        <w:rPr>
          <w:rFonts w:ascii="Arial" w:cs="Arial" w:eastAsia="Arial" w:hAnsi="Arial"/>
          <w:sz w:val="17"/>
          <w:szCs w:val="17"/>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December 31, 2019 and 2018, there is no liability for uncertain tax positions recorded on the accompanying Consolidated Balance Sheets.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60"/>
          </w:cols>
          <w:pgMar w:left="320" w:top="456" w:right="5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(Topic 350). Under the new standard, goodwill impairment is measured as the amount by which a reporting unit’s carrying value exceeds its fair value, not to exceed the carrying value of goodwill. This ASU eliminates existing guidance that requires an entity to determine goodwill impairment by calculating the implied fair value of goodwill by hypothetically assigning the fair value of a reporting unit to all of its assets and liabilities as if that reporting unit had been acquired in a business combination. This ASU is applied on a prospective basis and is effective for the Company on January 1, 2021, however, early adoption is permitted. The Company adopted this standard in 2019 and the adoption did not significantly impact the consolidated financial statements.</w:t>
      </w:r>
    </w:p>
    <w:p>
      <w:pPr>
        <w:spacing w:after="0" w:line="164"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2019-10, </w:t>
      </w:r>
      <w:r>
        <w:rPr>
          <w:rFonts w:ascii="Arial" w:cs="Arial" w:eastAsia="Arial" w:hAnsi="Arial"/>
          <w:sz w:val="16"/>
          <w:szCs w:val="16"/>
          <w:i w:val="1"/>
          <w:iCs w:val="1"/>
          <w:color w:val="auto"/>
        </w:rPr>
        <w:t>Financial Instruments—Credit Losses (Topic 326),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(Topic 815), and Leases (Topic 842): Effective Dates</w:t>
      </w:r>
      <w:r>
        <w:rPr>
          <w:rFonts w:ascii="Arial" w:cs="Arial" w:eastAsia="Arial" w:hAnsi="Arial"/>
          <w:sz w:val="16"/>
          <w:szCs w:val="16"/>
          <w:color w:val="auto"/>
        </w:rPr>
        <w:t>, issued November 2019, the guidance in ASU 2016-02, as amended,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2020, and interim periods within fiscal years beginning after December 15, 2021. Early adoption is permitted. The Company is currently evaluating the new guidance to determine the impact it will have on its consolidated financial statements.</w:t>
      </w:r>
    </w:p>
    <w:p>
      <w:pPr>
        <w:spacing w:after="0" w:line="166"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is currently evaluating the new guidance to determine the impact it will have on its consolidated financial statements.</w:t>
      </w:r>
    </w:p>
    <w:p>
      <w:pPr>
        <w:spacing w:after="0" w:line="16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consolidated financial statements.</w:t>
      </w:r>
    </w:p>
    <w:p>
      <w:pPr>
        <w:spacing w:after="0" w:line="19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Disclosure Framework—Changes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w:t>
      </w:r>
      <w:r>
        <w:rPr>
          <w:rFonts w:ascii="Arial" w:cs="Arial" w:eastAsia="Arial" w:hAnsi="Arial"/>
          <w:sz w:val="16"/>
          <w:szCs w:val="16"/>
          <w:color w:val="auto"/>
        </w:rPr>
        <w:t>t (Topic 820), which amended the disclosure requirements under ASC 820. This update clarifies and unifies the disclosure of Level 3</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plans to adopt this standard on January 1, 2020, and does not expect the adoption to have a material effect on our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right="8760" w:firstLine="7"/>
        <w:spacing w:after="0" w:line="421" w:lineRule="auto"/>
        <w:tabs>
          <w:tab w:leader="none" w:pos="338"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0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Transaction costs incurred by the Company were $6,245 and $2,267 for the Successor 2019 Period and the Predecessor 2019 Period, respectively, and are recorded within transaction costs in the Consolidated Statements of Income (Loss). The elements of the purchase consideration are as follows:</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(loss) from operations. The full amount available relative to the 2019 target was earned as of December 31, 2019, and, as a result, the Company recorded a $75,000 fair value adjustment to the contingent consideration liability for achieving the 2019 target. The Company recorded a fair value adjustment of $4,300 to reduce the contingent consideration liability related to the 2020 target due to changes in forecasts.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4,442</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Trade names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496,000</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386,553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12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3120" w:type="dxa"/>
            <w:vAlign w:val="bottom"/>
          </w:tcPr>
          <w:p>
            <w:pPr>
              <w:spacing w:after="0"/>
              <w:rPr>
                <w:sz w:val="24"/>
                <w:szCs w:val="24"/>
                <w:color w:val="auto"/>
              </w:rPr>
            </w:pPr>
          </w:p>
        </w:tc>
        <w:tc>
          <w:tcPr>
            <w:tcW w:w="3420" w:type="dxa"/>
            <w:vAlign w:val="bottom"/>
            <w:gridSpan w:val="2"/>
          </w:tcPr>
          <w:p>
            <w:pPr>
              <w:jc w:val="right"/>
              <w:ind w:right="2588"/>
              <w:spacing w:after="0"/>
              <w:rPr>
                <w:sz w:val="20"/>
                <w:szCs w:val="20"/>
                <w:color w:val="auto"/>
              </w:rPr>
            </w:pPr>
            <w:r>
              <w:rPr>
                <w:rFonts w:ascii="Arial" w:cs="Arial" w:eastAsia="Arial" w:hAnsi="Arial"/>
                <w:sz w:val="18"/>
                <w:szCs w:val="18"/>
                <w:color w:val="auto"/>
              </w:rPr>
              <w:t>F-21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Acquisition was accounted for using the acquisition method of accounting. The Company’s consolidated financial statements reflect the preliminary allocation of the purchase price to the assets and liabilities assumed based on fair value as of the date of the acquisition.</w:t>
      </w:r>
    </w:p>
    <w:p>
      <w:pPr>
        <w:spacing w:after="0" w:line="17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Had the Acquisition been completed on January 1, 2018, net revenues would be unchanged and the net loss would be approximately $29,500 and $95,380 for the years ended December 31, 2019 and December 31, 2018, respectively. This unaudited pro forma financial information is presented for illustrative purposes only and is not necessarily indicative of what the operating results actually would have been if the Acquisition had taken place on January 1, 2018, nor is it indicative of future operating results. The pro forma amounts include the historical operating results of the Company prior to the acquisition, with adjustments factually supportable and directly attributable to the Acquisition, primarily related to transaction costs, the amortization of intangible assets, and interest expense. Share-based compensation and transaction bonuses and costs totaling $98,213 for the year ended December 31, 2019 are non-recurring pro forma adjustments.</w:t>
      </w:r>
    </w:p>
    <w:p>
      <w:pPr>
        <w:spacing w:after="0" w:line="281" w:lineRule="exact"/>
        <w:rPr>
          <w:sz w:val="20"/>
          <w:szCs w:val="20"/>
          <w:color w:val="auto"/>
        </w:rPr>
      </w:pPr>
    </w:p>
    <w:p>
      <w:pPr>
        <w:ind w:left="160" w:right="8180" w:firstLine="7"/>
        <w:spacing w:after="0" w:line="396" w:lineRule="auto"/>
        <w:tabs>
          <w:tab w:leader="none" w:pos="338"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178,975</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50,082</w:t>
            </w:r>
          </w:p>
        </w:tc>
        <w:tc>
          <w:tcPr>
            <w:tcW w:w="0" w:type="dxa"/>
            <w:vAlign w:val="bottom"/>
          </w:tcPr>
          <w:p>
            <w:pPr>
              <w:spacing w:after="0"/>
              <w:rPr>
                <w:sz w:val="1"/>
                <w:szCs w:val="1"/>
                <w:color w:val="auto"/>
              </w:rPr>
            </w:pPr>
          </w:p>
        </w:tc>
      </w:tr>
      <w:tr>
        <w:trPr>
          <w:trHeight w:val="214"/>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 revenue</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175,834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144,378</w:t>
            </w: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receipts</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(39,391)</w:t>
            </w: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(78,933)</w:t>
            </w:r>
          </w:p>
        </w:tc>
        <w:tc>
          <w:tcPr>
            <w:tcW w:w="0" w:type="dxa"/>
            <w:vAlign w:val="bottom"/>
          </w:tcPr>
          <w:p>
            <w:pPr>
              <w:spacing w:after="0"/>
              <w:rPr>
                <w:sz w:val="1"/>
                <w:szCs w:val="1"/>
                <w:color w:val="auto"/>
              </w:rPr>
            </w:pPr>
          </w:p>
        </w:tc>
      </w:tr>
      <w:tr>
        <w:trPr>
          <w:trHeight w:val="221"/>
        </w:trPr>
        <w:tc>
          <w:tcPr>
            <w:tcW w:w="6780" w:type="dxa"/>
            <w:vAlign w:val="bottom"/>
            <w:gridSpan w:val="2"/>
          </w:tcPr>
          <w:p>
            <w:pPr>
              <w:ind w:left="36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382,931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115,527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101,078</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commissions receivable balance as of December 31, 2019 and 2018, primarily relates to Medicare Advantage Plans sold during the fourth quarters of 2019 and 2018 with effective dates in 2020 and 2019,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equipment, and capitalized software, net, consist of the following:</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37"/>
        </w:trPr>
        <w:tc>
          <w:tcPr>
            <w:tcW w:w="60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4"/>
        </w:trPr>
        <w:tc>
          <w:tcPr>
            <w:tcW w:w="6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left w:val="single" w:sz="8" w:color="auto"/>
            </w:tcBorders>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w:t>
            </w: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0"/>
        </w:trPr>
        <w:tc>
          <w:tcPr>
            <w:tcW w:w="60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equipment, and capitalized software, net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6,339</w:t>
            </w:r>
          </w:p>
        </w:tc>
        <w:tc>
          <w:tcPr>
            <w:tcW w:w="300" w:type="dxa"/>
            <w:vAlign w:val="bottom"/>
            <w:shd w:val="clear" w:color="auto" w:fill="CCEEFF"/>
          </w:tcPr>
          <w:p>
            <w:pPr>
              <w:spacing w:after="0"/>
              <w:rPr>
                <w:sz w:val="18"/>
                <w:szCs w:val="18"/>
                <w:color w:val="auto"/>
              </w:rPr>
            </w:pPr>
          </w:p>
        </w:tc>
        <w:tc>
          <w:tcPr>
            <w:tcW w:w="280" w:type="dxa"/>
            <w:vAlign w:val="bottom"/>
            <w:tcBorders>
              <w:lef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Depreciation expense for the Successor 2019 Period, the Predecessor 2019 Period, and the year ended December 31, 2018, was $421, $1,262 and $1,547, respectively. These amounts include $91 in the Successor 2019 Period, $73 in the Predecessor 2019 Period and $96 in 2018 of depreciation of assets recorded under capital leases.</w:t>
      </w:r>
    </w:p>
    <w:p>
      <w:pPr>
        <w:spacing w:after="0" w:line="186" w:lineRule="exact"/>
        <w:rPr>
          <w:sz w:val="20"/>
          <w:szCs w:val="20"/>
          <w:color w:val="auto"/>
        </w:rPr>
      </w:pPr>
    </w:p>
    <w:p>
      <w:pPr>
        <w:ind w:left="160"/>
        <w:spacing w:after="0" w:line="301" w:lineRule="auto"/>
        <w:rPr>
          <w:sz w:val="20"/>
          <w:szCs w:val="20"/>
          <w:color w:val="auto"/>
        </w:rPr>
      </w:pPr>
      <w:r>
        <w:rPr>
          <w:rFonts w:ascii="Arial" w:cs="Arial" w:eastAsia="Arial" w:hAnsi="Arial"/>
          <w:sz w:val="17"/>
          <w:szCs w:val="17"/>
          <w:color w:val="auto"/>
        </w:rPr>
        <w:t>Amortization expense related to capitalized software was $100, $2,985 and $4,613 for the period from September 13, 2019 through December 31, 2019, the period from January 1, 2019 through September 12, 2019 and the year ended December 31, 2018, respectively.</w:t>
      </w:r>
    </w:p>
    <w:p>
      <w:pPr>
        <w:sectPr>
          <w:pgSz w:w="11900" w:h="16838" w:orient="portrait"/>
          <w:cols w:equalWidth="0" w:num="1">
            <w:col w:w="11040"/>
          </w:cols>
          <w:pgMar w:left="320" w:top="456" w:right="539" w:bottom="1440" w:gutter="0" w:footer="0" w:header="0"/>
        </w:sect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Accrued Liabilities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liabilities consist of the following:</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920" w:type="dxa"/>
            <w:vAlign w:val="bottom"/>
            <w:vMerge w:val="restart"/>
          </w:tcPr>
          <w:p>
            <w:pPr>
              <w:spacing w:after="0"/>
              <w:rPr>
                <w:sz w:val="20"/>
                <w:szCs w:val="20"/>
                <w:color w:val="auto"/>
              </w:rPr>
            </w:pPr>
            <w:r>
              <w:rPr>
                <w:rFonts w:ascii="Arial" w:cs="Arial" w:eastAsia="Arial" w:hAnsi="Arial"/>
                <w:sz w:val="18"/>
                <w:szCs w:val="18"/>
                <w:color w:val="auto"/>
              </w:rPr>
              <w:t>Bonuses and commissions</w:t>
            </w: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20" w:type="dxa"/>
            <w:vAlign w:val="bottom"/>
            <w:vMerge w:val="continue"/>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line="193"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3" w:lineRule="exact"/>
              <w:rPr>
                <w:sz w:val="20"/>
                <w:szCs w:val="20"/>
                <w:color w:val="auto"/>
              </w:rPr>
            </w:pPr>
            <w:r>
              <w:rPr>
                <w:rFonts w:ascii="Arial" w:cs="Arial" w:eastAsia="Arial" w:hAnsi="Arial"/>
                <w:sz w:val="18"/>
                <w:szCs w:val="18"/>
                <w:color w:val="auto"/>
              </w:rPr>
              <w:t>12,292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Marketing costs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b w:val="1"/>
                <w:bCs w:val="1"/>
                <w:color w:val="auto"/>
              </w:rPr>
              <w:t>Accrued liabilities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920" w:type="dxa"/>
            <w:vAlign w:val="bottom"/>
          </w:tcPr>
          <w:p>
            <w:pPr>
              <w:spacing w:after="0"/>
              <w:rPr>
                <w:sz w:val="24"/>
                <w:szCs w:val="24"/>
                <w:color w:val="auto"/>
              </w:rPr>
            </w:pPr>
          </w:p>
        </w:tc>
        <w:tc>
          <w:tcPr>
            <w:tcW w:w="3420" w:type="dxa"/>
            <w:vAlign w:val="bottom"/>
            <w:gridSpan w:val="2"/>
          </w:tcPr>
          <w:p>
            <w:pPr>
              <w:ind w:left="106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-1246505</wp:posOffset>
            </wp:positionV>
            <wp:extent cx="5265420" cy="10191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65420" cy="1019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20"/>
        <w:spacing w:after="0"/>
        <w:rPr>
          <w:sz w:val="20"/>
          <w:szCs w:val="20"/>
          <w:color w:val="auto"/>
        </w:rPr>
      </w:pPr>
      <w:r>
        <w:rPr>
          <w:rFonts w:ascii="Arial" w:cs="Arial" w:eastAsia="Arial" w:hAnsi="Arial"/>
          <w:sz w:val="13"/>
          <w:szCs w:val="13"/>
          <w:b w:val="1"/>
          <w:bCs w:val="1"/>
          <w:color w:val="auto"/>
        </w:rPr>
        <w:t>Predecessor</w:t>
      </w:r>
    </w:p>
    <w:p>
      <w:pPr>
        <w:spacing w:after="0" w:line="14" w:lineRule="exact"/>
        <w:rPr>
          <w:sz w:val="20"/>
          <w:szCs w:val="20"/>
          <w:color w:val="auto"/>
        </w:rPr>
      </w:pPr>
    </w:p>
    <w:p>
      <w:pPr>
        <w:jc w:val="center"/>
        <w:ind w:right="1320"/>
        <w:spacing w:after="0"/>
        <w:rPr>
          <w:sz w:val="20"/>
          <w:szCs w:val="20"/>
          <w:color w:val="auto"/>
        </w:rPr>
      </w:pPr>
      <w:r>
        <w:rPr>
          <w:rFonts w:ascii="Arial" w:cs="Arial" w:eastAsia="Arial" w:hAnsi="Arial"/>
          <w:sz w:val="12"/>
          <w:szCs w:val="12"/>
          <w:b w:val="1"/>
          <w:bCs w:val="1"/>
          <w:color w:val="auto"/>
        </w:rPr>
        <w:t>December 31,</w:t>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2018</w:t>
      </w:r>
    </w:p>
    <w:p>
      <w:pPr>
        <w:spacing w:after="0" w:line="8" w:lineRule="exact"/>
        <w:rPr>
          <w:sz w:val="20"/>
          <w:szCs w:val="20"/>
          <w:color w:val="auto"/>
        </w:rPr>
      </w:pPr>
    </w:p>
    <w:p>
      <w:pPr>
        <w:ind w:left="440" w:hanging="433"/>
        <w:spacing w:after="0"/>
        <w:tabs>
          <w:tab w:leader="none" w:pos="4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5,372</w:t>
      </w:r>
    </w:p>
    <w:p>
      <w:pPr>
        <w:spacing w:after="0" w:line="49"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1,975</w:t>
      </w:r>
    </w:p>
    <w:p>
      <w:pPr>
        <w:spacing w:after="0" w:line="5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8"/>
          <w:szCs w:val="18"/>
          <w:color w:val="auto"/>
        </w:rPr>
        <w:t>—</w:t>
      </w:r>
    </w:p>
    <w:p>
      <w:pPr>
        <w:spacing w:after="0" w:line="6"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2,373</w:t>
      </w:r>
    </w:p>
    <w:p>
      <w:pPr>
        <w:spacing w:after="0" w:line="63" w:lineRule="exact"/>
        <w:rPr>
          <w:sz w:val="20"/>
          <w:szCs w:val="20"/>
          <w:color w:val="auto"/>
        </w:rPr>
      </w:pPr>
    </w:p>
    <w:p>
      <w:pPr>
        <w:ind w:left="440" w:hanging="433"/>
        <w:spacing w:after="0"/>
        <w:tabs>
          <w:tab w:leader="none" w:pos="440" w:val="left"/>
        </w:tabs>
        <w:numPr>
          <w:ilvl w:val="0"/>
          <w:numId w:val="149"/>
        </w:numPr>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9,720</w:t>
      </w:r>
    </w:p>
    <w:p>
      <w:pPr>
        <w:sectPr>
          <w:pgSz w:w="11900" w:h="16838" w:orient="portrait"/>
          <w:cols w:equalWidth="0" w:num="2">
            <w:col w:w="8540" w:space="340"/>
            <w:col w:w="2160"/>
          </w:cols>
          <w:pgMar w:left="320" w:top="456" w:right="539" w:bottom="1440" w:gutter="0" w:footer="0" w:header="0"/>
          <w:type w:val="continuous"/>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20"/>
          </w:cols>
          <w:pgMar w:left="320" w:top="456" w:right="55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00"/>
          </w:cols>
          <w:pgMar w:left="320" w:top="456" w:right="55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0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jc w:val="both"/>
        <w:ind w:left="160" w:right="140"/>
        <w:spacing w:after="0" w:line="307" w:lineRule="auto"/>
        <w:rPr>
          <w:sz w:val="20"/>
          <w:szCs w:val="20"/>
          <w:color w:val="auto"/>
        </w:rPr>
      </w:pPr>
      <w:r>
        <w:rPr>
          <w:rFonts w:ascii="Arial" w:cs="Arial" w:eastAsia="Arial" w:hAnsi="Arial"/>
          <w:sz w:val="16"/>
          <w:szCs w:val="16"/>
          <w:color w:val="auto"/>
        </w:rPr>
        <w:t>The fair value of the contingent consideration was measured using a Monte Carlo simulation and is discounted using a rate that appropriately captures the risk associated with the obligation.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13, 2019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$172,000</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8"/>
                <w:szCs w:val="18"/>
                <w:color w:val="auto"/>
              </w:rPr>
              <w:t>Successor 2019 Period earnout fair value adjustment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 earnout fair value adjustment</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(4,300)</w:t>
            </w:r>
          </w:p>
        </w:tc>
      </w:tr>
      <w:tr>
        <w:trPr>
          <w:trHeight w:val="221"/>
        </w:trPr>
        <w:tc>
          <w:tcPr>
            <w:tcW w:w="75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242,700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carrying amount of certain financial instruments, including cash, accounts receivable, commissions receivable, accounts payable, accrued expenses, and commissions payable approximate fair value due to the short maturity of these instruments. Commissions receivable are recorded at constrained lifetime values.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320" w:top="456" w:right="559" w:bottom="1440" w:gutter="0" w:footer="0" w:header="0"/>
          <w:type w:val="continuous"/>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 carrying amounts, accumulated amortization, net carrying value and weighted average remaining life of the Company’s definite-lived amortizable intangible assets, as well as its definite-lived intangible trademarks, are presented in the table below (weighted-average useful life is as of December 31, 2019):</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4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88"/>
              </w:rPr>
              <w:t>December 31, 2019 (Successor)</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10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tcPr>
          <w:p>
            <w:pPr>
              <w:jc w:val="center"/>
              <w:ind w:left="102"/>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left="102"/>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474,743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232,000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6,960</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225,040</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728,000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28,217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699,783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782,783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intangible assets or goodwill in the Predecessor 2019 Period or at December 31, 2018.</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December 31, 2019, expected amortization expense related to intangible assets in future periods is as follows:</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40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Developed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Customer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00" w:type="dxa"/>
            <w:vAlign w:val="bottom"/>
            <w:gridSpan w:val="2"/>
            <w:vMerge w:val="continue"/>
          </w:tcPr>
          <w:p>
            <w:pPr>
              <w:spacing w:after="0"/>
              <w:rPr>
                <w:sz w:val="15"/>
                <w:szCs w:val="15"/>
                <w:color w:val="auto"/>
              </w:rPr>
            </w:pPr>
          </w:p>
        </w:tc>
        <w:tc>
          <w:tcPr>
            <w:tcW w:w="47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Technology</w:t>
            </w:r>
          </w:p>
        </w:tc>
        <w:tc>
          <w:tcPr>
            <w:tcW w:w="14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Relationships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2020</w:t>
            </w:r>
          </w:p>
        </w:tc>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70,857</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23,200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94,057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120,458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109,040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474,743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699,783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380"/>
        <w:spacing w:after="0" w:line="259" w:lineRule="auto"/>
        <w:rPr>
          <w:sz w:val="20"/>
          <w:szCs w:val="20"/>
          <w:color w:val="auto"/>
        </w:rPr>
      </w:pPr>
      <w:r>
        <w:rPr>
          <w:rFonts w:ascii="Arial" w:cs="Arial" w:eastAsia="Arial" w:hAnsi="Arial"/>
          <w:sz w:val="18"/>
          <w:szCs w:val="18"/>
          <w:color w:val="auto"/>
        </w:rPr>
        <w:t>The Company allocated $380,327 and $6,226 of the goodwill recognized in connection with the Acquisition to its Medicare—Internal segment and Medicare—External segment, respectively, based on an estimate of the relative fair value of each segment. There was no impairment of goodwill or intangible assets for the Successor 2019 Period.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6"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LONG TERM DEBT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Company’s long-term debt consisted of the following:</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60" w:type="dxa"/>
            <w:vAlign w:val="bottom"/>
            <w:vMerge w:val="restart"/>
          </w:tcPr>
          <w:p>
            <w:pPr>
              <w:jc w:val="center"/>
              <w:ind w:left="160"/>
              <w:spacing w:after="0"/>
              <w:rPr>
                <w:sz w:val="20"/>
                <w:szCs w:val="20"/>
                <w:color w:val="auto"/>
              </w:rPr>
            </w:pPr>
            <w:r>
              <w:rPr>
                <w:rFonts w:ascii="Arial" w:cs="Arial" w:eastAsia="Arial" w:hAnsi="Arial"/>
                <w:sz w:val="14"/>
                <w:szCs w:val="14"/>
                <w:b w:val="1"/>
                <w:bCs w:val="1"/>
                <w:color w:val="auto"/>
                <w:w w:val="92"/>
              </w:rPr>
              <w:t>Interest rate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Predecessor Credit Facility</w:t>
            </w:r>
          </w:p>
        </w:tc>
        <w:tc>
          <w:tcPr>
            <w:tcW w:w="1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 - 8.55%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299,250</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unamortized debt discount and capitalized issuance costs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(8,017)</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291,233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(3,000)</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98"/>
              </w:rPr>
              <w:t>Maturities of long-term debt for each of the next five years and thereafter are as follows:</w:t>
            </w: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60" w:type="dxa"/>
            <w:vAlign w:val="bottom"/>
            <w:gridSpan w:val="2"/>
            <w:vMerge w:val="restart"/>
          </w:tcPr>
          <w:p>
            <w:pPr>
              <w:spacing w:after="0"/>
              <w:rPr>
                <w:sz w:val="21"/>
                <w:szCs w:val="21"/>
                <w:color w:val="auto"/>
              </w:rPr>
            </w:pPr>
          </w:p>
        </w:tc>
        <w:tc>
          <w:tcPr>
            <w:tcW w:w="5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gridSpan w:val="2"/>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2021</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284,250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w:t>
      </w:r>
    </w:p>
    <w:p>
      <w:pPr>
        <w:spacing w:after="0" w:line="221"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 million of incremental term loans, or the “Incremental Term Loan Facility”. The Company collectively refers to the Term Loan Facility, the Revolving Credit Facility, and the Incremental Term Loan Facility as the “Credit Facilities”.</w:t>
      </w:r>
    </w:p>
    <w:p>
      <w:pPr>
        <w:spacing w:after="0" w:line="186"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incurred $9,283 of debt issuance costs associated with the Credit Facility, which is being amortized over the life of the debt under the effective interest rate method to interest expense.</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 of December 31, 2019, the Company had a principal amount of $299,250 outstanding on the Term Loan Facility and no amounts outstanding on the Revolving Credit Facility. The Revolving Credit Facility had remaining capacity of $30,000 as of December 31, 2019.</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The current applicable rate for ABR term loans and revolving loans is 5.50% per annum and ranges from 4.75% to 5.50% per annum, in each case, based upon specified leverage ratios. Term loans and revolving loans comprising each LIBOR borrowing bear interest at the LIBOR plus an applicable rate. The current applicable rate for LIBOR term loans and revolving loans is 6.50% per annum and ranges from 5.75% to 6.50% per annum, in each case, based upon specified leverage ratios.</w:t>
      </w:r>
    </w:p>
    <w:p>
      <w:pPr>
        <w:spacing w:after="0" w:line="19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8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20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The Credit Agreement requires 100% of the net proceeds from the issuance or incurrence of certain indebtedness to be applied to prepay the term loans under the Term Loan Facility, except to the extent the indebtedness constitutes refinancing indebtedness.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jc w:val="both"/>
        <w:ind w:left="160" w:right="28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in certain other circumstances, the Borrower may have to pay a prepayment premium.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6"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Term Loan Facility is payable in quarterly installments (commencing on December 31, 2019) in the principal amount of 0.25% of the original principal amount. The remaining unpaid balance on the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December 31, 2019.</w:t>
      </w:r>
    </w:p>
    <w:p>
      <w:pPr>
        <w:spacing w:after="0" w:line="175" w:lineRule="exact"/>
        <w:rPr>
          <w:sz w:val="20"/>
          <w:szCs w:val="20"/>
          <w:color w:val="auto"/>
        </w:rPr>
      </w:pPr>
    </w:p>
    <w:p>
      <w:pPr>
        <w:jc w:val="both"/>
        <w:ind w:left="160" w:right="16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6" w:right="5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 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159"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20"/>
          </w:cols>
          <w:pgMar w:left="320" w:top="456" w:right="5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righ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$196,700 in the year ended December 31, 2018. These amounts appear as Class B unit accretion on the Consolidated Statements of Changes in Members’ Equity.</w:t>
      </w:r>
    </w:p>
    <w:p>
      <w:pPr>
        <w:spacing w:after="0" w:line="159"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recorded accretion of $138,404 to adjust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share-based compensation expense by operating function for the following periods:</w:t>
      </w:r>
    </w:p>
    <w:p>
      <w:pPr>
        <w:sectPr>
          <w:pgSz w:w="11900" w:h="16838" w:orient="portrait"/>
          <w:cols w:equalWidth="0" w:num="1">
            <w:col w:w="10960"/>
          </w:cols>
          <w:pgMar w:left="320" w:top="456" w:right="619" w:bottom="1440" w:gutter="0" w:footer="0" w:header="0"/>
        </w:sectPr>
      </w:pP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6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920" w:type="dxa"/>
            <w:vAlign w:val="bottom"/>
            <w:vMerge w:val="restart"/>
          </w:tcPr>
          <w:p>
            <w:pPr>
              <w:spacing w:after="0"/>
              <w:rPr>
                <w:sz w:val="20"/>
                <w:szCs w:val="20"/>
                <w:color w:val="auto"/>
              </w:rPr>
            </w:pPr>
            <w:r>
              <w:rPr>
                <w:rFonts w:ascii="Arial" w:cs="Arial" w:eastAsia="Arial" w:hAnsi="Arial"/>
                <w:sz w:val="18"/>
                <w:szCs w:val="18"/>
                <w:color w:val="auto"/>
              </w:rPr>
              <w:t>Marking and advertising</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2"/>
        </w:trPr>
        <w:tc>
          <w:tcPr>
            <w:tcW w:w="6920" w:type="dxa"/>
            <w:vAlign w:val="bottom"/>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-1298575</wp:posOffset>
            </wp:positionV>
            <wp:extent cx="6649720" cy="14014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649720" cy="1401445"/>
                    </a:xfrm>
                    <a:prstGeom prst="rect">
                      <a:avLst/>
                    </a:prstGeom>
                    <a:noFill/>
                  </pic:spPr>
                </pic:pic>
              </a:graphicData>
            </a:graphic>
          </wp:anchor>
        </w:drawing>
      </w:r>
    </w:p>
    <w:p>
      <w:pPr>
        <w:spacing w:after="0" w:line="166" w:lineRule="exact"/>
        <w:rPr>
          <w:sz w:val="20"/>
          <w:szCs w:val="20"/>
          <w:color w:val="auto"/>
        </w:rPr>
      </w:pPr>
    </w:p>
    <w:p>
      <w:pPr>
        <w:ind w:left="600" w:hanging="433"/>
        <w:spacing w:after="0"/>
        <w:tabs>
          <w:tab w:leader="none" w:pos="600" w:val="left"/>
        </w:tabs>
        <w:numPr>
          <w:ilvl w:val="0"/>
          <w:numId w:val="153"/>
        </w:numPr>
        <w:rPr>
          <w:rFonts w:ascii="Arial" w:cs="Arial" w:eastAsia="Arial" w:hAnsi="Arial"/>
          <w:sz w:val="15"/>
          <w:szCs w:val="15"/>
          <w:color w:val="auto"/>
        </w:rPr>
      </w:pPr>
      <w:r>
        <w:rPr>
          <w:rFonts w:ascii="Arial" w:cs="Arial" w:eastAsia="Arial" w:hAnsi="Arial"/>
          <w:sz w:val="18"/>
          <w:szCs w:val="18"/>
          <w:color w:val="auto"/>
        </w:rPr>
        <w:t>Includes Class C incentive plan and incentive share plan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16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0"/>
        </w:trPr>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r>
              <w:rPr>
                <w:rFonts w:ascii="Arial" w:cs="Arial" w:eastAsia="Arial" w:hAnsi="Arial"/>
                <w:sz w:val="12"/>
                <w:szCs w:val="12"/>
                <w:b w:val="1"/>
                <w:bCs w:val="1"/>
                <w:color w:val="auto"/>
                <w:w w:val="89"/>
              </w:rPr>
              <w:t>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1,674</w:t>
            </w:r>
          </w:p>
        </w:tc>
        <w:tc>
          <w:tcPr>
            <w:tcW w:w="160" w:type="dxa"/>
            <w:vAlign w:val="bottom"/>
          </w:tcPr>
          <w:p>
            <w:pPr>
              <w:spacing w:after="0"/>
              <w:rPr>
                <w:sz w:val="16"/>
                <w:szCs w:val="16"/>
                <w:color w:val="auto"/>
              </w:rPr>
            </w:pPr>
          </w:p>
        </w:tc>
        <w:tc>
          <w:tcPr>
            <w:tcW w:w="180" w:type="dxa"/>
            <w:vAlign w:val="bottom"/>
          </w:tcPr>
          <w:p>
            <w:pPr>
              <w:spacing w:after="0" w:line="193" w:lineRule="exact"/>
              <w:rPr>
                <w:sz w:val="20"/>
                <w:szCs w:val="20"/>
                <w:color w:val="auto"/>
              </w:rPr>
            </w:pPr>
            <w:r>
              <w:rPr>
                <w:rFonts w:ascii="Arial" w:cs="Arial" w:eastAsia="Arial" w:hAnsi="Arial"/>
                <w:sz w:val="18"/>
                <w:szCs w:val="18"/>
                <w:color w:val="auto"/>
              </w:rPr>
              <w:t>$</w:t>
            </w:r>
          </w:p>
        </w:tc>
        <w:tc>
          <w:tcPr>
            <w:tcW w:w="640" w:type="dxa"/>
            <w:vAlign w:val="bottom"/>
          </w:tcPr>
          <w:p>
            <w:pPr>
              <w:ind w:left="380"/>
              <w:spacing w:after="0" w:line="19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8400" w:space="340"/>
            <w:col w:w="2220"/>
          </w:cols>
          <w:pgMar w:left="320" w:top="456" w:right="619" w:bottom="1440" w:gutter="0" w:footer="0" w:header="0"/>
          <w:type w:val="continuous"/>
        </w:sectPr>
      </w:pP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Effective September 13, 2019 and in conjunction with the Acquisition, the Company authorized the grants of non-voting Profit Units. The Profits Units are issued by Blizzard Management Feeder, LLC, to employees on</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960"/>
          </w:cols>
          <w:pgMar w:left="320" w:top="456" w:right="619" w:bottom="1440" w:gutter="0" w:footer="0" w:header="0"/>
          <w:type w:val="continuous"/>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 each individual will vest upon a liquidity event based on the extent to which the distributions received by the Preferred and the Common exceed their investment in the Company (“Performance-Vesting Units”).</w:t>
      </w:r>
    </w:p>
    <w:p>
      <w:pPr>
        <w:spacing w:after="0" w:line="17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193"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summary of the share-based compensation awards issued to employees of the Company by Blizzard Management Feeder, LLC, is as follows:</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Time Vesting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14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Vesting</w:t>
            </w:r>
          </w:p>
        </w:tc>
        <w:tc>
          <w:tcPr>
            <w:tcW w:w="10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0" w:type="dxa"/>
            <w:vAlign w:val="bottom"/>
          </w:tcPr>
          <w:p>
            <w:pPr>
              <w:spacing w:after="0"/>
              <w:rPr>
                <w:sz w:val="1"/>
                <w:szCs w:val="1"/>
                <w:color w:val="auto"/>
              </w:rPr>
            </w:pPr>
          </w:p>
        </w:tc>
      </w:tr>
      <w:tr>
        <w:trPr>
          <w:trHeight w:val="170"/>
        </w:trPr>
        <w:tc>
          <w:tcPr>
            <w:tcW w:w="5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Grant per Unit</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Units</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per Unit</w:t>
            </w:r>
          </w:p>
        </w:tc>
        <w:tc>
          <w:tcPr>
            <w:tcW w:w="0" w:type="dxa"/>
            <w:vAlign w:val="bottom"/>
          </w:tcPr>
          <w:p>
            <w:pPr>
              <w:spacing w:after="0"/>
              <w:rPr>
                <w:sz w:val="1"/>
                <w:szCs w:val="1"/>
                <w:color w:val="auto"/>
              </w:rPr>
            </w:pPr>
          </w:p>
        </w:tc>
      </w:tr>
      <w:tr>
        <w:trPr>
          <w:trHeight w:val="207"/>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units at September 13, 2019</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25,871,374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0.36</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52,526,759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b w:val="1"/>
                <w:bCs w:val="1"/>
                <w:color w:val="auto"/>
              </w:rPr>
              <w:t>Unvested units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25,871,374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52,526,759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fair value of the Profit Units is determined using a Monte Carlo simulation and the following assumptions:</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September 13, 2019</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through</w:t>
            </w:r>
          </w:p>
        </w:tc>
      </w:tr>
      <w:tr>
        <w:trPr>
          <w:trHeight w:val="170"/>
        </w:trPr>
        <w:tc>
          <w:tcPr>
            <w:tcW w:w="6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2019</w:t>
            </w: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w:t>
            </w:r>
          </w:p>
        </w:tc>
      </w:tr>
      <w:tr>
        <w:trPr>
          <w:trHeight w:val="214"/>
        </w:trPr>
        <w:tc>
          <w:tcPr>
            <w:tcW w:w="622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27"/>
        </w:trPr>
        <w:tc>
          <w:tcPr>
            <w:tcW w:w="6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expected life is based on estimates of the likely timing of a liquidity event. Volatility was determined based on an analysis of publicly traded peers.</w:t>
      </w:r>
    </w:p>
    <w:p>
      <w:pPr>
        <w:spacing w:after="0" w:line="244" w:lineRule="exact"/>
        <w:rPr>
          <w:sz w:val="20"/>
          <w:szCs w:val="20"/>
          <w:color w:val="auto"/>
        </w:rPr>
      </w:pPr>
    </w:p>
    <w:p>
      <w:pPr>
        <w:ind w:left="160" w:right="320"/>
        <w:spacing w:after="0" w:line="368" w:lineRule="auto"/>
        <w:rPr>
          <w:sz w:val="20"/>
          <w:szCs w:val="20"/>
          <w:color w:val="auto"/>
        </w:rPr>
      </w:pPr>
      <w:r>
        <w:rPr>
          <w:rFonts w:ascii="Arial" w:cs="Arial" w:eastAsia="Arial" w:hAnsi="Arial"/>
          <w:sz w:val="14"/>
          <w:szCs w:val="14"/>
          <w:color w:val="auto"/>
        </w:rPr>
        <w:t>As of December 31, 2019, there was $8,819 of unamortized share-based compensation expense related to the Time-Vesting Units and these costs are expected to be recognized over a remaining weighted average period of 4.8 years. There was $16,284 of unrecognized share-based compensation expense related to the Performance-Vesting Units. The Company will recognize these costs upon the achievement of a contingent exit event.</w:t>
      </w:r>
    </w:p>
    <w:p>
      <w:pPr>
        <w:spacing w:after="0" w:line="11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Company granted an additional 6,001,788 of Profits Units in 2020, of which 1,980,580 and 4,021,208 were Time-Vesting Units and Performance-Vesting Units,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6"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17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September 13, 2019, GoHealth Holdings, LLC acquired a 100% interest in Norvax. Per the Class C Plan, all eligible unvested units became vested and the Company recorded $73,938 of compensation expense in the Predecessor 2019 Period.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17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September 13, 2019, GoHealth Holdings, LLC acquired a 100% interest in Norvax. Per the Incentive Share Plan, a change in control triggering event occurred and employees granted incentive shares under this plan became eligible for cash payments and as a result, the Company recorded $13,122 in incentive share expense in the Predecessor 2019 Period.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Company’s provision for income taxes consists of the following for the Predecessor 2019 Period, the Successor 2019 Period, and the year ended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2018:</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8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gridSpan w:val="3"/>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January 1,</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Income (loss) before provision for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U.S.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15,514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(57,227)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28,166</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62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620" w:type="dxa"/>
            <w:vAlign w:val="bottom"/>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0"/>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Total provision (benefit)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both December 31, 2019 and 2018, the Company had no state tax net operating loss carryforwards or state tax credit carryforwards.</w:t>
      </w:r>
    </w:p>
    <w:p>
      <w:pPr>
        <w:spacing w:after="0" w:line="335" w:lineRule="exact"/>
        <w:rPr>
          <w:sz w:val="20"/>
          <w:szCs w:val="20"/>
          <w:color w:val="auto"/>
        </w:rPr>
      </w:pPr>
    </w:p>
    <w:p>
      <w:pPr>
        <w:ind w:left="160" w:right="7120" w:firstLine="7"/>
        <w:spacing w:after="0" w:line="374" w:lineRule="auto"/>
        <w:tabs>
          <w:tab w:leader="none" w:pos="427"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As of December 31, 2019, the Company had $821 of assets acquired under capital leases, for which the net book value was $725. The Company has capital lease arrangements to obtain computer equipment and furniture for the Company’s operations.</w:t>
      </w:r>
    </w:p>
    <w:p>
      <w:pPr>
        <w:spacing w:after="0" w:line="17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 The Company recognized rent expense of $1,979, $3,102 and $2,795 for the Successor 2019 Period, the Predecessor 2019 Period, and year ended December 31, 2018, respectively.</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6" w:right="5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Future minimum lease payments required under non-cancelable capital and operating leases as of December 31, 2019 were as follows:</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r>
      <w:tr>
        <w:trPr>
          <w:trHeight w:val="170"/>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Leases</w:t>
            </w:r>
          </w:p>
        </w:tc>
      </w:tr>
      <w:tr>
        <w:trPr>
          <w:trHeight w:val="207"/>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6,063</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w:t>
            </w: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12,708</w:t>
            </w:r>
          </w:p>
        </w:tc>
      </w:tr>
      <w:tr>
        <w:trPr>
          <w:trHeight w:val="221"/>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Total minimum lease payments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37,261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 and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 net of current portion</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period from September 13, 2019 through December 31, 2019, the period from January 1, 2019 through September 12, 2019 and the year ended December 31, 2018, the Company made aggregate lease payments of $298, $758, and $1,025, respectively, under these leases. In November 2019, the Company entered into an agreement with 215 W Superior LLC, to lease additional office space beginning in January 2020 and expiring on December 31, 2030. The lease’s first year annual rent is $145, with annual increases of $0.50 per square foot thereafter.</w:t>
      </w:r>
    </w:p>
    <w:p>
      <w:pPr>
        <w:spacing w:after="0" w:line="197"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$7,855.94 per flight hour for use of the aircraft.</w:t>
      </w:r>
    </w:p>
    <w:p>
      <w:pPr>
        <w:spacing w:after="0" w:line="293" w:lineRule="exact"/>
        <w:rPr>
          <w:sz w:val="20"/>
          <w:szCs w:val="20"/>
          <w:color w:val="auto"/>
        </w:rPr>
      </w:pPr>
    </w:p>
    <w:p>
      <w:pPr>
        <w:ind w:left="160" w:right="5700" w:firstLine="7"/>
        <w:spacing w:after="0" w:line="374" w:lineRule="auto"/>
        <w:tabs>
          <w:tab w:leader="none" w:pos="427"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9"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6"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 xml:space="preserve">reporting purposes in accordance with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Company’s business structure is comprised of four operating and reportable segments:</w:t>
      </w:r>
    </w:p>
    <w:p>
      <w:pPr>
        <w:spacing w:after="0" w:line="77" w:lineRule="exact"/>
        <w:rPr>
          <w:sz w:val="20"/>
          <w:szCs w:val="20"/>
          <w:color w:val="auto"/>
        </w:rPr>
      </w:pPr>
    </w:p>
    <w:p>
      <w:pPr>
        <w:jc w:val="both"/>
        <w:ind w:left="1140" w:right="600" w:hanging="438"/>
        <w:spacing w:after="0" w:line="261"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Medicare Internal and External: </w:t>
      </w:r>
      <w:r>
        <w:rPr>
          <w:rFonts w:ascii="Arial" w:cs="Arial" w:eastAsia="Arial" w:hAnsi="Arial"/>
          <w:sz w:val="18"/>
          <w:szCs w:val="18"/>
          <w:color w:val="auto"/>
        </w:rPr>
        <w:t>The Medicare internal and external segments consist primarily of revenues earned from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Medicare Supplement, Prescription Drug Plans, and Medicare Special Needs Plans (or “SNPs”), for multiple carriers.</w:t>
      </w:r>
    </w:p>
    <w:p>
      <w:pPr>
        <w:spacing w:after="0" w:line="87" w:lineRule="exact"/>
        <w:rPr>
          <w:rFonts w:ascii="Arial" w:cs="Arial" w:eastAsia="Arial" w:hAnsi="Arial"/>
          <w:sz w:val="18"/>
          <w:szCs w:val="18"/>
          <w:color w:val="auto"/>
        </w:rPr>
      </w:pPr>
    </w:p>
    <w:p>
      <w:pPr>
        <w:ind w:left="1140" w:right="200" w:hanging="438"/>
        <w:spacing w:after="0" w:line="261"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Individual and Family Plan and Other (“IFP and Other”) Internal and External: </w:t>
      </w:r>
      <w:r>
        <w:rPr>
          <w:rFonts w:ascii="Arial" w:cs="Arial" w:eastAsia="Arial" w:hAnsi="Arial"/>
          <w:sz w:val="18"/>
          <w:szCs w:val="18"/>
          <w:color w:val="auto"/>
        </w:rPr>
        <w:t>The IFP and Other internal and external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 primarily of revenues earned from sales of individual and family plans, dental plans, vision plans and other ancillary plans to individuals that are not Medicare-eligible.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Internal and External segments relative to both Medicare and IFP are defined as follows:</w:t>
      </w:r>
    </w:p>
    <w:p>
      <w:pPr>
        <w:spacing w:after="0" w:line="127" w:lineRule="exact"/>
        <w:rPr>
          <w:sz w:val="20"/>
          <w:szCs w:val="20"/>
          <w:color w:val="auto"/>
        </w:rPr>
      </w:pPr>
    </w:p>
    <w:p>
      <w:pPr>
        <w:ind w:left="1140" w:hanging="438"/>
        <w:spacing w:after="0" w:line="272" w:lineRule="auto"/>
        <w:tabs>
          <w:tab w:leader="none" w:pos="1140" w:val="left"/>
        </w:tabs>
        <w:numPr>
          <w:ilvl w:val="0"/>
          <w:numId w:val="157"/>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two internal segments primarily consist of sales of products and plans by Company-employed agents offering 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prospects plans from 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82" w:lineRule="exact"/>
        <w:rPr>
          <w:rFonts w:ascii="Arial" w:cs="Arial" w:eastAsia="Arial" w:hAnsi="Arial"/>
          <w:sz w:val="17"/>
          <w:szCs w:val="17"/>
          <w:color w:val="auto"/>
        </w:rPr>
      </w:pPr>
    </w:p>
    <w:p>
      <w:pPr>
        <w:ind w:left="1140" w:right="180" w:hanging="438"/>
        <w:spacing w:after="0" w:line="293" w:lineRule="auto"/>
        <w:tabs>
          <w:tab w:leader="none" w:pos="1140" w:val="left"/>
        </w:tabs>
        <w:numPr>
          <w:ilvl w:val="0"/>
          <w:numId w:val="157"/>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two external segments represent sales of products and plans under the Company’s carrier contracts using an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network of agents who are not employed by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6"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summary results of the Company’s operating segments for the following periods: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5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215,322</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59,152</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274,474</w:t>
            </w:r>
          </w:p>
        </w:tc>
        <w:tc>
          <w:tcPr>
            <w:tcW w:w="0" w:type="dxa"/>
            <w:vAlign w:val="bottom"/>
          </w:tcPr>
          <w:p>
            <w:pPr>
              <w:spacing w:after="0"/>
              <w:rPr>
                <w:sz w:val="1"/>
                <w:szCs w:val="1"/>
                <w:color w:val="auto"/>
              </w:rPr>
            </w:pPr>
          </w:p>
        </w:tc>
      </w:tr>
      <w:tr>
        <w:trPr>
          <w:trHeight w:val="307"/>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21"/>
        </w:trPr>
        <w:tc>
          <w:tcPr>
            <w:tcW w:w="752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520" w:type="dxa"/>
            <w:vAlign w:val="bottom"/>
          </w:tcPr>
          <w:p>
            <w:pPr>
              <w:spacing w:after="0"/>
              <w:rPr>
                <w:sz w:val="20"/>
                <w:szCs w:val="20"/>
                <w:color w:val="auto"/>
              </w:rPr>
            </w:pPr>
            <w:r>
              <w:rPr>
                <w:rFonts w:ascii="Arial" w:cs="Arial" w:eastAsia="Arial" w:hAnsi="Arial"/>
                <w:sz w:val="18"/>
                <w:szCs w:val="18"/>
                <w:color w:val="auto"/>
              </w:rPr>
              <w:t>Segment profit: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126,210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08"/>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136,794</w:t>
            </w: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7"/>
        </w:trPr>
        <w:tc>
          <w:tcPr>
            <w:tcW w:w="752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139,027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-4517390</wp:posOffset>
            </wp:positionV>
            <wp:extent cx="6929755" cy="45262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29755" cy="4526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00" w:type="dxa"/>
            <w:vAlign w:val="bottom"/>
            <w:tcBorders>
              <w:top w:val="single" w:sz="8" w:color="auto"/>
            </w:tcBorders>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00" w:hanging="292"/>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102,196   $   53,365</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55,981</w:t>
      </w:r>
      <w:r>
        <w:rPr>
          <w:rFonts w:ascii="Arial" w:cs="Arial" w:eastAsia="Arial" w:hAnsi="Arial"/>
          <w:sz w:val="16"/>
          <w:szCs w:val="16"/>
          <w:color w:val="auto"/>
        </w:rPr>
        <w:t>58,834</w:t>
      </w:r>
    </w:p>
    <w:p>
      <w:pPr>
        <w:spacing w:after="0" w:line="21"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158,177</w:t>
      </w:r>
      <w:r>
        <w:rPr>
          <w:sz w:val="20"/>
          <w:szCs w:val="20"/>
          <w:color w:val="auto"/>
        </w:rPr>
        <w:tab/>
      </w:r>
      <w:r>
        <w:rPr>
          <w:rFonts w:ascii="Arial" w:cs="Arial" w:eastAsia="Arial" w:hAnsi="Arial"/>
          <w:sz w:val="17"/>
          <w:szCs w:val="17"/>
          <w:color w:val="auto"/>
        </w:rPr>
        <w:t>112,199</w:t>
      </w:r>
    </w:p>
    <w:p>
      <w:pPr>
        <w:spacing w:after="0" w:line="339"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37,909</w:t>
      </w:r>
      <w:r>
        <w:rPr>
          <w:sz w:val="20"/>
          <w:szCs w:val="20"/>
          <w:color w:val="auto"/>
        </w:rPr>
        <w:tab/>
      </w:r>
      <w:r>
        <w:rPr>
          <w:rFonts w:ascii="Arial" w:cs="Arial" w:eastAsia="Arial" w:hAnsi="Arial"/>
          <w:sz w:val="18"/>
          <w:szCs w:val="18"/>
          <w:color w:val="auto"/>
        </w:rPr>
        <w:t>63,009</w:t>
      </w:r>
    </w:p>
    <w:p>
      <w:pPr>
        <w:spacing w:after="0" w:line="20"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34,924</w:t>
      </w:r>
      <w:r>
        <w:rPr>
          <w:sz w:val="20"/>
          <w:szCs w:val="20"/>
          <w:color w:val="auto"/>
        </w:rPr>
        <w:tab/>
      </w:r>
      <w:r>
        <w:rPr>
          <w:rFonts w:ascii="Arial" w:cs="Arial" w:eastAsia="Arial" w:hAnsi="Arial"/>
          <w:sz w:val="18"/>
          <w:szCs w:val="18"/>
          <w:color w:val="auto"/>
        </w:rPr>
        <w:t>50,997</w:t>
      </w:r>
    </w:p>
    <w:p>
      <w:pPr>
        <w:spacing w:after="0" w:line="21"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7"/>
          <w:szCs w:val="17"/>
          <w:color w:val="auto"/>
        </w:rPr>
        <w:t>72,833</w:t>
      </w:r>
      <w:r>
        <w:rPr>
          <w:sz w:val="20"/>
          <w:szCs w:val="20"/>
          <w:color w:val="auto"/>
        </w:rPr>
        <w:tab/>
      </w:r>
      <w:r>
        <w:rPr>
          <w:rFonts w:ascii="Arial" w:cs="Arial" w:eastAsia="Arial" w:hAnsi="Arial"/>
          <w:sz w:val="17"/>
          <w:szCs w:val="17"/>
          <w:color w:val="auto"/>
        </w:rPr>
        <w:t>114,006</w:t>
      </w:r>
    </w:p>
    <w:p>
      <w:pPr>
        <w:spacing w:after="0" w:line="45"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200" w:lineRule="exact"/>
        <w:rPr>
          <w:sz w:val="20"/>
          <w:szCs w:val="20"/>
          <w:color w:val="auto"/>
        </w:rPr>
      </w:pPr>
    </w:p>
    <w:p>
      <w:pPr>
        <w:spacing w:after="0" w:line="353"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40,024</w:t>
      </w:r>
      <w:r>
        <w:rPr>
          <w:sz w:val="20"/>
          <w:szCs w:val="20"/>
          <w:color w:val="auto"/>
        </w:rPr>
        <w:tab/>
      </w:r>
      <w:r>
        <w:rPr>
          <w:rFonts w:ascii="Arial" w:cs="Arial" w:eastAsia="Arial" w:hAnsi="Arial"/>
          <w:sz w:val="18"/>
          <w:szCs w:val="18"/>
          <w:color w:val="auto"/>
        </w:rPr>
        <w:t>24,183</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4,893</w:t>
      </w:r>
      <w:r>
        <w:rPr>
          <w:sz w:val="20"/>
          <w:szCs w:val="20"/>
          <w:color w:val="auto"/>
        </w:rPr>
        <w:tab/>
      </w:r>
      <w:r>
        <w:rPr>
          <w:rFonts w:ascii="Arial" w:cs="Arial" w:eastAsia="Arial" w:hAnsi="Arial"/>
          <w:sz w:val="18"/>
          <w:szCs w:val="18"/>
          <w:color w:val="auto"/>
        </w:rPr>
        <w:t>9,034</w:t>
      </w:r>
    </w:p>
    <w:p>
      <w:pPr>
        <w:spacing w:after="0" w:line="21"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44,917</w:t>
      </w:r>
      <w:r>
        <w:rPr>
          <w:sz w:val="20"/>
          <w:szCs w:val="20"/>
          <w:color w:val="auto"/>
        </w:rPr>
        <w:tab/>
      </w:r>
      <w:r>
        <w:rPr>
          <w:rFonts w:ascii="Arial" w:cs="Arial" w:eastAsia="Arial" w:hAnsi="Arial"/>
          <w:sz w:val="18"/>
          <w:szCs w:val="18"/>
          <w:color w:val="auto"/>
        </w:rPr>
        <w:t>33,217</w:t>
      </w:r>
    </w:p>
    <w:p>
      <w:pPr>
        <w:spacing w:after="0" w:line="221"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2,195</w:t>
      </w:r>
      <w:r>
        <w:rPr>
          <w:sz w:val="20"/>
          <w:szCs w:val="20"/>
          <w:color w:val="auto"/>
        </w:rPr>
        <w:tab/>
      </w:r>
      <w:r>
        <w:rPr>
          <w:rFonts w:ascii="Arial" w:cs="Arial" w:eastAsia="Arial" w:hAnsi="Arial"/>
          <w:sz w:val="18"/>
          <w:szCs w:val="18"/>
          <w:color w:val="auto"/>
        </w:rPr>
        <w:t>9,707</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1,748</w:t>
      </w:r>
      <w:r>
        <w:rPr>
          <w:sz w:val="20"/>
          <w:szCs w:val="20"/>
          <w:color w:val="auto"/>
        </w:rPr>
        <w:tab/>
      </w:r>
      <w:r>
        <w:rPr>
          <w:rFonts w:ascii="Arial" w:cs="Arial" w:eastAsia="Arial" w:hAnsi="Arial"/>
          <w:sz w:val="18"/>
          <w:szCs w:val="18"/>
          <w:color w:val="auto"/>
        </w:rPr>
        <w:t>2,848</w:t>
      </w:r>
    </w:p>
    <w:p>
      <w:pPr>
        <w:spacing w:after="0" w:line="21"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color w:val="auto"/>
        </w:rPr>
        <w:t>3,943</w:t>
      </w:r>
      <w:r>
        <w:rPr>
          <w:sz w:val="20"/>
          <w:szCs w:val="20"/>
          <w:color w:val="auto"/>
        </w:rPr>
        <w:tab/>
      </w:r>
      <w:r>
        <w:rPr>
          <w:rFonts w:ascii="Arial" w:cs="Arial" w:eastAsia="Arial" w:hAnsi="Arial"/>
          <w:sz w:val="18"/>
          <w:szCs w:val="18"/>
          <w:color w:val="auto"/>
        </w:rPr>
        <w:t>12,555</w:t>
      </w:r>
    </w:p>
    <w:p>
      <w:pPr>
        <w:spacing w:after="0" w:line="34"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48,860</w:t>
      </w:r>
      <w:r>
        <w:rPr>
          <w:sz w:val="20"/>
          <w:szCs w:val="20"/>
          <w:color w:val="auto"/>
        </w:rPr>
        <w:tab/>
      </w:r>
      <w:r>
        <w:rPr>
          <w:rFonts w:ascii="Arial" w:cs="Arial" w:eastAsia="Arial" w:hAnsi="Arial"/>
          <w:sz w:val="18"/>
          <w:szCs w:val="18"/>
          <w:color w:val="auto"/>
        </w:rPr>
        <w:t>45,773</w:t>
      </w:r>
    </w:p>
    <w:p>
      <w:pPr>
        <w:spacing w:after="0" w:line="20"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8"/>
          <w:szCs w:val="18"/>
          <w:color w:val="auto"/>
        </w:rPr>
        <w:t>103,469</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17,009</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7" w:lineRule="exact"/>
        <w:rPr>
          <w:sz w:val="20"/>
          <w:szCs w:val="20"/>
          <w:color w:val="auto"/>
        </w:rPr>
      </w:pPr>
    </w:p>
    <w:p>
      <w:pPr>
        <w:jc w:val="right"/>
        <w:ind w:firstLine="557"/>
        <w:spacing w:after="0" w:line="318" w:lineRule="auto"/>
        <w:tabs>
          <w:tab w:leader="none" w:pos="159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(379) </w:t>
      </w:r>
      <w:r>
        <w:rPr>
          <w:rFonts w:ascii="Arial" w:cs="Arial" w:eastAsia="Arial" w:hAnsi="Arial"/>
          <w:sz w:val="17"/>
          <w:szCs w:val="17"/>
          <w:u w:val="single" w:color="auto"/>
          <w:color w:val="auto"/>
        </w:rPr>
        <w:t>$   (57,129</w:t>
      </w:r>
      <w:r>
        <w:rPr>
          <w:rFonts w:ascii="Arial" w:cs="Arial" w:eastAsia="Arial" w:hAnsi="Arial"/>
          <w:sz w:val="17"/>
          <w:szCs w:val="17"/>
          <w:color w:val="auto"/>
        </w:rPr>
        <w:t xml:space="preserve">)  </w:t>
      </w:r>
      <w:r>
        <w:rPr>
          <w:rFonts w:ascii="Arial" w:cs="Arial" w:eastAsia="Arial" w:hAnsi="Arial"/>
          <w:sz w:val="17"/>
          <w:szCs w:val="17"/>
          <w:u w:val="single" w:color="auto"/>
          <w:color w:val="auto"/>
        </w:rPr>
        <w:t>$   28,160</w:t>
      </w:r>
    </w:p>
    <w:p>
      <w:pPr>
        <w:spacing w:after="0" w:line="191" w:lineRule="exact"/>
        <w:rPr>
          <w:sz w:val="20"/>
          <w:szCs w:val="20"/>
          <w:color w:val="auto"/>
        </w:rPr>
      </w:pPr>
    </w:p>
    <w:p>
      <w:pPr>
        <w:sectPr>
          <w:pgSz w:w="11900" w:h="16838" w:orient="portrait"/>
          <w:cols w:equalWidth="0" w:num="2">
            <w:col w:w="8540" w:space="500"/>
            <w:col w:w="2000"/>
          </w:cols>
          <w:pgMar w:left="320" w:top="456" w:right="539" w:bottom="1440" w:gutter="0" w:footer="0" w:header="0"/>
        </w:sectPr>
      </w:pPr>
    </w:p>
    <w:p>
      <w:pPr>
        <w:ind w:left="160" w:right="140"/>
        <w:spacing w:after="0" w:line="272" w:lineRule="auto"/>
        <w:rPr>
          <w:sz w:val="20"/>
          <w:szCs w:val="20"/>
          <w:color w:val="auto"/>
        </w:rPr>
      </w:pPr>
      <w:r>
        <w:rPr>
          <w:rFonts w:ascii="Arial" w:cs="Arial" w:eastAsia="Arial" w:hAnsi="Arial"/>
          <w:sz w:val="17"/>
          <w:szCs w:val="17"/>
          <w:color w:val="auto"/>
        </w:rPr>
        <w:t>Operating expenses that are directly attributable to a segment are reported within the applicable segment. Indirect marketing and advertising, customer care and enrollment and technology operating expenses are allocated to each segment based on various measures, including headcount and policy submissions. Other indirect general and administrative operating expenses are managed in a corporate shared services environment and, since these expenses are not the responsibility of segment operating management, are not allocated to the operating segments and are presented as a reconciling item to the Company’s consolidated financial results within a line item designated as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7645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5460" w:right="1500" w:hanging="5293"/>
        <w:spacing w:after="0" w:line="441"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8"/>
          <w:szCs w:val="18"/>
          <w:color w:val="auto"/>
        </w:rPr>
        <w:t>Includes the Class C share-based compensation and incentive share plan expense recorded in connection with the Acquisition F-37</w:t>
      </w:r>
    </w:p>
    <w:p>
      <w:pPr>
        <w:sectPr>
          <w:pgSz w:w="11900" w:h="16838" w:orient="portrait"/>
          <w:cols w:equalWidth="0" w:num="1">
            <w:col w:w="11040"/>
          </w:cols>
          <w:pgMar w:left="320" w:top="456" w:right="539" w:bottom="1440" w:gutter="0" w:footer="0" w:header="0"/>
          <w:type w:val="continuous"/>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660"/>
        <w:spacing w:after="0" w:line="301" w:lineRule="auto"/>
        <w:rPr>
          <w:sz w:val="20"/>
          <w:szCs w:val="20"/>
          <w:color w:val="auto"/>
        </w:rPr>
      </w:pPr>
      <w:r>
        <w:rPr>
          <w:rFonts w:ascii="Arial" w:cs="Arial" w:eastAsia="Arial" w:hAnsi="Arial"/>
          <w:sz w:val="17"/>
          <w:szCs w:val="17"/>
          <w:color w:val="auto"/>
        </w:rPr>
        <w:t>Substantially all revenue for the years ended December 31, 2019 and 2018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sectPr>
      </w:pPr>
    </w:p>
    <w:p>
      <w:pPr>
        <w:spacing w:after="0" w:line="170"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3540" w:type="dxa"/>
            <w:vAlign w:val="bottom"/>
            <w:gridSpan w:val="3"/>
          </w:tcPr>
          <w:p>
            <w:pPr>
              <w:jc w:val="center"/>
              <w:ind w:left="23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25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0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3120" w:type="dxa"/>
            <w:vAlign w:val="bottom"/>
          </w:tcPr>
          <w:p>
            <w:pPr>
              <w:spacing w:after="0"/>
              <w:rPr>
                <w:sz w:val="20"/>
                <w:szCs w:val="20"/>
                <w:color w:val="auto"/>
              </w:rPr>
            </w:pPr>
            <w:r>
              <w:rPr>
                <w:rFonts w:ascii="Arial" w:cs="Arial" w:eastAsia="Arial" w:hAnsi="Arial"/>
                <w:sz w:val="18"/>
                <w:szCs w:val="18"/>
                <w:color w:val="auto"/>
              </w:rPr>
              <w:t>Anthem</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-847725</wp:posOffset>
            </wp:positionV>
            <wp:extent cx="5817235" cy="8489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17235" cy="84899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ADOPTION IMPACT OF NEW REVENUE STANDARD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10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gridSpan w:val="2"/>
          </w:tcPr>
          <w:p>
            <w:pPr>
              <w:jc w:val="right"/>
              <w:ind w:right="60"/>
              <w:spacing w:after="0" w:line="19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6"/>
                <w:szCs w:val="16"/>
                <w:color w:val="auto"/>
              </w:rPr>
            </w:pPr>
          </w:p>
        </w:tc>
        <w:tc>
          <w:tcPr>
            <w:tcW w:w="98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629" w:lineRule="exact"/>
        <w:rPr>
          <w:sz w:val="20"/>
          <w:szCs w:val="20"/>
          <w:color w:val="auto"/>
        </w:rPr>
      </w:pPr>
    </w:p>
    <w:p>
      <w:pPr>
        <w:sectPr>
          <w:pgSz w:w="11900" w:h="16838" w:orient="portrait"/>
          <w:cols w:equalWidth="0" w:num="2">
            <w:col w:w="7700" w:space="320"/>
            <w:col w:w="3000"/>
          </w:cols>
          <w:pgMar w:left="320" w:top="456" w:right="559" w:bottom="1440" w:gutter="0" w:footer="0" w:header="0"/>
          <w:type w:val="continuous"/>
        </w:sectPr>
      </w:pPr>
    </w:p>
    <w:p>
      <w:pPr>
        <w:ind w:left="160"/>
        <w:spacing w:after="0" w:line="290"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1 - Summary of Business and Significant Accounting Policies</w:t>
      </w:r>
      <w:r>
        <w:rPr>
          <w:rFonts w:ascii="Arial" w:cs="Arial" w:eastAsia="Arial" w:hAnsi="Arial"/>
          <w:sz w:val="16"/>
          <w:szCs w:val="16"/>
          <w:color w:val="auto"/>
        </w:rPr>
        <w:t>,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The Company adopted ASC 606 effective January 1, 2019, on a full retrospective basis, and recorded a cumulative effect adjustment of $28,607 to increase retained earnings (deficit) as of January 1, 2018. The Company has applied the standard to all contracts.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20"/>
          </w:cols>
          <w:pgMar w:left="320" w:top="456" w:right="559" w:bottom="1440" w:gutter="0" w:footer="0" w:header="0"/>
          <w:type w:val="continuous"/>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present the impact of the adoption of ASC 606 on the Company’s previously reported historical results for the periods presented:</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Balance Sheet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512"/>
              <w:spacing w:after="0"/>
              <w:rPr>
                <w:sz w:val="20"/>
                <w:szCs w:val="20"/>
                <w:color w:val="auto"/>
              </w:rPr>
            </w:pPr>
            <w:r>
              <w:rPr>
                <w:rFonts w:ascii="Arial" w:cs="Arial" w:eastAsia="Arial" w:hAnsi="Arial"/>
                <w:sz w:val="14"/>
                <w:szCs w:val="14"/>
                <w:b w:val="1"/>
                <w:bCs w:val="1"/>
                <w:color w:val="auto"/>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20"/>
              <w:spacing w:after="0" w:line="118" w:lineRule="exact"/>
              <w:rPr>
                <w:sz w:val="20"/>
                <w:szCs w:val="20"/>
                <w:color w:val="auto"/>
              </w:rPr>
            </w:pPr>
            <w:r>
              <w:rPr>
                <w:rFonts w:ascii="Arial" w:cs="Arial" w:eastAsia="Arial" w:hAnsi="Arial"/>
                <w:sz w:val="13"/>
                <w:szCs w:val="13"/>
                <w:b w:val="1"/>
                <w:bCs w:val="1"/>
                <w:color w:val="auto"/>
                <w:w w:val="98"/>
              </w:rPr>
              <w:t>ASC 606</w:t>
            </w:r>
          </w:p>
        </w:tc>
        <w:tc>
          <w:tcPr>
            <w:tcW w:w="80" w:type="dxa"/>
            <w:vAlign w:val="bottom"/>
          </w:tcPr>
          <w:p>
            <w:pPr>
              <w:spacing w:after="0"/>
              <w:rPr>
                <w:sz w:val="10"/>
                <w:szCs w:val="10"/>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16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rPr>
              <w:t>Adoption</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 – current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38,685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(3,669)</w:t>
            </w: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72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76,842</w:t>
            </w:r>
          </w:p>
        </w:tc>
        <w:tc>
          <w:tcPr>
            <w:tcW w:w="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76,842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40,456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142,837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10,534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18,336</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non-current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35,100</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Incentive share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4"/>
              </w:rPr>
              <w:t>Redeemable Class B units – $10.00 par value; 4,930,000 issued and outstanding as of December 31,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246,000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246,000</w:t>
            </w: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Class A units – $10.00 par value; 8,365,000 issued and outstanding as of December 31, 2018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Class B units – $10.00 par value; 220,000 issued and outstanding as of December 31, 2018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Retained earnings (deficit)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(246,812)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(244,363)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(186,653)</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Redeemable Class B units and members’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5280"/>
              <w:spacing w:after="0"/>
              <w:rPr>
                <w:sz w:val="20"/>
                <w:szCs w:val="20"/>
                <w:color w:val="auto"/>
              </w:rPr>
            </w:pPr>
            <w:r>
              <w:rPr>
                <w:rFonts w:ascii="Arial" w:cs="Arial" w:eastAsia="Arial" w:hAnsi="Arial"/>
                <w:sz w:val="18"/>
                <w:szCs w:val="18"/>
                <w:color w:val="auto"/>
              </w:rPr>
              <w:t>F-39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Income Statement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2"/>
          </w:tcPr>
          <w:p>
            <w:pPr>
              <w:jc w:val="center"/>
              <w:ind w:right="9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42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300"/>
              <w:spacing w:after="0" w:line="118" w:lineRule="exact"/>
              <w:rPr>
                <w:sz w:val="20"/>
                <w:szCs w:val="20"/>
                <w:color w:val="auto"/>
              </w:rPr>
            </w:pPr>
            <w:r>
              <w:rPr>
                <w:rFonts w:ascii="Arial" w:cs="Arial" w:eastAsia="Arial" w:hAnsi="Arial"/>
                <w:sz w:val="13"/>
                <w:szCs w:val="13"/>
                <w:b w:val="1"/>
                <w:bCs w:val="1"/>
                <w:color w:val="auto"/>
                <w:w w:val="98"/>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20" w:type="dxa"/>
            <w:vAlign w:val="bottom"/>
            <w:gridSpan w:val="5"/>
          </w:tcPr>
          <w:p>
            <w:pPr>
              <w:jc w:val="right"/>
              <w:ind w:right="202"/>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$167,260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7"/>
              </w:rPr>
              <w:t>58,945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$226,205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51,308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28,274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28,129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44,509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16,197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27,458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27,458</w:t>
            </w:r>
          </w:p>
        </w:tc>
        <w:tc>
          <w:tcPr>
            <w:tcW w:w="0" w:type="dxa"/>
            <w:vAlign w:val="bottom"/>
          </w:tcPr>
          <w:p>
            <w:pPr>
              <w:spacing w:after="0"/>
              <w:rPr>
                <w:sz w:val="1"/>
                <w:szCs w:val="1"/>
                <w:color w:val="auto"/>
              </w:rPr>
            </w:pPr>
          </w:p>
        </w:tc>
      </w:tr>
      <w:tr>
        <w:trPr>
          <w:trHeight w:val="227"/>
        </w:trPr>
        <w:tc>
          <w:tcPr>
            <w:tcW w:w="7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167,601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29,841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197,442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(341)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29,103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28,763</w:t>
            </w:r>
          </w:p>
        </w:tc>
        <w:tc>
          <w:tcPr>
            <w:tcW w:w="0" w:type="dxa"/>
            <w:vAlign w:val="bottom"/>
          </w:tcPr>
          <w:p>
            <w:pPr>
              <w:spacing w:after="0"/>
              <w:rPr>
                <w:sz w:val="1"/>
                <w:szCs w:val="1"/>
                <w:color w:val="auto"/>
              </w:rPr>
            </w:pPr>
          </w:p>
        </w:tc>
      </w:tr>
      <w:tr>
        <w:trPr>
          <w:trHeight w:val="319"/>
        </w:trPr>
        <w:tc>
          <w:tcPr>
            <w:tcW w:w="7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(379)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 attributable to GoHealth Holdings, LLC</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2018 Cash Flow Impact – Operating Activities</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4"/>
          </w:tcPr>
          <w:p>
            <w:pPr>
              <w:jc w:val="center"/>
              <w:ind w:right="260"/>
              <w:spacing w:after="0" w:line="118" w:lineRule="exact"/>
              <w:rPr>
                <w:sz w:val="20"/>
                <w:szCs w:val="20"/>
                <w:color w:val="auto"/>
              </w:rPr>
            </w:pPr>
            <w:r>
              <w:rPr>
                <w:rFonts w:ascii="Arial" w:cs="Arial" w:eastAsia="Arial" w:hAnsi="Arial"/>
                <w:sz w:val="13"/>
                <w:szCs w:val="13"/>
                <w:b w:val="1"/>
                <w:bCs w:val="1"/>
                <w:color w:val="auto"/>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29,103</w:t>
            </w:r>
          </w:p>
        </w:tc>
        <w:tc>
          <w:tcPr>
            <w:tcW w:w="2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$ 28,114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(8,023)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Commissions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(65,445)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(2,172)</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$ 5,443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900" w:type="dxa"/>
            <w:vAlign w:val="bottom"/>
          </w:tcPr>
          <w:p>
            <w:pPr>
              <w:ind w:left="5280"/>
              <w:spacing w:after="0"/>
              <w:rPr>
                <w:sz w:val="20"/>
                <w:szCs w:val="20"/>
                <w:color w:val="auto"/>
              </w:rPr>
            </w:pPr>
            <w:r>
              <w:rPr>
                <w:rFonts w:ascii="Arial" w:cs="Arial" w:eastAsia="Arial" w:hAnsi="Arial"/>
                <w:sz w:val="18"/>
                <w:szCs w:val="18"/>
                <w:color w:val="auto"/>
              </w:rPr>
              <w:t>F-40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SUBSEQUENT EVENTS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 xml:space="preserve">Management has reviewed its December 31, 2019, consolidated financial statements for subsequent events through May 8, 2020, the date the financial statements were available to be issued. Other than the subsequent events described in </w:t>
      </w:r>
      <w:r>
        <w:rPr>
          <w:rFonts w:ascii="Arial" w:cs="Arial" w:eastAsia="Arial" w:hAnsi="Arial"/>
          <w:sz w:val="18"/>
          <w:szCs w:val="18"/>
          <w:i w:val="1"/>
          <w:iCs w:val="1"/>
          <w:color w:val="auto"/>
        </w:rPr>
        <w:t>Note 6 – Long Term Debt, Note 8 – Share-Based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11 – Related-Party Transactions, </w:t>
      </w:r>
      <w:r>
        <w:rPr>
          <w:rFonts w:ascii="Arial" w:cs="Arial" w:eastAsia="Arial" w:hAnsi="Arial"/>
          <w:sz w:val="18"/>
          <w:szCs w:val="18"/>
          <w:color w:val="auto"/>
        </w:rPr>
        <w:t>the Company is not aware of any subsequent events that would require recognition or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40"/>
          </w:cols>
          <w:pgMar w:left="320" w:top="456" w:right="5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4"/>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860" w:type="dxa"/>
            <w:vAlign w:val="bottom"/>
            <w:tcBorders>
              <w:lef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860" w:type="dxa"/>
            <w:vAlign w:val="bottom"/>
            <w:tcBorders>
              <w:left w:val="single" w:sz="8" w:color="auto"/>
            </w:tcBorders>
          </w:tcPr>
          <w:p>
            <w:pPr>
              <w:spacing w:after="0"/>
              <w:rPr>
                <w:sz w:val="12"/>
                <w:szCs w:val="12"/>
                <w:color w:val="auto"/>
              </w:rPr>
            </w:pPr>
          </w:p>
        </w:tc>
        <w:tc>
          <w:tcPr>
            <w:tcW w:w="11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860" w:type="dxa"/>
            <w:vAlign w:val="bottom"/>
            <w:tcBorders>
              <w:left w:val="single" w:sz="8" w:color="auto"/>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112,510</w:t>
            </w:r>
          </w:p>
        </w:tc>
        <w:tc>
          <w:tcPr>
            <w:tcW w:w="9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Borders>
              <w:lef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42,134</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26,073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23,978</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4,593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10,491</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23,514</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135,183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6,756</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(939)</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(937)</w:t>
            </w:r>
          </w:p>
        </w:tc>
        <w:tc>
          <w:tcPr>
            <w:tcW w:w="9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6" w:right="4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9"/>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20" w:type="dxa"/>
            <w:vAlign w:val="bottom"/>
            <w:shd w:val="clear" w:color="auto" w:fill="000000"/>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6" w:right="4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760" w:type="dxa"/>
            <w:vAlign w:val="bottom"/>
            <w:tcBorders>
              <w:top w:val="single" w:sz="8" w:color="auto"/>
            </w:tcBorders>
            <w:gridSpan w:val="2"/>
          </w:tcPr>
          <w:p>
            <w:pPr>
              <w:jc w:val="right"/>
              <w:spacing w:after="0" w:line="118" w:lineRule="exact"/>
              <w:rPr>
                <w:sz w:val="20"/>
                <w:szCs w:val="20"/>
                <w:color w:val="auto"/>
              </w:rPr>
            </w:pPr>
            <w:r>
              <w:rPr>
                <w:rFonts w:ascii="Arial" w:cs="Arial" w:eastAsia="Arial" w:hAnsi="Arial"/>
                <w:sz w:val="13"/>
                <w:szCs w:val="13"/>
                <w:b w:val="1"/>
                <w:bCs w:val="1"/>
                <w:color w:val="auto"/>
              </w:rPr>
              <w:t>March 31,</w:t>
            </w:r>
          </w:p>
        </w:tc>
        <w:tc>
          <w:tcPr>
            <w:tcW w:w="600" w:type="dxa"/>
            <w:vAlign w:val="bottom"/>
            <w:gridSpan w:val="2"/>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7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2"/>
              </w:rPr>
              <w:t>(Unaudited)</w:t>
            </w: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152,423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$651 in 2020 and $904 in 2019</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6,422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24,461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58,173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101,078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6,010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223,028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143,769</w:t>
            </w: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330,617</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281,853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759,269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782,783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386,553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954</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12,718</w:t>
            </w: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11,740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34,536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56,003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14,867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4,170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81,209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113,065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113,516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97,489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397,652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288,233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247,100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242,700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758,838</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629,086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Members’ Equity:</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Preferred units – $1.00 par value; 541,263,042 units authorized, issued and outstanding at March 31, 2020 and December 31,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546,972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547,542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8"/>
              </w:rPr>
              <w:t>Class A Common units – $1.00 par value; 237,938,682 units authorized, issued and outstanding at March 31, 2020 and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219,139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218,911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B Common units – $1.00 par value; 108,727,667 and 102,061,318 units authorized, issued and outstanding at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March 31, 2020 and December 31, 2019, respectively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103,593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93,708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3"/>
              </w:rPr>
              <w:t>Senior Preferred Earnout Units – no par value; none authorized, issued, and outstanding at March 31, 2020 or 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40" w:type="dxa"/>
            <w:vAlign w:val="bottom"/>
            <w:gridSpan w:val="2"/>
          </w:tcPr>
          <w:p>
            <w:pPr>
              <w:ind w:left="4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Profits Units – no par value; 97,918,116 units authorized at March 31, 2020 and December 31, 2019; 84,399,921 and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78,398,133 units issued at March 31, 2020 and December 31, 2019, respectively; and none outstanding at March 31, 2020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and December 31, 2019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tcPr>
          <w:p>
            <w:pPr>
              <w:spacing w:after="0"/>
              <w:rPr>
                <w:sz w:val="17"/>
                <w:szCs w:val="17"/>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869,602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860,144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6"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3"/>
              </w:rPr>
              <w:t>Three Months Ended March 31, 2020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Class A</w:t>
            </w:r>
          </w:p>
        </w:tc>
        <w:tc>
          <w:tcPr>
            <w:tcW w:w="14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jc w:val="right"/>
              <w:ind w:right="220"/>
              <w:spacing w:after="0" w:line="147" w:lineRule="exact"/>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6"/>
                <w:szCs w:val="6"/>
                <w:color w:val="auto"/>
              </w:rPr>
            </w:pPr>
          </w:p>
        </w:tc>
        <w:tc>
          <w:tcPr>
            <w:tcW w:w="940" w:type="dxa"/>
            <w:vAlign w:val="bottom"/>
            <w:gridSpan w:val="2"/>
            <w:vMerge w:val="restart"/>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0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Preferred Units</w:t>
            </w:r>
          </w:p>
        </w:tc>
        <w:tc>
          <w:tcPr>
            <w:tcW w:w="160" w:type="dxa"/>
            <w:vAlign w:val="bottom"/>
            <w:vMerge w:val="restart"/>
          </w:tcPr>
          <w:p>
            <w:pPr>
              <w:spacing w:after="0"/>
              <w:rPr>
                <w:sz w:val="5"/>
                <w:szCs w:val="5"/>
                <w:color w:val="auto"/>
              </w:rPr>
            </w:pPr>
          </w:p>
        </w:tc>
        <w:tc>
          <w:tcPr>
            <w:tcW w:w="1300" w:type="dxa"/>
            <w:vAlign w:val="bottom"/>
            <w:gridSpan w:val="5"/>
            <w:vMerge w:val="restart"/>
          </w:tcPr>
          <w:p>
            <w:pPr>
              <w:jc w:val="right"/>
              <w:ind w:right="109"/>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3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9"/>
              </w:rPr>
              <w:t>Class A Units</w:t>
            </w:r>
          </w:p>
        </w:tc>
        <w:tc>
          <w:tcPr>
            <w:tcW w:w="12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5"/>
              </w:rPr>
              <w:t>Class B Units</w:t>
            </w:r>
          </w:p>
        </w:tc>
        <w:tc>
          <w:tcPr>
            <w:tcW w:w="12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5"/>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40" w:type="dxa"/>
            <w:vAlign w:val="bottom"/>
            <w:tcBorders>
              <w:bottom w:val="single" w:sz="8" w:color="auto"/>
            </w:tcBorders>
            <w:gridSpan w:val="5"/>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60" w:type="dxa"/>
            <w:vAlign w:val="bottom"/>
            <w:tcBorders>
              <w:bottom w:val="single" w:sz="8" w:color="auto"/>
            </w:tcBorders>
            <w:gridSpan w:val="3"/>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gridSpan w:val="3"/>
            <w:vMerge w:val="restart"/>
          </w:tcPr>
          <w:p>
            <w:pPr>
              <w:jc w:val="right"/>
              <w:ind w:right="200"/>
              <w:spacing w:after="0" w:line="147"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Comprehensive</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(Loss) Income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Successor:</w:t>
            </w: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$547,542</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w w:val="95"/>
              </w:rPr>
              <w:t>$218,911</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102,061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93,708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$ 860,144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Issuance of</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common units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479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Net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(570)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6"/>
                <w:szCs w:val="16"/>
                <w:color w:val="auto"/>
              </w:rPr>
              <w:t>(251)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546,972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219,139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108,728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103,593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$ 869,602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11"/>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11"/>
          </w:tcPr>
          <w:p>
            <w:pPr>
              <w:spacing w:after="0"/>
              <w:rPr>
                <w:sz w:val="20"/>
                <w:szCs w:val="20"/>
                <w:color w:val="auto"/>
              </w:rPr>
            </w:pPr>
            <w:r>
              <w:rPr>
                <w:rFonts w:ascii="Arial" w:cs="Arial" w:eastAsia="Arial" w:hAnsi="Arial"/>
                <w:sz w:val="14"/>
                <w:szCs w:val="14"/>
                <w:b w:val="1"/>
                <w:bCs w:val="1"/>
                <w:color w:val="auto"/>
                <w:w w:val="99"/>
              </w:rPr>
              <w:t>Three Months Ended March 31, 2019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Predecessor:</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(189,102)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$(186,653)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Redeemable</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B unit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(115,000)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(115,000)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197"/>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(299,100)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(296,697)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6"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7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20" w:type="dxa"/>
            <w:vAlign w:val="bottom"/>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(937)</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633</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23,514</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18,365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(5,859)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(864)</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(10,828)</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(5,441)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7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Purchases of property, equipment and software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31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117,000</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Principal payments under term loans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capital lease obligations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under revolving credit facilities, net of payments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(6,011)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received upon issuance of common units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7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76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6" w:right="4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Three Month Period Ended March 31, 2020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Three Month Period Ended March 31,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unaudited)</w:t>
      </w:r>
    </w:p>
    <w:p>
      <w:pPr>
        <w:spacing w:after="0" w:line="204" w:lineRule="exact"/>
        <w:rPr>
          <w:sz w:val="20"/>
          <w:szCs w:val="20"/>
          <w:color w:val="auto"/>
        </w:rPr>
      </w:pPr>
    </w:p>
    <w:p>
      <w:pPr>
        <w:ind w:left="160" w:right="4740" w:firstLine="7"/>
        <w:spacing w:after="0" w:line="374" w:lineRule="auto"/>
        <w:tabs>
          <w:tab w:leader="none" w:pos="338"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condensed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180"/>
        <w:spacing w:after="0" w:line="252" w:lineRule="auto"/>
        <w:rPr>
          <w:sz w:val="20"/>
          <w:szCs w:val="20"/>
          <w:color w:val="auto"/>
        </w:rPr>
      </w:pPr>
      <w:r>
        <w:rPr>
          <w:rFonts w:ascii="Arial" w:cs="Arial" w:eastAsia="Arial" w:hAnsi="Arial"/>
          <w:sz w:val="18"/>
          <w:szCs w:val="18"/>
          <w:color w:val="auto"/>
        </w:rPr>
        <w:t xml:space="preserve">As a result of the Acquisition, which is discussed further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was determined to be the accounting acquirer and Norvax’s historical assets and liabilities are reflected at fair value as of the acquisition date. The financial information for the period after September 13, 2019, represents the condensed consolidated financial information of the “Successor” company. Prior to September 13, 2019, the condensed consolidated financial statements include the accounts of the “Predecessor” company. Due to the change in the basis of accounting resulting from the application of the acquisition method of accounting, the Predecessor’s condensed consolidated financial statements and the Successor’s condensed consolidated financial statements are not necessarily comparable.</w:t>
      </w:r>
    </w:p>
    <w:p>
      <w:pPr>
        <w:spacing w:after="0" w:line="19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7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These interim financial statements should be read in conjunction with the Company’s audited consolidated financial statements and notes thereto as of and for the year ended December 31, 2019, which are included elsewhere in this Registration Statement on Form S-1. Interim results are not necessarily indicative of results for the full fiscal year due to seasonality and other factors.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060"/>
          </w:cols>
          <w:pgMar w:left="320" w:top="456" w:right="5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24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March 31, 2020 and December 31, 2019, the Company’s cash balances in the United States exceeded the FDIC-insured limits by $151,904 and $11,936,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March 31, 2020, three customers each represented 10% or more of the Company’s total accounts receivable and, in aggregate, represented 66%, or $4,268, of the Company’s total accounts receivable. As of December 31, 2019, five customers each represented 10% or more of the Company’s total accounts receivable and, in aggregate, represented 87%, or $21,220, of the Company’s total accounts receivable. No other customers represented 10% or more of the Company’s total accounts receivable at March 31, 2020 and December 31, 2019.</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w:t>
      </w:r>
    </w:p>
    <w:p>
      <w:pPr>
        <w:spacing w:after="0" w:line="186"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60"/>
          </w:cols>
          <w:pgMar w:left="320" w:top="456" w:right="5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goods or services. Accordingly, the Company recognizes revenue for its services in accordance with the following five steps outlined in ASC 606:</w:t>
      </w:r>
    </w:p>
    <w:p>
      <w:pPr>
        <w:spacing w:after="0" w:line="139" w:lineRule="exact"/>
        <w:rPr>
          <w:sz w:val="20"/>
          <w:szCs w:val="20"/>
          <w:color w:val="auto"/>
        </w:rPr>
      </w:pPr>
    </w:p>
    <w:p>
      <w:pPr>
        <w:ind w:left="1140" w:right="100" w:hanging="438"/>
        <w:spacing w:after="0" w:line="270" w:lineRule="auto"/>
        <w:tabs>
          <w:tab w:leader="none" w:pos="11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6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60"/>
          </w:cols>
          <w:pgMar w:left="320" w:top="456" w:right="5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3"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6" w:right="49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1"/>
              </w:rPr>
              <w:t>Successor</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0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460" w:type="dxa"/>
            <w:vAlign w:val="bottom"/>
            <w:gridSpan w:val="2"/>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March 31, 2020</w:t>
            </w:r>
          </w:p>
        </w:tc>
        <w:tc>
          <w:tcPr>
            <w:tcW w:w="32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94"/>
        </w:trPr>
        <w:tc>
          <w:tcPr>
            <w:tcW w:w="6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left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Medicare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99,291</w:t>
            </w:r>
          </w:p>
        </w:tc>
        <w:tc>
          <w:tcPr>
            <w:tcW w:w="460" w:type="dxa"/>
            <w:vAlign w:val="bottom"/>
            <w:tcBorders>
              <w:lef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2,189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0"/>
        </w:trPr>
        <w:tc>
          <w:tcPr>
            <w:tcW w:w="660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102,051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6,779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Ancillary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0"/>
        </w:trPr>
        <w:tc>
          <w:tcPr>
            <w:tcW w:w="660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28,500</w:t>
            </w: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141,010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 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Disclosure Framework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w:t>
      </w:r>
      <w:r>
        <w:rPr>
          <w:rFonts w:ascii="Arial" w:cs="Arial" w:eastAsia="Arial" w:hAnsi="Arial"/>
          <w:sz w:val="18"/>
          <w:szCs w:val="18"/>
          <w:color w:val="auto"/>
        </w:rPr>
        <w:t>t (Topic 820), which amended the disclosure requirements under ASC 820. This update clarifies and unifies the disclosure of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instruments.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6" w:right="5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This guidance is effective for fiscal years beginning after December 15, 2019 and for interim periods within those fiscal years, although early adoption is permitted for either the entire standard or only the provisions that eliminate or modify the requirements. The Company adopted this standard on January 1, 2020, and the adoption did not have a material effect on our condensed consolidated financial statements.</w:t>
      </w:r>
    </w:p>
    <w:p>
      <w:pPr>
        <w:spacing w:after="0" w:line="169"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adopted this standard on January 1, 2020, and the adoption did not have a material effect on our condensed consolidated financial statements.</w:t>
      </w:r>
    </w:p>
    <w:p>
      <w:pPr>
        <w:spacing w:after="0" w:line="161"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2020-05, </w:t>
      </w:r>
      <w:r>
        <w:rPr>
          <w:rFonts w:ascii="Arial" w:cs="Arial" w:eastAsia="Arial" w:hAnsi="Arial"/>
          <w:sz w:val="16"/>
          <w:szCs w:val="16"/>
          <w:i w:val="1"/>
          <w:iCs w:val="1"/>
          <w:color w:val="auto"/>
        </w:rPr>
        <w:t>Revenue from Contracts with Customers (Topic 606) and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 Effective Dates for Certain Entities</w:t>
      </w:r>
      <w:r>
        <w:rPr>
          <w:rFonts w:ascii="Arial" w:cs="Arial" w:eastAsia="Arial" w:hAnsi="Arial"/>
          <w:sz w:val="16"/>
          <w:szCs w:val="16"/>
          <w:color w:val="auto"/>
        </w:rPr>
        <w:t>, issued June 2020, the guidance in ASU 2016-02, as amended, is effective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2021, and interim periods within fiscal years beginning after December 15, 2022. Early adoption is permitted. The Company is currently evaluating the new guidance to determine the impact it will have on its condensed consolidated financial statements.</w:t>
      </w:r>
    </w:p>
    <w:p>
      <w:pPr>
        <w:spacing w:after="0" w:line="166"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condensed consolidated financial statements.</w:t>
      </w:r>
    </w:p>
    <w:p>
      <w:pPr>
        <w:spacing w:after="0" w:line="297" w:lineRule="exact"/>
        <w:rPr>
          <w:sz w:val="20"/>
          <w:szCs w:val="20"/>
          <w:color w:val="auto"/>
        </w:rPr>
      </w:pPr>
    </w:p>
    <w:p>
      <w:pPr>
        <w:ind w:left="160" w:right="8780" w:firstLine="7"/>
        <w:spacing w:after="0" w:line="421" w:lineRule="auto"/>
        <w:tabs>
          <w:tab w:leader="none" w:pos="338"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2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920" w:type="dxa"/>
            <w:vAlign w:val="bottom"/>
            <w:gridSpan w:val="2"/>
          </w:tcPr>
          <w:p>
            <w:pPr>
              <w:spacing w:after="0"/>
              <w:rPr>
                <w:sz w:val="20"/>
                <w:szCs w:val="20"/>
                <w:color w:val="auto"/>
              </w:rPr>
            </w:pPr>
            <w:r>
              <w:rPr>
                <w:rFonts w:ascii="Arial" w:cs="Arial" w:eastAsia="Arial" w:hAnsi="Arial"/>
                <w:sz w:val="18"/>
                <w:szCs w:val="18"/>
                <w:color w:val="auto"/>
              </w:rPr>
              <w:t>The elements of the purchase consideration are as follows: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60" w:type="dxa"/>
            <w:vAlign w:val="bottom"/>
            <w:vMerge w:val="restart"/>
          </w:tcPr>
          <w:p>
            <w:pPr>
              <w:spacing w:after="0"/>
              <w:rPr>
                <w:sz w:val="21"/>
                <w:szCs w:val="21"/>
                <w:color w:val="auto"/>
              </w:rPr>
            </w:pPr>
          </w:p>
        </w:tc>
        <w:tc>
          <w:tcPr>
            <w:tcW w:w="5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221"/>
        </w:trPr>
        <w:tc>
          <w:tcPr>
            <w:tcW w:w="6920" w:type="dxa"/>
            <w:vAlign w:val="bottom"/>
            <w:gridSpan w:val="2"/>
          </w:tcPr>
          <w:p>
            <w:pPr>
              <w:ind w:left="1760"/>
              <w:spacing w:after="0"/>
              <w:rPr>
                <w:sz w:val="20"/>
                <w:szCs w:val="20"/>
                <w:color w:val="auto"/>
              </w:rPr>
            </w:pPr>
            <w:r>
              <w:rPr>
                <w:rFonts w:ascii="Arial" w:cs="Arial" w:eastAsia="Arial" w:hAnsi="Arial"/>
                <w:sz w:val="18"/>
                <w:szCs w:val="18"/>
                <w:color w:val="auto"/>
              </w:rPr>
              <w:t>Total consideration</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160" w:type="dxa"/>
            <w:vAlign w:val="bottom"/>
            <w:vMerge w:val="restart"/>
          </w:tcPr>
          <w:p>
            <w:pPr>
              <w:ind w:left="3540"/>
              <w:spacing w:after="0"/>
              <w:rPr>
                <w:sz w:val="20"/>
                <w:szCs w:val="20"/>
                <w:color w:val="auto"/>
              </w:rPr>
            </w:pPr>
            <w:r>
              <w:rPr>
                <w:rFonts w:ascii="Arial" w:cs="Arial" w:eastAsia="Arial" w:hAnsi="Arial"/>
                <w:sz w:val="18"/>
                <w:szCs w:val="18"/>
                <w:color w:val="auto"/>
              </w:rPr>
              <w:t>F-52</w:t>
            </w: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7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from operations.</w:t>
      </w:r>
    </w:p>
    <w:p>
      <w:pPr>
        <w:spacing w:after="0" w:line="17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full amount available relative to the 2019 target was earned as of December 31, 2019. On May 15, 2020, the contingent consideration related to the 2019 target of $200,000 was settled with the issuance of 113,407,000 Class A Common units, 48,644,750 Class B Common units, and 100,000,000 Senior Preferred Earnout Units.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496,000</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232,000</w:t>
            </w:r>
          </w:p>
        </w:tc>
        <w:tc>
          <w:tcPr>
            <w:tcW w:w="100" w:type="dxa"/>
            <w:vAlign w:val="bottom"/>
          </w:tcPr>
          <w:p>
            <w:pPr>
              <w:spacing w:after="0"/>
              <w:rPr>
                <w:sz w:val="18"/>
                <w:szCs w:val="18"/>
                <w:color w:val="auto"/>
              </w:rPr>
            </w:pP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386,553</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86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277" w:lineRule="exact"/>
        <w:rPr>
          <w:sz w:val="20"/>
          <w:szCs w:val="20"/>
          <w:color w:val="auto"/>
        </w:rPr>
      </w:pPr>
    </w:p>
    <w:p>
      <w:pPr>
        <w:ind w:left="160" w:right="8160" w:firstLine="7"/>
        <w:spacing w:after="0" w:line="396" w:lineRule="auto"/>
        <w:tabs>
          <w:tab w:leader="none" w:pos="338"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Successor</w:t>
            </w:r>
          </w:p>
        </w:tc>
      </w:tr>
      <w:tr>
        <w:trPr>
          <w:trHeight w:val="118"/>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12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March 31, 2020</w:t>
            </w:r>
          </w:p>
        </w:tc>
      </w:tr>
      <w:tr>
        <w:trPr>
          <w:trHeight w:val="207"/>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Commission revenue</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112,510</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receipts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(106,651)</w:t>
            </w:r>
          </w:p>
        </w:tc>
      </w:tr>
      <w:tr>
        <w:trPr>
          <w:trHeight w:val="221"/>
        </w:trPr>
        <w:tc>
          <w:tcPr>
            <w:tcW w:w="20" w:type="dxa"/>
            <w:vAlign w:val="bottom"/>
          </w:tcPr>
          <w:p>
            <w:pPr>
              <w:spacing w:after="0"/>
              <w:rPr>
                <w:sz w:val="19"/>
                <w:szCs w:val="19"/>
                <w:color w:val="auto"/>
              </w:rPr>
            </w:pPr>
          </w:p>
        </w:tc>
        <w:tc>
          <w:tcPr>
            <w:tcW w:w="3620" w:type="dxa"/>
            <w:vAlign w:val="bottom"/>
          </w:tcPr>
          <w:p>
            <w:pPr>
              <w:ind w:left="340"/>
              <w:spacing w:after="0"/>
              <w:rPr>
                <w:sz w:val="20"/>
                <w:szCs w:val="20"/>
                <w:color w:val="auto"/>
              </w:rPr>
            </w:pPr>
            <w:r>
              <w:rPr>
                <w:rFonts w:ascii="Arial" w:cs="Arial" w:eastAsia="Arial" w:hAnsi="Arial"/>
                <w:sz w:val="18"/>
                <w:szCs w:val="18"/>
                <w:b w:val="1"/>
                <w:bCs w:val="1"/>
                <w:color w:val="auto"/>
              </w:rPr>
              <w:t>Ending balance</w:t>
            </w:r>
          </w:p>
        </w:tc>
        <w:tc>
          <w:tcPr>
            <w:tcW w:w="4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388,790</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4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20" w:type="dxa"/>
            <w:vAlign w:val="bottom"/>
            <w:shd w:val="clear" w:color="auto" w:fill="CCEEFF"/>
          </w:tcPr>
          <w:p>
            <w:pPr>
              <w:spacing w:after="0"/>
              <w:rPr>
                <w:sz w:val="18"/>
                <w:szCs w:val="18"/>
                <w:color w:val="auto"/>
              </w:rPr>
            </w:pPr>
          </w:p>
        </w:tc>
      </w:tr>
      <w:tr>
        <w:trPr>
          <w:trHeight w:val="220"/>
        </w:trPr>
        <w:tc>
          <w:tcPr>
            <w:tcW w:w="364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4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330,617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60" w:type="dxa"/>
            <w:vAlign w:val="bottom"/>
            <w:gridSpan w:val="2"/>
          </w:tcPr>
          <w:p>
            <w:pPr>
              <w:ind w:left="780"/>
              <w:spacing w:after="0"/>
              <w:rPr>
                <w:sz w:val="20"/>
                <w:szCs w:val="20"/>
                <w:color w:val="auto"/>
              </w:rPr>
            </w:pPr>
            <w:r>
              <w:rPr>
                <w:rFonts w:ascii="Arial" w:cs="Arial" w:eastAsia="Arial" w:hAnsi="Arial"/>
                <w:sz w:val="18"/>
                <w:szCs w:val="18"/>
                <w:color w:val="auto"/>
              </w:rPr>
              <w:t>F-53</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the three months ended March 31, 2020, the Company recognized $14,577 of revenue that was deferred as of December 31, 2019.</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60"/>
          </w:cols>
          <w:pgMar w:left="320" w:top="456" w:right="51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40"/>
          </w:cols>
          <w:pgMar w:left="320" w:top="456" w:right="51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4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fair value of the contingent consideration was measured using a Monte Carlo simulation and is discounted using a rate that appropriately captures the risk associated with the obligation. The weighted average discount rate used to value the contingent consideration as of March 31, 2020, was approximately 13% and was based on an analysis of publicly traded peers. Expected volatility was estimated to be 45%, based on an analysis of publicly traded peers that ranged from approximately 40% to 117%.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$242,700</w:t>
            </w:r>
          </w:p>
        </w:tc>
        <w:tc>
          <w:tcPr>
            <w:tcW w:w="60" w:type="dxa"/>
            <w:vAlign w:val="bottom"/>
            <w:shd w:val="clear" w:color="auto" w:fill="CCEEFF"/>
          </w:tcPr>
          <w:p>
            <w:pPr>
              <w:spacing w:after="0"/>
              <w:rPr>
                <w:sz w:val="18"/>
                <w:szCs w:val="18"/>
                <w:color w:val="auto"/>
              </w:rPr>
            </w:pPr>
          </w:p>
        </w:tc>
      </w:tr>
      <w:tr>
        <w:trPr>
          <w:trHeight w:val="221"/>
        </w:trPr>
        <w:tc>
          <w:tcPr>
            <w:tcW w:w="7540" w:type="dxa"/>
            <w:vAlign w:val="bottom"/>
          </w:tcPr>
          <w:p>
            <w:pPr>
              <w:spacing w:after="0"/>
              <w:rPr>
                <w:sz w:val="20"/>
                <w:szCs w:val="20"/>
                <w:color w:val="auto"/>
              </w:rPr>
            </w:pPr>
            <w:r>
              <w:rPr>
                <w:rFonts w:ascii="Arial" w:cs="Arial" w:eastAsia="Arial" w:hAnsi="Arial"/>
                <w:sz w:val="18"/>
                <w:szCs w:val="18"/>
                <w:color w:val="auto"/>
              </w:rPr>
              <w:t>2020 earnout fair value adjustment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Pr>
          <w:p>
            <w:pPr>
              <w:spacing w:after="0"/>
              <w:rPr>
                <w:sz w:val="19"/>
                <w:szCs w:val="19"/>
                <w:color w:val="auto"/>
              </w:rPr>
            </w:pPr>
          </w:p>
        </w:tc>
      </w:t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247,100</w:t>
            </w:r>
          </w:p>
        </w:tc>
        <w:tc>
          <w:tcPr>
            <w:tcW w:w="60" w:type="dxa"/>
            <w:vAlign w:val="bottom"/>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60"/>
          </w:cols>
          <w:pgMar w:left="320" w:top="456" w:right="519" w:bottom="1440" w:gutter="0" w:footer="0" w:header="0"/>
          <w:type w:val="continuous"/>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carrying amounts, accumulated amortization, and net carrying value of the Company’s definite-lived amortizable intangible assets, as well as its definite-lived intangible trademarks, are presented in the tables below:</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10"/>
          </w:tcPr>
          <w:p>
            <w:pPr>
              <w:jc w:val="right"/>
              <w:ind w:right="48"/>
              <w:spacing w:after="0"/>
              <w:rPr>
                <w:sz w:val="20"/>
                <w:szCs w:val="20"/>
                <w:color w:val="auto"/>
              </w:rPr>
            </w:pPr>
            <w:r>
              <w:rPr>
                <w:rFonts w:ascii="Arial" w:cs="Arial" w:eastAsia="Arial" w:hAnsi="Arial"/>
                <w:sz w:val="14"/>
                <w:szCs w:val="14"/>
                <w:b w:val="1"/>
                <w:bCs w:val="1"/>
                <w:color w:val="auto"/>
                <w:w w:val="94"/>
              </w:rPr>
              <w:t>March 31, 2020 (Successor)</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38,971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457,029</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12,760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219,240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51,731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676,269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759,269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21,257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474,743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6,960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225,040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28,217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699,783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782,783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w w:val="89"/>
              </w:rPr>
              <w:t>There was no impairment of goodwill or intangible assets for the three months ended March 31, 2020.</w:t>
            </w: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6. LONG TERM DEBT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300" w:type="dxa"/>
            <w:vAlign w:val="bottom"/>
            <w:gridSpan w:val="2"/>
          </w:tcPr>
          <w:p>
            <w:pPr>
              <w:spacing w:after="0"/>
              <w:rPr>
                <w:sz w:val="20"/>
                <w:szCs w:val="20"/>
                <w:color w:val="auto"/>
              </w:rPr>
            </w:pPr>
            <w:r>
              <w:rPr>
                <w:rFonts w:ascii="Arial" w:cs="Arial" w:eastAsia="Arial" w:hAnsi="Arial"/>
                <w:sz w:val="18"/>
                <w:szCs w:val="18"/>
                <w:color w:val="auto"/>
              </w:rPr>
              <w:t>The Company’s long-term debt consisted of the following:</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rPr>
                <w:sz w:val="24"/>
                <w:szCs w:val="24"/>
                <w:color w:val="auto"/>
              </w:rPr>
            </w:pPr>
          </w:p>
        </w:tc>
        <w:tc>
          <w:tcPr>
            <w:tcW w:w="980" w:type="dxa"/>
            <w:vAlign w:val="bottom"/>
            <w:gridSpan w:val="4"/>
          </w:tcPr>
          <w:p>
            <w:pPr>
              <w:ind w:left="1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2"/>
                <w:szCs w:val="12"/>
                <w:color w:val="auto"/>
              </w:rPr>
            </w:pPr>
          </w:p>
        </w:tc>
        <w:tc>
          <w:tcPr>
            <w:tcW w:w="96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8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8.11% - 8.41%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$ 415,500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299,250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unamortized debt discount and issuance costs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(13,678)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$ 397,652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5460" w:right="2200" w:hanging="4758"/>
        <w:spacing w:after="0" w:line="441" w:lineRule="auto"/>
        <w:tabs>
          <w:tab w:leader="none" w:pos="11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 F-55</w:t>
      </w:r>
    </w:p>
    <w:p>
      <w:pPr>
        <w:sectPr>
          <w:pgSz w:w="11900" w:h="16838" w:orient="portrait"/>
          <w:cols w:equalWidth="0" w:num="1">
            <w:col w:w="11080"/>
          </w:cols>
          <w:pgMar w:left="320" w:top="456" w:right="49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$117,000 of incremental term loans, or the “Incremental Term Loan Facility”. On March 23, 2020, the Company issued 6,666,667 Class B Common units to a lender that is party to the Company’s Credit Agreement for $10,000 in proceeds.</w:t>
      </w:r>
    </w:p>
    <w:p>
      <w:pPr>
        <w:spacing w:after="0" w:line="186"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auto"/>
        </w:rPr>
        <w:t>On May 7, 2020, the Company entered into a second amendment to the Credit Agreement, which provided $20,000 of incremental revolving credit, or the “Incremental Revolving Credit Facility”. The Company collectively refers to the Term Loan Facility, the Revolving Credit Facility, the Incremental Term Loan Facility, and the Incremental Revolving Credit Facility as the “Credit Facilities”.</w:t>
      </w:r>
    </w:p>
    <w:p>
      <w:pPr>
        <w:spacing w:after="0" w:line="18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The Company incurred $9,283 and $6,011 of debt issuance costs associated with the Term Loan Facility and the Incremental Term Loan Facility, respectively, which are being amortized over the life of the debt under the effective interest rate method to interest expense.</w:t>
      </w:r>
    </w:p>
    <w:p>
      <w:pPr>
        <w:spacing w:after="0" w:line="152"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As of March 31, 2020, the Company had a principal amount of $298,500 and $117,000 outstanding on the Term Loan Facility and Incremental Term Loan Facility, respectively. The Company had no amounts outstanding on the Revolving Credit Facility, which had remaining capacity of $30,000 as of March 31, 2020.</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of 5.50% per annum. Term loans and revolving loans comprising each LIBOR borrowing bear interest at the LIBOR plus an applicable rate of 6.50% per annum.</w:t>
      </w:r>
    </w:p>
    <w:p>
      <w:pPr>
        <w:spacing w:after="0" w:line="150"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and the Incremental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6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18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0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6" w:right="5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Term Loan Facility and Incremental Term Loan Facility are payable in quarterly installments in the principal amount of 0.25% of the original principal amount. The remaining unpaid balance on the Term Loan Facility and Incremental Term Loan Facility, together with all accrued and unpaid interest thereon, is due and payable on or prior to September 13, 2025. Outstanding borrowings under the Revolving Credit Facility and the Incremental Revolving Credit Facility do not amortize and are due and payable on September 13, 2024.</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March 31, 2020.</w:t>
      </w:r>
    </w:p>
    <w:p>
      <w:pPr>
        <w:spacing w:after="0" w:line="175" w:lineRule="exact"/>
        <w:rPr>
          <w:sz w:val="20"/>
          <w:szCs w:val="20"/>
          <w:color w:val="auto"/>
        </w:rPr>
      </w:pPr>
    </w:p>
    <w:p>
      <w:pPr>
        <w:jc w:val="both"/>
        <w:ind w:left="160" w:right="14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00"/>
          </w:cols>
          <w:pgMar w:left="320" w:top="456" w:right="5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7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6" w:right="49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20"/>
          </w:cols>
          <w:pgMar w:left="320" w:top="456" w:right="5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$115,000 in the three months ended March 31, 2019. These amounts appear as Redeemable Class B unit accretion on the condensed consolidated statements of changes in members’ equity.</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adjusted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the share-based compensation expense by operating function for the three months ended March 31, 2020:</w:t>
      </w:r>
    </w:p>
    <w:p>
      <w:pPr>
        <w:spacing w:after="0" w:line="251"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r>
      <w:tr>
        <w:trPr>
          <w:trHeight w:val="118"/>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8"/>
              <w:spacing w:after="0" w:line="118" w:lineRule="exact"/>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0"/>
                <w:szCs w:val="10"/>
                <w:color w:val="auto"/>
              </w:rPr>
            </w:pPr>
          </w:p>
        </w:tc>
      </w:tr>
      <w:tr>
        <w:trPr>
          <w:trHeight w:val="147"/>
        </w:trPr>
        <w:tc>
          <w:tcPr>
            <w:tcW w:w="6300" w:type="dxa"/>
            <w:vAlign w:val="bottom"/>
          </w:tcPr>
          <w:p>
            <w:pPr>
              <w:spacing w:after="0"/>
              <w:rPr>
                <w:sz w:val="12"/>
                <w:szCs w:val="12"/>
                <w:color w:val="auto"/>
              </w:rPr>
            </w:pPr>
          </w:p>
        </w:tc>
        <w:tc>
          <w:tcPr>
            <w:tcW w:w="110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Ended March 31,</w:t>
            </w:r>
          </w:p>
        </w:tc>
      </w:tr>
      <w:tr>
        <w:trPr>
          <w:trHeight w:val="170"/>
        </w:trPr>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r>
      <w:tr>
        <w:trPr>
          <w:trHeight w:val="20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Marking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9"/>
                <w:szCs w:val="19"/>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color w:val="auto"/>
        </w:rPr>
        <w:t>Effective September 13, 2019 and in conjunction with the Acquisition, the Company authorized the grants of non-voting Profit Units. The Profits Units are issued by Blizzard Management Feeder, LLC, to employees on 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20"/>
          </w:cols>
          <w:pgMar w:left="320" w:top="456" w:right="5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each individual will vest upon a liquidity event based on the extent to which the distributions received by the Preferred and the Common exceed their investment in the Company (“Performance-Vesting Units”).</w:t>
      </w:r>
    </w:p>
    <w:p>
      <w:pPr>
        <w:spacing w:after="0" w:line="17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193" w:lineRule="exact"/>
        <w:rPr>
          <w:sz w:val="20"/>
          <w:szCs w:val="20"/>
          <w:color w:val="auto"/>
        </w:rPr>
      </w:pPr>
    </w:p>
    <w:p>
      <w:pPr>
        <w:ind w:left="160" w:right="4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granted 6,001,788 of Profits Units in the three months ended March 31, 2020, of which 1,980,580 and 4,021,208 were Time-Vesting Units and Performance-Vesting Units, respectively.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Company’s effective tax rate for the first quarter of 2020 and 2019 was 0.14% and 0.05%, respectively. The effective tax rate for each period is lower than the statutory tax rate primarily due to the effect of tax-exempt entity status.</w:t>
      </w:r>
    </w:p>
    <w:p>
      <w:pPr>
        <w:spacing w:after="0" w:line="277" w:lineRule="exact"/>
        <w:rPr>
          <w:sz w:val="20"/>
          <w:szCs w:val="20"/>
          <w:color w:val="auto"/>
        </w:rPr>
      </w:pPr>
    </w:p>
    <w:p>
      <w:pPr>
        <w:ind w:left="160" w:right="7160" w:firstLine="7"/>
        <w:spacing w:after="0" w:line="374" w:lineRule="auto"/>
        <w:tabs>
          <w:tab w:leader="none" w:pos="427"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jc w:val="both"/>
        <w:ind w:left="160" w:right="40"/>
        <w:spacing w:after="0" w:line="259" w:lineRule="auto"/>
        <w:rPr>
          <w:sz w:val="20"/>
          <w:szCs w:val="20"/>
          <w:color w:val="auto"/>
        </w:rPr>
      </w:pPr>
      <w:r>
        <w:rPr>
          <w:rFonts w:ascii="Arial" w:cs="Arial" w:eastAsia="Arial" w:hAnsi="Arial"/>
          <w:sz w:val="18"/>
          <w:szCs w:val="18"/>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20"/>
          </w:cols>
          <w:pgMar w:left="320" w:top="456" w:right="5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months ended March 31, 2020 and 2019, the Company made aggregate lease payments of $321 and $245, respectively, under these leases.</w:t>
      </w:r>
    </w:p>
    <w:p>
      <w:pPr>
        <w:spacing w:after="0" w:line="190"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months ended March 31, 2020, the Company recorded expense of $747 under this lease, all of which was unpaid and recorded as accounts payable in the condensed consolidated balance sheet as of March 31, 2020.</w:t>
      </w:r>
    </w:p>
    <w:p>
      <w:pPr>
        <w:spacing w:after="0" w:line="161"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On May 12, 2020, the Company entered into a lease agreement with Wilson Tech 5, which is controlled by significant shareholders, for a proposed site in Linden, Utah, beginning in 2022. This lease agreement expires on May 11, 2030.</w:t>
      </w:r>
    </w:p>
    <w:p>
      <w:pPr>
        <w:spacing w:after="0" w:line="277" w:lineRule="exact"/>
        <w:rPr>
          <w:sz w:val="20"/>
          <w:szCs w:val="20"/>
          <w:color w:val="auto"/>
        </w:rPr>
      </w:pPr>
    </w:p>
    <w:p>
      <w:pPr>
        <w:ind w:left="160" w:right="5700" w:firstLine="7"/>
        <w:spacing w:after="0" w:line="374" w:lineRule="auto"/>
        <w:tabs>
          <w:tab w:leader="none" w:pos="427"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5"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The Company’s business structure is comprised of four operating and reportable segments: Medicare Internal, Medicare External, Individual and Family Plan and Other (“IFP and Other”) Internal, and IFP External.</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6" w:right="4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summary results of the Company’s operating segments for the following periods: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8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160" w:type="dxa"/>
            <w:vAlign w:val="bottom"/>
          </w:tcPr>
          <w:p>
            <w:pPr>
              <w:spacing w:after="0"/>
              <w:rPr>
                <w:sz w:val="12"/>
                <w:szCs w:val="12"/>
                <w:color w:val="auto"/>
              </w:rPr>
            </w:pPr>
          </w:p>
        </w:tc>
        <w:tc>
          <w:tcPr>
            <w:tcW w:w="1120" w:type="dxa"/>
            <w:vAlign w:val="bottom"/>
            <w:gridSpan w:val="4"/>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81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6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141,010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8"/>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-4194810</wp:posOffset>
            </wp:positionV>
            <wp:extent cx="6929755" cy="4203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29755" cy="4203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0"/>
        <w:spacing w:after="0"/>
        <w:rPr>
          <w:sz w:val="20"/>
          <w:szCs w:val="20"/>
          <w:color w:val="auto"/>
        </w:rPr>
      </w:pPr>
      <w:r>
        <w:rPr>
          <w:rFonts w:ascii="Arial" w:cs="Arial" w:eastAsia="Arial" w:hAnsi="Arial"/>
          <w:sz w:val="14"/>
          <w:szCs w:val="14"/>
          <w:b w:val="1"/>
          <w:bCs w:val="1"/>
          <w:color w:val="auto"/>
        </w:rPr>
        <w:t>Predecessor</w:t>
      </w:r>
    </w:p>
    <w:p>
      <w:pPr>
        <w:spacing w:after="0" w:line="2" w:lineRule="exact"/>
        <w:rPr>
          <w:sz w:val="20"/>
          <w:szCs w:val="20"/>
          <w:color w:val="auto"/>
        </w:rPr>
      </w:pPr>
    </w:p>
    <w:p>
      <w:pPr>
        <w:ind w:left="90"/>
        <w:spacing w:after="0"/>
        <w:rPr>
          <w:sz w:val="20"/>
          <w:szCs w:val="20"/>
          <w:color w:val="auto"/>
        </w:rPr>
      </w:pPr>
      <w:r>
        <w:rPr>
          <w:rFonts w:ascii="Arial" w:cs="Arial" w:eastAsia="Arial" w:hAnsi="Arial"/>
          <w:sz w:val="14"/>
          <w:szCs w:val="14"/>
          <w:b w:val="1"/>
          <w:bCs w:val="1"/>
          <w:color w:val="auto"/>
        </w:rPr>
        <w:t>Three Months</w:t>
      </w:r>
    </w:p>
    <w:p>
      <w:pPr>
        <w:jc w:val="center"/>
        <w:ind w:right="-9"/>
        <w:spacing w:after="0" w:line="236" w:lineRule="auto"/>
        <w:rPr>
          <w:sz w:val="20"/>
          <w:szCs w:val="20"/>
          <w:color w:val="auto"/>
        </w:rPr>
      </w:pPr>
      <w:r>
        <w:rPr>
          <w:rFonts w:ascii="Arial" w:cs="Arial" w:eastAsia="Arial" w:hAnsi="Arial"/>
          <w:sz w:val="13"/>
          <w:szCs w:val="13"/>
          <w:b w:val="1"/>
          <w:bCs w:val="1"/>
          <w:color w:val="auto"/>
        </w:rPr>
        <w:t>Ended March 31,</w:t>
      </w:r>
    </w:p>
    <w:p>
      <w:pPr>
        <w:jc w:val="center"/>
        <w:ind w:right="-9"/>
        <w:spacing w:after="0"/>
        <w:rPr>
          <w:sz w:val="20"/>
          <w:szCs w:val="20"/>
          <w:color w:val="auto"/>
        </w:rPr>
      </w:pPr>
      <w:r>
        <w:rPr>
          <w:rFonts w:ascii="Arial" w:cs="Arial" w:eastAsia="Arial" w:hAnsi="Arial"/>
          <w:sz w:val="14"/>
          <w:szCs w:val="14"/>
          <w:b w:val="1"/>
          <w:bCs w:val="1"/>
          <w:color w:val="auto"/>
        </w:rPr>
        <w:t>2019</w:t>
      </w:r>
    </w:p>
    <w:p>
      <w:pPr>
        <w:spacing w:after="0" w:line="200" w:lineRule="exact"/>
        <w:rPr>
          <w:sz w:val="20"/>
          <w:szCs w:val="20"/>
          <w:color w:val="auto"/>
        </w:rPr>
      </w:pPr>
    </w:p>
    <w:p>
      <w:pPr>
        <w:spacing w:after="0" w:line="206" w:lineRule="exact"/>
        <w:rPr>
          <w:sz w:val="20"/>
          <w:szCs w:val="20"/>
          <w:color w:val="auto"/>
        </w:rPr>
      </w:pPr>
    </w:p>
    <w:p>
      <w:pPr>
        <w:ind w:left="570" w:hanging="570"/>
        <w:spacing w:after="0"/>
        <w:tabs>
          <w:tab w:leader="none" w:pos="57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20,911</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20,335</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41,246</w:t>
      </w:r>
    </w:p>
    <w:p>
      <w:pPr>
        <w:spacing w:after="0" w:line="373"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14,440</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13,403</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27,843</w:t>
      </w:r>
    </w:p>
    <w:p>
      <w:pPr>
        <w:spacing w:after="0" w:line="79"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69,089</w:t>
      </w:r>
    </w:p>
    <w:p>
      <w:pPr>
        <w:spacing w:after="0" w:line="200" w:lineRule="exact"/>
        <w:rPr>
          <w:sz w:val="20"/>
          <w:szCs w:val="20"/>
          <w:color w:val="auto"/>
        </w:rPr>
      </w:pPr>
    </w:p>
    <w:p>
      <w:pPr>
        <w:spacing w:after="0" w:line="388" w:lineRule="exact"/>
        <w:rPr>
          <w:sz w:val="20"/>
          <w:szCs w:val="20"/>
          <w:color w:val="auto"/>
        </w:rPr>
      </w:pPr>
    </w:p>
    <w:p>
      <w:pPr>
        <w:ind w:left="650"/>
        <w:spacing w:after="0"/>
        <w:rPr>
          <w:sz w:val="20"/>
          <w:szCs w:val="20"/>
          <w:color w:val="auto"/>
        </w:rPr>
      </w:pPr>
      <w:r>
        <w:rPr>
          <w:rFonts w:ascii="Arial" w:cs="Arial" w:eastAsia="Arial" w:hAnsi="Arial"/>
          <w:sz w:val="14"/>
          <w:szCs w:val="14"/>
          <w:color w:val="auto"/>
        </w:rPr>
        <w:t>4,864</w:t>
      </w:r>
    </w:p>
    <w:p>
      <w:pPr>
        <w:spacing w:after="0" w:line="66" w:lineRule="exact"/>
        <w:rPr>
          <w:sz w:val="20"/>
          <w:szCs w:val="20"/>
          <w:color w:val="auto"/>
        </w:rPr>
      </w:pPr>
    </w:p>
    <w:p>
      <w:pPr>
        <w:ind w:left="650"/>
        <w:spacing w:after="0"/>
        <w:rPr>
          <w:sz w:val="20"/>
          <w:szCs w:val="20"/>
          <w:color w:val="auto"/>
        </w:rPr>
      </w:pPr>
      <w:r>
        <w:rPr>
          <w:rFonts w:ascii="Arial" w:cs="Arial" w:eastAsia="Arial" w:hAnsi="Arial"/>
          <w:sz w:val="14"/>
          <w:szCs w:val="14"/>
          <w:color w:val="auto"/>
        </w:rPr>
        <w:t>3,380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8,244</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881</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1,263</w:t>
      </w:r>
    </w:p>
    <w:p>
      <w:pPr>
        <w:spacing w:after="0" w:line="67" w:lineRule="exact"/>
        <w:rPr>
          <w:sz w:val="20"/>
          <w:szCs w:val="20"/>
          <w:color w:val="auto"/>
        </w:rPr>
      </w:pPr>
    </w:p>
    <w:p>
      <w:pPr>
        <w:ind w:left="650"/>
        <w:spacing w:after="0"/>
        <w:rPr>
          <w:sz w:val="20"/>
          <w:szCs w:val="20"/>
          <w:color w:val="auto"/>
        </w:rPr>
      </w:pPr>
      <w:r>
        <w:rPr>
          <w:rFonts w:ascii="Arial" w:cs="Arial" w:eastAsia="Arial" w:hAnsi="Arial"/>
          <w:sz w:val="14"/>
          <w:szCs w:val="14"/>
          <w:color w:val="auto"/>
        </w:rPr>
        <w:t>2,144</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10,388</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5,346</w:t>
      </w:r>
    </w:p>
    <w:p>
      <w:pPr>
        <w:spacing w:after="0" w:line="53"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870"/>
        <w:spacing w:after="0"/>
        <w:rPr>
          <w:sz w:val="20"/>
          <w:szCs w:val="20"/>
          <w:color w:val="auto"/>
        </w:rPr>
      </w:pPr>
      <w:r>
        <w:rPr>
          <w:rFonts w:ascii="Arial" w:cs="Arial" w:eastAsia="Arial" w:hAnsi="Arial"/>
          <w:sz w:val="16"/>
          <w:szCs w:val="16"/>
          <w:color w:val="auto"/>
        </w:rPr>
        <w:t>28</w:t>
      </w:r>
    </w:p>
    <w:p>
      <w:pPr>
        <w:spacing w:after="0" w:line="30" w:lineRule="exact"/>
        <w:rPr>
          <w:sz w:val="20"/>
          <w:szCs w:val="20"/>
          <w:color w:val="auto"/>
        </w:rPr>
      </w:pPr>
    </w:p>
    <w:p>
      <w:pPr>
        <w:ind w:left="870"/>
        <w:spacing w:after="0"/>
        <w:rPr>
          <w:sz w:val="20"/>
          <w:szCs w:val="20"/>
          <w:color w:val="auto"/>
        </w:rPr>
      </w:pPr>
      <w:r>
        <w:rPr>
          <w:rFonts w:ascii="Arial" w:cs="Arial" w:eastAsia="Arial" w:hAnsi="Arial"/>
          <w:sz w:val="16"/>
          <w:szCs w:val="16"/>
          <w:color w:val="auto"/>
        </w:rPr>
        <w:t>10</w:t>
      </w:r>
    </w:p>
    <w:p>
      <w:pPr>
        <w:spacing w:after="0" w:line="44" w:lineRule="exact"/>
        <w:rPr>
          <w:sz w:val="20"/>
          <w:szCs w:val="20"/>
          <w:color w:val="auto"/>
        </w:rPr>
      </w:pPr>
    </w:p>
    <w:p>
      <w:pPr>
        <w:ind w:left="650" w:hanging="650"/>
        <w:spacing w:after="0"/>
        <w:tabs>
          <w:tab w:leader="none" w:pos="65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5,004</w:t>
      </w:r>
    </w:p>
    <w:p>
      <w:pPr>
        <w:spacing w:after="0" w:line="307" w:lineRule="exact"/>
        <w:rPr>
          <w:sz w:val="20"/>
          <w:szCs w:val="20"/>
          <w:color w:val="auto"/>
        </w:rPr>
      </w:pPr>
    </w:p>
    <w:p>
      <w:pPr>
        <w:sectPr>
          <w:pgSz w:w="11900" w:h="16838" w:orient="portrait"/>
          <w:cols w:equalWidth="0" w:num="2">
            <w:col w:w="9440" w:space="530"/>
            <w:col w:w="1050"/>
          </w:cols>
          <w:pgMar w:left="320" w:top="456" w:right="559" w:bottom="1440" w:gutter="0" w:footer="0" w:header="0"/>
        </w:sectPr>
      </w:pPr>
    </w:p>
    <w:p>
      <w:pPr>
        <w:spacing w:after="0" w:line="13"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Substantially all revenue for the three months ended March 31, 2020 and 2019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type w:val="continuous"/>
        </w:sectPr>
      </w:pPr>
    </w:p>
    <w:p>
      <w:pPr>
        <w:spacing w:after="0" w:line="170"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0"/>
        </w:trPr>
        <w:tc>
          <w:tcPr>
            <w:tcW w:w="228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34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March 31, 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80" w:type="dxa"/>
            <w:vAlign w:val="bottom"/>
            <w:vMerge w:val="continue"/>
          </w:tcPr>
          <w:p>
            <w:pPr>
              <w:spacing w:after="0"/>
              <w:rPr>
                <w:sz w:val="16"/>
                <w:szCs w:val="16"/>
                <w:color w:val="auto"/>
              </w:rPr>
            </w:pPr>
          </w:p>
        </w:tc>
        <w:tc>
          <w:tcPr>
            <w:tcW w:w="3440" w:type="dxa"/>
            <w:vAlign w:val="bottom"/>
          </w:tcPr>
          <w:p>
            <w:pPr>
              <w:spacing w:after="0"/>
              <w:rPr>
                <w:sz w:val="16"/>
                <w:szCs w:val="16"/>
                <w:color w:val="auto"/>
              </w:rPr>
            </w:pPr>
          </w:p>
        </w:tc>
        <w:tc>
          <w:tcPr>
            <w:tcW w:w="11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2280" w:type="dxa"/>
            <w:vAlign w:val="bottom"/>
          </w:tcPr>
          <w:p>
            <w:pPr>
              <w:spacing w:after="0"/>
              <w:rPr>
                <w:sz w:val="20"/>
                <w:szCs w:val="20"/>
                <w:color w:val="auto"/>
              </w:rPr>
            </w:pPr>
            <w:r>
              <w:rPr>
                <w:rFonts w:ascii="Arial" w:cs="Arial" w:eastAsia="Arial" w:hAnsi="Arial"/>
                <w:sz w:val="18"/>
                <w:szCs w:val="18"/>
                <w:color w:val="auto"/>
              </w:rPr>
              <w:t>Anthem</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61"/>
        </w:trPr>
        <w:tc>
          <w:tcPr>
            <w:tcW w:w="2280" w:type="dxa"/>
            <w:vAlign w:val="bottom"/>
          </w:tcPr>
          <w:p>
            <w:pPr>
              <w:spacing w:after="0"/>
              <w:rPr>
                <w:sz w:val="24"/>
                <w:szCs w:val="24"/>
                <w:color w:val="auto"/>
              </w:rPr>
            </w:pPr>
          </w:p>
        </w:tc>
        <w:tc>
          <w:tcPr>
            <w:tcW w:w="4540" w:type="dxa"/>
            <w:vAlign w:val="bottom"/>
            <w:gridSpan w:val="3"/>
          </w:tcPr>
          <w:p>
            <w:pPr>
              <w:jc w:val="right"/>
              <w:ind w:right="2500"/>
              <w:spacing w:after="0"/>
              <w:rPr>
                <w:sz w:val="20"/>
                <w:szCs w:val="20"/>
                <w:color w:val="auto"/>
              </w:rPr>
            </w:pPr>
            <w:r>
              <w:rPr>
                <w:rFonts w:ascii="Arial" w:cs="Arial" w:eastAsia="Arial" w:hAnsi="Arial"/>
                <w:sz w:val="18"/>
                <w:szCs w:val="18"/>
                <w:color w:val="auto"/>
              </w:rPr>
              <w:t>F-63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-703580</wp:posOffset>
            </wp:positionV>
            <wp:extent cx="5265420" cy="4756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6542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Predecessor</w:t>
      </w:r>
    </w:p>
    <w:p>
      <w:pPr>
        <w:spacing w:after="0" w:line="15" w:lineRule="exact"/>
        <w:rPr>
          <w:sz w:val="20"/>
          <w:szCs w:val="20"/>
          <w:color w:val="auto"/>
        </w:rPr>
      </w:pPr>
    </w:p>
    <w:p>
      <w:pPr>
        <w:jc w:val="center"/>
        <w:ind w:right="1460"/>
        <w:spacing w:after="0"/>
        <w:rPr>
          <w:sz w:val="20"/>
          <w:szCs w:val="20"/>
          <w:color w:val="auto"/>
        </w:rPr>
      </w:pPr>
      <w:r>
        <w:rPr>
          <w:rFonts w:ascii="Arial" w:cs="Arial" w:eastAsia="Arial" w:hAnsi="Arial"/>
          <w:sz w:val="13"/>
          <w:szCs w:val="13"/>
          <w:b w:val="1"/>
          <w:bCs w:val="1"/>
          <w:u w:val="single" w:color="auto"/>
          <w:color w:val="auto"/>
        </w:rPr>
        <w:t>March 31, 2019</w:t>
      </w:r>
    </w:p>
    <w:p>
      <w:pPr>
        <w:spacing w:after="0" w:line="19"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28%</w:t>
      </w:r>
    </w:p>
    <w:p>
      <w:pPr>
        <w:spacing w:after="0" w:line="4"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8300" w:space="320"/>
            <w:col w:w="2400"/>
          </w:cols>
          <w:pgMar w:left="320" w:top="456" w:right="559" w:bottom="1440" w:gutter="0" w:footer="0" w:header="0"/>
          <w:type w:val="continuous"/>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SUBSEQUENT EVENTS</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 xml:space="preserve">Management has reviewed its March 31, 2020, condensed consolidated financial statements for subsequent events through June 15, 2020, the date the financial statements were available to be issued. Other than the subsequent events described in </w:t>
      </w:r>
      <w:r>
        <w:rPr>
          <w:rFonts w:ascii="Arial" w:cs="Arial" w:eastAsia="Arial" w:hAnsi="Arial"/>
          <w:sz w:val="17"/>
          <w:szCs w:val="17"/>
          <w:i w:val="1"/>
          <w:iCs w:val="1"/>
          <w:color w:val="auto"/>
        </w:rPr>
        <w:t>Note 1 – Summary of Business and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Note 2 – Acquisition, Note 6 – Long Term Debt,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11 – Related-Party Transactions</w:t>
      </w:r>
      <w:r>
        <w:rPr>
          <w:rFonts w:ascii="Arial" w:cs="Arial" w:eastAsia="Arial" w:hAnsi="Arial"/>
          <w:sz w:val="17"/>
          <w:szCs w:val="17"/>
          <w:color w:val="auto"/>
        </w:rPr>
        <w:t>, the Company is not aware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events that would require recognition or disclosure in the consolidated financial statements.</w:t>
      </w:r>
    </w:p>
    <w:p>
      <w:pPr>
        <w:spacing w:after="0" w:line="1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0860"/>
          </w:cols>
          <w:pgMar w:left="320" w:top="456" w:right="719" w:bottom="1440" w:gutter="0" w:footer="0" w:header="0"/>
        </w:sectPr>
      </w:pPr>
    </w:p>
    <w:bookmarkStart w:id="295" w:name="page296"/>
    <w:bookmarkEnd w:id="29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4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9"/>
          <w:szCs w:val="29"/>
          <w:b w:val="1"/>
          <w:bCs w:val="1"/>
          <w:color w:val="auto"/>
        </w:rPr>
        <w:t>43,500,000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20955</wp:posOffset>
            </wp:positionV>
            <wp:extent cx="2743200" cy="5689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43200"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80"/>
        <w:spacing w:after="0"/>
        <w:rPr>
          <w:sz w:val="20"/>
          <w:szCs w:val="20"/>
          <w:color w:val="auto"/>
        </w:rPr>
      </w:pPr>
      <w:r>
        <w:rPr>
          <w:rFonts w:ascii="Arial" w:cs="Arial" w:eastAsia="Arial" w:hAnsi="Arial"/>
          <w:sz w:val="43"/>
          <w:szCs w:val="43"/>
          <w:b w:val="1"/>
          <w:bCs w:val="1"/>
          <w:color w:val="auto"/>
        </w:rPr>
        <w:t>GoHealth,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995680</wp:posOffset>
            </wp:positionV>
            <wp:extent cx="1460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407670</wp:posOffset>
            </wp:positionV>
            <wp:extent cx="14605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200" w:lineRule="exact"/>
        <w:rPr>
          <w:sz w:val="20"/>
          <w:szCs w:val="20"/>
          <w:color w:val="auto"/>
        </w:rPr>
      </w:pPr>
    </w:p>
    <w:p>
      <w:pPr>
        <w:spacing w:after="0" w:line="26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BofA Securities</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Morgan Stanley</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Barclays</w:t>
      </w:r>
    </w:p>
    <w:p>
      <w:pPr>
        <w:spacing w:after="0" w:line="200" w:lineRule="exact"/>
        <w:rPr>
          <w:sz w:val="20"/>
          <w:szCs w:val="20"/>
          <w:color w:val="auto"/>
        </w:rPr>
      </w:pPr>
    </w:p>
    <w:p>
      <w:pPr>
        <w:spacing w:after="0" w:line="229" w:lineRule="exact"/>
        <w:rPr>
          <w:sz w:val="20"/>
          <w:szCs w:val="20"/>
          <w:color w:val="auto"/>
        </w:rPr>
      </w:pPr>
    </w:p>
    <w:p>
      <w:pPr>
        <w:ind w:left="4820"/>
        <w:spacing w:after="0"/>
        <w:rPr>
          <w:sz w:val="20"/>
          <w:szCs w:val="20"/>
          <w:color w:val="auto"/>
        </w:rPr>
      </w:pPr>
      <w:r>
        <w:rPr>
          <w:rFonts w:ascii="Arial" w:cs="Arial" w:eastAsia="Arial" w:hAnsi="Arial"/>
          <w:sz w:val="29"/>
          <w:szCs w:val="29"/>
          <w:b w:val="1"/>
          <w:bCs w:val="1"/>
          <w:color w:val="auto"/>
        </w:rPr>
        <w:t>Credit Suisse</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Evercore ISI</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RBC Capital Markets</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William Blair</w:t>
      </w:r>
    </w:p>
    <w:p>
      <w:pPr>
        <w:spacing w:after="0" w:line="200" w:lineRule="exact"/>
        <w:rPr>
          <w:sz w:val="20"/>
          <w:szCs w:val="20"/>
          <w:color w:val="auto"/>
        </w:rPr>
      </w:pPr>
    </w:p>
    <w:p>
      <w:pPr>
        <w:spacing w:after="0" w:line="229" w:lineRule="exact"/>
        <w:rPr>
          <w:sz w:val="20"/>
          <w:szCs w:val="20"/>
          <w:color w:val="auto"/>
        </w:rPr>
      </w:pPr>
    </w:p>
    <w:p>
      <w:pPr>
        <w:ind w:left="5180"/>
        <w:spacing w:after="0"/>
        <w:rPr>
          <w:sz w:val="20"/>
          <w:szCs w:val="20"/>
          <w:color w:val="auto"/>
        </w:rPr>
      </w:pPr>
      <w:r>
        <w:rPr>
          <w:rFonts w:ascii="Arial" w:cs="Arial" w:eastAsia="Arial" w:hAnsi="Arial"/>
          <w:sz w:val="29"/>
          <w:szCs w:val="29"/>
          <w:b w:val="1"/>
          <w:bCs w:val="1"/>
          <w:color w:val="auto"/>
        </w:rPr>
        <w:t>Cantor</w:t>
      </w:r>
    </w:p>
    <w:p>
      <w:pPr>
        <w:sectPr>
          <w:pgSz w:w="11900" w:h="16838" w:orient="portrait"/>
          <w:cols w:equalWidth="0" w:num="1">
            <w:col w:w="10139"/>
          </w:cols>
          <w:pgMar w:left="320" w:top="456" w:right="1440" w:bottom="0" w:gutter="0" w:footer="0" w:header="0"/>
          <w:type w:val="continuous"/>
        </w:sectPr>
      </w:pPr>
    </w:p>
    <w:bookmarkStart w:id="296" w:name="page297"/>
    <w:bookmarkEnd w:id="296"/>
    <w:p>
      <w:pPr>
        <w:jc w:val="center"/>
        <w:ind w:right="19"/>
        <w:spacing w:after="0"/>
        <w:rPr>
          <w:sz w:val="20"/>
          <w:szCs w:val="20"/>
          <w:color w:val="auto"/>
        </w:rPr>
      </w:pPr>
      <w:r>
        <w:rPr>
          <w:rFonts w:ascii="Arial" w:cs="Arial" w:eastAsia="Arial" w:hAnsi="Arial"/>
          <w:sz w:val="25"/>
          <w:szCs w:val="25"/>
          <w:b w:val="1"/>
          <w:bCs w:val="1"/>
          <w:color w:val="auto"/>
        </w:rPr>
        <w:t>SunTrust Robinson Humphrey</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1019175</wp:posOffset>
            </wp:positionV>
            <wp:extent cx="14605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899160</wp:posOffset>
            </wp:positionV>
            <wp:extent cx="69297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967105</wp:posOffset>
            </wp:positionV>
            <wp:extent cx="692975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decimal"/>
      <w:start w:val="1"/>
    </w:lvl>
  </w:abstractNum>
  <w:abstractNum w:abstractNumId="1">
    <w:nsid w:val="885E1B"/>
    <w:multiLevelType w:val="hybridMultilevel"/>
    <w:lvl w:ilvl="0">
      <w:lvlJc w:val="left"/>
      <w:lvlText w:val="(%1)"/>
      <w:numFmt w:val="decimal"/>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1)"/>
      <w:numFmt w:val="decimal"/>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1)"/>
      <w:numFmt w:val="lowerLetter"/>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1)"/>
      <w:numFmt w:val="decimal"/>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1)"/>
      <w:numFmt w:val="decimal"/>
      <w:start w:val="1"/>
    </w:lvl>
  </w:abstractNum>
  <w:abstractNum w:abstractNumId="24">
    <w:nsid w:val="5FB8011C"/>
    <w:multiLevelType w:val="hybridMultilevel"/>
    <w:lvl w:ilvl="0">
      <w:lvlJc w:val="left"/>
      <w:lvlText w:val="(%1)"/>
      <w:numFmt w:val="lowerLetter"/>
      <w:start w:val="1"/>
    </w:lvl>
  </w:abstractNum>
  <w:abstractNum w:abstractNumId="25">
    <w:nsid w:val="6AA78F7F"/>
    <w:multiLevelType w:val="hybridMultilevel"/>
    <w:lvl w:ilvl="0">
      <w:lvlJc w:val="left"/>
      <w:lvlText w:val="%1"/>
      <w:numFmt w:val="decimal"/>
      <w:start w:val="1"/>
    </w:lvl>
    <w:lvl w:ilvl="1">
      <w:lvlJc w:val="left"/>
      <w:lvlText w:val="(%2)"/>
      <w:numFmt w:val="lowerLetter"/>
      <w:start w:val="2"/>
    </w:lvl>
  </w:abstractNum>
  <w:abstractNum w:abstractNumId="26">
    <w:nsid w:val="7672BD23"/>
    <w:multiLevelType w:val="hybridMultilevel"/>
    <w:lvl w:ilvl="0">
      <w:lvlJc w:val="left"/>
      <w:lvlText w:val="(%1)"/>
      <w:numFmt w:val="decimal"/>
      <w:start w:val="2"/>
    </w:lvl>
    <w:lvl w:ilvl="1">
      <w:lvlJc w:val="left"/>
      <w:lvlText w:val="%2"/>
      <w:numFmt w:val="lowerLetter"/>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1)"/>
      <w:numFmt w:val="decimal"/>
      <w:start w:val="2"/>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1)"/>
      <w:numFmt w:val="decimal"/>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
      <w:numFmt w:val="bullet"/>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1)"/>
      <w:numFmt w:val="upperLetter"/>
      <w:start w:val="2"/>
    </w:lvl>
  </w:abstractNum>
  <w:abstractNum w:abstractNumId="46">
    <w:nsid w:val="1D9F6E5F"/>
    <w:multiLevelType w:val="hybridMultilevel"/>
    <w:lvl w:ilvl="0">
      <w:lvlJc w:val="left"/>
      <w:lvlText w:val="(%1)"/>
      <w:numFmt w:val="decimal"/>
      <w:start w:val="2"/>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1)"/>
      <w:numFmt w:val="decimal"/>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1)"/>
      <w:numFmt w:val="decimal"/>
      <w:start w:val="1"/>
    </w:lvl>
  </w:abstractNum>
  <w:abstractNum w:abstractNumId="56">
    <w:nsid w:val="E7FFA2B"/>
    <w:multiLevelType w:val="hybridMultilevel"/>
    <w:lvl w:ilvl="0">
      <w:lvlJc w:val="left"/>
      <w:lvlText w:val="(%1)"/>
      <w:numFmt w:val="decimal"/>
      <w:start w:val="2"/>
    </w:lvl>
  </w:abstractNum>
  <w:abstractNum w:abstractNumId="57">
    <w:nsid w:val="3C5991AA"/>
    <w:multiLevelType w:val="hybridMultilevel"/>
    <w:lvl w:ilvl="0">
      <w:lvlJc w:val="left"/>
      <w:lvlText w:val="(%1)"/>
      <w:numFmt w:val="lowerRoman"/>
      <w:start w:val="4"/>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
      <w:numFmt w:val="bullet"/>
      <w:start w:val="1"/>
    </w:lvl>
  </w:abstractNum>
  <w:abstractNum w:abstractNumId="60">
    <w:nsid w:val="39B7AAA2"/>
    <w:multiLevelType w:val="hybridMultilevel"/>
    <w:lvl w:ilvl="0">
      <w:lvlJc w:val="left"/>
      <w:lvlText w:val="•"/>
      <w:numFmt w:val="bullet"/>
      <w:start w:val="1"/>
    </w:lvl>
  </w:abstractNum>
  <w:abstractNum w:abstractNumId="61">
    <w:nsid w:val="2B0D8DBE"/>
    <w:multiLevelType w:val="hybridMultilevel"/>
    <w:lvl w:ilvl="0">
      <w:lvlJc w:val="left"/>
      <w:lvlText w:val="(%1)"/>
      <w:numFmt w:val="lowerLetter"/>
      <w:start w:val="1"/>
    </w:lvl>
  </w:abstractNum>
  <w:abstractNum w:abstractNumId="62">
    <w:nsid w:val="6C80EC70"/>
    <w:multiLevelType w:val="hybridMultilevel"/>
    <w:lvl w:ilvl="0">
      <w:lvlJc w:val="left"/>
      <w:lvlText w:val="(%1)"/>
      <w:numFmt w:val="decimal"/>
      <w:start w:val="1"/>
    </w:lvl>
  </w:abstractNum>
  <w:abstractNum w:abstractNumId="63">
    <w:nsid w:val="379E21B5"/>
    <w:multiLevelType w:val="hybridMultilevel"/>
    <w:lvl w:ilvl="0">
      <w:lvlJc w:val="left"/>
      <w:lvlText w:val="(%1)"/>
      <w:numFmt w:val="decimal"/>
      <w:start w:val="4"/>
    </w:lvl>
  </w:abstractNum>
  <w:abstractNum w:abstractNumId="64">
    <w:nsid w:val="69E373"/>
    <w:multiLevelType w:val="hybridMultilevel"/>
    <w:lvl w:ilvl="0">
      <w:lvlJc w:val="left"/>
      <w:lvlText w:val="(%1)"/>
      <w:numFmt w:val="decimal"/>
      <w:start w:val="1"/>
    </w:lvl>
  </w:abstractNum>
  <w:abstractNum w:abstractNumId="65">
    <w:nsid w:val="2C27173B"/>
    <w:multiLevelType w:val="hybridMultilevel"/>
    <w:lvl w:ilvl="0">
      <w:lvlJc w:val="left"/>
      <w:lvlText w:val="(%1)"/>
      <w:numFmt w:val="decimal"/>
      <w:start w:val="2"/>
    </w:lvl>
  </w:abstractNum>
  <w:abstractNum w:abstractNumId="66">
    <w:nsid w:val="4C9B0904"/>
    <w:multiLevelType w:val="hybridMultilevel"/>
    <w:lvl w:ilvl="0">
      <w:lvlJc w:val="left"/>
      <w:lvlText w:val="(%1)"/>
      <w:numFmt w:val="decimal"/>
      <w:start w:val="3"/>
    </w:lvl>
  </w:abstractNum>
  <w:abstractNum w:abstractNumId="67">
    <w:nsid w:val="6AA7B75C"/>
    <w:multiLevelType w:val="hybridMultilevel"/>
    <w:lvl w:ilvl="0">
      <w:lvlJc w:val="left"/>
      <w:lvlText w:val="(%1)"/>
      <w:numFmt w:val="decimal"/>
      <w:start w:val="4"/>
    </w:lvl>
  </w:abstractNum>
  <w:abstractNum w:abstractNumId="68">
    <w:nsid w:val="1DF029D3"/>
    <w:multiLevelType w:val="hybridMultilevel"/>
    <w:lvl w:ilvl="0">
      <w:lvlJc w:val="left"/>
      <w:lvlText w:val="(%1)"/>
      <w:numFmt w:val="decimal"/>
      <w:start w:val="5"/>
    </w:lvl>
  </w:abstractNum>
  <w:abstractNum w:abstractNumId="69">
    <w:nsid w:val="5675FF36"/>
    <w:multiLevelType w:val="hybridMultilevel"/>
    <w:lvl w:ilvl="0">
      <w:lvlJc w:val="left"/>
      <w:lvlText w:val="(%1)"/>
      <w:numFmt w:val="decimal"/>
      <w:start w:val="6"/>
    </w:lvl>
  </w:abstractNum>
  <w:abstractNum w:abstractNumId="70">
    <w:nsid w:val="3DD15094"/>
    <w:multiLevelType w:val="hybridMultilevel"/>
    <w:lvl w:ilvl="0">
      <w:lvlJc w:val="left"/>
      <w:lvlText w:val="(%1)"/>
      <w:numFmt w:val="decimal"/>
      <w:start w:val="8"/>
    </w:lvl>
  </w:abstractNum>
  <w:abstractNum w:abstractNumId="71">
    <w:nsid w:val="3DB012B3"/>
    <w:multiLevelType w:val="hybridMultilevel"/>
    <w:lvl w:ilvl="0">
      <w:lvlJc w:val="left"/>
      <w:lvlText w:val="(%1)"/>
      <w:numFmt w:val="decimal"/>
      <w:start w:val="9"/>
    </w:lvl>
  </w:abstractNum>
  <w:abstractNum w:abstractNumId="72">
    <w:nsid w:val="2708C9AF"/>
    <w:multiLevelType w:val="hybridMultilevel"/>
    <w:lvl w:ilvl="0">
      <w:lvlJc w:val="left"/>
      <w:lvlText w:val="(%1)"/>
      <w:numFmt w:val="lowerRoman"/>
      <w:start w:val="4"/>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1"/>
      <w:numFmt w:val="decimal"/>
      <w:start w:val="140"/>
    </w:lvl>
    <w:lvl w:ilvl="1">
      <w:lvlJc w:val="left"/>
      <w:lvlText w:val="(%2)"/>
      <w:numFmt w:val="decimal"/>
      <w:start w:val="66"/>
    </w:lvl>
  </w:abstractNum>
  <w:abstractNum w:abstractNumId="77">
    <w:nsid w:val="34FD6B4F"/>
    <w:multiLevelType w:val="hybridMultilevel"/>
    <w:lvl w:ilvl="0">
      <w:lvlJc w:val="left"/>
      <w:lvlText w:val="%1"/>
      <w:numFmt w:val="decimal"/>
      <w:start w:val="747"/>
    </w:lvl>
  </w:abstractNum>
  <w:abstractNum w:abstractNumId="78">
    <w:nsid w:val="5915FF32"/>
    <w:multiLevelType w:val="hybridMultilevel"/>
    <w:lvl w:ilvl="0">
      <w:lvlJc w:val="left"/>
      <w:lvlText w:val="(%1)"/>
      <w:numFmt w:val="decimal"/>
      <w:start w:val="1"/>
    </w:lvl>
  </w:abstractNum>
  <w:abstractNum w:abstractNumId="79">
    <w:nsid w:val="56438D15"/>
    <w:multiLevelType w:val="hybridMultilevel"/>
    <w:lvl w:ilvl="0">
      <w:lvlJc w:val="left"/>
      <w:lvlText w:val="(%1)"/>
      <w:numFmt w:val="decimal"/>
      <w:start w:val="2"/>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1)"/>
      <w:numFmt w:val="decimal"/>
      <w:start w:val="1"/>
    </w:lvl>
  </w:abstractNum>
  <w:abstractNum w:abstractNumId="82">
    <w:nsid w:val="17A1B582"/>
    <w:multiLevelType w:val="hybridMultilevel"/>
    <w:lvl w:ilvl="0">
      <w:lvlJc w:val="left"/>
      <w:lvlText w:val="(%1)"/>
      <w:numFmt w:val="decimal"/>
      <w:start w:val="1"/>
    </w:lvl>
  </w:abstractNum>
  <w:abstractNum w:abstractNumId="83">
    <w:nsid w:val="4DF72E4E"/>
    <w:multiLevelType w:val="hybridMultilevel"/>
    <w:lvl w:ilvl="0">
      <w:lvlJc w:val="left"/>
      <w:lvlText w:val="•"/>
      <w:numFmt w:val="bullet"/>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1)"/>
      <w:numFmt w:val="decimal"/>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1"/>
      <w:numFmt w:val="decimal"/>
      <w:start w:val="42"/>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1)"/>
      <w:numFmt w:val="decimal"/>
      <w:start w:val="1"/>
    </w:lvl>
  </w:abstractNum>
  <w:abstractNum w:abstractNumId="98">
    <w:nsid w:val="BFFAE18"/>
    <w:multiLevelType w:val="hybridMultilevel"/>
    <w:lvl w:ilvl="0">
      <w:lvlJc w:val="left"/>
      <w:lvlText w:val="(%1)"/>
      <w:numFmt w:val="decimal"/>
      <w:start w:val="3"/>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
      <w:numFmt w:val="bullet"/>
      <w:start w:val="1"/>
    </w:lvl>
  </w:abstractNum>
  <w:abstractNum w:abstractNumId="101">
    <w:nsid w:val="49D0FEAC"/>
    <w:multiLevelType w:val="hybridMultilevel"/>
    <w:lvl w:ilvl="0">
      <w:lvlJc w:val="left"/>
      <w:lvlText w:val="(%1)"/>
      <w:numFmt w:val="decimal"/>
      <w:start w:val="1"/>
    </w:lvl>
  </w:abstractNum>
  <w:abstractNum w:abstractNumId="102">
    <w:nsid w:val="4BEE5A5B"/>
    <w:multiLevelType w:val="hybridMultilevel"/>
    <w:lvl w:ilvl="0">
      <w:lvlJc w:val="left"/>
      <w:lvlText w:val="•"/>
      <w:numFmt w:val="bullet"/>
      <w:start w:val="1"/>
    </w:lvl>
  </w:abstractNum>
  <w:abstractNum w:abstractNumId="103">
    <w:nsid w:val="5551B9F3"/>
    <w:multiLevelType w:val="hybridMultilevel"/>
    <w:lvl w:ilvl="0">
      <w:lvlJc w:val="left"/>
      <w:lvlText w:val="•"/>
      <w:numFmt w:val="bullet"/>
      <w:start w:val="1"/>
    </w:lvl>
  </w:abstractNum>
  <w:abstractNum w:abstractNumId="104">
    <w:nsid w:val="24F6AB8E"/>
    <w:multiLevelType w:val="hybridMultilevel"/>
    <w:lvl w:ilvl="0">
      <w:lvlJc w:val="left"/>
      <w:lvlText w:val="•"/>
      <w:numFmt w:val="bullet"/>
      <w:start w:val="1"/>
    </w:lvl>
  </w:abstractNum>
  <w:abstractNum w:abstractNumId="105">
    <w:nsid w:val="634C574C"/>
    <w:multiLevelType w:val="hybridMultilevel"/>
    <w:lvl w:ilvl="0">
      <w:lvlJc w:val="left"/>
      <w:lvlText w:val="•"/>
      <w:numFmt w:val="bullet"/>
      <w:start w:val="1"/>
    </w:lvl>
  </w:abstractNum>
  <w:abstractNum w:abstractNumId="106">
    <w:nsid w:val="24E99DD7"/>
    <w:multiLevelType w:val="hybridMultilevel"/>
    <w:lvl w:ilvl="0">
      <w:lvlJc w:val="left"/>
      <w:lvlText w:val="•"/>
      <w:numFmt w:val="bullet"/>
      <w:start w:val="1"/>
    </w:lvl>
  </w:abstractNum>
  <w:abstractNum w:abstractNumId="107">
    <w:nsid w:val="2A31B62D"/>
    <w:multiLevelType w:val="hybridMultilevel"/>
    <w:lvl w:ilvl="0">
      <w:lvlJc w:val="left"/>
      <w:lvlText w:val="•"/>
      <w:numFmt w:val="bullet"/>
      <w:start w:val="1"/>
    </w:lvl>
    <w:lvl w:ilvl="1">
      <w:lvlJc w:val="left"/>
      <w:lvlText w:val="(%2)"/>
      <w:numFmt w:val="decimal"/>
      <w:start w:val="2"/>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1)"/>
      <w:numFmt w:val="decimal"/>
      <w:start w:val="3"/>
    </w:lvl>
  </w:abstractNum>
  <w:abstractNum w:abstractNumId="111">
    <w:nsid w:val="69E7F3E5"/>
    <w:multiLevelType w:val="hybridMultilevel"/>
    <w:lvl w:ilvl="0">
      <w:lvlJc w:val="left"/>
      <w:lvlText w:val="•"/>
      <w:numFmt w:val="bullet"/>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
      <w:numFmt w:val="bullet"/>
      <w:start w:val="1"/>
    </w:lvl>
  </w:abstractNum>
  <w:abstractNum w:abstractNumId="114">
    <w:nsid w:val="37DF2233"/>
    <w:multiLevelType w:val="hybridMultilevel"/>
    <w:lvl w:ilvl="0">
      <w:lvlJc w:val="left"/>
      <w:lvlText w:val="(%1)"/>
      <w:numFmt w:val="decimal"/>
      <w:start w:val="1"/>
    </w:lvl>
    <w:lvl w:ilvl="1">
      <w:lvlJc w:val="left"/>
      <w:lvlText w:val="•"/>
      <w:numFmt w:val="bullet"/>
      <w:start w:val="1"/>
    </w:lvl>
  </w:abstractNum>
  <w:abstractNum w:abstractNumId="115">
    <w:nsid w:val="7AB49DAF"/>
    <w:multiLevelType w:val="hybridMultilevel"/>
    <w:lvl w:ilvl="0">
      <w:lvlJc w:val="left"/>
      <w:lvlText w:val="*"/>
      <w:numFmt w:val="bullet"/>
      <w:start w:val="1"/>
    </w:lvl>
  </w:abstractNum>
  <w:abstractNum w:abstractNumId="116">
    <w:nsid w:val="759F82CD"/>
    <w:multiLevelType w:val="hybridMultilevel"/>
    <w:lvl w:ilvl="0">
      <w:lvlJc w:val="left"/>
      <w:lvlText w:val="(%1)"/>
      <w:numFmt w:val="decimal"/>
      <w:start w:val="1"/>
    </w:lvl>
  </w:abstractNum>
  <w:abstractNum w:abstractNumId="117">
    <w:nsid w:val="61E74EA3"/>
    <w:multiLevelType w:val="hybridMultilevel"/>
    <w:lvl w:ilvl="0">
      <w:lvlJc w:val="left"/>
      <w:lvlText w:val="(%1)"/>
      <w:numFmt w:val="decimal"/>
      <w:start w:val="4"/>
    </w:lvl>
  </w:abstractNum>
  <w:abstractNum w:abstractNumId="118">
    <w:nsid w:val="597B4D84"/>
    <w:multiLevelType w:val="hybridMultilevel"/>
    <w:lvl w:ilvl="0">
      <w:lvlJc w:val="left"/>
      <w:lvlText w:val="(%1)"/>
      <w:numFmt w:val="decimal"/>
      <w:start w:val="10"/>
    </w:lvl>
  </w:abstractNum>
  <w:abstractNum w:abstractNumId="119">
    <w:nsid w:val="F819E7F"/>
    <w:multiLevelType w:val="hybridMultilevel"/>
    <w:lvl w:ilvl="0">
      <w:lvlJc w:val="left"/>
      <w:lvlText w:val="•"/>
      <w:numFmt w:val="bullet"/>
      <w:start w:val="1"/>
    </w:lvl>
  </w:abstractNum>
  <w:abstractNum w:abstractNumId="120">
    <w:nsid w:val="57C7D42D"/>
    <w:multiLevelType w:val="hybridMultilevel"/>
    <w:lvl w:ilvl="0">
      <w:lvlJc w:val="left"/>
      <w:lvlText w:val="(%1)"/>
      <w:numFmt w:val="decimal"/>
      <w:start w:val="2"/>
    </w:lvl>
  </w:abstractNum>
  <w:abstractNum w:abstractNumId="121">
    <w:nsid w:val="312167AD"/>
    <w:multiLevelType w:val="hybridMultilevel"/>
    <w:lvl w:ilvl="0">
      <w:lvlJc w:val="left"/>
      <w:lvlText w:val="(%1)"/>
      <w:numFmt w:val="decimal"/>
      <w:start w:val="1"/>
    </w:lvl>
  </w:abstractNum>
  <w:abstractNum w:abstractNumId="122">
    <w:nsid w:val="631B64D4"/>
    <w:multiLevelType w:val="hybridMultilevel"/>
    <w:lvl w:ilvl="0">
      <w:lvlJc w:val="left"/>
      <w:lvlText w:val="•"/>
      <w:numFmt w:val="bullet"/>
      <w:start w:val="1"/>
    </w:lvl>
  </w:abstractNum>
  <w:abstractNum w:abstractNumId="123">
    <w:nsid w:val="78B5E776"/>
    <w:multiLevelType w:val="hybridMultilevel"/>
    <w:lvl w:ilvl="0">
      <w:lvlJc w:val="left"/>
      <w:lvlText w:val="(%1)"/>
      <w:numFmt w:val="lowerRoman"/>
      <w:start w:val="10"/>
    </w:lvl>
  </w:abstractNum>
  <w:abstractNum w:abstractNumId="124">
    <w:nsid w:val="75486E47"/>
    <w:multiLevelType w:val="hybridMultilevel"/>
    <w:lvl w:ilvl="0">
      <w:lvlJc w:val="left"/>
      <w:lvlText w:val="•"/>
      <w:numFmt w:val="bullet"/>
      <w:start w:val="1"/>
    </w:lvl>
  </w:abstractNum>
  <w:abstractNum w:abstractNumId="125">
    <w:nsid w:val="6E534CDE"/>
    <w:multiLevelType w:val="hybridMultilevel"/>
    <w:lvl w:ilvl="0">
      <w:lvlJc w:val="left"/>
      <w:lvlText w:val="•"/>
      <w:numFmt w:val="bullet"/>
      <w:start w:val="1"/>
    </w:lvl>
  </w:abstractNum>
  <w:abstractNum w:abstractNumId="126">
    <w:nsid w:val="1A0DDE32"/>
    <w:multiLevelType w:val="hybridMultilevel"/>
    <w:lvl w:ilvl="0">
      <w:lvlJc w:val="left"/>
      <w:lvlText w:val="•"/>
      <w:numFmt w:val="bullet"/>
      <w:start w:val="1"/>
    </w:lvl>
  </w:abstractNum>
  <w:abstractNum w:abstractNumId="127">
    <w:nsid w:val="65968C1C"/>
    <w:multiLevelType w:val="hybridMultilevel"/>
    <w:lvl w:ilvl="0">
      <w:lvlJc w:val="left"/>
      <w:lvlText w:val="•"/>
      <w:numFmt w:val="bullet"/>
      <w:start w:val="1"/>
    </w:lvl>
  </w:abstractNum>
  <w:abstractNum w:abstractNumId="128">
    <w:nsid w:val="46263DEC"/>
    <w:multiLevelType w:val="hybridMultilevel"/>
    <w:lvl w:ilvl="0">
      <w:lvlJc w:val="left"/>
      <w:lvlText w:val="•"/>
      <w:numFmt w:val="bullet"/>
      <w:start w:val="1"/>
    </w:lvl>
  </w:abstractNum>
  <w:abstractNum w:abstractNumId="129">
    <w:nsid w:val="260D8C4A"/>
    <w:multiLevelType w:val="hybridMultilevel"/>
    <w:lvl w:ilvl="0">
      <w:lvlJc w:val="left"/>
      <w:lvlText w:val="•"/>
      <w:numFmt w:val="bullet"/>
      <w:start w:val="1"/>
    </w:lvl>
  </w:abstractNum>
  <w:abstractNum w:abstractNumId="130">
    <w:nsid w:val="73D4D3C4"/>
    <w:multiLevelType w:val="hybridMultilevel"/>
    <w:lvl w:ilvl="0">
      <w:lvlJc w:val="left"/>
      <w:lvlText w:val="•"/>
      <w:numFmt w:val="bullet"/>
      <w:start w:val="1"/>
    </w:lvl>
  </w:abstractNum>
  <w:abstractNum w:abstractNumId="131">
    <w:nsid w:val="746F2E30"/>
    <w:multiLevelType w:val="hybridMultilevel"/>
    <w:lvl w:ilvl="0">
      <w:lvlJc w:val="left"/>
      <w:lvlText w:val="•"/>
      <w:numFmt w:val="bullet"/>
      <w:start w:val="1"/>
    </w:lvl>
  </w:abstractNum>
  <w:abstractNum w:abstractNumId="132">
    <w:nsid w:val="6FDE8AF6"/>
    <w:multiLevelType w:val="hybridMultilevel"/>
    <w:lvl w:ilvl="0">
      <w:lvlJc w:val="left"/>
      <w:lvlText w:val="•"/>
      <w:numFmt w:val="bullet"/>
      <w:start w:val="1"/>
    </w:lvl>
  </w:abstractNum>
  <w:abstractNum w:abstractNumId="133">
    <w:nsid w:val="3FC32E20"/>
    <w:multiLevelType w:val="hybridMultilevel"/>
    <w:lvl w:ilvl="0">
      <w:lvlJc w:val="left"/>
      <w:lvlText w:val="•"/>
      <w:numFmt w:val="bullet"/>
      <w:start w:val="1"/>
    </w:lvl>
  </w:abstractNum>
  <w:abstractNum w:abstractNumId="134">
    <w:nsid w:val="49C0E823"/>
    <w:multiLevelType w:val="hybridMultilevel"/>
    <w:lvl w:ilvl="0">
      <w:lvlJc w:val="left"/>
      <w:lvlText w:val="•"/>
      <w:numFmt w:val="bullet"/>
      <w:start w:val="1"/>
    </w:lvl>
  </w:abstractNum>
  <w:abstractNum w:abstractNumId="135">
    <w:nsid w:val="14D53685"/>
    <w:multiLevelType w:val="hybridMultilevel"/>
    <w:lvl w:ilvl="0">
      <w:lvlJc w:val="left"/>
      <w:lvlText w:val="•"/>
      <w:numFmt w:val="bullet"/>
      <w:start w:val="1"/>
    </w:lvl>
  </w:abstractNum>
  <w:abstractNum w:abstractNumId="136">
    <w:nsid w:val="230F856C"/>
    <w:multiLevelType w:val="hybridMultilevel"/>
    <w:lvl w:ilvl="0">
      <w:lvlJc w:val="left"/>
      <w:lvlText w:val="•"/>
      <w:numFmt w:val="bullet"/>
      <w:start w:val="1"/>
    </w:lvl>
  </w:abstractNum>
  <w:abstractNum w:abstractNumId="137">
    <w:nsid w:val="6EAA85FB"/>
    <w:multiLevelType w:val="hybridMultilevel"/>
    <w:lvl w:ilvl="0">
      <w:lvlJc w:val="left"/>
      <w:lvlText w:val="•"/>
      <w:numFmt w:val="bullet"/>
      <w:start w:val="1"/>
    </w:lvl>
  </w:abstractNum>
  <w:abstractNum w:abstractNumId="138">
    <w:nsid w:val="3F06ECB2"/>
    <w:multiLevelType w:val="hybridMultilevel"/>
    <w:lvl w:ilvl="0">
      <w:lvlJc w:val="left"/>
      <w:lvlText w:val="(%1)"/>
      <w:numFmt w:val="lowerLetter"/>
      <w:start w:val="1"/>
    </w:lvl>
  </w:abstractNum>
  <w:abstractNum w:abstractNumId="139">
    <w:nsid w:val="3B594807"/>
    <w:multiLevelType w:val="hybridMultilevel"/>
    <w:lvl w:ilvl="0">
      <w:lvlJc w:val="left"/>
      <w:lvlText w:val="$"/>
      <w:numFmt w:val="bullet"/>
      <w:start w:val="1"/>
    </w:lvl>
  </w:abstractNum>
  <w:abstractNum w:abstractNumId="140">
    <w:nsid w:val="6CAA2304"/>
    <w:multiLevelType w:val="hybridMultilevel"/>
    <w:lvl w:ilvl="0">
      <w:lvlJc w:val="left"/>
      <w:lvlText w:val="(%1)"/>
      <w:numFmt w:val="decimal"/>
      <w:start w:val="114"/>
    </w:lvl>
  </w:abstractNum>
  <w:abstractNum w:abstractNumId="141">
    <w:nsid w:val="3F7C2FF4"/>
    <w:multiLevelType w:val="hybridMultilevel"/>
    <w:lvl w:ilvl="0">
      <w:lvlJc w:val="left"/>
      <w:lvlText w:val="(%1)"/>
      <w:numFmt w:val="decimal"/>
      <w:start w:val="66"/>
    </w:lvl>
  </w:abstractNum>
  <w:abstractNum w:abstractNumId="142">
    <w:nsid w:val="25413BEC"/>
    <w:multiLevelType w:val="hybridMultilevel"/>
    <w:lvl w:ilvl="0">
      <w:lvlJc w:val="left"/>
      <w:lvlText w:val="\emdash "/>
      <w:numFmt w:val="bullet"/>
      <w:start w:val="1"/>
    </w:lvl>
  </w:abstractNum>
  <w:abstractNum w:abstractNumId="143">
    <w:nsid w:val="17180B0B"/>
    <w:multiLevelType w:val="hybridMultilevel"/>
    <w:lvl w:ilvl="0">
      <w:lvlJc w:val="left"/>
      <w:lvlText w:val="%1."/>
      <w:numFmt w:val="decimal"/>
      <w:start w:val="1"/>
    </w:lvl>
  </w:abstractNum>
  <w:abstractNum w:abstractNumId="144">
    <w:nsid w:val="579328B9"/>
    <w:multiLevelType w:val="hybridMultilevel"/>
    <w:lvl w:ilvl="0">
      <w:lvlJc w:val="left"/>
      <w:lvlText w:val="•"/>
      <w:numFmt w:val="bullet"/>
      <w:start w:val="1"/>
    </w:lvl>
  </w:abstractNum>
  <w:abstractNum w:abstractNumId="145">
    <w:nsid w:val="5D205E20"/>
    <w:multiLevelType w:val="hybridMultilevel"/>
    <w:lvl w:ilvl="0">
      <w:lvlJc w:val="left"/>
      <w:lvlText w:val="%1."/>
      <w:numFmt w:val="decimal"/>
      <w:start w:val="2"/>
    </w:lvl>
  </w:abstractNum>
  <w:abstractNum w:abstractNumId="146">
    <w:nsid w:val="11CCA8BA"/>
    <w:multiLevelType w:val="hybridMultilevel"/>
    <w:lvl w:ilvl="0">
      <w:lvlJc w:val="left"/>
      <w:lvlText w:val="%1."/>
      <w:numFmt w:val="decimal"/>
      <w:start w:val="3"/>
    </w:lvl>
  </w:abstractNum>
  <w:abstractNum w:abstractNumId="147">
    <w:nsid w:val="4D32AB86"/>
    <w:multiLevelType w:val="hybridMultilevel"/>
    <w:lvl w:ilvl="0">
      <w:lvlJc w:val="left"/>
      <w:lvlText w:val="$"/>
      <w:numFmt w:val="bullet"/>
      <w:start w:val="1"/>
    </w:lvl>
  </w:abstractNum>
  <w:abstractNum w:abstractNumId="148">
    <w:nsid w:val="3F07ACC3"/>
    <w:multiLevelType w:val="hybridMultilevel"/>
    <w:lvl w:ilvl="0">
      <w:lvlJc w:val="left"/>
      <w:lvlText w:val="$"/>
      <w:numFmt w:val="bullet"/>
      <w:start w:val="1"/>
    </w:lvl>
  </w:abstractNum>
  <w:abstractNum w:abstractNumId="149">
    <w:nsid w:val="6B47F63E"/>
    <w:multiLevelType w:val="hybridMultilevel"/>
    <w:lvl w:ilvl="0">
      <w:lvlJc w:val="left"/>
      <w:lvlText w:val="•"/>
      <w:numFmt w:val="bullet"/>
      <w:start w:val="1"/>
    </w:lvl>
  </w:abstractNum>
  <w:abstractNum w:abstractNumId="150">
    <w:nsid w:val="5CB44A05"/>
    <w:multiLevelType w:val="hybridMultilevel"/>
    <w:lvl w:ilvl="0">
      <w:lvlJc w:val="left"/>
      <w:lvlText w:val="•"/>
      <w:numFmt w:val="bullet"/>
      <w:start w:val="1"/>
    </w:lvl>
  </w:abstractNum>
  <w:abstractNum w:abstractNumId="151">
    <w:nsid w:val="16CF80F1"/>
    <w:multiLevelType w:val="hybridMultilevel"/>
    <w:lvl w:ilvl="0">
      <w:lvlJc w:val="left"/>
      <w:lvlText w:val="%1."/>
      <w:numFmt w:val="decimal"/>
      <w:start w:val="7"/>
    </w:lvl>
  </w:abstractNum>
  <w:abstractNum w:abstractNumId="152">
    <w:nsid w:val="1C695DEC"/>
    <w:multiLevelType w:val="hybridMultilevel"/>
    <w:lvl w:ilvl="0">
      <w:lvlJc w:val="left"/>
      <w:lvlText w:val="1"/>
      <w:numFmt w:val="bullet"/>
      <w:start w:val="1"/>
    </w:lvl>
  </w:abstractNum>
  <w:abstractNum w:abstractNumId="153">
    <w:nsid w:val="3FCFAED9"/>
    <w:multiLevelType w:val="hybridMultilevel"/>
    <w:lvl w:ilvl="0">
      <w:lvlJc w:val="left"/>
      <w:lvlText w:val="%1."/>
      <w:numFmt w:val="decimal"/>
      <w:start w:val="10"/>
    </w:lvl>
  </w:abstractNum>
  <w:abstractNum w:abstractNumId="154">
    <w:nsid w:val="F856867"/>
    <w:multiLevelType w:val="hybridMultilevel"/>
    <w:lvl w:ilvl="0">
      <w:lvlJc w:val="left"/>
      <w:lvlText w:val="%1."/>
      <w:numFmt w:val="decimal"/>
      <w:start w:val="12"/>
    </w:lvl>
  </w:abstractNum>
  <w:abstractNum w:abstractNumId="155">
    <w:nsid w:val="11B1CC33"/>
    <w:multiLevelType w:val="hybridMultilevel"/>
    <w:lvl w:ilvl="0">
      <w:lvlJc w:val="left"/>
      <w:lvlText w:val="•"/>
      <w:numFmt w:val="bullet"/>
      <w:start w:val="1"/>
    </w:lvl>
  </w:abstractNum>
  <w:abstractNum w:abstractNumId="156">
    <w:nsid w:val="2E22FBB7"/>
    <w:multiLevelType w:val="hybridMultilevel"/>
    <w:lvl w:ilvl="0">
      <w:lvlJc w:val="left"/>
      <w:lvlText w:val="•"/>
      <w:numFmt w:val="bullet"/>
      <w:start w:val="1"/>
    </w:lvl>
  </w:abstractNum>
  <w:abstractNum w:abstractNumId="157">
    <w:nsid w:val="29934699"/>
    <w:multiLevelType w:val="hybridMultilevel"/>
    <w:lvl w:ilvl="0">
      <w:lvlJc w:val="left"/>
      <w:lvlText w:val="$"/>
      <w:numFmt w:val="bullet"/>
      <w:start w:val="1"/>
    </w:lvl>
  </w:abstractNum>
  <w:abstractNum w:abstractNumId="158">
    <w:nsid w:val="77485850"/>
    <w:multiLevelType w:val="hybridMultilevel"/>
    <w:lvl w:ilvl="0">
      <w:lvlJc w:val="left"/>
      <w:lvlText w:val="(%1)"/>
      <w:numFmt w:val="decimal"/>
      <w:start w:val="114"/>
    </w:lvl>
  </w:abstractNum>
  <w:abstractNum w:abstractNumId="159">
    <w:nsid w:val="744939A3"/>
    <w:multiLevelType w:val="hybridMultilevel"/>
    <w:lvl w:ilvl="0">
      <w:lvlJc w:val="left"/>
      <w:lvlText w:val="1"/>
      <w:numFmt w:val="bullet"/>
      <w:start w:val="1"/>
    </w:lvl>
  </w:abstractNum>
  <w:abstractNum w:abstractNumId="160">
    <w:nsid w:val="4FA0D2E3"/>
    <w:multiLevelType w:val="hybridMultilevel"/>
    <w:lvl w:ilvl="0">
      <w:lvlJc w:val="left"/>
      <w:lvlText w:val="%1."/>
      <w:numFmt w:val="decimal"/>
      <w:start w:val="1"/>
    </w:lvl>
  </w:abstractNum>
  <w:abstractNum w:abstractNumId="161">
    <w:nsid w:val="6B1D2C14"/>
    <w:multiLevelType w:val="hybridMultilevel"/>
    <w:lvl w:ilvl="0">
      <w:lvlJc w:val="left"/>
      <w:lvlText w:val="•"/>
      <w:numFmt w:val="bullet"/>
      <w:start w:val="1"/>
    </w:lvl>
  </w:abstractNum>
  <w:abstractNum w:abstractNumId="162">
    <w:nsid w:val="68B867D3"/>
    <w:multiLevelType w:val="hybridMultilevel"/>
    <w:lvl w:ilvl="0">
      <w:lvlJc w:val="left"/>
      <w:lvlText w:val="%1."/>
      <w:numFmt w:val="decimal"/>
      <w:start w:val="2"/>
    </w:lvl>
  </w:abstractNum>
  <w:abstractNum w:abstractNumId="163">
    <w:nsid w:val="3F7F5DD9"/>
    <w:multiLevelType w:val="hybridMultilevel"/>
    <w:lvl w:ilvl="0">
      <w:lvlJc w:val="left"/>
      <w:lvlText w:val="%1."/>
      <w:numFmt w:val="decimal"/>
      <w:start w:val="3"/>
    </w:lvl>
  </w:abstractNum>
  <w:abstractNum w:abstractNumId="164">
    <w:nsid w:val="2AE05A34"/>
    <w:multiLevelType w:val="hybridMultilevel"/>
    <w:lvl w:ilvl="0">
      <w:lvlJc w:val="left"/>
      <w:lvlText w:val="•"/>
      <w:numFmt w:val="bullet"/>
      <w:start w:val="1"/>
    </w:lvl>
  </w:abstractNum>
  <w:abstractNum w:abstractNumId="165">
    <w:nsid w:val="32794FF7"/>
    <w:multiLevelType w:val="hybridMultilevel"/>
    <w:lvl w:ilvl="0">
      <w:lvlJc w:val="left"/>
      <w:lvlText w:val="•"/>
      <w:numFmt w:val="bullet"/>
      <w:start w:val="1"/>
    </w:lvl>
  </w:abstractNum>
  <w:abstractNum w:abstractNumId="166">
    <w:nsid w:val="5454945E"/>
    <w:multiLevelType w:val="hybridMultilevel"/>
    <w:lvl w:ilvl="0">
      <w:lvlJc w:val="left"/>
      <w:lvlText w:val="%1."/>
      <w:numFmt w:val="decimal"/>
      <w:start w:val="7"/>
    </w:lvl>
  </w:abstractNum>
  <w:abstractNum w:abstractNumId="167">
    <w:nsid w:val="4DEFDFA0"/>
    <w:multiLevelType w:val="hybridMultilevel"/>
    <w:lvl w:ilvl="0">
      <w:lvlJc w:val="left"/>
      <w:lvlText w:val="%1."/>
      <w:numFmt w:val="decimal"/>
      <w:start w:val="10"/>
    </w:lvl>
  </w:abstractNum>
  <w:abstractNum w:abstractNumId="168">
    <w:nsid w:val="2123D5F2"/>
    <w:multiLevelType w:val="hybridMultilevel"/>
    <w:lvl w:ilvl="0">
      <w:lvlJc w:val="left"/>
      <w:lvlText w:val="%1."/>
      <w:numFmt w:val="decimal"/>
      <w:start w:val="12"/>
    </w:lvl>
  </w:abstractNum>
  <w:abstractNum w:abstractNumId="169">
    <w:nsid w:val="135B8110"/>
    <w:multiLevelType w:val="hybridMultilevel"/>
    <w:lvl w:ilvl="0">
      <w:lvlJc w:val="left"/>
      <w:lvlText w:val="$"/>
      <w:numFmt w:val="bullet"/>
      <w:start w:val="1"/>
    </w:lvl>
  </w:abstractNum>
  <w:abstractNum w:abstractNumId="170">
    <w:nsid w:val="94927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2020-07-16T16:29:40Z</dcterms:created>
  <dcterms:modified xsi:type="dcterms:W3CDTF">2020-07-16T16:29:40Z</dcterms:modified>
</cp:coreProperties>
</file>