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25,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ind w:right="3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April 25, 2022 and in accordance with the terms of the GoHealth, Inc. 2020 Incentive Award Plan, the Board of Directors (the “Board”) of GoHealth,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approved a stock option repricing (the “Repricing”) where the exercise price of each Relevant Option (as defined below) was reduced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$1.05 per share, the average trailing 20 trading day closing price of the Company’s Class A common stock as of market close on the day of Board approval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a premium to the $.77 closing stock price on the date of Board approval. “Relevant Options” are all outstanding stock options as of April 25,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(vested or unvested) to acquire shares of the Company’s Class A common stock that were issued to currently employed employees prior to April 1, 2022 but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excluding stock options granted to Clinton Jones (Chief Executive Officer and Co-Chairman), Brandon Cruz (Chief Strategy Officer and Co-Chairman),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James Sharman (President) and Travis Matthiesen (Interim Chief Financial Officer). The Board believes that the Repricing is in the best interests of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Company, as the amended stock options will provide added incentives to retain and motivate key contributors of the Company without incurring the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dilution resulting from significant additional equity grants or significant additional cash expenditures with additional cash compensation. The Board also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believes that the repricing better aligns the interests of the key contributors with the goals of the Company.</w:t>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a result of the Repricing, the exercise prices for Relevant Options held by Brian Farley, Chief Legal Officer, (the only named executive officer participating in the Repricing) with respect to 272,109 shares at an exercise price of $21.00 per share and 70,547 shares at an exercise price of $14.81 per share were reduced to $1.05 per share.</w:t>
      </w:r>
    </w:p>
    <w:p>
      <w:pPr>
        <w:spacing w:after="0" w:line="192"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Except for the reduction in the exercise price of the Relevant Options, all outstanding stock options will continue to remain outstanding in accordance with their current terms and conditions as set forth in the Company’s 2020 Incentive Award Plan and the applicable award agreements.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April 29, 2022</w:t>
      </w:r>
      <w:r>
        <w:rPr>
          <w:sz w:val="20"/>
          <w:szCs w:val="20"/>
          <w:color w:val="auto"/>
        </w:rPr>
        <w:tab/>
      </w:r>
      <w:r>
        <w:rPr>
          <w:rFonts w:ascii="Arial" w:cs="Arial" w:eastAsia="Arial" w:hAnsi="Arial"/>
          <w:sz w:val="15"/>
          <w:szCs w:val="15"/>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Matthiesen</w:t>
      </w:r>
    </w:p>
    <w:p>
      <w:pPr>
        <w:ind w:left="6020"/>
        <w:spacing w:after="0"/>
        <w:rPr>
          <w:sz w:val="20"/>
          <w:szCs w:val="20"/>
          <w:color w:val="auto"/>
        </w:rPr>
      </w:pPr>
      <w:r>
        <w:rPr>
          <w:rFonts w:ascii="Arial" w:cs="Arial" w:eastAsia="Arial" w:hAnsi="Arial"/>
          <w:sz w:val="16"/>
          <w:szCs w:val="16"/>
          <w:color w:val="auto"/>
        </w:rPr>
        <w:t>Interim Chief Financial Officer</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2022-04-29T20:17:33Z</dcterms:created>
  <dcterms:modified xsi:type="dcterms:W3CDTF">2022-04-29T20:17:33Z</dcterms:modified>
</cp:coreProperties>
</file>