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-598170</wp:posOffset>
            </wp:positionV>
            <wp:extent cx="8255" cy="59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-606425</wp:posOffset>
            </wp:positionV>
            <wp:extent cx="825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-582295</wp:posOffset>
            </wp:positionV>
            <wp:extent cx="1270635" cy="55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594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Jones Clinton P.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9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135,044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135,044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112,875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-2775585</wp:posOffset>
            </wp:positionV>
            <wp:extent cx="7034530" cy="2816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 ("RSUs") subject to certain vesting conditions, as described in the award agreements applicable to such RSUs. Each RSU represents a contingent right to receive one share of the Issuer's Class A Common Stock and has no expiration date.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three equal annual installments beginning on February 11, 2022.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Travis J. Matthiesen,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028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2021-02-16T16:17:19Z</dcterms:created>
  <dcterms:modified xsi:type="dcterms:W3CDTF">2021-02-16T16:17:19Z</dcterms:modified>
</cp:coreProperties>
</file>