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August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20" w:type="dxa"/>
            <w:vAlign w:val="bottom"/>
          </w:tcPr>
          <w:p>
            <w:pPr>
              <w:jc w:val="center"/>
              <w:ind w:right="215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001-39390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85-0563805</w:t>
            </w:r>
          </w:p>
        </w:tc>
      </w:tr>
      <w:tr>
        <w:trPr>
          <w:trHeight w:val="148"/>
        </w:trPr>
        <w:tc>
          <w:tcPr>
            <w:tcW w:w="4120" w:type="dxa"/>
            <w:vAlign w:val="bottom"/>
          </w:tcPr>
          <w:p>
            <w:pPr>
              <w:jc w:val="center"/>
              <w:ind w:right="21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20" w:type="dxa"/>
            <w:vAlign w:val="bottom"/>
          </w:tcPr>
          <w:p>
            <w:pPr>
              <w:jc w:val="center"/>
              <w:ind w:right="2159"/>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1"/>
              </w:rPr>
              <w:t>214 West Huron St.</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1"/>
              </w:rPr>
              <w:t>Chicago, Illinois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60654</w:t>
            </w:r>
          </w:p>
        </w:tc>
      </w:tr>
      <w:tr>
        <w:trPr>
          <w:trHeight w:val="186"/>
        </w:trPr>
        <w:tc>
          <w:tcPr>
            <w:tcW w:w="4120" w:type="dxa"/>
            <w:vAlign w:val="bottom"/>
          </w:tcPr>
          <w:p>
            <w:pPr>
              <w:jc w:val="center"/>
              <w:ind w:left="1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GOCO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024"/>
          </w:cols>
          <w:pgMar w:left="436" w:top="368" w:right="43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ind w:left="4"/>
        <w:spacing w:after="0"/>
        <w:tabs>
          <w:tab w:leader="none" w:pos="1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On August 19, 2020, GoHealth, Inc. issued a press release announcing its financial results for the quarter ended June 30, 2020. A copy of the press release is furnished as Exhibit 99.1 to this Current Report on Form 8-K.</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furnished pursuant to this Item 2.02 and the attached Exhibit 99.1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328"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31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3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180" w:type="dxa"/>
            <w:vAlign w:val="bottom"/>
            <w:gridSpan w:val="3"/>
          </w:tcPr>
          <w:p>
            <w:pPr>
              <w:ind w:left="540"/>
              <w:spacing w:after="0"/>
              <w:rPr>
                <w:rFonts w:ascii="Arial" w:cs="Arial" w:eastAsia="Arial" w:hAnsi="Arial"/>
                <w:sz w:val="18"/>
                <w:szCs w:val="18"/>
                <w:u w:val="single" w:color="auto"/>
                <w:color w:val="0000EE"/>
                <w:w w:val="86"/>
              </w:rPr>
            </w:pPr>
            <w:hyperlink w:anchor="page5">
              <w:r>
                <w:rPr>
                  <w:rFonts w:ascii="Arial" w:cs="Arial" w:eastAsia="Arial" w:hAnsi="Arial"/>
                  <w:sz w:val="18"/>
                  <w:szCs w:val="18"/>
                  <w:u w:val="single" w:color="auto"/>
                  <w:color w:val="0000EE"/>
                  <w:w w:val="86"/>
                </w:rPr>
                <w:t>Press release, dated August 19, 2020</w:t>
              </w:r>
            </w:hyperlink>
          </w:p>
        </w:tc>
        <w:tc>
          <w:tcPr>
            <w:tcW w:w="0" w:type="dxa"/>
            <w:vAlign w:val="bottom"/>
          </w:tcPr>
          <w:p>
            <w:pPr>
              <w:spacing w:after="0"/>
              <w:rPr>
                <w:sz w:val="1"/>
                <w:szCs w:val="1"/>
                <w:color w:val="auto"/>
              </w:rPr>
            </w:pPr>
          </w:p>
        </w:tc>
      </w:tr>
    </w:tbl>
    <w:p>
      <w:pPr>
        <w:sectPr>
          <w:pgSz w:w="11900" w:h="16838" w:orient="portrait"/>
          <w:cols w:equalWidth="0" w:num="1">
            <w:col w:w="10944"/>
          </w:cols>
          <w:pgMar w:left="436" w:top="270" w:right="5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p>
      <w:pPr>
        <w:spacing w:after="0" w:line="224" w:lineRule="exact"/>
        <w:rPr>
          <w:sz w:val="20"/>
          <w:szCs w:val="20"/>
          <w:color w:val="auto"/>
        </w:rPr>
      </w:pPr>
    </w:p>
    <w:p>
      <w:pPr>
        <w:spacing w:after="0"/>
        <w:tabs>
          <w:tab w:leader="none" w:pos="5600" w:val="left"/>
          <w:tab w:leader="none" w:pos="768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Travis J. Matthiesen</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Reports Second Quarter 2020 Results and Provides 2020 Outlook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Fueled by Strong Medicare Advantage Enrollments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CHICAGO, August 19, 2020 — GoHealth, Inc. (“GoHealth”) (Nasdaq: GOCO), a leading health insurance marketplace, announced financial results for the three and six months ended June 30, 2020.</w:t>
      </w:r>
    </w:p>
    <w:p>
      <w:pPr>
        <w:spacing w:after="0" w:line="76" w:lineRule="exact"/>
        <w:rPr>
          <w:sz w:val="20"/>
          <w:szCs w:val="20"/>
          <w:color w:val="auto"/>
        </w:rPr>
      </w:pPr>
    </w:p>
    <w:p>
      <w:pPr>
        <w:ind w:left="960" w:right="2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2020 net revenues of $127.1 million increased 71% compared to the prior year period, and first half 2020 net revenues of $268.1 million increased 87% compared to the prior year period</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2020 net loss of $(22.9) million compared to net income of $15.3 million in the prior year period, and first half 2020 net loss of $(23.8) million compared to net income of $20.3 million in the prior year period</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2020 adjusted EBITDA</w:t>
      </w:r>
      <w:r>
        <w:rPr>
          <w:rFonts w:ascii="Arial" w:cs="Arial" w:eastAsia="Arial" w:hAnsi="Arial"/>
          <w:sz w:val="15"/>
          <w:szCs w:val="15"/>
          <w:color w:val="auto"/>
        </w:rPr>
        <w:t>1</w:t>
      </w:r>
      <w:r>
        <w:rPr>
          <w:rFonts w:ascii="Arial" w:cs="Arial" w:eastAsia="Arial" w:hAnsi="Arial"/>
          <w:sz w:val="18"/>
          <w:szCs w:val="18"/>
          <w:color w:val="auto"/>
        </w:rPr>
        <w:t xml:space="preserve"> of $26.9 million increased 56% compared to the prior year period, and first half 2020 adjusted EBITDA of $61.9 million increased 154% compared to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provided a full year 2020 outlook, including net revenues of $840-890 million and adjusted EBITDA</w:t>
      </w:r>
      <w:r>
        <w:rPr>
          <w:rFonts w:ascii="Arial" w:cs="Arial" w:eastAsia="Arial" w:hAnsi="Arial"/>
          <w:sz w:val="14"/>
          <w:szCs w:val="14"/>
          <w:color w:val="auto"/>
        </w:rPr>
        <w:t>1</w:t>
      </w:r>
      <w:r>
        <w:rPr>
          <w:rFonts w:ascii="Arial" w:cs="Arial" w:eastAsia="Arial" w:hAnsi="Arial"/>
          <w:sz w:val="17"/>
          <w:szCs w:val="17"/>
          <w:color w:val="auto"/>
        </w:rPr>
        <w:t xml:space="preserve"> of $265-290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6998970" cy="145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Clint Jones, co-founder and CEO said, “We delivered 71% revenue growth in the second quarter, powered by strong Medicare Advantage enrollments. Our strategic focus on LTV/CAC ensures that these high rates of growth convert into industry-leading margins and strong cash returns. Given the trajectory of our business and the investments we have been making in our direct-to-consumer marketplace, we believe we are on track for another record year of results in fiscal 2020.”</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Jones continued, “GoHealth is one of the largest enrollers of Medicare Advantage plans in the United States. Our targeted marketing efforts help spur seniors to evaluate their Medicare plans as we continue to expand our carrier offerings and geographic footprint. The COVID-19 pandemic has accelerated the shift from traditional field agents to our technology enabled model, as consumers seek the expert advice of our agents from the comfort and safety of their homes. Importantly, we are rapidly scaling up in a fast growing, 60 million plus person market where our larger scale and leadership position will allow us to better help both consumers and carriers.”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Year-to-date highlights</w:t>
      </w:r>
    </w:p>
    <w:p>
      <w:pPr>
        <w:spacing w:after="0" w:line="135" w:lineRule="exact"/>
        <w:rPr>
          <w:sz w:val="20"/>
          <w:szCs w:val="20"/>
          <w:color w:val="auto"/>
        </w:rPr>
      </w:pPr>
    </w:p>
    <w:p>
      <w:pPr>
        <w:ind w:left="960" w:right="1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LTV/CAC</w:t>
      </w:r>
      <w:r>
        <w:rPr>
          <w:rFonts w:ascii="Arial" w:cs="Arial" w:eastAsia="Arial" w:hAnsi="Arial"/>
          <w:sz w:val="15"/>
          <w:szCs w:val="15"/>
          <w:color w:val="auto"/>
        </w:rPr>
        <w:t>2</w:t>
      </w:r>
      <w:r>
        <w:rPr>
          <w:rFonts w:ascii="Arial" w:cs="Arial" w:eastAsia="Arial" w:hAnsi="Arial"/>
          <w:sz w:val="18"/>
          <w:szCs w:val="18"/>
          <w:color w:val="auto"/>
        </w:rPr>
        <w:t xml:space="preserve"> for the Medicare-Internal segment increased from 2.3x to 2.7x during the first half 2020, driven by lower marketing costs per opportunity and higher conversion, resulting in EBITDA margins of 23% vs 17% in the prior year period. Trailing twelve-month LTV/CAC jumped from 2.8x to 3.6x.</w:t>
      </w:r>
    </w:p>
    <w:p>
      <w:pPr>
        <w:spacing w:after="0" w:line="89" w:lineRule="exact"/>
        <w:rPr>
          <w:rFonts w:ascii="Arial" w:cs="Arial" w:eastAsia="Arial" w:hAnsi="Arial"/>
          <w:sz w:val="18"/>
          <w:szCs w:val="18"/>
          <w:color w:val="auto"/>
        </w:rPr>
      </w:pPr>
    </w:p>
    <w:p>
      <w:pPr>
        <w:ind w:left="2080" w:right="320" w:hanging="545"/>
        <w:spacing w:after="0" w:line="277"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LTV per carrier approved Medicare Advantage submission increased 1.3% from $868 to $879 during the first half 2020 compared to the prior year period</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79% of consumer leads were generated internally vs 30% in the prior year period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Medicare Submitted Policies</w:t>
      </w:r>
      <w:r>
        <w:rPr>
          <w:rFonts w:ascii="Arial" w:cs="Arial" w:eastAsia="Arial" w:hAnsi="Arial"/>
          <w:sz w:val="15"/>
          <w:szCs w:val="15"/>
          <w:color w:val="auto"/>
        </w:rPr>
        <w:t>3</w:t>
      </w:r>
      <w:r>
        <w:rPr>
          <w:rFonts w:ascii="Arial" w:cs="Arial" w:eastAsia="Arial" w:hAnsi="Arial"/>
          <w:sz w:val="18"/>
          <w:szCs w:val="18"/>
          <w:color w:val="auto"/>
        </w:rPr>
        <w:t xml:space="preserve"> grew 148% in the first half 2020 to 245,396</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Medicare—Internal revenue increased 242% in the first half 2020 to $182.5 million</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Medicare—Internal profit increased 276% in the first half 2020 to $74.5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76% increase in customer care and enrollment investments in the first half 2020 ahead of the Annual Enrollment Period</w:t>
      </w:r>
    </w:p>
    <w:p>
      <w:pPr>
        <w:spacing w:after="0" w:line="130" w:lineRule="exact"/>
        <w:rPr>
          <w:rFonts w:ascii="Arial" w:cs="Arial" w:eastAsia="Arial" w:hAnsi="Arial"/>
          <w:sz w:val="18"/>
          <w:szCs w:val="18"/>
          <w:color w:val="auto"/>
        </w:rPr>
      </w:pPr>
    </w:p>
    <w:p>
      <w:pPr>
        <w:ind w:left="2080" w:right="820" w:hanging="545"/>
        <w:spacing w:after="0" w:line="277"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track for over 1,000 new agents in 2020 (957 hired as of August 1</w:t>
      </w:r>
      <w:r>
        <w:rPr>
          <w:rFonts w:ascii="Arial" w:cs="Arial" w:eastAsia="Arial" w:hAnsi="Arial"/>
          <w:sz w:val="15"/>
          <w:szCs w:val="15"/>
          <w:color w:val="auto"/>
        </w:rPr>
        <w:t>st</w:t>
      </w:r>
      <w:r>
        <w:rPr>
          <w:rFonts w:ascii="Arial" w:cs="Arial" w:eastAsia="Arial" w:hAnsi="Arial"/>
          <w:sz w:val="18"/>
          <w:szCs w:val="18"/>
          <w:color w:val="auto"/>
        </w:rPr>
        <w:t>, 2020) and four new virtual sales centers, substantially resolving COVID-19 related state licensing delays to date</w:t>
      </w:r>
    </w:p>
    <w:p>
      <w:pPr>
        <w:spacing w:after="0" w:line="75" w:lineRule="exact"/>
        <w:rPr>
          <w:rFonts w:ascii="Arial" w:cs="Arial" w:eastAsia="Arial" w:hAnsi="Arial"/>
          <w:sz w:val="18"/>
          <w:szCs w:val="18"/>
          <w:color w:val="auto"/>
        </w:rPr>
      </w:pPr>
    </w:p>
    <w:p>
      <w:pPr>
        <w:ind w:left="2080" w:right="260" w:hanging="545"/>
        <w:spacing w:after="0" w:line="277"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TeleCare team engaging with customers to maximize benefits, deliver them into value-based care models and administer health based assessments through GoHealth’s Encompass Platform</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footprint through carrier additions that drive consumer choice and fit into 2021</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Added UnitedHealthcare and Aetna nationally, in addition to multiple regional carriers</w:t>
      </w:r>
    </w:p>
    <w:p>
      <w:pPr>
        <w:sectPr>
          <w:pgSz w:w="11900" w:h="16838" w:orient="portrait"/>
          <w:cols w:equalWidth="0" w:num="1">
            <w:col w:w="11020"/>
          </w:cols>
          <w:pgMar w:left="440" w:top="121"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Outlook</w:t>
      </w:r>
    </w:p>
    <w:p>
      <w:pPr>
        <w:spacing w:after="0" w:line="121"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The trajectory of the US economy remains challenging to predict, particularly given the heightened uncertainty associated with the COVID-19 pandemic. During these times, demand for healthcare has demonstrated great resilience, and we believe that the COVID-19 pandemic has created favorable industry dynamics for technology-driven direct-to-consumer models such as GoHealth’s insurance marketplace. The Company is providing an outlook for the fiscal year ending December 31, 2020 based on current market conditions and expectations:</w:t>
      </w:r>
    </w:p>
    <w:p>
      <w:pPr>
        <w:spacing w:after="0" w:line="167" w:lineRule="exact"/>
        <w:rPr>
          <w:sz w:val="20"/>
          <w:szCs w:val="20"/>
          <w:color w:val="auto"/>
        </w:rPr>
      </w:pPr>
    </w:p>
    <w:p>
      <w:pPr>
        <w:ind w:left="184" w:hanging="184"/>
        <w:spacing w:after="0"/>
        <w:tabs>
          <w:tab w:leader="none" w:pos="1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Full year 2020 net revenue of $840 – $890 million, representing year-over-year growth of 56% – 65%</w:t>
      </w:r>
    </w:p>
    <w:p>
      <w:pPr>
        <w:spacing w:after="0" w:line="27" w:lineRule="exact"/>
        <w:rPr>
          <w:rFonts w:ascii="Arial" w:cs="Arial" w:eastAsia="Arial" w:hAnsi="Arial"/>
          <w:sz w:val="18"/>
          <w:szCs w:val="18"/>
          <w:b w:val="1"/>
          <w:bCs w:val="1"/>
          <w:color w:val="auto"/>
        </w:rPr>
      </w:pPr>
    </w:p>
    <w:p>
      <w:pPr>
        <w:ind w:left="184" w:hanging="184"/>
        <w:spacing w:after="0"/>
        <w:tabs>
          <w:tab w:leader="none" w:pos="1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Full year 2020 adjusted EBITDA of $265 – $290 million, representing year-over-year growth of 55%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158115</wp:posOffset>
            </wp:positionV>
            <wp:extent cx="6998970" cy="49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72"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Jones concluded, “Our recent IPO marked an important milestone nearly two decades after Brandon Cruz and I founded the Company, providing us with the necessary capital to deliver our long-term plan. We believe we have the winning strategy necessary to deliver great results for our shareholders over the coming years by working to improve access to healthcare in America.”</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The Company will host a conference call today, Wednesday, August 19, 2020 at 5:00 pm (ET) to discuss its financial results. A live audio webcast and a supplemental presentation will be available online at </w:t>
      </w:r>
      <w:r>
        <w:rPr>
          <w:rFonts w:ascii="Arial" w:cs="Arial" w:eastAsia="Arial" w:hAnsi="Arial"/>
          <w:sz w:val="17"/>
          <w:szCs w:val="17"/>
          <w:u w:val="single" w:color="auto"/>
          <w:color w:val="auto"/>
        </w:rPr>
        <w:t>https://investors.gohealth.com</w:t>
      </w:r>
      <w:r>
        <w:rPr>
          <w:rFonts w:ascii="Arial" w:cs="Arial" w:eastAsia="Arial" w:hAnsi="Arial"/>
          <w:sz w:val="17"/>
          <w:szCs w:val="17"/>
          <w:color w:val="auto"/>
        </w:rPr>
        <w:t>. The conference call can also be accessed by dialing 1-833-519-1310 for U.S. participants, or 1-914-800-3876 for international participants, and referencing participant code 9537505. A replay of the call will be available via webcast for on-demand listening shortly after the completion of the call, at the same web link.</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GoHealth</w:t>
      </w:r>
    </w:p>
    <w:p>
      <w:pPr>
        <w:spacing w:after="0" w:line="121"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 xml:space="preserve">As a leading health insurance marketplace,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best for them. Since its inception, GoHealth has enrolled millions of people in Medicare and individual and family plans. For more information, visit </w:t>
      </w:r>
      <w:r>
        <w:rPr>
          <w:rFonts w:ascii="Arial" w:cs="Arial" w:eastAsia="Arial" w:hAnsi="Arial"/>
          <w:sz w:val="18"/>
          <w:szCs w:val="18"/>
          <w:u w:val="single" w:color="auto"/>
          <w:color w:val="auto"/>
        </w:rPr>
        <w:t>https://www.gohealth.com</w:t>
      </w:r>
    </w:p>
    <w:p>
      <w:pPr>
        <w:spacing w:after="0" w:line="183" w:lineRule="exact"/>
        <w:rPr>
          <w:sz w:val="20"/>
          <w:szCs w:val="20"/>
          <w:color w:val="auto"/>
        </w:rPr>
      </w:pPr>
    </w:p>
    <w:p>
      <w:pPr>
        <w:ind w:left="4" w:right="100" w:hanging="4"/>
        <w:spacing w:after="0" w:line="255" w:lineRule="auto"/>
        <w:tabs>
          <w:tab w:leader="none" w:pos="98" w:val="left"/>
        </w:tabs>
        <w:numPr>
          <w:ilvl w:val="0"/>
          <w:numId w:val="6"/>
        </w:numPr>
        <w:rPr>
          <w:rFonts w:ascii="Arial" w:cs="Arial" w:eastAsia="Arial" w:hAnsi="Arial"/>
          <w:sz w:val="11"/>
          <w:szCs w:val="11"/>
          <w:i w:val="1"/>
          <w:iCs w:val="1"/>
          <w:color w:val="auto"/>
        </w:rPr>
      </w:pPr>
      <w:r>
        <w:rPr>
          <w:rFonts w:ascii="Arial" w:cs="Arial" w:eastAsia="Arial" w:hAnsi="Arial"/>
          <w:sz w:val="13"/>
          <w:szCs w:val="13"/>
          <w:i w:val="1"/>
          <w:iCs w:val="1"/>
          <w:color w:val="auto"/>
        </w:rPr>
        <w:t xml:space="preserve">Adjusted EBITDA is a non-GAAP measure. For a definition of Adjusted EBITDA and a reconciliation to the most comparable GAAP measure, please refer to the appendix. </w:t>
      </w:r>
      <w:r>
        <w:rPr>
          <w:rFonts w:ascii="Arial" w:cs="Arial" w:eastAsia="Arial" w:hAnsi="Arial"/>
          <w:sz w:val="11"/>
          <w:szCs w:val="11"/>
          <w:i w:val="1"/>
          <w:iCs w:val="1"/>
          <w:color w:val="auto"/>
        </w:rPr>
        <w:t>2</w:t>
      </w:r>
      <w:r>
        <w:rPr>
          <w:rFonts w:ascii="Arial" w:cs="Arial" w:eastAsia="Arial" w:hAnsi="Arial"/>
          <w:sz w:val="13"/>
          <w:szCs w:val="13"/>
          <w:i w:val="1"/>
          <w:iCs w:val="1"/>
          <w:color w:val="auto"/>
        </w:rPr>
        <w:t xml:space="preserve"> LTV/CAC defined as (i) aggregate commissions estimated to be collected over the estimated life of all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w:t>
      </w:r>
      <w:r>
        <w:rPr>
          <w:rFonts w:ascii="Arial" w:cs="Arial" w:eastAsia="Arial" w:hAnsi="Arial"/>
          <w:sz w:val="11"/>
          <w:szCs w:val="11"/>
          <w:i w:val="1"/>
          <w:iCs w:val="1"/>
          <w:color w:val="auto"/>
        </w:rPr>
        <w:t>3</w:t>
      </w:r>
      <w:r>
        <w:rPr>
          <w:rFonts w:ascii="Arial" w:cs="Arial" w:eastAsia="Arial" w:hAnsi="Arial"/>
          <w:sz w:val="13"/>
          <w:szCs w:val="13"/>
          <w:i w:val="1"/>
          <w:iCs w:val="1"/>
          <w:color w:val="auto"/>
        </w:rPr>
        <w:t xml:space="preserve"> Total Medicare Advantage Submitted Policies includes Commissionable and non-Commissionable Policies.</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Jay Koval, VP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jkoval@gohealth.com</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pressinquiries@gohealth.com</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2020, including with respect to revenue and Adjusted EBITDA,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our relationships with carriers, including a loss of a carrier relationships; failure to grow the Company’s customer base or retain our existing customers;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press release, as well as the cautionary statements and other risk factors set forth in the Company’s Quarterly Report on Form 10-Q for the second quarter ended June 30, 2020 filed with the SEC.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and Key Performance Indicators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this press release, 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Adjusted EBITDA represents EBITDA as further adjusted for share-based compensation, change in fair value of earnout liability, Centerbridge Acquisition costs, severance costs and incremental organizational costs in connection with the IPO. Adjusted EBITDA margin represents Adjusted EBITDA divided by net revenues.</w:t>
      </w:r>
    </w:p>
    <w:p>
      <w:pPr>
        <w:sectPr>
          <w:pgSz w:w="11900" w:h="16838" w:orient="portrait"/>
          <w:cols w:equalWidth="0" w:num="1">
            <w:col w:w="10980"/>
          </w:cols>
          <w:pgMar w:left="440" w:top="270" w:right="479" w:bottom="1440" w:gutter="0" w:footer="0" w:header="0"/>
        </w:sectPr>
      </w:pPr>
    </w:p>
    <w:bookmarkStart w:id="7" w:name="page8"/>
    <w:bookmarkEnd w:id="7"/>
    <w:p>
      <w:pPr>
        <w:jc w:val="both"/>
        <w:ind w:right="2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Management has provided its outlook regarding adjusted EBITDA, which is a non-GAAP financial measures and exclude certain charges. Management has not reconciled these non-GAAP financial measures to the corresponding GAAP financial measures because guidance for the various reconciling items are not provided. Management is unable to provide guidance for these reconciling items because we cannot determine their probable significance, as certain items are outside of the company’s control and cannot be reasonably predicted since these items could vary significantly from period to period. Accordingly, reconciliations to the corresponding GAAP financial measures are not available without unreasonable effort.</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“LTV/CAC”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 “Approved Submissions” refer to Submitted Policies approved by carriers for the identified product during the indicated period. “LTV Per Approved Submission”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sets forth the components of our results of operations for the three months ended June 30, 2020 and 2019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vMerge w:val="continue"/>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12"/>
              <w:spacing w:after="0" w:line="119" w:lineRule="exact"/>
              <w:rPr>
                <w:sz w:val="20"/>
                <w:szCs w:val="20"/>
                <w:color w:val="auto"/>
              </w:rPr>
            </w:pPr>
            <w:r>
              <w:rPr>
                <w:rFonts w:ascii="Arial" w:cs="Arial" w:eastAsia="Arial" w:hAnsi="Arial"/>
                <w:sz w:val="13"/>
                <w:szCs w:val="13"/>
                <w:b w:val="1"/>
                <w:bCs w:val="1"/>
                <w:color w:val="auto"/>
              </w:rPr>
              <w:t>Three Months</w:t>
            </w:r>
          </w:p>
        </w:tc>
        <w:tc>
          <w:tcPr>
            <w:tcW w:w="2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Ended June 30, 2020</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Ended June 30, 2019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321"/>
              <w:spacing w:after="0"/>
              <w:rPr>
                <w:sz w:val="20"/>
                <w:szCs w:val="20"/>
                <w:color w:val="auto"/>
              </w:rPr>
            </w:pPr>
            <w:r>
              <w:rPr>
                <w:rFonts w:ascii="Arial" w:cs="Arial" w:eastAsia="Arial" w:hAnsi="Arial"/>
                <w:sz w:val="14"/>
                <w:szCs w:val="14"/>
                <w:b w:val="1"/>
                <w:bCs w:val="1"/>
                <w:color w:val="auto"/>
                <w:w w:val="96"/>
              </w:rPr>
              <w:t>Dollars</w:t>
            </w:r>
          </w:p>
        </w:tc>
        <w:tc>
          <w:tcPr>
            <w:tcW w:w="5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60" w:type="dxa"/>
            <w:vAlign w:val="bottom"/>
          </w:tcPr>
          <w:p>
            <w:pPr>
              <w:spacing w:after="0"/>
              <w:rPr>
                <w:sz w:val="10"/>
                <w:szCs w:val="10"/>
                <w:color w:val="auto"/>
              </w:rPr>
            </w:pPr>
          </w:p>
        </w:tc>
        <w:tc>
          <w:tcPr>
            <w:tcW w:w="96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96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96,606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$60,077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36,529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14,434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16,017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127,057</w:t>
            </w:r>
          </w:p>
        </w:tc>
        <w:tc>
          <w:tcPr>
            <w:tcW w:w="28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74,511</w:t>
            </w:r>
          </w:p>
        </w:tc>
        <w:tc>
          <w:tcPr>
            <w:tcW w:w="24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52,546</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07"/>
        </w:trPr>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36,559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26,561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9,998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21,634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16,608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28,394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15,814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12,580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5,705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1,404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10,359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7,106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3,253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15,300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15,300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23,514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23,514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141,465</w:t>
            </w:r>
          </w:p>
        </w:tc>
        <w:tc>
          <w:tcPr>
            <w:tcW w:w="28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59,107</w:t>
            </w:r>
          </w:p>
        </w:tc>
        <w:tc>
          <w:tcPr>
            <w:tcW w:w="24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82,358</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(14,408)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(29,812)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8,986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8,905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(Loss) income before income tax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(22,889)</w:t>
            </w:r>
          </w:p>
        </w:tc>
        <w:tc>
          <w:tcPr>
            <w:tcW w:w="28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15,285</w:t>
            </w:r>
          </w:p>
        </w:tc>
        <w:tc>
          <w:tcPr>
            <w:tcW w:w="24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(38,174)</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(22,867</w:t>
            </w:r>
          </w:p>
        </w:tc>
        <w:tc>
          <w:tcPr>
            <w:tcW w:w="28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15,276</w:t>
            </w:r>
          </w:p>
        </w:tc>
        <w:tc>
          <w:tcPr>
            <w:tcW w:w="240" w:type="dxa"/>
            <w:vAlign w:val="bottom"/>
            <w:vMerge w:val="continue"/>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(38,143</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10,615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$16,871</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(6,256)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26,936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$17,269</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9,667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21. 2%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NM indicates that the percentage is not meaningful.</w:t>
      </w:r>
    </w:p>
    <w:p>
      <w:pPr>
        <w:sectPr>
          <w:pgSz w:w="11900" w:h="16838" w:orient="portrait"/>
          <w:cols w:equalWidth="0" w:num="1">
            <w:col w:w="11020"/>
          </w:cols>
          <w:pgMar w:left="440" w:top="274"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reconciliations of GAAP net (loss) income to EBITDA and Adjusted EBITDA for the three months ended June 30, 2020 and 2019 are as follows:</w:t>
      </w:r>
    </w:p>
    <w:p>
      <w:pPr>
        <w:spacing w:after="0" w:line="267"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4" w:type="dxa"/>
        <w:tblCellMar>
          <w:top w:w="0" w:type="dxa"/>
          <w:left w:w="0" w:type="dxa"/>
          <w:bottom w:w="0" w:type="dxa"/>
          <w:right w:w="0" w:type="dxa"/>
        </w:tblCellMar>
      </w:tblPr>
      <w:tr>
        <w:trPr>
          <w:trHeight w:val="142"/>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470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Borders>
              <w:top w:val="single" w:sz="8" w:color="auto"/>
              <w:right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7"/>
              </w:rPr>
              <w:t>Successor</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127,057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74,511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(22,867)</w:t>
            </w: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5"/>
                <w:szCs w:val="15"/>
                <w:color w:val="auto"/>
              </w:rPr>
              <w:t>(1)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 consideration liability</w:t>
            </w:r>
            <w:r>
              <w:rPr>
                <w:rFonts w:ascii="Arial" w:cs="Arial" w:eastAsia="Arial" w:hAnsi="Arial"/>
                <w:sz w:val="15"/>
                <w:szCs w:val="15"/>
                <w:color w:val="auto"/>
              </w:rPr>
              <w:t>(2)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15,300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IPO transaction costs</w:t>
            </w:r>
            <w:r>
              <w:rPr>
                <w:rFonts w:ascii="Arial" w:cs="Arial" w:eastAsia="Arial" w:hAnsi="Arial"/>
                <w:sz w:val="15"/>
                <w:szCs w:val="15"/>
                <w:color w:val="auto"/>
              </w:rPr>
              <w:t>(4)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Severance costs</w:t>
            </w:r>
            <w:r>
              <w:rPr>
                <w:rFonts w:ascii="Arial" w:cs="Arial" w:eastAsia="Arial" w:hAnsi="Arial"/>
                <w:sz w:val="15"/>
                <w:szCs w:val="15"/>
                <w:color w:val="auto"/>
              </w:rPr>
              <w:t>(5)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w:t>
      </w:r>
    </w:p>
    <w:p>
      <w:pPr>
        <w:spacing w:after="0" w:line="23" w:lineRule="exact"/>
        <w:rPr>
          <w:rFonts w:ascii="Arial" w:cs="Arial" w:eastAsia="Arial" w:hAnsi="Arial"/>
          <w:sz w:val="18"/>
          <w:szCs w:val="18"/>
          <w:color w:val="auto"/>
        </w:rPr>
      </w:pPr>
    </w:p>
    <w:p>
      <w:pPr>
        <w:ind w:left="424" w:right="62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w:t>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legal, accounting, consulting, and other indirect costs associated with the Company’s IPO.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ectPr>
          <w:pgSz w:w="11900" w:h="16838" w:orient="portrait"/>
          <w:cols w:equalWidth="0" w:num="1">
            <w:col w:w="10824"/>
          </w:cols>
          <w:pgMar w:left="436" w:top="274"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sets forth the components of our results of operations for the six months ended June 30, 2020 and 2019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Months</w:t>
            </w:r>
          </w:p>
        </w:tc>
        <w:tc>
          <w:tcPr>
            <w:tcW w:w="260" w:type="dxa"/>
            <w:vAlign w:val="bottom"/>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ind w:left="320"/>
              <w:spacing w:after="0" w:line="119" w:lineRule="exact"/>
              <w:rPr>
                <w:sz w:val="20"/>
                <w:szCs w:val="20"/>
                <w:color w:val="auto"/>
              </w:rPr>
            </w:pPr>
            <w:r>
              <w:rPr>
                <w:rFonts w:ascii="Arial" w:cs="Arial" w:eastAsia="Arial" w:hAnsi="Arial"/>
                <w:sz w:val="13"/>
                <w:szCs w:val="13"/>
                <w:b w:val="1"/>
                <w:bCs w:val="1"/>
                <w:color w:val="auto"/>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Ended June 30, 2020</w:t>
            </w:r>
          </w:p>
        </w:tc>
        <w:tc>
          <w:tcPr>
            <w:tcW w:w="1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4"/>
                <w:szCs w:val="14"/>
                <w:b w:val="1"/>
                <w:bCs w:val="1"/>
                <w:color w:val="auto"/>
              </w:rPr>
              <w:t>Ended June 30, 2019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341"/>
              <w:spacing w:after="0"/>
              <w:rPr>
                <w:sz w:val="20"/>
                <w:szCs w:val="20"/>
                <w:color w:val="auto"/>
              </w:rPr>
            </w:pPr>
            <w:r>
              <w:rPr>
                <w:rFonts w:ascii="Arial" w:cs="Arial" w:eastAsia="Arial" w:hAnsi="Arial"/>
                <w:sz w:val="14"/>
                <w:szCs w:val="14"/>
                <w:b w:val="1"/>
                <w:bCs w:val="1"/>
                <w:color w:val="auto"/>
                <w:w w:val="92"/>
              </w:rPr>
              <w:t>Dollars</w:t>
            </w:r>
          </w:p>
        </w:tc>
        <w:tc>
          <w:tcPr>
            <w:tcW w:w="5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9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1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w w:val="86"/>
              </w:rPr>
              <w:t>209,116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111,293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97,823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58,951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26,643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268,067</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143,601</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124,466</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78,693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54,113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24,580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47,708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16,437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31,271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52,371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29,753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22,618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10,298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1,841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20,849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14,096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6,753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19,700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19,700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47,029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47,029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276,648</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123,155</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153,493</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(8,581)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20,446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(29,027)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15,742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15,633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(495)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(Loss) income before income tax expense</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(23,828)</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20,289</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(44,117)</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(23,804</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80" w:type="dxa"/>
            <w:vAlign w:val="bottom"/>
            <w:tcBorders>
              <w:left w:val="single" w:sz="8" w:color="auto"/>
            </w:tcBorders>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20,278</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 (44,082</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40,579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23,441</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17,138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61,857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24,405</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37,452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NM indicates that the percentage is not meaningful.</w:t>
      </w:r>
    </w:p>
    <w:p>
      <w:pPr>
        <w:sectPr>
          <w:pgSz w:w="11900" w:h="16838" w:orient="portrait"/>
          <w:cols w:equalWidth="0" w:num="1">
            <w:col w:w="11020"/>
          </w:cols>
          <w:pgMar w:left="440" w:top="274"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reconciliations of GAAP net (loss) income to EBITDA and Adjusted EBITDA for the six months ended June 30, 2020 and 2019 are as follows:</w:t>
      </w:r>
    </w:p>
    <w:p>
      <w:pPr>
        <w:spacing w:after="0" w:line="26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Six Months Ended</w:t>
      </w:r>
    </w:p>
    <w:p>
      <w:pPr>
        <w:jc w:val="center"/>
        <w:ind w:left="64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4" w:type="dxa"/>
        <w:tblCellMar>
          <w:top w:w="0" w:type="dxa"/>
          <w:left w:w="0" w:type="dxa"/>
          <w:bottom w:w="0" w:type="dxa"/>
          <w:right w:w="0" w:type="dxa"/>
        </w:tblCellMar>
      </w:tblPr>
      <w:tr>
        <w:trPr>
          <w:trHeight w:val="142"/>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5700" w:type="dxa"/>
            <w:vAlign w:val="bottom"/>
            <w:vMerge w:val="restart"/>
          </w:tcPr>
          <w:p>
            <w:pPr>
              <w:spacing w:after="0"/>
              <w:rPr>
                <w:sz w:val="12"/>
                <w:szCs w:val="12"/>
                <w:color w:val="auto"/>
              </w:rPr>
            </w:pPr>
          </w:p>
        </w:tc>
        <w:tc>
          <w:tcPr>
            <w:tcW w:w="800" w:type="dxa"/>
            <w:vAlign w:val="bottom"/>
            <w:tcBorders>
              <w:top w:val="single" w:sz="8" w:color="auto"/>
              <w:right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Successor</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268,067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143,601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(23,804)</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40,579</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 consideration liability</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IPO transaction costs</w:t>
            </w: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Severance costs</w:t>
            </w: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61,857</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w:t>
      </w:r>
    </w:p>
    <w:p>
      <w:pPr>
        <w:spacing w:after="0" w:line="23" w:lineRule="exact"/>
        <w:rPr>
          <w:rFonts w:ascii="Arial" w:cs="Arial" w:eastAsia="Arial" w:hAnsi="Arial"/>
          <w:sz w:val="18"/>
          <w:szCs w:val="18"/>
          <w:color w:val="auto"/>
        </w:rPr>
      </w:pPr>
    </w:p>
    <w:p>
      <w:pPr>
        <w:ind w:left="424" w:right="46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w:t>
      </w: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legal, accounting, consulting, and other indirect costs associated with the Company’s IPO.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ectPr>
          <w:pgSz w:w="11900" w:h="16838" w:orient="portrait"/>
          <w:cols w:equalWidth="0" w:num="1">
            <w:col w:w="10664"/>
          </w:cols>
          <w:pgMar w:left="436" w:top="274" w:right="7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GoHealth Holdings,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unit and per unit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9"/>
        </w:trPr>
        <w:tc>
          <w:tcPr>
            <w:tcW w:w="8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June 30,</w:t>
            </w:r>
          </w:p>
        </w:tc>
        <w:tc>
          <w:tcPr>
            <w:tcW w:w="260" w:type="dxa"/>
            <w:vAlign w:val="bottom"/>
            <w:gridSpan w:val="2"/>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118,341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doubtful accounts of $729 in 2020 and $904 in 2019</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24,461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Commissions receivable – current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74,044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101,078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115"/>
        </w:trPr>
        <w:tc>
          <w:tcPr>
            <w:tcW w:w="8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216,848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143,769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Commissions receivable – non-current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367,596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281,853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12,467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735,754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782,783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15"/>
        </w:trPr>
        <w:tc>
          <w:tcPr>
            <w:tcW w:w="8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1,720,411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1,602,295</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21,659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Commissions payable – current</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46,240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56,003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87,333</w:t>
            </w:r>
          </w:p>
        </w:tc>
        <w:tc>
          <w:tcPr>
            <w:tcW w:w="2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113,065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Commissions payable – non-current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125,387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97,489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288,233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62,400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242,700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8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585,565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629,086</w:t>
            </w:r>
          </w:p>
        </w:tc>
        <w:tc>
          <w:tcPr>
            <w:tcW w:w="0" w:type="dxa"/>
            <w:vAlign w:val="bottom"/>
          </w:tcPr>
          <w:p>
            <w:pPr>
              <w:spacing w:after="0"/>
              <w:rPr>
                <w:sz w:val="1"/>
                <w:szCs w:val="1"/>
                <w:color w:val="auto"/>
              </w:rPr>
            </w:pPr>
          </w:p>
        </w:tc>
      </w:tr>
      <w:tr>
        <w:trPr>
          <w:trHeight w:val="108"/>
        </w:trPr>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Preferred Units – $1.00 par value; 541,263,042 units authorized, issued and outstanding at June 30, 2020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536,489</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547,542</w:t>
            </w: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2"/>
              </w:rPr>
              <w:t>Class A Common Units – $1.00 par value; 351,345,682 and 237,938,682 units authorized, issued and outstanding at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June 30, 2020 and December 31, 2019</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282,317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218,911</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Class B Common Units – $1.00 par value; 157,372,734 and 102,061,318 units authorized, issued and outstanding at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June 30, 2020 and December 31, 2019, respectively</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130,536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93,708</w:t>
            </w: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8"/>
              </w:rPr>
              <w:t>Senior Preferred Earnout Units – no par value; 100,000,000 and 0 units authorized, issued, and outstanding at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June 30, 2020 and December 31, 2019, respectively</w:t>
            </w:r>
          </w:p>
        </w:tc>
        <w:tc>
          <w:tcPr>
            <w:tcW w:w="1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98,063</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Profits Units – no par value; 97,918,116 units authorized at June 30, 2020 and December 31, 2019; 86,097,861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78,398,133 units issued at June 30, 2020 and December 31, 2019, respectively; and none outstanding at June 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 and December 31, 2019</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5"/>
        </w:trPr>
        <w:tc>
          <w:tcPr>
            <w:tcW w:w="8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1,047,513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860,144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80" w:type="dxa"/>
            <w:vAlign w:val="bottom"/>
          </w:tcPr>
          <w:p>
            <w:pPr>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1,720,411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1,602,295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left="3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GoHealth Holdings, LLC and Subsidiaries</w:t>
      </w:r>
    </w:p>
    <w:p>
      <w:pPr>
        <w:spacing w:after="0" w:line="27" w:lineRule="exact"/>
        <w:rPr>
          <w:sz w:val="20"/>
          <w:szCs w:val="20"/>
          <w:color w:val="auto"/>
        </w:rPr>
      </w:pPr>
    </w:p>
    <w:p>
      <w:pPr>
        <w:jc w:val="center"/>
        <w:ind w:left="354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4"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6454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645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Adjustments to reconcile net (loss) income to net cash (used in) provided by operating activities: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of debt discount and issuance costs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non-cash items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assets and liabilities: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Commissions receivable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Commissions payable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equipment and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term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under term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deferred offering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under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revolving credit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under revolving credit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upon issuance of common units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9" w:lineRule="exact"/>
        <w:rPr>
          <w:sz w:val="20"/>
          <w:szCs w:val="20"/>
          <w:color w:val="auto"/>
        </w:rPr>
      </w:pPr>
    </w:p>
    <w:p>
      <w:pPr>
        <w:ind w:left="360" w:right="1600"/>
        <w:spacing w:after="0" w:line="281" w:lineRule="auto"/>
        <w:rPr>
          <w:sz w:val="20"/>
          <w:szCs w:val="20"/>
          <w:color w:val="auto"/>
        </w:rPr>
      </w:pPr>
      <w:r>
        <w:rPr>
          <w:rFonts w:ascii="Arial" w:cs="Arial" w:eastAsia="Arial" w:hAnsi="Arial"/>
          <w:sz w:val="16"/>
          <w:szCs w:val="16"/>
          <w:color w:val="auto"/>
        </w:rPr>
        <w:t>Purchases of property, equipment and software included in accounts payable Purchases of property, equipment and software under capital leases</w:t>
      </w:r>
    </w:p>
    <w:p>
      <w:pPr>
        <w:spacing w:after="0" w:line="1" w:lineRule="exact"/>
        <w:rPr>
          <w:sz w:val="20"/>
          <w:szCs w:val="20"/>
          <w:color w:val="auto"/>
        </w:rPr>
      </w:pPr>
    </w:p>
    <w:p>
      <w:pPr>
        <w:ind w:left="360" w:right="1080"/>
        <w:spacing w:after="0" w:line="323" w:lineRule="auto"/>
        <w:rPr>
          <w:sz w:val="20"/>
          <w:szCs w:val="20"/>
          <w:color w:val="auto"/>
        </w:rPr>
      </w:pPr>
      <w:r>
        <w:rPr>
          <w:rFonts w:ascii="Arial" w:cs="Arial" w:eastAsia="Arial" w:hAnsi="Arial"/>
          <w:sz w:val="16"/>
          <w:szCs w:val="16"/>
          <w:color w:val="auto"/>
        </w:rPr>
        <w:t>Issuance of senior preferred earnout units to settle contingent consideration liability Issuance of common A and B units to settle contingent consideration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3"/>
        <w:spacing w:after="0"/>
        <w:rPr>
          <w:sz w:val="20"/>
          <w:szCs w:val="20"/>
          <w:color w:val="auto"/>
        </w:rPr>
      </w:pPr>
      <w:r>
        <w:rPr>
          <w:rFonts w:ascii="Arial" w:cs="Arial" w:eastAsia="Arial" w:hAnsi="Arial"/>
          <w:sz w:val="14"/>
          <w:szCs w:val="14"/>
          <w:b w:val="1"/>
          <w:bCs w:val="1"/>
          <w:color w:val="auto"/>
        </w:rPr>
        <w:t>Successor</w:t>
      </w:r>
    </w:p>
    <w:p>
      <w:pPr>
        <w:spacing w:after="0" w:line="5" w:lineRule="exact"/>
        <w:rPr>
          <w:sz w:val="20"/>
          <w:szCs w:val="20"/>
          <w:color w:val="auto"/>
        </w:rPr>
      </w:pPr>
    </w:p>
    <w:p>
      <w:pPr>
        <w:ind w:left="123"/>
        <w:spacing w:after="0"/>
        <w:rPr>
          <w:sz w:val="20"/>
          <w:szCs w:val="20"/>
          <w:color w:val="auto"/>
        </w:rPr>
      </w:pPr>
      <w:r>
        <w:rPr>
          <w:rFonts w:ascii="Arial" w:cs="Arial" w:eastAsia="Arial" w:hAnsi="Arial"/>
          <w:sz w:val="14"/>
          <w:szCs w:val="14"/>
          <w:b w:val="1"/>
          <w:bCs w:val="1"/>
          <w:color w:val="auto"/>
        </w:rPr>
        <w:t>Six Months</w:t>
      </w:r>
    </w:p>
    <w:p>
      <w:pPr>
        <w:jc w:val="center"/>
        <w:ind w:right="77"/>
        <w:spacing w:after="0"/>
        <w:rPr>
          <w:sz w:val="20"/>
          <w:szCs w:val="20"/>
          <w:color w:val="auto"/>
        </w:rPr>
      </w:pPr>
      <w:r>
        <w:rPr>
          <w:rFonts w:ascii="Arial" w:cs="Arial" w:eastAsia="Arial" w:hAnsi="Arial"/>
          <w:sz w:val="13"/>
          <w:szCs w:val="13"/>
          <w:b w:val="1"/>
          <w:bCs w:val="1"/>
          <w:color w:val="auto"/>
        </w:rPr>
        <w:t>Ended June 30,</w:t>
      </w:r>
    </w:p>
    <w:p>
      <w:pPr>
        <w:jc w:val="center"/>
        <w:ind w:right="77"/>
        <w:spacing w:after="0"/>
        <w:rPr>
          <w:sz w:val="20"/>
          <w:szCs w:val="20"/>
          <w:color w:val="auto"/>
        </w:rPr>
      </w:pPr>
      <w:r>
        <w:rPr>
          <w:rFonts w:ascii="Arial" w:cs="Arial" w:eastAsia="Arial" w:hAnsi="Arial"/>
          <w:sz w:val="14"/>
          <w:szCs w:val="14"/>
          <w:b w:val="1"/>
          <w:bCs w:val="1"/>
          <w:color w:val="auto"/>
        </w:rPr>
        <w:t>2020</w:t>
      </w:r>
    </w:p>
    <w:p>
      <w:pPr>
        <w:spacing w:after="0" w:line="196" w:lineRule="exact"/>
        <w:rPr>
          <w:sz w:val="20"/>
          <w:szCs w:val="20"/>
          <w:color w:val="auto"/>
        </w:rPr>
      </w:pPr>
    </w:p>
    <w:p>
      <w:pPr>
        <w:ind w:left="403" w:hanging="403"/>
        <w:spacing w:after="0"/>
        <w:tabs>
          <w:tab w:leader="none" w:pos="403" w:val="left"/>
        </w:tabs>
        <w:numPr>
          <w:ilvl w:val="0"/>
          <w:numId w:val="9"/>
        </w:numPr>
        <w:rPr>
          <w:rFonts w:ascii="Arial" w:cs="Arial" w:eastAsia="Arial" w:hAnsi="Arial"/>
          <w:sz w:val="16"/>
          <w:szCs w:val="16"/>
          <w:color w:val="auto"/>
        </w:rPr>
      </w:pPr>
      <w:r>
        <w:rPr>
          <w:rFonts w:ascii="Arial" w:cs="Arial" w:eastAsia="Arial" w:hAnsi="Arial"/>
          <w:sz w:val="16"/>
          <w:szCs w:val="16"/>
          <w:color w:val="auto"/>
        </w:rPr>
        <w:t>(23,804)</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1,077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1,636</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47,029</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1,058</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19,700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(458)</w:t>
      </w:r>
    </w:p>
    <w:p>
      <w:pPr>
        <w:spacing w:after="0" w:line="2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15,506</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(58,709)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(1,329)</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(3,467)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(7,641)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(14,171)</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18,135</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1,269</w:t>
      </w:r>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(4,169)</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(7,764)</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(7,764)</w:t>
      </w:r>
    </w:p>
    <w:p>
      <w:pPr>
        <w:spacing w:after="0" w:line="225" w:lineRule="exact"/>
        <w:rPr>
          <w:sz w:val="20"/>
          <w:szCs w:val="20"/>
          <w:color w:val="auto"/>
        </w:rPr>
      </w:pPr>
    </w:p>
    <w:p>
      <w:pPr>
        <w:ind w:left="383"/>
        <w:spacing w:after="0"/>
        <w:rPr>
          <w:sz w:val="20"/>
          <w:szCs w:val="20"/>
          <w:color w:val="auto"/>
        </w:rPr>
      </w:pPr>
      <w:r>
        <w:rPr>
          <w:rFonts w:ascii="Arial" w:cs="Arial" w:eastAsia="Arial" w:hAnsi="Arial"/>
          <w:sz w:val="17"/>
          <w:szCs w:val="17"/>
          <w:color w:val="auto"/>
        </w:rPr>
        <w:t>117,000</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(1,793)</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(874)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(144)</w:t>
      </w:r>
    </w:p>
    <w:p>
      <w:pPr>
        <w:spacing w:after="0" w:line="9" w:lineRule="exact"/>
        <w:rPr>
          <w:sz w:val="20"/>
          <w:szCs w:val="20"/>
          <w:color w:val="auto"/>
        </w:rPr>
      </w:pPr>
    </w:p>
    <w:p>
      <w:pPr>
        <w:ind w:left="6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(6,289)</w:t>
      </w:r>
    </w:p>
    <w:p>
      <w:pPr>
        <w:spacing w:after="0" w:line="9" w:lineRule="exact"/>
        <w:rPr>
          <w:sz w:val="20"/>
          <w:szCs w:val="20"/>
          <w:color w:val="auto"/>
        </w:rPr>
      </w:pPr>
    </w:p>
    <w:p>
      <w:pPr>
        <w:ind w:left="463"/>
        <w:spacing w:after="0"/>
        <w:rPr>
          <w:sz w:val="20"/>
          <w:szCs w:val="20"/>
          <w:color w:val="auto"/>
        </w:rPr>
      </w:pPr>
      <w:r>
        <w:rPr>
          <w:rFonts w:ascii="Arial" w:cs="Arial" w:eastAsia="Arial" w:hAnsi="Arial"/>
          <w:sz w:val="18"/>
          <w:szCs w:val="18"/>
          <w:color w:val="auto"/>
        </w:rPr>
        <w:t>10,000</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117,900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98</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106,065</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12,276</w:t>
      </w:r>
    </w:p>
    <w:p>
      <w:pPr>
        <w:spacing w:after="0" w:line="22" w:lineRule="exact"/>
        <w:rPr>
          <w:sz w:val="20"/>
          <w:szCs w:val="20"/>
          <w:color w:val="auto"/>
        </w:rPr>
      </w:pPr>
    </w:p>
    <w:p>
      <w:pPr>
        <w:ind w:left="383" w:hanging="383"/>
        <w:spacing w:after="0"/>
        <w:tabs>
          <w:tab w:leader="none" w:pos="383" w:val="left"/>
        </w:tabs>
        <w:numPr>
          <w:ilvl w:val="0"/>
          <w:numId w:val="1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118,341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3" w:hanging="683"/>
        <w:spacing w:after="0"/>
        <w:tabs>
          <w:tab w:leader="none" w:pos="6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798</w:t>
      </w:r>
    </w:p>
    <w:p>
      <w:pPr>
        <w:spacing w:after="0" w:line="23" w:lineRule="exact"/>
        <w:rPr>
          <w:rFonts w:ascii="Arial" w:cs="Arial" w:eastAsia="Arial" w:hAnsi="Arial"/>
          <w:sz w:val="18"/>
          <w:szCs w:val="18"/>
          <w:color w:val="auto"/>
        </w:rPr>
      </w:pPr>
    </w:p>
    <w:p>
      <w:pPr>
        <w:ind w:left="683" w:hanging="683"/>
        <w:spacing w:after="0"/>
        <w:tabs>
          <w:tab w:leader="none" w:pos="6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383" w:hanging="383"/>
        <w:spacing w:after="0"/>
        <w:tabs>
          <w:tab w:leader="none" w:pos="3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100,000</w:t>
      </w:r>
    </w:p>
    <w:p>
      <w:pPr>
        <w:spacing w:after="0" w:line="20" w:lineRule="exact"/>
        <w:rPr>
          <w:rFonts w:ascii="Arial" w:cs="Arial" w:eastAsia="Arial" w:hAnsi="Arial"/>
          <w:sz w:val="17"/>
          <w:szCs w:val="17"/>
          <w:color w:val="auto"/>
        </w:rPr>
      </w:pPr>
    </w:p>
    <w:p>
      <w:pPr>
        <w:ind w:left="383" w:hanging="383"/>
        <w:spacing w:after="0"/>
        <w:tabs>
          <w:tab w:leader="none" w:pos="3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Predecessor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Six Months</w:t>
      </w:r>
    </w:p>
    <w:p>
      <w:pPr>
        <w:jc w:val="center"/>
        <w:ind w:right="60"/>
        <w:spacing w:after="0"/>
        <w:rPr>
          <w:sz w:val="20"/>
          <w:szCs w:val="20"/>
          <w:color w:val="auto"/>
        </w:rPr>
      </w:pPr>
      <w:r>
        <w:rPr>
          <w:rFonts w:ascii="Arial" w:cs="Arial" w:eastAsia="Arial" w:hAnsi="Arial"/>
          <w:sz w:val="13"/>
          <w:szCs w:val="13"/>
          <w:b w:val="1"/>
          <w:bCs w:val="1"/>
          <w:color w:val="auto"/>
        </w:rPr>
        <w:t>Ended June 30,</w:t>
      </w:r>
    </w:p>
    <w:p>
      <w:pPr>
        <w:jc w:val="center"/>
        <w:ind w:right="60"/>
        <w:spacing w:after="0"/>
        <w:rPr>
          <w:sz w:val="20"/>
          <w:szCs w:val="20"/>
          <w:color w:val="auto"/>
        </w:rPr>
      </w:pPr>
      <w:r>
        <w:rPr>
          <w:rFonts w:ascii="Arial" w:cs="Arial" w:eastAsia="Arial" w:hAnsi="Arial"/>
          <w:sz w:val="14"/>
          <w:szCs w:val="14"/>
          <w:b w:val="1"/>
          <w:bCs w:val="1"/>
          <w:color w:val="auto"/>
        </w:rPr>
        <w:t>2019</w:t>
      </w:r>
    </w:p>
    <w:p>
      <w:pPr>
        <w:spacing w:after="0" w:line="196" w:lineRule="exact"/>
        <w:rPr>
          <w:sz w:val="20"/>
          <w:szCs w:val="20"/>
          <w:color w:val="auto"/>
        </w:rPr>
      </w:pPr>
    </w:p>
    <w:p>
      <w:pPr>
        <w:ind w:left="460" w:hanging="455"/>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20,278</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3,043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808</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(33,885)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1,276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(3,496)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12,210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12,377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12,979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(4,783)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(4,783)</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42,967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(47,823)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3,287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505</w:t>
      </w:r>
    </w:p>
    <w:p>
      <w:pPr>
        <w:spacing w:after="0" w:line="22" w:lineRule="exact"/>
        <w:rPr>
          <w:sz w:val="20"/>
          <w:szCs w:val="20"/>
          <w:color w:val="auto"/>
        </w:rPr>
      </w:pPr>
    </w:p>
    <w:p>
      <w:pPr>
        <w:ind w:left="560" w:hanging="555"/>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3,792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80" w:hanging="775"/>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w:t>
      </w:r>
    </w:p>
    <w:p>
      <w:pPr>
        <w:spacing w:after="0" w:line="23" w:lineRule="exact"/>
        <w:rPr>
          <w:sz w:val="20"/>
          <w:szCs w:val="20"/>
          <w:color w:val="auto"/>
        </w:rPr>
      </w:pPr>
    </w:p>
    <w:p>
      <w:pPr>
        <w:ind w:left="700" w:hanging="69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654</w:t>
      </w:r>
    </w:p>
    <w:p>
      <w:pPr>
        <w:spacing w:after="0" w:line="9" w:lineRule="exact"/>
        <w:rPr>
          <w:rFonts w:ascii="Arial" w:cs="Arial" w:eastAsia="Arial" w:hAnsi="Arial"/>
          <w:sz w:val="18"/>
          <w:szCs w:val="18"/>
          <w:color w:val="auto"/>
        </w:rPr>
      </w:pPr>
    </w:p>
    <w:p>
      <w:pPr>
        <w:ind w:left="700" w:hanging="69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hanging="69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3">
            <w:col w:w="7460" w:space="717"/>
            <w:col w:w="1043" w:space="720"/>
            <w:col w:w="1020"/>
          </w:cols>
          <w:pgMar w:left="440" w:top="270"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operating segment results for the three months ended June 30, 2020 and 2019</w:t>
      </w:r>
    </w:p>
    <w:p>
      <w:pPr>
        <w:sectPr>
          <w:pgSz w:w="11900" w:h="16838" w:orient="portrait"/>
          <w:cols w:equalWidth="0" w:num="1">
            <w:col w:w="10960"/>
          </w:cols>
          <w:pgMar w:left="440" w:top="270" w:right="499" w:bottom="1440" w:gutter="0" w:footer="0" w:header="0"/>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3"/>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w w:val="96"/>
              </w:rPr>
              <w:t>Dollars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2"/>
        </w:trPr>
        <w:tc>
          <w:tcPr>
            <w:tcW w:w="5240" w:type="dxa"/>
            <w:vAlign w:val="bottom"/>
          </w:tcPr>
          <w:p>
            <w:pPr>
              <w:spacing w:after="0" w:line="182" w:lineRule="exact"/>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87,201</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28,108</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7,019</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4,729</w:t>
            </w:r>
          </w:p>
        </w:tc>
        <w:tc>
          <w:tcPr>
            <w:tcW w:w="2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127,057</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32,746</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33,317</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Corporate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8,911</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15,300</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23,514</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8,986</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(505)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(22,889</w:t>
            </w:r>
          </w:p>
        </w:tc>
        <w:tc>
          <w:tcPr>
            <w:tcW w:w="2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-3300095</wp:posOffset>
            </wp:positionV>
            <wp:extent cx="6995160" cy="3308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330898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NM indicates that the percentage is not meaningful.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Predecessor</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Three Months Ended</w:t>
      </w:r>
    </w:p>
    <w:p>
      <w:pPr>
        <w:ind w:left="320"/>
        <w:spacing w:after="0" w:line="231" w:lineRule="auto"/>
        <w:rPr>
          <w:sz w:val="20"/>
          <w:szCs w:val="20"/>
          <w:color w:val="auto"/>
        </w:rPr>
      </w:pPr>
      <w:r>
        <w:rPr>
          <w:rFonts w:ascii="Arial" w:cs="Arial" w:eastAsia="Arial" w:hAnsi="Arial"/>
          <w:sz w:val="14"/>
          <w:szCs w:val="14"/>
          <w:b w:val="1"/>
          <w:bCs w:val="1"/>
          <w:color w:val="auto"/>
        </w:rPr>
        <w:t>June 30, 2019</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Dollars</w:t>
            </w:r>
          </w:p>
        </w:tc>
        <w:tc>
          <w:tcPr>
            <w:tcW w:w="280" w:type="dxa"/>
            <w:vAlign w:val="bottom"/>
            <w:vMerge w:val="restart"/>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28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$32,412</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w w:val="94"/>
              </w:rPr>
              <w:t>$ 54,789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19,070</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9,038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12,340</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(5,321)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10,689</w:t>
            </w:r>
          </w:p>
        </w:tc>
        <w:tc>
          <w:tcPr>
            <w:tcW w:w="2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(5,960)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74,511</w:t>
            </w:r>
          </w:p>
        </w:tc>
        <w:tc>
          <w:tcPr>
            <w:tcW w:w="2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680" w:type="dxa"/>
            <w:vAlign w:val="bottom"/>
          </w:tcPr>
          <w:p>
            <w:pPr>
              <w:jc w:val="right"/>
              <w:spacing w:after="0"/>
              <w:rPr>
                <w:sz w:val="20"/>
                <w:szCs w:val="20"/>
                <w:color w:val="auto"/>
              </w:rPr>
            </w:pPr>
            <w:r>
              <w:rPr>
                <w:rFonts w:ascii="Arial" w:cs="Arial" w:eastAsia="Arial" w:hAnsi="Arial"/>
                <w:sz w:val="18"/>
                <w:szCs w:val="18"/>
                <w:color w:val="auto"/>
              </w:rPr>
              <w:t>52,546</w:t>
            </w:r>
          </w:p>
        </w:tc>
        <w:tc>
          <w:tcPr>
            <w:tcW w:w="2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14,941</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17,805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5,692</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(5,197)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214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20,472</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680" w:type="dxa"/>
            <w:vAlign w:val="bottom"/>
          </w:tcPr>
          <w:p>
            <w:pPr>
              <w:jc w:val="right"/>
              <w:spacing w:after="0"/>
              <w:rPr>
                <w:sz w:val="20"/>
                <w:szCs w:val="20"/>
                <w:color w:val="auto"/>
              </w:rPr>
            </w:pPr>
            <w:r>
              <w:rPr>
                <w:rFonts w:ascii="Arial" w:cs="Arial" w:eastAsia="Arial" w:hAnsi="Arial"/>
                <w:sz w:val="18"/>
                <w:szCs w:val="18"/>
                <w:color w:val="auto"/>
              </w:rPr>
              <w:t>12,845</w:t>
            </w:r>
          </w:p>
        </w:tc>
        <w:tc>
          <w:tcPr>
            <w:tcW w:w="280" w:type="dxa"/>
            <w:vAlign w:val="bottom"/>
            <w:vMerge w:val="continue"/>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4,769</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4,142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15,300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23,514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(299)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8,905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(543)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15,285</w:t>
            </w:r>
          </w:p>
        </w:tc>
        <w:tc>
          <w:tcPr>
            <w:tcW w:w="2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(38,174</w:t>
            </w:r>
          </w:p>
        </w:tc>
        <w:tc>
          <w:tcPr>
            <w:tcW w:w="28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020" w:space="220"/>
            <w:col w:w="3720"/>
          </w:cols>
          <w:pgMar w:left="440" w:top="270"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sets forth operating segment results for the six months ended June 30, 2020 and 2019</w:t>
      </w:r>
    </w:p>
    <w:p>
      <w:pPr>
        <w:sectPr>
          <w:pgSz w:w="11900" w:h="16838" w:orient="portrait"/>
          <w:cols w:equalWidth="0" w:num="1">
            <w:col w:w="10960"/>
          </w:cols>
          <w:pgMar w:left="440" w:top="274" w:right="499" w:bottom="1440" w:gutter="0" w:footer="0" w:header="0"/>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6"/>
                <w:szCs w:val="16"/>
                <w:i w:val="1"/>
                <w:iCs w:val="1"/>
                <w:color w:val="auto"/>
              </w:rPr>
              <w:t>(in thousands, except percentages)</w:t>
            </w:r>
          </w:p>
        </w:tc>
        <w:tc>
          <w:tcPr>
            <w:tcW w:w="96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rPr>
              <w:t>Dollars</w:t>
            </w: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Revenues</w:t>
            </w:r>
          </w:p>
        </w:tc>
        <w:tc>
          <w:tcPr>
            <w:tcW w:w="0" w:type="dxa"/>
            <w:vAlign w:val="bottom"/>
          </w:tcPr>
          <w:p>
            <w:pPr>
              <w:spacing w:after="0"/>
              <w:rPr>
                <w:sz w:val="1"/>
                <w:szCs w:val="1"/>
                <w:color w:val="auto"/>
              </w:rPr>
            </w:pPr>
          </w:p>
        </w:tc>
      </w:tr>
      <w:tr>
        <w:trPr>
          <w:trHeight w:val="188"/>
        </w:trPr>
        <w:tc>
          <w:tcPr>
            <w:tcW w:w="5000" w:type="dxa"/>
            <w:vAlign w:val="bottom"/>
          </w:tcPr>
          <w:p>
            <w:pPr>
              <w:spacing w:after="0" w:line="188" w:lineRule="exact"/>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$182,488</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680" w:type="dxa"/>
            <w:vAlign w:val="bottom"/>
          </w:tcPr>
          <w:p>
            <w:pPr>
              <w:jc w:val="right"/>
              <w:spacing w:after="0"/>
              <w:rPr>
                <w:sz w:val="20"/>
                <w:szCs w:val="20"/>
                <w:color w:val="auto"/>
              </w:rPr>
            </w:pPr>
            <w:r>
              <w:rPr>
                <w:rFonts w:ascii="Arial" w:cs="Arial" w:eastAsia="Arial" w:hAnsi="Arial"/>
                <w:sz w:val="18"/>
                <w:szCs w:val="18"/>
                <w:color w:val="auto"/>
              </w:rPr>
              <w:t>57,053</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680" w:type="dxa"/>
            <w:vAlign w:val="bottom"/>
          </w:tcPr>
          <w:p>
            <w:pPr>
              <w:jc w:val="right"/>
              <w:spacing w:after="0"/>
              <w:rPr>
                <w:sz w:val="20"/>
                <w:szCs w:val="20"/>
                <w:color w:val="auto"/>
              </w:rPr>
            </w:pPr>
            <w:r>
              <w:rPr>
                <w:rFonts w:ascii="Arial" w:cs="Arial" w:eastAsia="Arial" w:hAnsi="Arial"/>
                <w:sz w:val="18"/>
                <w:szCs w:val="18"/>
                <w:color w:val="auto"/>
              </w:rPr>
              <w:t>15,651</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680" w:type="dxa"/>
            <w:vAlign w:val="bottom"/>
          </w:tcPr>
          <w:p>
            <w:pPr>
              <w:jc w:val="right"/>
              <w:spacing w:after="0"/>
              <w:rPr>
                <w:sz w:val="20"/>
                <w:szCs w:val="20"/>
                <w:color w:val="auto"/>
              </w:rPr>
            </w:pPr>
            <w:r>
              <w:rPr>
                <w:rFonts w:ascii="Arial" w:cs="Arial" w:eastAsia="Arial" w:hAnsi="Arial"/>
                <w:sz w:val="18"/>
                <w:szCs w:val="18"/>
                <w:color w:val="auto"/>
              </w:rPr>
              <w:t>12,875</w:t>
            </w: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268,067</w:t>
            </w: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680" w:type="dxa"/>
            <w:vAlign w:val="bottom"/>
          </w:tcPr>
          <w:p>
            <w:pPr>
              <w:jc w:val="right"/>
              <w:spacing w:after="0"/>
              <w:rPr>
                <w:sz w:val="20"/>
                <w:szCs w:val="20"/>
                <w:color w:val="auto"/>
              </w:rPr>
            </w:pPr>
            <w:r>
              <w:rPr>
                <w:rFonts w:ascii="Arial" w:cs="Arial" w:eastAsia="Arial" w:hAnsi="Arial"/>
                <w:sz w:val="18"/>
                <w:szCs w:val="18"/>
                <w:color w:val="auto"/>
              </w:rPr>
              <w:t>74,482</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680" w:type="dxa"/>
            <w:vAlign w:val="bottom"/>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75,724</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Corporate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17,576</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680" w:type="dxa"/>
            <w:vAlign w:val="bottom"/>
          </w:tcPr>
          <w:p>
            <w:pPr>
              <w:jc w:val="right"/>
              <w:spacing w:after="0"/>
              <w:rPr>
                <w:sz w:val="20"/>
                <w:szCs w:val="20"/>
                <w:color w:val="auto"/>
              </w:rPr>
            </w:pPr>
            <w:r>
              <w:rPr>
                <w:rFonts w:ascii="Arial" w:cs="Arial" w:eastAsia="Arial" w:hAnsi="Arial"/>
                <w:sz w:val="18"/>
                <w:szCs w:val="18"/>
                <w:color w:val="auto"/>
              </w:rPr>
              <w:t>19,700</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47,029</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15,742</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(495)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(Loss) income before income taxes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 (23,828</w:t>
            </w:r>
          </w:p>
        </w:tc>
        <w:tc>
          <w:tcPr>
            <w:tcW w:w="2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-3402330</wp:posOffset>
            </wp:positionV>
            <wp:extent cx="6995160" cy="3411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118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NM indicates that the percentage is not meaningful.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Predecessor</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Six Months Ended</w:t>
      </w:r>
    </w:p>
    <w:p>
      <w:pPr>
        <w:ind w:left="380"/>
        <w:spacing w:after="0" w:line="231" w:lineRule="auto"/>
        <w:rPr>
          <w:sz w:val="20"/>
          <w:szCs w:val="20"/>
          <w:color w:val="auto"/>
        </w:rPr>
      </w:pPr>
      <w:r>
        <w:rPr>
          <w:rFonts w:ascii="Arial" w:cs="Arial" w:eastAsia="Arial" w:hAnsi="Arial"/>
          <w:sz w:val="14"/>
          <w:szCs w:val="14"/>
          <w:b w:val="1"/>
          <w:bCs w:val="1"/>
          <w:color w:val="auto"/>
        </w:rPr>
        <w:t>June 30, 2019</w:t>
      </w:r>
    </w:p>
    <w:tbl>
      <w:tblPr>
        <w:tblLayout w:type="fixed"/>
        <w:tblInd w:w="0" w:type="dxa"/>
        <w:tblCellMar>
          <w:top w:w="0" w:type="dxa"/>
          <w:left w:w="0" w:type="dxa"/>
          <w:bottom w:w="0" w:type="dxa"/>
          <w:right w:w="0" w:type="dxa"/>
        </w:tblCellMar>
      </w:tblPr>
      <w:tr>
        <w:trPr>
          <w:trHeight w:val="182"/>
        </w:trPr>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6"/>
                <w:szCs w:val="16"/>
                <w:b w:val="1"/>
                <w:bCs w:val="1"/>
                <w:color w:val="auto"/>
                <w:w w:val="88"/>
              </w:rPr>
              <w:t>Dollars</w:t>
            </w: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Revenues</w:t>
            </w:r>
          </w:p>
        </w:tc>
        <w:tc>
          <w:tcPr>
            <w:tcW w:w="980" w:type="dxa"/>
            <w:vAlign w:val="bottom"/>
            <w:gridSpan w:val="2"/>
          </w:tcPr>
          <w:p>
            <w:pPr>
              <w:jc w:val="right"/>
              <w:ind w:right="221"/>
              <w:spacing w:after="0"/>
              <w:rPr>
                <w:sz w:val="20"/>
                <w:szCs w:val="20"/>
                <w:color w:val="auto"/>
              </w:rPr>
            </w:pPr>
            <w:r>
              <w:rPr>
                <w:rFonts w:ascii="Arial" w:cs="Arial" w:eastAsia="Arial" w:hAnsi="Arial"/>
                <w:sz w:val="16"/>
                <w:szCs w:val="16"/>
                <w:b w:val="1"/>
                <w:bCs w:val="1"/>
                <w:color w:val="auto"/>
                <w:w w:val="91"/>
              </w:rPr>
              <w:t>$ Change</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53,324</w:t>
            </w:r>
          </w:p>
        </w:tc>
        <w:tc>
          <w:tcPr>
            <w:tcW w:w="2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w w:val="87"/>
              </w:rPr>
              <w:t>$129,164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39,404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27.4%</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17,649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26,780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18.6%</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(11,129)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24,093</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(11,218)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143,601</w:t>
            </w:r>
          </w:p>
        </w:tc>
        <w:tc>
          <w:tcPr>
            <w:tcW w:w="240" w:type="dxa"/>
            <w:vAlign w:val="bottom"/>
            <w:vMerge w:val="continue"/>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680" w:type="dxa"/>
            <w:vAlign w:val="bottom"/>
          </w:tcPr>
          <w:p>
            <w:pPr>
              <w:jc w:val="right"/>
              <w:spacing w:after="0"/>
              <w:rPr>
                <w:sz w:val="20"/>
                <w:szCs w:val="20"/>
                <w:color w:val="auto"/>
              </w:rPr>
            </w:pPr>
            <w:r>
              <w:rPr>
                <w:rFonts w:ascii="Arial" w:cs="Arial" w:eastAsia="Arial" w:hAnsi="Arial"/>
                <w:sz w:val="18"/>
                <w:szCs w:val="18"/>
                <w:color w:val="auto"/>
              </w:rPr>
              <w:t>124,466</w:t>
            </w:r>
          </w:p>
        </w:tc>
        <w:tc>
          <w:tcPr>
            <w:tcW w:w="30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13.8%</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54,676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(8,898)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(185)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(728)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30,859</w:t>
            </w:r>
          </w:p>
        </w:tc>
        <w:tc>
          <w:tcPr>
            <w:tcW w:w="240" w:type="dxa"/>
            <w:vAlign w:val="bottom"/>
            <w:vMerge w:val="continue"/>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680" w:type="dxa"/>
            <w:vAlign w:val="bottom"/>
          </w:tcPr>
          <w:p>
            <w:pPr>
              <w:jc w:val="right"/>
              <w:spacing w:after="0"/>
              <w:rPr>
                <w:sz w:val="20"/>
                <w:szCs w:val="20"/>
                <w:color w:val="auto"/>
              </w:rPr>
            </w:pPr>
            <w:r>
              <w:rPr>
                <w:rFonts w:ascii="Arial" w:cs="Arial" w:eastAsia="Arial" w:hAnsi="Arial"/>
                <w:sz w:val="18"/>
                <w:szCs w:val="18"/>
                <w:color w:val="auto"/>
              </w:rPr>
              <w:t>44,865</w:t>
            </w:r>
          </w:p>
        </w:tc>
        <w:tc>
          <w:tcPr>
            <w:tcW w:w="300" w:type="dxa"/>
            <w:vAlign w:val="bottom"/>
            <w:vMerge w:val="continue"/>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10,114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7,462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19,700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47,029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(299)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15,633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543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20,289</w:t>
            </w:r>
          </w:p>
        </w:tc>
        <w:tc>
          <w:tcPr>
            <w:tcW w:w="240" w:type="dxa"/>
            <w:vAlign w:val="bottom"/>
            <w:vMerge w:val="continue"/>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680" w:type="dxa"/>
            <w:vAlign w:val="bottom"/>
          </w:tcPr>
          <w:p>
            <w:pPr>
              <w:jc w:val="right"/>
              <w:spacing w:after="0"/>
              <w:rPr>
                <w:sz w:val="20"/>
                <w:szCs w:val="20"/>
                <w:color w:val="auto"/>
              </w:rPr>
            </w:pPr>
            <w:r>
              <w:rPr>
                <w:rFonts w:ascii="Arial" w:cs="Arial" w:eastAsia="Arial" w:hAnsi="Arial"/>
                <w:sz w:val="18"/>
                <w:szCs w:val="18"/>
                <w:color w:val="auto"/>
                <w:w w:val="86"/>
              </w:rPr>
              <w:t>$ (44,117</w:t>
            </w:r>
          </w:p>
        </w:tc>
        <w:tc>
          <w:tcPr>
            <w:tcW w:w="3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840" w:space="220"/>
            <w:col w:w="3900"/>
          </w:cols>
          <w:pgMar w:left="440" w:top="274" w:right="499" w:bottom="1440" w:gutter="0" w:footer="0" w:header="0"/>
          <w:type w:val="continuous"/>
        </w:sectPr>
      </w:pPr>
    </w:p>
    <w:bookmarkStart w:id="16" w:name="page17"/>
    <w:bookmarkEnd w:id="1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presents the number of Submitted Policies by product for the Medicare segments for the three and six months ended June 30, 2020 and 2019, split between those submissions that are commissionable (compensated through commissions received from carriers) and those that are non-commissionable (compensated via hourly fees and enrollment fees):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60" w:type="dxa"/>
            <w:vAlign w:val="bottom"/>
            <w:tcBorders>
              <w:top w:val="single" w:sz="8" w:color="auto"/>
              <w:right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4"/>
              </w:rPr>
              <w:t>Successor</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Predecessor</w:t>
            </w:r>
          </w:p>
        </w:tc>
        <w:tc>
          <w:tcPr>
            <w:tcW w:w="340" w:type="dxa"/>
            <w:vAlign w:val="bottom"/>
          </w:tcPr>
          <w:p>
            <w:pPr>
              <w:spacing w:after="0"/>
              <w:rPr>
                <w:sz w:val="12"/>
                <w:szCs w:val="12"/>
                <w:color w:val="auto"/>
              </w:rPr>
            </w:pPr>
          </w:p>
        </w:tc>
        <w:tc>
          <w:tcPr>
            <w:tcW w:w="760" w:type="dxa"/>
            <w:vAlign w:val="bottom"/>
            <w:tcBorders>
              <w:top w:val="single" w:sz="8" w:color="auto"/>
              <w:right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Successor</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right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right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99,078</w:t>
            </w: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216,413</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Medicare Supplement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2,248</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4,260</w:t>
            </w: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4,919</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2,766</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Total Medicare—Commissionable</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5"/>
              </w:rPr>
              <w:t>103,295</w:t>
            </w:r>
          </w:p>
        </w:tc>
        <w:tc>
          <w:tcPr>
            <w:tcW w:w="2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54,065</w:t>
            </w: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225,763</w:t>
            </w:r>
          </w:p>
        </w:tc>
        <w:tc>
          <w:tcPr>
            <w:tcW w:w="2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96,667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1,404</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Medicare Supplement</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1,734</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Total Medicare—Non Commissionable</w:t>
            </w: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10,096</w:t>
            </w:r>
          </w:p>
        </w:tc>
        <w:tc>
          <w:tcPr>
            <w:tcW w:w="2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1,773</w:t>
            </w: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19,633</w:t>
            </w:r>
          </w:p>
        </w:tc>
        <w:tc>
          <w:tcPr>
            <w:tcW w:w="2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Medicare Submitted Policies</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113,391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55,838</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245,396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the number of Approved Submissions by product relating to commissionable policies for the Medicare segments for the three and six months ended June 30, 2020 and 2019. Only commissionable policies are used to calculate our LTV.</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Medicare—Internal</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8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Borders>
              <w:top w:val="single" w:sz="8" w:color="auto"/>
              <w:right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Predecessor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right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Successor</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67,818</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151,426</w:t>
            </w: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Medicare Supplement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100" w:type="dxa"/>
            <w:vAlign w:val="bottom"/>
            <w:tcBorders>
              <w:right w:val="single" w:sz="8" w:color="auto"/>
            </w:tcBorders>
          </w:tcPr>
          <w:p>
            <w:pPr>
              <w:spacing w:after="0"/>
              <w:rPr>
                <w:sz w:val="18"/>
                <w:szCs w:val="18"/>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8"/>
                <w:szCs w:val="18"/>
                <w:color w:val="auto"/>
              </w:rPr>
              <w:t>1,185</w:t>
            </w:r>
          </w:p>
        </w:tc>
        <w:tc>
          <w:tcPr>
            <w:tcW w:w="82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1,882</w:t>
            </w:r>
          </w:p>
        </w:tc>
        <w:tc>
          <w:tcPr>
            <w:tcW w:w="820" w:type="dxa"/>
            <w:vAlign w:val="bottom"/>
            <w:tcBorders>
              <w:righ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3,745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Medicare—Internal Commissionable Approved Submissions</w:t>
            </w:r>
          </w:p>
        </w:tc>
        <w:tc>
          <w:tcPr>
            <w:tcW w:w="600" w:type="dxa"/>
            <w:vAlign w:val="bottom"/>
          </w:tcPr>
          <w:p>
            <w:pPr>
              <w:jc w:val="right"/>
              <w:spacing w:after="0"/>
              <w:rPr>
                <w:sz w:val="20"/>
                <w:szCs w:val="20"/>
                <w:color w:val="auto"/>
              </w:rPr>
            </w:pPr>
            <w:r>
              <w:rPr>
                <w:rFonts w:ascii="Arial" w:cs="Arial" w:eastAsia="Arial" w:hAnsi="Arial"/>
                <w:sz w:val="18"/>
                <w:szCs w:val="18"/>
                <w:color w:val="auto"/>
              </w:rPr>
              <w:t>69,854</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spacing w:after="0"/>
              <w:rPr>
                <w:sz w:val="24"/>
                <w:szCs w:val="2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33,881</w:t>
            </w:r>
          </w:p>
        </w:tc>
        <w:tc>
          <w:tcPr>
            <w:tcW w:w="82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156,458</w:t>
            </w:r>
          </w:p>
        </w:tc>
        <w:tc>
          <w:tcPr>
            <w:tcW w:w="2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55,995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Medicare—External</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Borders>
              <w:top w:val="single" w:sz="8" w:color="auto"/>
              <w:right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60" w:type="dxa"/>
            <w:vAlign w:val="bottom"/>
            <w:gridSpan w:val="2"/>
          </w:tcPr>
          <w:p>
            <w:pPr>
              <w:spacing w:after="0"/>
              <w:rPr>
                <w:sz w:val="12"/>
                <w:szCs w:val="12"/>
                <w:color w:val="auto"/>
              </w:rPr>
            </w:pPr>
          </w:p>
        </w:tc>
        <w:tc>
          <w:tcPr>
            <w:tcW w:w="82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Successor</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61,266</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Medicare Supplement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100" w:type="dxa"/>
            <w:vAlign w:val="bottom"/>
            <w:tcBorders>
              <w:right w:val="single" w:sz="8" w:color="auto"/>
            </w:tcBorders>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2,615</w:t>
            </w:r>
          </w:p>
        </w:tc>
        <w:tc>
          <w:tcPr>
            <w:tcW w:w="300" w:type="dxa"/>
            <w:vAlign w:val="bottom"/>
          </w:tcPr>
          <w:p>
            <w:pPr>
              <w:spacing w:after="0"/>
              <w:rPr>
                <w:sz w:val="18"/>
                <w:szCs w:val="18"/>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3,191</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Medicare—External Commissionable Approved Submissions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31,017</w:t>
            </w:r>
          </w:p>
        </w:tc>
        <w:tc>
          <w:tcPr>
            <w:tcW w:w="100" w:type="dxa"/>
            <w:vAlign w:val="bottom"/>
            <w:tcBorders>
              <w:right w:val="single" w:sz="8" w:color="auto"/>
            </w:tcBorders>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19,675</w:t>
            </w:r>
          </w:p>
        </w:tc>
        <w:tc>
          <w:tcPr>
            <w:tcW w:w="300" w:type="dxa"/>
            <w:vAlign w:val="bottom"/>
          </w:tcPr>
          <w:p>
            <w:pPr>
              <w:spacing w:after="0"/>
              <w:rPr>
                <w:sz w:val="24"/>
                <w:szCs w:val="24"/>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65,311</w:t>
            </w:r>
          </w:p>
        </w:tc>
        <w:tc>
          <w:tcPr>
            <w:tcW w:w="1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39,994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LTV per Approved Submission by product for the Medicare segments for the three and six months ended June 30, 2020 and 2019:</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rPr>
                <w:sz w:val="12"/>
                <w:szCs w:val="12"/>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right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right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905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Medicare Supplement</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w w:val="99"/>
              </w:rPr>
              <w:t>937</w:t>
            </w:r>
          </w:p>
        </w:tc>
        <w:tc>
          <w:tcPr>
            <w:tcW w:w="140" w:type="dxa"/>
            <w:vAlign w:val="bottom"/>
            <w:tcBorders>
              <w:right w:val="single" w:sz="8" w:color="auto"/>
            </w:tcBorders>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140" w:type="dxa"/>
            <w:vAlign w:val="bottom"/>
            <w:tcBorders>
              <w:right w:val="single" w:sz="8" w:color="auto"/>
            </w:tcBorders>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215</w:t>
            </w:r>
          </w:p>
        </w:tc>
        <w:tc>
          <w:tcPr>
            <w:tcW w:w="14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14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bl>
    <w:p>
      <w:pPr>
        <w:spacing w:after="0" w:line="1" w:lineRule="exact"/>
        <w:rPr>
          <w:sz w:val="20"/>
          <w:szCs w:val="20"/>
          <w:color w:val="auto"/>
        </w:rPr>
      </w:pP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2020-08-19T15:17:32Z</dcterms:created>
  <dcterms:modified xsi:type="dcterms:W3CDTF">2020-08-19T15:17:32Z</dcterms:modified>
</cp:coreProperties>
</file>