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295910</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304165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GOHEALTH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38046W105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May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296545</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00" w:right="8980" w:firstLine="6"/>
        <w:spacing w:after="0" w:line="575" w:lineRule="auto"/>
        <w:tabs>
          <w:tab w:leader="none" w:pos="119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Rule 13d-1(c) Rule 13d-1(d)</w:t>
      </w:r>
    </w:p>
    <w:p>
      <w:pPr>
        <w:ind w:left="220" w:right="180" w:hanging="216"/>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38046W105</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8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Harris Associates L.P.</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w:t>
            </w:r>
          </w:p>
        </w:tc>
        <w:tc>
          <w:tcPr>
            <w:tcW w:w="3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90"/>
              </w:rPr>
              <w:t>(b)</w:t>
            </w: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80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7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10,286,581</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84"/>
              </w:rPr>
              <w:t>Shares</w:t>
            </w:r>
          </w:p>
        </w:tc>
        <w:tc>
          <w:tcPr>
            <w:tcW w:w="28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7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2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2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976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Person</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10,286,581</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7"/>
              </w:rPr>
              <w:t>With:</w:t>
            </w:r>
          </w:p>
        </w:tc>
        <w:tc>
          <w:tcPr>
            <w:tcW w:w="2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2"/>
                <w:szCs w:val="12"/>
                <w:color w:val="auto"/>
              </w:rPr>
            </w:pPr>
          </w:p>
        </w:tc>
        <w:tc>
          <w:tcPr>
            <w:tcW w:w="97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984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8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3"/>
              </w:rPr>
              <w:t>10,286,581</w:t>
            </w: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4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10.3%</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IA</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60" w:type="dxa"/>
            <w:vAlign w:val="bottom"/>
            <w:gridSpan w:val="6"/>
          </w:tcPr>
          <w:p>
            <w:pPr>
              <w:spacing w:after="0"/>
              <w:rPr>
                <w:sz w:val="20"/>
                <w:szCs w:val="20"/>
                <w:color w:val="auto"/>
              </w:rPr>
            </w:pPr>
            <w:r>
              <w:rPr>
                <w:rFonts w:ascii="Arial" w:cs="Arial" w:eastAsia="Arial" w:hAnsi="Arial"/>
                <w:sz w:val="18"/>
                <w:szCs w:val="18"/>
                <w:color w:val="auto"/>
              </w:rPr>
              <w:t>CUSIP No. 38046W105</w:t>
            </w:r>
          </w:p>
        </w:tc>
        <w:tc>
          <w:tcPr>
            <w:tcW w:w="0" w:type="dxa"/>
            <w:vAlign w:val="bottom"/>
          </w:tcPr>
          <w:p>
            <w:pPr>
              <w:spacing w:after="0"/>
              <w:rPr>
                <w:sz w:val="1"/>
                <w:szCs w:val="1"/>
                <w:color w:val="auto"/>
              </w:rPr>
            </w:pPr>
          </w:p>
        </w:tc>
      </w:tr>
      <w:tr>
        <w:trPr>
          <w:trHeight w:val="121"/>
        </w:trPr>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80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Harris Associates Inc.</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w:t>
            </w:r>
          </w:p>
        </w:tc>
        <w:tc>
          <w:tcPr>
            <w:tcW w:w="3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90"/>
              </w:rPr>
              <w:t>(b)</w:t>
            </w: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80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7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10,286,581</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84"/>
              </w:rPr>
              <w:t>Shares</w:t>
            </w:r>
          </w:p>
        </w:tc>
        <w:tc>
          <w:tcPr>
            <w:tcW w:w="28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7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2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2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976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Person</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10,286,581</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7"/>
              </w:rPr>
              <w:t>With:</w:t>
            </w:r>
          </w:p>
        </w:tc>
        <w:tc>
          <w:tcPr>
            <w:tcW w:w="2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2"/>
                <w:szCs w:val="12"/>
                <w:color w:val="auto"/>
              </w:rPr>
            </w:pPr>
          </w:p>
        </w:tc>
        <w:tc>
          <w:tcPr>
            <w:tcW w:w="97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984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8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3"/>
              </w:rPr>
              <w:t>10,286,581</w:t>
            </w: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1080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10.3%</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CO</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95" w:right="319"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w:t>
      </w:r>
    </w:p>
    <w:p>
      <w:pPr>
        <w:spacing w:after="0" w:line="131" w:lineRule="exact"/>
        <w:rPr>
          <w:sz w:val="20"/>
          <w:szCs w:val="20"/>
          <w:color w:val="auto"/>
        </w:rPr>
      </w:pPr>
    </w:p>
    <w:p>
      <w:pPr>
        <w:ind w:left="900" w:hanging="447"/>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121"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GOHEALTH INC</w:t>
      </w:r>
    </w:p>
    <w:p>
      <w:pPr>
        <w:spacing w:after="0" w:line="126" w:lineRule="exact"/>
        <w:rPr>
          <w:rFonts w:ascii="Arial" w:cs="Arial" w:eastAsia="Arial" w:hAnsi="Arial"/>
          <w:sz w:val="18"/>
          <w:szCs w:val="18"/>
          <w:b w:val="1"/>
          <w:bCs w:val="1"/>
          <w:color w:val="auto"/>
        </w:rPr>
      </w:pPr>
    </w:p>
    <w:p>
      <w:pPr>
        <w:ind w:left="900" w:right="5659" w:hanging="447"/>
        <w:spacing w:after="0" w:line="488" w:lineRule="auto"/>
        <w:tabs>
          <w:tab w:leader="none" w:pos="893"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Address of Issuer's Principal Executive Offices </w:t>
      </w:r>
      <w:r>
        <w:rPr>
          <w:rFonts w:ascii="Arial" w:cs="Arial" w:eastAsia="Arial" w:hAnsi="Arial"/>
          <w:sz w:val="16"/>
          <w:szCs w:val="16"/>
          <w:color w:val="auto"/>
        </w:rPr>
        <w:t>214 West Huron St., Chicago, Illinois, 60654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900" w:hanging="447"/>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Harris Associates L.P. ("Harris")</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Harris Associates Inc. ("General Partner")</w:t>
      </w:r>
    </w:p>
    <w:p>
      <w:pPr>
        <w:spacing w:after="0" w:line="301" w:lineRule="exact"/>
        <w:rPr>
          <w:sz w:val="20"/>
          <w:szCs w:val="20"/>
          <w:color w:val="auto"/>
        </w:rPr>
      </w:pPr>
    </w:p>
    <w:p>
      <w:pPr>
        <w:jc w:val="both"/>
        <w:ind w:left="900" w:right="4779" w:hanging="447"/>
        <w:spacing w:after="0" w:line="460" w:lineRule="auto"/>
        <w:tabs>
          <w:tab w:leader="none" w:pos="893"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Address of Principal Business Office or, if none, Residence </w:t>
      </w:r>
      <w:r>
        <w:rPr>
          <w:rFonts w:ascii="Arial" w:cs="Arial" w:eastAsia="Arial" w:hAnsi="Arial"/>
          <w:sz w:val="15"/>
          <w:szCs w:val="15"/>
          <w:color w:val="auto"/>
        </w:rPr>
        <w:t>111 South Wacker Drive Suite 4600, Chicago, Illinois, 60606</w:t>
      </w:r>
    </w:p>
    <w:p>
      <w:pPr>
        <w:ind w:left="900" w:hanging="447"/>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121"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See Item 4 on the cover page(s) hereto.</w:t>
      </w:r>
    </w:p>
    <w:p>
      <w:pPr>
        <w:spacing w:after="0" w:line="126" w:lineRule="exact"/>
        <w:rPr>
          <w:rFonts w:ascii="Arial" w:cs="Arial" w:eastAsia="Arial" w:hAnsi="Arial"/>
          <w:sz w:val="18"/>
          <w:szCs w:val="18"/>
          <w:b w:val="1"/>
          <w:bCs w:val="1"/>
          <w:color w:val="auto"/>
        </w:rPr>
      </w:pPr>
    </w:p>
    <w:p>
      <w:pPr>
        <w:ind w:left="900" w:right="7239" w:hanging="447"/>
        <w:spacing w:after="0" w:line="431" w:lineRule="auto"/>
        <w:tabs>
          <w:tab w:leader="none" w:pos="893"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Title of Class of Securities </w:t>
      </w:r>
      <w:r>
        <w:rPr>
          <w:rFonts w:ascii="Arial" w:cs="Arial" w:eastAsia="Arial" w:hAnsi="Arial"/>
          <w:sz w:val="16"/>
          <w:szCs w:val="16"/>
          <w:color w:val="auto"/>
        </w:rPr>
        <w:t>Class A Common Stock</w:t>
      </w:r>
    </w:p>
    <w:p>
      <w:pPr>
        <w:ind w:left="900" w:right="8019" w:hanging="447"/>
        <w:spacing w:after="0" w:line="445" w:lineRule="auto"/>
        <w:tabs>
          <w:tab w:leader="none" w:pos="893"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38046W105</w:t>
      </w:r>
    </w:p>
    <w:p>
      <w:pPr>
        <w:sectPr>
          <w:pgSz w:w="11900" w:h="16838" w:orient="portrait"/>
          <w:cols w:equalWidth="0" w:num="1">
            <w:col w:w="10139"/>
          </w:cols>
          <w:pgMar w:left="320" w:top="270"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3. If this statement is filed pursuant to §§240.13d-1(b) or 240.13d-2(b) or (c), check whether the person filing is:</w:t>
      </w:r>
    </w:p>
    <w:p>
      <w:pPr>
        <w:spacing w:after="0" w:line="135" w:lineRule="exact"/>
        <w:rPr>
          <w:sz w:val="20"/>
          <w:szCs w:val="20"/>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Broker or dealer registered under Section 15 of the Act (15 U.S.C. 78o);</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Bank as defined in Section 3(a)(6) of the Act (15 U.S.C. 78c);</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insurance company as defined in Section 3(a)(19) of the Act (15 U.S.C. 78c);</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860" w:hanging="515"/>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X An investment adviser in accordance with §240.13d-1(b)(1)(ii)(E);</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employee benefit plan or endowment fund in accordance with §240.13d-1(b)(1)(ii)(F);</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parent holding company or control person in accordance with §240.13d-1(b)(1)(ii)(G);</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080" w:right="280" w:hanging="735"/>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non-U.S. institution in accordance with §240.13d-1(b)(1)(ii)(J);</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group, in accordance with §240.13d-1(b)(1)(ii)(K).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31" w:lineRule="exact"/>
        <w:rPr>
          <w:sz w:val="20"/>
          <w:szCs w:val="20"/>
          <w:color w:val="auto"/>
        </w:rPr>
      </w:pPr>
    </w:p>
    <w:p>
      <w:pPr>
        <w:ind w:left="900" w:hanging="447"/>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121"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By reason of advisory and other relationships with the person who owns the Shares, Harris may be deemed to be the beneficial owner of the shares specified in Item 9 on the cover page(s) hereto. Harris has been granted the power to vote Shares in circumstances it determines to be appropriate in connection with assisting its advised clients to whom it renders financial advice in the ordinary course of business, by either providing information or advice to the persons having such power, or by exercising the power to vote.</w:t>
      </w:r>
    </w:p>
    <w:p>
      <w:pPr>
        <w:spacing w:after="0" w:line="88" w:lineRule="exact"/>
        <w:rPr>
          <w:sz w:val="20"/>
          <w:szCs w:val="20"/>
          <w:color w:val="auto"/>
        </w:rPr>
      </w:pPr>
    </w:p>
    <w:p>
      <w:pPr>
        <w:ind w:left="900" w:hanging="447"/>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121"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See Item 11 on the cover page(s) hereto.</w:t>
      </w:r>
    </w:p>
    <w:p>
      <w:pPr>
        <w:spacing w:after="0" w:line="126" w:lineRule="exact"/>
        <w:rPr>
          <w:rFonts w:ascii="Arial" w:cs="Arial" w:eastAsia="Arial" w:hAnsi="Arial"/>
          <w:sz w:val="18"/>
          <w:szCs w:val="18"/>
          <w:b w:val="1"/>
          <w:bCs w:val="1"/>
          <w:color w:val="auto"/>
        </w:rPr>
      </w:pPr>
    </w:p>
    <w:p>
      <w:pPr>
        <w:ind w:left="900" w:hanging="447"/>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130" w:lineRule="exact"/>
        <w:rPr>
          <w:rFonts w:ascii="Arial" w:cs="Arial" w:eastAsia="Arial" w:hAnsi="Arial"/>
          <w:sz w:val="18"/>
          <w:szCs w:val="18"/>
          <w:b w:val="1"/>
          <w:bCs w:val="1"/>
          <w:color w:val="auto"/>
        </w:rPr>
      </w:pPr>
    </w:p>
    <w:p>
      <w:pPr>
        <w:ind w:left="1460" w:right="6680" w:hanging="561"/>
        <w:spacing w:after="0" w:line="431" w:lineRule="auto"/>
        <w:tabs>
          <w:tab w:leader="none" w:pos="1444"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vote or to direct the vote: </w:t>
      </w:r>
      <w:r>
        <w:rPr>
          <w:rFonts w:ascii="Arial" w:cs="Arial" w:eastAsia="Arial" w:hAnsi="Arial"/>
          <w:sz w:val="16"/>
          <w:szCs w:val="16"/>
          <w:color w:val="auto"/>
        </w:rPr>
        <w:t>See Item 5 on the cover page(s) hereto.</w:t>
      </w:r>
    </w:p>
    <w:p>
      <w:pPr>
        <w:ind w:left="1460" w:right="6440" w:hanging="561"/>
        <w:spacing w:after="0" w:line="431" w:lineRule="auto"/>
        <w:tabs>
          <w:tab w:leader="none" w:pos="1444"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vote or to direct the vote: </w:t>
      </w:r>
      <w:r>
        <w:rPr>
          <w:rFonts w:ascii="Arial" w:cs="Arial" w:eastAsia="Arial" w:hAnsi="Arial"/>
          <w:sz w:val="16"/>
          <w:szCs w:val="16"/>
          <w:color w:val="auto"/>
        </w:rPr>
        <w:t>See Item 6 on the cover page(s) hereto.</w:t>
      </w:r>
    </w:p>
    <w:p>
      <w:pPr>
        <w:ind w:left="1460" w:right="5720" w:hanging="561"/>
        <w:spacing w:after="0" w:line="488" w:lineRule="auto"/>
        <w:tabs>
          <w:tab w:leader="none" w:pos="1444"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dispose or to direct the disposition of: </w:t>
      </w:r>
      <w:r>
        <w:rPr>
          <w:rFonts w:ascii="Arial" w:cs="Arial" w:eastAsia="Arial" w:hAnsi="Arial"/>
          <w:sz w:val="16"/>
          <w:szCs w:val="16"/>
          <w:color w:val="auto"/>
        </w:rPr>
        <w:t>See Item 7 on the cover page(s) hereto.</w:t>
      </w:r>
    </w:p>
    <w:p>
      <w:pPr>
        <w:sectPr>
          <w:pgSz w:w="11900" w:h="16838" w:orient="portrait"/>
          <w:cols w:equalWidth="0" w:num="1">
            <w:col w:w="11140"/>
          </w:cols>
          <w:pgMar w:left="320" w:top="270" w:right="439" w:bottom="1440" w:gutter="0" w:footer="0" w:header="0"/>
        </w:sectPr>
      </w:pPr>
    </w:p>
    <w:bookmarkStart w:id="4" w:name="page5"/>
    <w:bookmarkEnd w:id="4"/>
    <w:p>
      <w:pPr>
        <w:ind w:left="1460" w:right="5600" w:hanging="561"/>
        <w:spacing w:after="0" w:line="488" w:lineRule="auto"/>
        <w:tabs>
          <w:tab w:leader="none" w:pos="1444"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Shared power to dispose or to direct the disposition of: </w:t>
      </w:r>
      <w:r>
        <w:rPr>
          <w:rFonts w:ascii="Arial" w:cs="Arial" w:eastAsia="Arial" w:hAnsi="Arial"/>
          <w:sz w:val="16"/>
          <w:szCs w:val="16"/>
          <w:color w:val="auto"/>
        </w:rPr>
        <w:t>See Item 8 on the cover page(s) hereto.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or Less of a Class.</w:t>
      </w:r>
    </w:p>
    <w:p>
      <w:pPr>
        <w:spacing w:after="0" w:line="121" w:lineRule="exact"/>
        <w:rPr>
          <w:sz w:val="20"/>
          <w:szCs w:val="20"/>
          <w:color w:val="auto"/>
        </w:rPr>
      </w:pPr>
    </w:p>
    <w:p>
      <w:pPr>
        <w:ind w:right="300" w:firstLine="89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121" w:lineRule="exact"/>
        <w:rPr>
          <w:sz w:val="20"/>
          <w:szCs w:val="20"/>
          <w:color w:val="auto"/>
        </w:rPr>
      </w:pPr>
    </w:p>
    <w:p>
      <w:pPr>
        <w:jc w:val="both"/>
        <w:ind w:right="100" w:firstLine="898"/>
        <w:spacing w:after="0" w:line="263" w:lineRule="auto"/>
        <w:rPr>
          <w:sz w:val="20"/>
          <w:szCs w:val="20"/>
          <w:color w:val="auto"/>
        </w:rPr>
      </w:pPr>
      <w:r>
        <w:rPr>
          <w:rFonts w:ascii="Arial" w:cs="Arial" w:eastAsia="Arial" w:hAnsi="Arial"/>
          <w:sz w:val="18"/>
          <w:szCs w:val="18"/>
          <w:color w:val="auto"/>
        </w:rPr>
        <w:t>By signing below each signatory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70" w:right="33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80" w:firstLine="898"/>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certify that the information set forth in this statement is true, complete and correct.</w:t>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Date: 2021-06-10</w:t>
      </w:r>
    </w:p>
    <w:p>
      <w:pPr>
        <w:spacing w:after="0" w:line="200" w:lineRule="exact"/>
        <w:rPr>
          <w:sz w:val="20"/>
          <w:szCs w:val="20"/>
          <w:color w:val="auto"/>
        </w:rPr>
      </w:pPr>
    </w:p>
    <w:p>
      <w:pPr>
        <w:spacing w:after="0" w:line="264"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Harris Associates L.P.</w:t>
      </w:r>
    </w:p>
    <w:p>
      <w:pPr>
        <w:sectPr>
          <w:pgSz w:w="11900" w:h="16838" w:orient="portrait"/>
          <w:cols w:equalWidth="0" w:num="1">
            <w:col w:w="11140"/>
          </w:cols>
          <w:pgMar w:left="320" w:top="270" w:right="439" w:bottom="1440" w:gutter="0" w:footer="0" w:header="0"/>
        </w:sectPr>
      </w:pP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Harris Associates L.P.</w:t>
      </w:r>
    </w:p>
    <w:p>
      <w:pPr>
        <w:spacing w:after="0" w:line="211" w:lineRule="exact"/>
        <w:rPr>
          <w:sz w:val="20"/>
          <w:szCs w:val="20"/>
          <w:color w:val="auto"/>
        </w:rPr>
      </w:pPr>
    </w:p>
    <w:p>
      <w:pPr>
        <w:sectPr>
          <w:pgSz w:w="11900" w:h="16838" w:orient="portrait"/>
          <w:cols w:equalWidth="0" w:num="2">
            <w:col w:w="5960" w:space="340"/>
            <w:col w:w="4840"/>
          </w:cols>
          <w:pgMar w:left="320" w:top="270" w:right="439" w:bottom="1440" w:gutter="0" w:footer="0" w:header="0"/>
          <w:type w:val="continuous"/>
        </w:sectPr>
      </w:pPr>
    </w:p>
    <w:p>
      <w:pPr>
        <w:spacing w:after="0" w:line="3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/s/Rana J. Wright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Rana J. Wright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Chief Administrative Officer, General Counsel and Secretary</w:t>
      </w:r>
    </w:p>
    <w:p>
      <w:pPr>
        <w:spacing w:after="0" w:line="222" w:lineRule="exact"/>
        <w:rPr>
          <w:sz w:val="20"/>
          <w:szCs w:val="20"/>
          <w:color w:val="auto"/>
        </w:rPr>
      </w:pPr>
    </w:p>
    <w:p>
      <w:pPr>
        <w:sectPr>
          <w:pgSz w:w="11900" w:h="16838" w:orient="portrait"/>
          <w:cols w:equalWidth="0" w:num="2">
            <w:col w:w="6180" w:space="120"/>
            <w:col w:w="4840"/>
          </w:cols>
          <w:pgMar w:left="320" w:top="270" w:right="439" w:bottom="1440" w:gutter="0" w:footer="0" w:header="0"/>
          <w:type w:val="continuous"/>
        </w:sectPr>
      </w:pPr>
    </w:p>
    <w:p>
      <w:pPr>
        <w:spacing w:after="0" w:line="11"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**Harris Associates Inc., for itself and as General Partner of Harris</w:t>
      </w:r>
    </w:p>
    <w:p>
      <w:pPr>
        <w:spacing w:after="0" w:line="4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Associates L.P.</w:t>
      </w:r>
    </w:p>
    <w:sectPr>
      <w:pgSz w:w="11900" w:h="16838" w:orient="portrait"/>
      <w:cols w:equalWidth="0" w:num="1">
        <w:col w:w="11140"/>
      </w:cols>
      <w:pgMar w:left="320" w:top="2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2)"/>
      <w:numFmt w:val="upperLetter"/>
      <w:start w:val="24"/>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2"/>
    </w:lvl>
    <w:lvl w:ilvl="1">
      <w:lvlJc w:val="left"/>
      <w:lvlText w:val="(%2)"/>
      <w:numFmt w:val="lowerRoman"/>
      <w:start w:val="1"/>
    </w:lvl>
  </w:abstractNum>
  <w:abstractNum w:abstractNumId="7">
    <w:nsid w:val="7545E146"/>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2021-06-10T09:03:53Z</dcterms:created>
  <dcterms:modified xsi:type="dcterms:W3CDTF">2021-06-10T09:03:53Z</dcterms:modified>
</cp:coreProperties>
</file>