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40"/>
              <w:jc w:val="center"/>
              <w:rPr/>
            </w:pPr>
            <w:r>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CERTIFICATION AND NOTICE OF TERMINATION OF REGISTRATION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SECTION 12(g)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OR SUSPENSION OF DUTY TO FILE REPORTS UNDER SECTIONS 13 AND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001-39390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40"/>
              <w:jc w:val="center"/>
              <w:rPr/>
            </w:pPr>
            <w:r>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GoHealth,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GoHealth, LLC, as successor by conversion to GoHealth,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120" w:after="120"/>
              <w:jc w:val="center"/>
              <w:rPr/>
            </w:pPr>
            <w:r>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W Merchandise Mart Plaza, Suite 1750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Chicago, IL 60654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(312) 386-8200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 of securities covered by this Form)</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(Titles of all other classes of securities for which a duty to file reports under section 13(a) or 15(d) remains)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Please place an X in the box(es) to designate the appropriate rule provision(s) relied upon to terminate or suspend the duty to file reports:</w:t>
      </w:r>
    </w:p>
    <w:tbl>
      <w:tblPr>
        <w:tblW w:w="2096" w:type="dxa"/>
        <w:jc w:val="left"/>
        <w:tblInd w:w="0" w:type="dxa"/>
        <w:tblLayout w:type="fixed"/>
        <w:tblCellMar>
          <w:top w:w="28" w:type="dxa"/>
          <w:left w:w="28" w:type="dxa"/>
          <w:bottom w:w="28" w:type="dxa"/>
          <w:right w:w="28" w:type="dxa"/>
        </w:tblCellMar>
      </w:tblPr>
      <w:tblGrid>
        <w:gridCol w:w="624"/>
        <w:gridCol w:w="547"/>
        <w:gridCol w:w="553"/>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12g-4(a)(1)</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12g-4(a)(2)</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12h-3(b)(1)(i)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12h-3(b)(1)(ii)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15d-6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15d-22(b)</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Approximate number of holders of record as of the certification or notice date: None.*</w:t>
      </w:r>
    </w:p>
    <w:p>
      <w:pPr>
        <w:pStyle w:val="TextBody"/>
        <w:bidi w:val="0"/>
        <w:spacing w:before="120" w:after="120"/>
        <w:jc w:val="left"/>
        <w:rPr/>
      </w:pPr>
      <w:r>
        <w:rPr/>
      </w:r>
    </w:p>
    <w:p>
      <w:pPr>
        <w:pStyle w:val="TextBody"/>
        <w:bidi w:val="0"/>
        <w:spacing w:lineRule="auto" w:line="268"/>
        <w:jc w:val="left"/>
        <w:rPr/>
      </w:pPr>
      <w:r>
        <w:rPr>
          <w:rFonts w:ascii="Times New Roman;serif" w:hAnsi="Times New Roman;serif"/>
          <w:b w:val="false"/>
          <w:color w:val="000000"/>
          <w:sz w:val="20"/>
        </w:rPr>
        <w:t>*       As previously disclosed, on June 7, 2026, GoHealth,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GoHealth Holdings, LLC and certain of their direct and indirect subsidiaries (the "Debtors") filed voluntary petitions commencing cases under chapter 11 of title 11 of the United States Code in the United States Bankruptcy Court for the District of Delaware (the “</w:t>
      </w:r>
      <w:r>
        <w:rPr>
          <w:rFonts w:ascii="Times New Roman;serif" w:hAnsi="Times New Roman;serif"/>
          <w:b w:val="false"/>
          <w:color w:val="000000"/>
          <w:sz w:val="20"/>
          <w:u w:val="single"/>
        </w:rPr>
        <w:t>Bankruptcy Court</w:t>
      </w:r>
      <w:r>
        <w:rPr>
          <w:color w:val="000000"/>
        </w:rPr>
        <w:t>”</w:t>
      </w:r>
      <w:r>
        <w:rPr>
          <w:rFonts w:ascii="Times New Roman;serif" w:hAnsi="Times New Roman;serif"/>
          <w:b w:val="false"/>
          <w:color w:val="000000"/>
          <w:sz w:val="20"/>
        </w:rPr>
        <w:t>). On July 13, 2026, the Debtors filed the Amended Joint Prepackaged Chapter 11 Plan of GoHealth, Inc. and Its Debtor Affiliates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0"/>
        </w:rPr>
        <w:t xml:space="preserve">). On July 21, 2026, the Bankruptcy Court entered the Findings of Fact, Conclusions of Law, and Order (I) Approving the Disclosure Statement for,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and Confirming, the Amended Joint Prepackaged Chapter 11 Plan of GoHealth, Inc. and Its Debtor Affiliates and (II) Granting Related Relief. The Plan became effective on July 21, 2026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Pursuant to the Plan, on the Effective Date, all GoHealth, Inc. Class A Common Stock (as defined in the Plan) together with any shares of restricted stock, restricted stock units, or any other right to receive equity in the Company, in each case, outstanding immediately prior to the Effective Date, were cancelled, discharged and are of no force and effect.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New GoHealth, LLC, as successor by conversion to GoHealth, Inc., has caused this certification/notice to be signed on its behalf by the undersigned duly authorized person.</w:t>
      </w:r>
    </w:p>
    <w:p>
      <w:pPr>
        <w:pStyle w:val="TextBody"/>
        <w:bidi w:val="0"/>
        <w:spacing w:lineRule="auto" w:line="288" w:before="360" w:after="283"/>
        <w:ind w:left="0" w:right="0" w:firstLine="720"/>
        <w:jc w:val="left"/>
        <w:rPr/>
      </w:pPr>
      <w:r>
        <w:rPr>
          <w:rFonts w:ascii="Times New Roman;serif" w:hAnsi="Times New Roman;serif"/>
          <w:b w:val="false"/>
          <w:color w:val="000000"/>
          <w:sz w:val="20"/>
        </w:rPr>
        <w:t>Date: July 21, 2026    </w:t>
      </w:r>
      <w:r>
        <w:rPr>
          <w:rFonts w:ascii="Times New Roman;serif" w:hAnsi="Times New Roman;serif"/>
          <w:b/>
          <w:color w:val="000000"/>
          <w:sz w:val="20"/>
        </w:rPr>
        <w:t>New GoHealth, LLC, as successor by conversion to GoHealth, Inc.</w:t>
      </w:r>
    </w:p>
    <w:p>
      <w:pPr>
        <w:pStyle w:val="TextBody"/>
        <w:bidi w:val="0"/>
        <w:spacing w:lineRule="auto" w:line="288" w:before="36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Vijay Kotte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Vijay Kotte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14045"/>
                <wp:effectExtent l="0" t="0" r="0" b="0"/>
                <wp:wrapNone/>
                <wp:docPr id="2" name="Frame2"/>
                <a:graphic xmlns:a="http://schemas.openxmlformats.org/drawingml/2006/main">
                  <a:graphicData uri="http://schemas.microsoft.com/office/word/2010/wordprocessingShape">
                    <wps:wsp>
                      <wps:cNvSpPr txBox="1"/>
                      <wps:spPr>
                        <a:xfrm>
                          <a:off x="0" y="0"/>
                          <a:ext cx="6480175" cy="614045"/>
                        </a:xfrm>
                        <a:prstGeom prst="rect"/>
                        <a:solidFill>
                          <a:srgbClr val="FFFFFF"/>
                        </a:solidFill>
                      </wps:spPr>
                      <wps:txbx>
                        <w:txbxContent>
                          <w:p>
                            <w:pPr>
                              <w:pStyle w:val="TextBody"/>
                              <w:bidi w:val="0"/>
                              <w:spacing w:lineRule="auto" w:line="288" w:before="0" w:after="300"/>
                              <w:jc w:val="left"/>
                              <w:rPr>
                                <w:color w:val="000000"/>
                              </w:rPr>
                            </w:pPr>
                            <w:r>
                              <w:rPr>
                                <w:color w:val="000000"/>
                              </w:rPr>
                              <w:t>    </w:t>
                            </w:r>
                            <w:r>
                              <w:rPr>
                                <w:rFonts w:ascii="Times New Roman;serif" w:hAnsi="Times New Roman;serif"/>
                                <w:b w:val="false"/>
                                <w:color w:val="000000"/>
                                <w:sz w:val="20"/>
                              </w:rPr>
                              <w:t>2</w:t>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300"/>
                        <w:jc w:val="left"/>
                        <w:rPr>
                          <w:color w:val="000000"/>
                        </w:rPr>
                      </w:pPr>
                      <w:r>
                        <w:rPr>
                          <w:color w:val="000000"/>
                        </w:rPr>
                        <w:t>    </w:t>
                      </w:r>
                      <w:r>
                        <w:rPr>
                          <w:rFonts w:ascii="Times New Roman;serif" w:hAnsi="Times New Roman;serif"/>
                          <w:b w:val="false"/>
                          <w:color w:val="000000"/>
                          <w:sz w:val="20"/>
                        </w:rPr>
                        <w:t>2</w:t>
                      </w:r>
                    </w:p>
                    <w:p>
                      <w:pPr>
                        <w:pStyle w:val="TextBody"/>
                        <w:bidi w:val="0"/>
                        <w:spacing w:before="6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449</Words>
  <Characters>2376</Characters>
  <CharactersWithSpaces>2812</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