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March 1, 2022</w:t>
      </w:r>
    </w:p>
    <w:p>
      <w:pPr>
        <w:spacing w:after="0" w:line="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GoHealth, Inc.</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0"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26" w:right="339" w:bottom="1440" w:gutter="0" w:footer="0" w:header="0"/>
        </w:sectPr>
      </w:pPr>
    </w:p>
    <w:p>
      <w:pPr>
        <w:spacing w:after="0" w:line="140"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79" w:lineRule="exact"/>
        <w:rPr>
          <w:sz w:val="24"/>
          <w:szCs w:val="24"/>
          <w:color w:val="auto"/>
        </w:rPr>
      </w:pPr>
    </w:p>
    <w:p>
      <w:pPr>
        <w:sectPr>
          <w:pgSz w:w="11900" w:h="16838" w:orient="portrait"/>
          <w:cols w:equalWidth="0" w:num="3">
            <w:col w:w="4500" w:space="720"/>
            <w:col w:w="3000" w:space="720"/>
            <w:col w:w="2300"/>
          </w:cols>
          <w:pgMar w:left="320" w:top="1426"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26" w:right="339" w:bottom="1440" w:gutter="0" w:footer="0" w:header="0"/>
          <w:type w:val="continuous"/>
        </w:sectPr>
      </w:pPr>
    </w:p>
    <w:p>
      <w:pPr>
        <w:spacing w:after="0" w:line="69" w:lineRule="exact"/>
        <w:rPr>
          <w:sz w:val="24"/>
          <w:szCs w:val="24"/>
          <w:color w:val="auto"/>
        </w:rPr>
      </w:pPr>
    </w:p>
    <w:p>
      <w:pPr>
        <w:ind w:left="2040"/>
        <w:spacing w:after="0"/>
        <w:rPr>
          <w:sz w:val="20"/>
          <w:szCs w:val="20"/>
          <w:color w:val="auto"/>
        </w:rPr>
      </w:pPr>
      <w:r>
        <w:rPr>
          <w:rFonts w:ascii="Arial" w:cs="Arial" w:eastAsia="Arial" w:hAnsi="Arial"/>
          <w:sz w:val="16"/>
          <w:szCs w:val="16"/>
          <w:b w:val="1"/>
          <w:bCs w:val="1"/>
          <w:color w:val="auto"/>
        </w:rPr>
        <w:t>214 West Huron St.</w:t>
      </w:r>
    </w:p>
    <w:p>
      <w:pPr>
        <w:sectPr>
          <w:pgSz w:w="11900" w:h="16838" w:orient="portrait"/>
          <w:cols w:equalWidth="0" w:num="1">
            <w:col w:w="11240"/>
          </w:cols>
          <w:pgMar w:left="320" w:top="1426"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79" w:lineRule="exact"/>
        <w:rPr>
          <w:sz w:val="24"/>
          <w:szCs w:val="24"/>
          <w:color w:val="auto"/>
        </w:rPr>
      </w:pPr>
    </w:p>
    <w:p>
      <w:pPr>
        <w:sectPr>
          <w:pgSz w:w="11900" w:h="16838" w:orient="portrait"/>
          <w:cols w:equalWidth="0" w:num="2">
            <w:col w:w="7440" w:space="720"/>
            <w:col w:w="3080"/>
          </w:cols>
          <w:pgMar w:left="320" w:top="1426"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26" w:right="339" w:bottom="144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9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3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18"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06"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28"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8"/>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Class A 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195"/>
        </w:trPr>
        <w:tc>
          <w:tcPr>
            <w:tcW w:w="3760" w:type="dxa"/>
            <w:vAlign w:val="bottom"/>
            <w:gridSpan w:val="2"/>
          </w:tcPr>
          <w:p>
            <w:pPr>
              <w:jc w:val="center"/>
              <w:ind w:right="100"/>
              <w:spacing w:after="0"/>
              <w:rPr>
                <w:sz w:val="20"/>
                <w:szCs w:val="20"/>
                <w:color w:val="auto"/>
              </w:rPr>
            </w:pPr>
            <w:r>
              <w:rPr>
                <w:rFonts w:ascii="Arial" w:cs="Arial" w:eastAsia="Arial" w:hAnsi="Arial"/>
                <w:sz w:val="16"/>
                <w:szCs w:val="16"/>
                <w:color w:val="auto"/>
              </w:rPr>
              <w:t>$0.0001 par value per share</w:t>
            </w: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bl>
    <w:p>
      <w:pPr>
        <w:spacing w:after="0" w:line="21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8"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7"/>
          <w:szCs w:val="17"/>
          <w:color w:val="auto"/>
          <w:highlight w:val="black"/>
        </w:rPr>
        <w:t>☐</w:t>
      </w:r>
    </w:p>
    <w:p>
      <w:pPr>
        <w:spacing w:after="0" w:line="177"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726440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6"/>
          <w:szCs w:val="16"/>
          <w:b w:val="1"/>
          <w:bCs w:val="1"/>
          <w:color w:val="auto"/>
        </w:rPr>
        <w:t>Item 2.02.</w:t>
        <w:tab/>
        <w:t>Results of Operations and Financial Condition.</w:t>
      </w:r>
    </w:p>
    <w:p>
      <w:pPr>
        <w:spacing w:after="0" w:line="13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On March 1, 2022, GoHealth, Inc. issued a press release announcing its preliminary, unaudited financial results and select operating metrics for the quarter and year ended December 31, 2021. A copy of the press release is furnished as Exhibit 99.1 to this Current Report on Form 8-K.</w:t>
      </w:r>
    </w:p>
    <w:p>
      <w:pPr>
        <w:spacing w:after="0" w:line="8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information furnished pursuant to this Item 2.02 and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30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6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GoHealth, Inc. (the “Company”) and Travis Matthiesen, the Company’s Interim Chief Financial Officer, have agreed to amend his existing employment agreement. Pursuant to the amendment, Mr. Matthiesen is eligible to receive two cash bonuses each equal to $350,000. The first bonus is to be paid upon the later of (i) the filing of the Form 10-K for fiscal year 2021 or (ii) March 30, 2022. The second bonus is to be paid no later than June 30, 2022. Both bonuses are conditioned upon Mr. Matthiesen staying employed with the Company, except that if the Company terminates Mr. Matthiesen without “Cause” (as defined in Mr. Matthiesen’s employment agreement), Mr. Matthiesen shall be entitled to receive such second bonus. The amendment also modifies the circumstances under which Mr. Matthiesen is entitled to receive severance, providing that he may terminate his employment between June 1, 2022 and June 15, 2022 for “Good Reason” (as defined in Mr. Matthiesen’s employment agreement as modified in the second amendment), effective as of June 30, 2022, and receive the severance benefits contemplated by his employment agreement.</w:t>
      </w:r>
    </w:p>
    <w:p>
      <w:pPr>
        <w:spacing w:after="0" w:line="200" w:lineRule="exact"/>
        <w:rPr>
          <w:sz w:val="20"/>
          <w:szCs w:val="20"/>
          <w:color w:val="auto"/>
        </w:rPr>
      </w:pPr>
    </w:p>
    <w:p>
      <w:pPr>
        <w:spacing w:after="0" w:line="230"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9.01.</w:t>
        <w:tab/>
        <w:t>Financial Statements and Exhibits.</w:t>
      </w:r>
    </w:p>
    <w:p>
      <w:pPr>
        <w:spacing w:after="0" w:line="133"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Exhibits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Exhibit Number</w:t>
            </w:r>
          </w:p>
        </w:tc>
        <w:tc>
          <w:tcPr>
            <w:tcW w:w="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6"/>
                <w:szCs w:val="16"/>
                <w:b w:val="1"/>
                <w:bCs w:val="1"/>
                <w:color w:val="auto"/>
              </w:rPr>
              <w:t>Exhibit Description</w:t>
            </w:r>
          </w:p>
        </w:tc>
      </w:tr>
      <w:tr>
        <w:trPr>
          <w:trHeight w:val="172"/>
        </w:trPr>
        <w:tc>
          <w:tcPr>
            <w:tcW w:w="1300" w:type="dxa"/>
            <w:vAlign w:val="bottom"/>
            <w:tcBorders>
              <w:top w:val="single" w:sz="8" w:color="auto"/>
            </w:tcBorders>
          </w:tcPr>
          <w:p>
            <w:pPr>
              <w:jc w:val="right"/>
              <w:ind w:right="419"/>
              <w:spacing w:after="0" w:line="172" w:lineRule="exact"/>
              <w:rPr>
                <w:sz w:val="20"/>
                <w:szCs w:val="20"/>
                <w:color w:val="auto"/>
              </w:rPr>
            </w:pPr>
            <w:r>
              <w:rPr>
                <w:rFonts w:ascii="Arial" w:cs="Arial" w:eastAsia="Arial" w:hAnsi="Arial"/>
                <w:sz w:val="16"/>
                <w:szCs w:val="16"/>
                <w:color w:val="auto"/>
              </w:rPr>
              <w:t>99.1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840" w:type="dxa"/>
            <w:vAlign w:val="bottom"/>
            <w:tcBorders>
              <w:top w:val="single" w:sz="8" w:color="auto"/>
            </w:tcBorders>
            <w:gridSpan w:val="2"/>
          </w:tcPr>
          <w:p>
            <w:pPr>
              <w:spacing w:after="0" w:line="172" w:lineRule="exact"/>
              <w:rPr>
                <w:rFonts w:ascii="Arial" w:cs="Arial" w:eastAsia="Arial" w:hAnsi="Arial"/>
                <w:sz w:val="16"/>
                <w:szCs w:val="16"/>
                <w:color w:val="0000FF"/>
              </w:rPr>
            </w:pPr>
            <w:hyperlink w:anchor="page4">
              <w:r>
                <w:rPr>
                  <w:rFonts w:ascii="Arial" w:cs="Arial" w:eastAsia="Arial" w:hAnsi="Arial"/>
                  <w:sz w:val="16"/>
                  <w:szCs w:val="16"/>
                  <w:color w:val="0000FF"/>
                </w:rPr>
                <w:t>Press release, dated March 1, 2022</w:t>
              </w:r>
            </w:hyperlink>
          </w:p>
        </w:tc>
      </w:tr>
      <w:tr>
        <w:trPr>
          <w:trHeight w:val="20"/>
        </w:trPr>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230"/>
        </w:trPr>
        <w:tc>
          <w:tcPr>
            <w:tcW w:w="1300" w:type="dxa"/>
            <w:vAlign w:val="bottom"/>
          </w:tcPr>
          <w:p>
            <w:pPr>
              <w:jc w:val="right"/>
              <w:ind w:right="439"/>
              <w:spacing w:after="0"/>
              <w:rPr>
                <w:sz w:val="20"/>
                <w:szCs w:val="20"/>
                <w:color w:val="auto"/>
              </w:rPr>
            </w:pPr>
            <w:r>
              <w:rPr>
                <w:rFonts w:ascii="Arial" w:cs="Arial" w:eastAsia="Arial" w:hAnsi="Arial"/>
                <w:sz w:val="16"/>
                <w:szCs w:val="16"/>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6"/>
                <w:szCs w:val="16"/>
                <w:color w:val="auto"/>
              </w:rPr>
              <w:t>Cover Page Interactive Data File (the cover page XBRL tags are embedded within the Inline XBRL document)</w:t>
            </w:r>
          </w:p>
        </w:tc>
      </w:tr>
      <w:tr>
        <w:trPr>
          <w:trHeight w:val="985"/>
        </w:trPr>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20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March 1, 2022</w:t>
      </w:r>
      <w:r>
        <w:rPr>
          <w:sz w:val="20"/>
          <w:szCs w:val="20"/>
          <w:color w:val="auto"/>
        </w:rPr>
        <w:tab/>
      </w:r>
      <w:r>
        <w:rPr>
          <w:rFonts w:ascii="Arial" w:cs="Arial" w:eastAsia="Arial" w:hAnsi="Arial"/>
          <w:sz w:val="15"/>
          <w:szCs w:val="15"/>
          <w:color w:val="auto"/>
        </w:rPr>
        <w:t>By: /s/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19050</wp:posOffset>
            </wp:positionV>
            <wp:extent cx="33261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Travis J. Matthiesen</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Interim Chief Financial Officer</w:t>
      </w:r>
    </w:p>
    <w:p>
      <w:pPr>
        <w:spacing w:after="0" w:line="5"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20"/>
          </w:cols>
          <w:pgMar w:left="320" w:top="999" w:right="359" w:bottom="1440" w:gutter="0" w:footer="0" w:header="0"/>
        </w:sectPr>
      </w:pPr>
    </w:p>
    <w:bookmarkStart w:id="3" w:name="page4"/>
    <w:bookmarkEnd w:id="3"/>
    <w:p>
      <w:pPr>
        <w:ind w:left="10560"/>
        <w:spacing w:after="0"/>
        <w:rPr>
          <w:sz w:val="20"/>
          <w:szCs w:val="20"/>
          <w:color w:val="auto"/>
        </w:rPr>
      </w:pPr>
      <w:r>
        <w:rPr>
          <w:rFonts w:ascii="Arial" w:cs="Arial" w:eastAsia="Arial" w:hAnsi="Arial"/>
          <w:sz w:val="13"/>
          <w:szCs w:val="13"/>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11430</wp:posOffset>
            </wp:positionV>
            <wp:extent cx="1080135" cy="5657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0135" cy="565785"/>
                    </a:xfrm>
                    <a:prstGeom prst="rect">
                      <a:avLst/>
                    </a:prstGeom>
                    <a:noFill/>
                  </pic:spPr>
                </pic:pic>
              </a:graphicData>
            </a:graphic>
          </wp:anchor>
        </w:drawing>
      </w:r>
    </w:p>
    <w:p>
      <w:pPr>
        <w:spacing w:after="0" w:line="134" w:lineRule="exact"/>
        <w:rPr>
          <w:sz w:val="20"/>
          <w:szCs w:val="20"/>
          <w:color w:val="auto"/>
        </w:rPr>
      </w:pPr>
    </w:p>
    <w:p>
      <w:pPr>
        <w:ind w:left="20" w:right="3240"/>
        <w:spacing w:after="0" w:line="239" w:lineRule="auto"/>
        <w:rPr>
          <w:sz w:val="20"/>
          <w:szCs w:val="20"/>
          <w:color w:val="auto"/>
        </w:rPr>
      </w:pPr>
      <w:r>
        <w:rPr>
          <w:rFonts w:ascii="Arial" w:cs="Arial" w:eastAsia="Arial" w:hAnsi="Arial"/>
          <w:sz w:val="29"/>
          <w:szCs w:val="29"/>
          <w:b w:val="1"/>
          <w:bCs w:val="1"/>
          <w:color w:val="0A2299"/>
        </w:rPr>
        <w:t>GoHealth Announces Preliminary Fourth Quarter and Year End 2021 Results</w:t>
      </w:r>
    </w:p>
    <w:p>
      <w:pPr>
        <w:spacing w:after="0" w:line="388" w:lineRule="exact"/>
        <w:rPr>
          <w:sz w:val="20"/>
          <w:szCs w:val="20"/>
          <w:color w:val="auto"/>
        </w:rPr>
      </w:pPr>
    </w:p>
    <w:p>
      <w:pPr>
        <w:ind w:right="520"/>
        <w:spacing w:after="0" w:line="281" w:lineRule="auto"/>
        <w:rPr>
          <w:sz w:val="20"/>
          <w:szCs w:val="20"/>
          <w:color w:val="auto"/>
        </w:rPr>
      </w:pPr>
      <w:r>
        <w:rPr>
          <w:rFonts w:ascii="Arial" w:cs="Arial" w:eastAsia="Arial" w:hAnsi="Arial"/>
          <w:sz w:val="16"/>
          <w:szCs w:val="16"/>
          <w:i w:val="1"/>
          <w:iCs w:val="1"/>
          <w:color w:val="auto"/>
        </w:rPr>
        <w:t xml:space="preserve">CHICAGO, March 1, 2022 </w:t>
      </w:r>
      <w:r>
        <w:rPr>
          <w:rFonts w:ascii="Arial" w:cs="Arial" w:eastAsia="Arial" w:hAnsi="Arial"/>
          <w:sz w:val="16"/>
          <w:szCs w:val="16"/>
          <w:color w:val="auto"/>
        </w:rPr>
        <w:t>— GoHealth, Inc. (Nasdaq: GOCO), a leading health insurance marketplace and Medicare-focused digital health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announced today preliminary, unaudited financial results and select operating metrics for the fourth quarter and year ended December 31, 2021.</w:t>
      </w:r>
    </w:p>
    <w:p>
      <w:pPr>
        <w:spacing w:after="0" w:line="112" w:lineRule="exact"/>
        <w:rPr>
          <w:sz w:val="20"/>
          <w:szCs w:val="20"/>
          <w:color w:val="auto"/>
        </w:rPr>
      </w:pPr>
    </w:p>
    <w:p>
      <w:pPr>
        <w:ind w:left="560" w:right="280"/>
        <w:spacing w:after="0" w:line="218" w:lineRule="auto"/>
        <w:rPr>
          <w:sz w:val="20"/>
          <w:szCs w:val="20"/>
          <w:color w:val="auto"/>
        </w:rPr>
      </w:pPr>
      <w:r>
        <w:rPr>
          <w:rFonts w:ascii="Arial" w:cs="Arial" w:eastAsia="Arial" w:hAnsi="Arial"/>
          <w:sz w:val="16"/>
          <w:szCs w:val="16"/>
          <w:color w:val="auto"/>
        </w:rPr>
        <w:t>Net revenue for the fourth quarter of 2021 is expected to be in the range of $425.0 million to $470.0 million, compared with $445.9 million for the prior year period. Net revenue for the year ended December 31, 2021 is expected to be in the range of $1,040.0 million to $1,085.0 million, compared with $877.4 million for the prior year and the Company’s previously issued guidance of $1,200.0 million to $1,300.0 million. These expected net revenue ranges are inclusive of a 15% Medicare Advantage (“MA”) lifetime value (“LTV”) constraint applied to all MA policies sold in the fourth quarter of 2021 and negative revenue adjustments relating to performance obligations satisfied in 2018, 2019, 2020 and the first nine months of 2021 (the “Lookback Adjustments”),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-483235</wp:posOffset>
            </wp:positionV>
            <wp:extent cx="171450" cy="26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266065"/>
                    </a:xfrm>
                    <a:prstGeom prst="rect">
                      <a:avLst/>
                    </a:prstGeom>
                    <a:noFill/>
                  </pic:spPr>
                </pic:pic>
              </a:graphicData>
            </a:graphic>
          </wp:anchor>
        </w:drawing>
      </w:r>
    </w:p>
    <w:p>
      <w:pPr>
        <w:spacing w:after="0" w:line="57" w:lineRule="exact"/>
        <w:rPr>
          <w:sz w:val="20"/>
          <w:szCs w:val="20"/>
          <w:color w:val="auto"/>
        </w:rPr>
      </w:pPr>
    </w:p>
    <w:p>
      <w:pPr>
        <w:ind w:left="560" w:right="100"/>
        <w:spacing w:after="0" w:line="221" w:lineRule="auto"/>
        <w:rPr>
          <w:sz w:val="20"/>
          <w:szCs w:val="20"/>
          <w:color w:val="auto"/>
        </w:rPr>
      </w:pPr>
      <w:r>
        <w:rPr>
          <w:rFonts w:ascii="Arial" w:cs="Arial" w:eastAsia="Arial" w:hAnsi="Arial"/>
          <w:sz w:val="16"/>
          <w:szCs w:val="16"/>
          <w:color w:val="auto"/>
        </w:rPr>
        <w:t>Net loss for the fourth quarter of 2021 is expected to be in the range of $52.7 million to $38.8 million, compared with net income of $133.1 million for the prior year period. Net loss for the year ended December 31, 2021 is expected to be in the range of $155.0 million to $141.0 million, compared with net income of $97.2 million for the prior year and the Company’s previously issued guidance of net income in the range of $126.6 million to $156.6 million. These expected net loss ranges exclude an expected goodwill impairment charge,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-379730</wp:posOffset>
            </wp:positionV>
            <wp:extent cx="17145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65430"/>
                    </a:xfrm>
                    <a:prstGeom prst="rect">
                      <a:avLst/>
                    </a:prstGeom>
                    <a:noFill/>
                  </pic:spPr>
                </pic:pic>
              </a:graphicData>
            </a:graphic>
          </wp:anchor>
        </w:drawing>
      </w:r>
    </w:p>
    <w:p>
      <w:pPr>
        <w:spacing w:after="0" w:line="56" w:lineRule="exact"/>
        <w:rPr>
          <w:sz w:val="20"/>
          <w:szCs w:val="20"/>
          <w:color w:val="auto"/>
        </w:rPr>
      </w:pPr>
    </w:p>
    <w:p>
      <w:pPr>
        <w:ind w:left="560" w:right="280"/>
        <w:spacing w:after="0" w:line="189" w:lineRule="auto"/>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fourth quarter of 2021 is expected to be in the range of negative $5.5 million to positive $8.5 million, compared with positive $169.9 million for the prior year period.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for the year ended December 31, 2021 is expected to be in the range of $26.5 million to $40.5 million, compared with $271.0 million for the prior year and the Company’s previously issued guidance of $300.0 million to $330.0 million. Adjusted EBITDA</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includes the impact of the Lookback Adjustments for both the fourth quarter of 2021 and the year ended December 31, 2021, which is expected to have an unfavorable impact in the range of $102.0 million to $109.0 million and $108.0 million to $115.0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-482600</wp:posOffset>
            </wp:positionV>
            <wp:extent cx="17145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26543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39370</wp:posOffset>
            </wp:positionV>
            <wp:extent cx="17970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12" w:lineRule="exact"/>
        <w:rPr>
          <w:sz w:val="20"/>
          <w:szCs w:val="20"/>
          <w:color w:val="auto"/>
        </w:rPr>
      </w:pPr>
    </w:p>
    <w:p>
      <w:pPr>
        <w:ind w:left="560" w:right="120"/>
        <w:spacing w:after="0" w:line="232" w:lineRule="auto"/>
        <w:rPr>
          <w:sz w:val="20"/>
          <w:szCs w:val="20"/>
          <w:color w:val="auto"/>
        </w:rPr>
      </w:pPr>
      <w:r>
        <w:rPr>
          <w:rFonts w:ascii="Arial" w:cs="Arial" w:eastAsia="Arial" w:hAnsi="Arial"/>
          <w:sz w:val="16"/>
          <w:szCs w:val="16"/>
          <w:color w:val="auto"/>
        </w:rPr>
        <w:t>Lookback Adjustments are expected to be in the range of $150.0 million to $160.0 million for the fourth quarter of 2021 and $160.0 million to $170.0 million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81280</wp:posOffset>
            </wp:positionV>
            <wp:extent cx="17970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257175"/>
                    </a:xfrm>
                    <a:prstGeom prst="rect">
                      <a:avLst/>
                    </a:prstGeom>
                    <a:noFill/>
                  </pic:spPr>
                </pic:pic>
              </a:graphicData>
            </a:graphic>
          </wp:anchor>
        </w:drawing>
      </w:r>
    </w:p>
    <w:p>
      <w:pPr>
        <w:spacing w:after="0" w:line="178" w:lineRule="exact"/>
        <w:rPr>
          <w:sz w:val="20"/>
          <w:szCs w:val="20"/>
          <w:color w:val="auto"/>
        </w:rPr>
      </w:pPr>
    </w:p>
    <w:p>
      <w:pPr>
        <w:ind w:left="560" w:right="180"/>
        <w:spacing w:after="0" w:line="232" w:lineRule="auto"/>
        <w:rPr>
          <w:sz w:val="20"/>
          <w:szCs w:val="20"/>
          <w:color w:val="auto"/>
        </w:rPr>
      </w:pPr>
      <w:r>
        <w:rPr>
          <w:rFonts w:ascii="Arial" w:cs="Arial" w:eastAsia="Arial" w:hAnsi="Arial"/>
          <w:sz w:val="16"/>
          <w:szCs w:val="16"/>
          <w:color w:val="auto"/>
        </w:rPr>
        <w:t>MA Approved Submissions are expected to be in the range of 633,500 to 672,700 for the fourth quarter of 2021 and 1,150,800 to 1,190,000 for the year ended December 31, 2021, as compared to 327,920 in the fourth quarter of 2020 and 637,188 for the year ended December 31, 2020.</w:t>
      </w:r>
    </w:p>
    <w:p>
      <w:pPr>
        <w:spacing w:after="0" w:line="144" w:lineRule="exact"/>
        <w:rPr>
          <w:sz w:val="20"/>
          <w:szCs w:val="20"/>
          <w:color w:val="auto"/>
        </w:rPr>
      </w:pPr>
    </w:p>
    <w:p>
      <w:pPr>
        <w:ind w:left="560" w:right="60"/>
        <w:spacing w:after="0" w:line="221" w:lineRule="auto"/>
        <w:rPr>
          <w:sz w:val="20"/>
          <w:szCs w:val="20"/>
          <w:color w:val="auto"/>
        </w:rPr>
      </w:pPr>
      <w:r>
        <w:rPr>
          <w:rFonts w:ascii="Arial" w:cs="Arial" w:eastAsia="Arial" w:hAnsi="Arial"/>
          <w:sz w:val="16"/>
          <w:szCs w:val="16"/>
          <w:color w:val="auto"/>
        </w:rPr>
        <w:t>MA LTV Per Approved Submission is expected to be in the range of $786 to $835 for the fourth quarter of 2021 and $850 to $900 for the year ended December 31, 2021, as compared to $1,073 in the fourth quarter of 2020 and $995 for the year ended December 31, 2020, respectively. The MA LTV ranges for the fourth quarter of 2021 and the year ended December 31, 2021 are inclusive of a 15% constraint applied to all MA policies sold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-379730</wp:posOffset>
            </wp:positionV>
            <wp:extent cx="179705"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40575" cy="12515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0575" cy="125158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 w:right="100"/>
        <w:spacing w:after="0" w:line="216" w:lineRule="auto"/>
        <w:rPr>
          <w:sz w:val="20"/>
          <w:szCs w:val="20"/>
          <w:color w:val="auto"/>
        </w:rPr>
      </w:pPr>
      <w:r>
        <w:rPr>
          <w:rFonts w:ascii="Arial" w:cs="Arial" w:eastAsia="Arial" w:hAnsi="Arial"/>
          <w:sz w:val="16"/>
          <w:szCs w:val="16"/>
          <w:color w:val="auto"/>
        </w:rPr>
        <w:t>Clint Jones, co-founder and CEO said, “I thank all of our employees for their exceptional efforts during a challenging environment. In 2021, as a market leader, we helped over one million consumers enroll in Medicare. While applied constraints and lookback adjustments negatively impacted revenue, we are pleased that on a pre-lookback and constraint basis we exceeded revenue and MA Approved Submissions expectations during this year’s Annual Enrollment Period. Nevertheless, we are extremely disappointed that these successes did not translate to bottom line performance. We, like many in our space, experienced meaningful pressures resulting from increased consumer shopping and higher than expected labor and associated costs. This resulted in materially lower EBITDA and LTV performance for the year, along with an associated lookback adjustment to revenue recorded from 2018 through September 30, 2021. We find these results unacceptable, and we are taking steps to improve our operational and financial performance going forward. I look forward to providing more detail about our 2021 performance along with our 2022 guidance and plans for getting to cash flow breakeven during our March 15th earnings call.”</w:t>
      </w:r>
    </w:p>
    <w:p>
      <w:pPr>
        <w:spacing w:after="0" w:line="31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light of the foregoing financial results, the Company believes that, absent a waiver or other amendment, it will be out of compliance with certain financial covenants under the Company’s credit facility for the period ended December 31, 2021 and may result in non-compliance for near term future periods. Management has engaged in discussions with the Company’s lenders to seek the amendment of certain of the financial covenants or to obtain any necessary waivers in connection therewith. Based on these discussions, the Company believes these amendments or waivers will be forthcoming, but there can be no assurances such amendments or waivers will be obtained.</w:t>
      </w:r>
    </w:p>
    <w:p>
      <w:pPr>
        <w:spacing w:after="0" w:line="23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Company also expects to file a Form 12b-25 with the Securities and Exchange Commission noting the Company expects to file its Annual Report on Form 10-K for the fiscal year ended December 31, 2021 (the “Form 10-K”) on or before March 15, 2022. On December 31, 2021, the Company’s status as an emerging growth company ended and the Company became a large accelerated filer. As a result, the Company (i) is subject to a shortened filing deadline of 60 rather than 90 days to file the Form 10-K following the end of the Company’s annual reporting period and (ii) is, for the first time, subject to the requirements of Section 404 of the Sarbanes-Oxley Act of 2002 (the “SOX Act”). In connection with this shorter filing timeline and the enhanced compliance obligations with respect to Section 404 of the SOX Act, the Company requires additional time to complete the assessment of the Company’s internal controls over financial reporting as of December 31, 2021, and to quantify an expected goodwill impairment charge anticipated to be completed in connection with the finalization of the Form 10-K. The Company expects to share its financial results for the fourth quarter and full year, along with its 2022 annual guidance, as part of an earnings call to be held after market close on March 15, 2022.</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74" w:right="339" w:bottom="1440" w:gutter="0" w:footer="0" w:header="0"/>
        </w:sectPr>
      </w:pPr>
    </w:p>
    <w:bookmarkStart w:id="4" w:name="page5"/>
    <w:bookmarkEnd w:id="4"/>
    <w:p>
      <w:pPr>
        <w:ind w:right="20"/>
        <w:spacing w:after="0" w:line="247" w:lineRule="auto"/>
        <w:rPr>
          <w:sz w:val="20"/>
          <w:szCs w:val="20"/>
          <w:color w:val="auto"/>
        </w:rPr>
      </w:pPr>
      <w:r>
        <w:rPr>
          <w:rFonts w:ascii="Arial" w:cs="Arial" w:eastAsia="Arial" w:hAnsi="Arial"/>
          <w:sz w:val="16"/>
          <w:szCs w:val="16"/>
          <w:color w:val="auto"/>
        </w:rPr>
        <w:t>The preliminary, unaudited results for the fourth quarter and year ended December 31, 2021 included in this release, which are the responsibility of management, were prepared by the Company’s management in connection with the preparation of the Company’s financial statements and are based upon preliminary operating results as of the date hereof, and include a number of subjective judgements and assumptions. Additional items that may require adjustments to the Company’s preliminary estimated financial information may be identified and could result in material changes to the Company’s preliminary estimated results. The Company’s independent registered public accounting firm has not audited, reviewed, compiled or performed any procedures with respect to the preliminary estimated financial information, nor have they expressed any opinion or any other form of assurance on such information or its achievability, and assume no responsibility for, and disclaim any association with, such preliminary estimated financial information. Further, these preliminary estimated results are not a comprehensive statement or estimate of the Company’s financial condition or operating results for the fourth quarter and year ended December 31, 2021. These preliminary estimated results should not be viewed as a substitute for complete financial statements prepared in accordance with generally accepted accounting principles (“GAAP”). In addition, the preliminary estimated financial information is not necessarily indicative of the results to be achieved for any future period. Accordingly, investors are cautioned not to place undue reliance on this preliminary estimated financial information. See the information below under the heading “Forward-Looking Statements” and “Risk Factors” and “Management’s Discussion and Analysis of Financial Conditions and Results of Operations” in the Company’s Annual Report on Form 10-K for the year ended December 31, 2020.</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37"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A2299"/>
        </w:rPr>
        <w:t>About GoHealth, Inc.:</w:t>
      </w:r>
    </w:p>
    <w:p>
      <w:pPr>
        <w:spacing w:after="0" w:line="66"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As a leading health insurance marketplace and Medicare-focused digital health company,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right for them. GoHealth has enrolled millions of people in Medicare and individual and family plans. For more information, visit https://www.gohealth.com.</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IR@gohealth.com</w:t>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Media Relations: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Pressinquiries@gohealth.com</w:t>
      </w:r>
    </w:p>
    <w:p>
      <w:pPr>
        <w:spacing w:after="0" w:line="33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i w:val="1"/>
          <w:iCs w:val="1"/>
          <w:color w:val="auto"/>
        </w:rPr>
      </w:pPr>
      <w:r>
        <w:rPr>
          <w:rFonts w:ascii="Arial" w:cs="Arial" w:eastAsia="Arial" w:hAnsi="Arial"/>
          <w:sz w:val="13"/>
          <w:szCs w:val="13"/>
          <w:i w:val="1"/>
          <w:iCs w:val="1"/>
          <w:color w:val="auto"/>
        </w:rPr>
        <w:t>Adjusted EBITDA is a non-GAAP measure. For a definition of Adjusted EBITDA and a reconciliation to the most comparable GAAP measure, please see below.</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A2299"/>
        </w:rPr>
        <w:t>Forward-Looking Statements</w:t>
      </w:r>
    </w:p>
    <w:p>
      <w:pPr>
        <w:spacing w:after="0" w:line="13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fourth quarter and fiscal year 2021, including with respect to revenue and Adjusted EBITDA, the growth of our membership base, and our ability to realize the potential of our market opportunity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 the failure to grow the Company’s customer base or retain its existing customers; the time and cost of training agents are significant and can increase during a period of high attrition; our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the Company’s ability to file its Annual Report on Form 10-K for the fiscal year ended December 31, 2021 in the time period that it currently expects; the possibility that the Company and the ongoing review by the Company’s independent accounting firm may identify errors or control deficiencies with respect to the Company’s accounting practices; the Company’s failure to receive a waiver or amendment to certain financial covenants in its credit facility, which may (i) result in a default or event of default thereunder, permitting the applicable lenders or agents to terminate borrowing commitments and declare all borrowings and loans, together with accrued and unpaid interest and fees, to be immediately due and payable, or to otherwise exercise rights under security documents to proceed against the Company and foreclose on the Company’s assets serving as collateral under such documents and (ii) require the Company to make an assessment in accordance with applicable accounting rules that there is substantial doubt regarding the Company’s ability to continue as a going concern; and the Company’s ability to successfully implement its business plan, including in connection with challenges caused by COVID-19 and its variants (both known and emerging).</w:t>
      </w:r>
    </w:p>
    <w:p>
      <w:pPr>
        <w:spacing w:after="0" w:line="9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press release, as well as the cautionary statements and other risk factors set forth in the Company’s Annual Report on Form 10-K for the year ended December 31, 2020 and other SEC filings.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and are reliant on the actions taken or to be taken by third parties.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time-to-time,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Use of Non-GAAP Financial Measures and Key Performance Indicators</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(“EBITDA”); Adjusted EBITDA and Adjusted EBITDA margin. Adjusted EBITDA is the primary financial performance measure used by management to evaluate its business and monitor its results of operations.</w:t>
      </w:r>
    </w:p>
    <w:p>
      <w:pPr>
        <w:spacing w:after="0" w:line="230"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877" w:right="339" w:bottom="1440" w:gutter="0" w:footer="0" w:header="0"/>
        </w:sectPr>
      </w:pPr>
    </w:p>
    <w:bookmarkStart w:id="7" w:name="page8"/>
    <w:bookmarkEnd w:id="7"/>
    <w:p>
      <w:pPr>
        <w:ind w:right="60"/>
        <w:spacing w:after="0" w:line="24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Glossary</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share-based compensation expense, loss on extinguishment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loss on sublease, non-recurring legal fees, accelerated vesting of certain equity awards, change in the fair value of contingent consideration liability and severance costs.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“Approved Submissions” </w:t>
      </w:r>
      <w:r>
        <w:rPr>
          <w:rFonts w:ascii="Arial" w:cs="Arial" w:eastAsia="Arial" w:hAnsi="Arial"/>
          <w:sz w:val="16"/>
          <w:szCs w:val="16"/>
          <w:color w:val="auto"/>
        </w:rPr>
        <w:t>refer to Submitted Policies approved by carriers for the identified product during the indicated period.</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i w:val="1"/>
          <w:iCs w:val="1"/>
          <w:color w:val="auto"/>
        </w:rPr>
        <w:t xml:space="preserve">“LTV Per Approved Submission” </w:t>
      </w:r>
      <w:r>
        <w:rPr>
          <w:rFonts w:ascii="Arial" w:cs="Arial" w:eastAsia="Arial" w:hAnsi="Arial"/>
          <w:sz w:val="16"/>
          <w:szCs w:val="16"/>
          <w:color w:val="auto"/>
        </w:rPr>
        <w:t>refers to the Lifetime Value of Commissions per Approved Submission, which we define as (i) aggregate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to be collected over the estimated life of all commissionable Approved Submissions for the relevant period based on multiple factors, including but not limited to, contracted commission rates, carrier mix and expected policy persistency with applied constraints, excluding revenue adjustments recorded in the period, but relating to performance obligations satisfied in prior periods, divided by (ii) the number of commissionable Approved Submissions for such period.</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“Submitted Policies” </w:t>
      </w:r>
      <w:r>
        <w:rPr>
          <w:rFonts w:ascii="Arial" w:cs="Arial" w:eastAsia="Arial" w:hAnsi="Arial"/>
          <w:sz w:val="16"/>
          <w:szCs w:val="16"/>
          <w:color w:val="auto"/>
        </w:rPr>
        <w:t>refer to completed applications that, with respect to each such application, the consumer has authorized us to submit to the carrier.</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A2299"/>
        </w:rPr>
        <w:t>Non-GAAP Financial Information Reconciliation</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reconciliations of preliminary, unaudited GAAP net loss to EBITDA and Adjusted EBITDA:</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rPr>
              <w:t>Three months ended Dec. 31, 2021</w:t>
            </w: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97"/>
              <w:spacing w:after="0"/>
              <w:rPr>
                <w:sz w:val="20"/>
                <w:szCs w:val="20"/>
                <w:color w:val="auto"/>
              </w:rPr>
            </w:pPr>
            <w:r>
              <w:rPr>
                <w:rFonts w:ascii="Arial" w:cs="Arial" w:eastAsia="Arial" w:hAnsi="Arial"/>
                <w:sz w:val="13"/>
                <w:szCs w:val="13"/>
                <w:b w:val="1"/>
                <w:bCs w:val="1"/>
                <w:color w:val="auto"/>
                <w:w w:val="97"/>
              </w:rPr>
              <w:t>Twelve months ended Dec. 31, 2021</w:t>
            </w:r>
          </w:p>
        </w:tc>
        <w:tc>
          <w:tcPr>
            <w:tcW w:w="0" w:type="dxa"/>
            <w:vAlign w:val="bottom"/>
          </w:tcPr>
          <w:p>
            <w:pPr>
              <w:spacing w:after="0"/>
              <w:rPr>
                <w:sz w:val="1"/>
                <w:szCs w:val="1"/>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21"/>
                <w:szCs w:val="21"/>
                <w:color w:val="auto"/>
              </w:rPr>
            </w:pPr>
          </w:p>
        </w:tc>
        <w:tc>
          <w:tcPr>
            <w:tcW w:w="1140" w:type="dxa"/>
            <w:vAlign w:val="bottom"/>
            <w:gridSpan w:val="2"/>
          </w:tcPr>
          <w:p>
            <w:pPr>
              <w:ind w:left="340"/>
              <w:spacing w:after="0"/>
              <w:rPr>
                <w:sz w:val="20"/>
                <w:szCs w:val="20"/>
                <w:color w:val="auto"/>
              </w:rPr>
            </w:pPr>
            <w:r>
              <w:rPr>
                <w:rFonts w:ascii="Arial" w:cs="Arial" w:eastAsia="Arial" w:hAnsi="Arial"/>
                <w:sz w:val="13"/>
                <w:szCs w:val="13"/>
                <w:b w:val="1"/>
                <w:bCs w:val="1"/>
                <w:color w:val="auto"/>
              </w:rPr>
              <w:t>Low</w:t>
            </w:r>
          </w:p>
        </w:tc>
        <w:tc>
          <w:tcPr>
            <w:tcW w:w="280" w:type="dxa"/>
            <w:vAlign w:val="bottom"/>
          </w:tcPr>
          <w:p>
            <w:pPr>
              <w:spacing w:after="0"/>
              <w:rPr>
                <w:sz w:val="21"/>
                <w:szCs w:val="21"/>
                <w:color w:val="auto"/>
              </w:rPr>
            </w:pPr>
          </w:p>
        </w:tc>
        <w:tc>
          <w:tcPr>
            <w:tcW w:w="1000" w:type="dxa"/>
            <w:vAlign w:val="bottom"/>
            <w:gridSpan w:val="2"/>
          </w:tcPr>
          <w:p>
            <w:pPr>
              <w:ind w:left="180"/>
              <w:spacing w:after="0"/>
              <w:rPr>
                <w:sz w:val="20"/>
                <w:szCs w:val="20"/>
                <w:color w:val="auto"/>
              </w:rPr>
            </w:pPr>
            <w:r>
              <w:rPr>
                <w:rFonts w:ascii="Arial" w:cs="Arial" w:eastAsia="Arial" w:hAnsi="Arial"/>
                <w:sz w:val="13"/>
                <w:szCs w:val="13"/>
                <w:b w:val="1"/>
                <w:bCs w:val="1"/>
                <w:color w:val="auto"/>
              </w:rPr>
              <w:t>High</w:t>
            </w:r>
          </w:p>
        </w:tc>
        <w:tc>
          <w:tcPr>
            <w:tcW w:w="140" w:type="dxa"/>
            <w:vAlign w:val="bottom"/>
          </w:tcPr>
          <w:p>
            <w:pPr>
              <w:spacing w:after="0"/>
              <w:rPr>
                <w:sz w:val="21"/>
                <w:szCs w:val="21"/>
                <w:color w:val="auto"/>
              </w:rPr>
            </w:pPr>
          </w:p>
        </w:tc>
        <w:tc>
          <w:tcPr>
            <w:tcW w:w="1160" w:type="dxa"/>
            <w:vAlign w:val="bottom"/>
            <w:gridSpan w:val="2"/>
          </w:tcPr>
          <w:p>
            <w:pPr>
              <w:ind w:left="340"/>
              <w:spacing w:after="0"/>
              <w:rPr>
                <w:sz w:val="20"/>
                <w:szCs w:val="20"/>
                <w:color w:val="auto"/>
              </w:rPr>
            </w:pPr>
            <w:r>
              <w:rPr>
                <w:rFonts w:ascii="Arial" w:cs="Arial" w:eastAsia="Arial" w:hAnsi="Arial"/>
                <w:sz w:val="13"/>
                <w:szCs w:val="13"/>
                <w:b w:val="1"/>
                <w:bCs w:val="1"/>
                <w:color w:val="auto"/>
              </w:rPr>
              <w:t>Low</w:t>
            </w:r>
          </w:p>
        </w:tc>
        <w:tc>
          <w:tcPr>
            <w:tcW w:w="260" w:type="dxa"/>
            <w:vAlign w:val="bottom"/>
          </w:tcPr>
          <w:p>
            <w:pPr>
              <w:spacing w:after="0"/>
              <w:rPr>
                <w:sz w:val="21"/>
                <w:szCs w:val="21"/>
                <w:color w:val="auto"/>
              </w:rPr>
            </w:pPr>
          </w:p>
        </w:tc>
        <w:tc>
          <w:tcPr>
            <w:tcW w:w="920" w:type="dxa"/>
            <w:vAlign w:val="bottom"/>
          </w:tcPr>
          <w:p>
            <w:pPr>
              <w:jc w:val="right"/>
              <w:ind w:right="397"/>
              <w:spacing w:after="0"/>
              <w:rPr>
                <w:sz w:val="20"/>
                <w:szCs w:val="20"/>
                <w:color w:val="auto"/>
              </w:rPr>
            </w:pPr>
            <w:r>
              <w:rPr>
                <w:rFonts w:ascii="Arial" w:cs="Arial" w:eastAsia="Arial" w:hAnsi="Arial"/>
                <w:sz w:val="13"/>
                <w:szCs w:val="13"/>
                <w:b w:val="1"/>
                <w:bCs w:val="1"/>
                <w:color w:val="auto"/>
              </w:rPr>
              <w:t>High</w:t>
            </w:r>
          </w:p>
        </w:tc>
        <w:tc>
          <w:tcPr>
            <w:tcW w:w="0" w:type="dxa"/>
            <w:vAlign w:val="bottom"/>
          </w:tcPr>
          <w:p>
            <w:pPr>
              <w:spacing w:after="0"/>
              <w:rPr>
                <w:sz w:val="1"/>
                <w:szCs w:val="1"/>
                <w:color w:val="auto"/>
              </w:rPr>
            </w:pPr>
          </w:p>
        </w:tc>
      </w:tr>
      <w:tr>
        <w:trPr>
          <w:trHeight w:val="17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425,000</w:t>
            </w: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470,000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1,040,000</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1,085,000</w:t>
            </w:r>
          </w:p>
        </w:tc>
        <w:tc>
          <w:tcPr>
            <w:tcW w:w="0" w:type="dxa"/>
            <w:vAlign w:val="bottom"/>
          </w:tcPr>
          <w:p>
            <w:pPr>
              <w:spacing w:after="0"/>
              <w:rPr>
                <w:sz w:val="1"/>
                <w:szCs w:val="1"/>
                <w:color w:val="auto"/>
              </w:rPr>
            </w:pPr>
          </w:p>
        </w:tc>
      </w:tr>
      <w:tr>
        <w:trPr>
          <w:trHeight w:val="161"/>
        </w:trPr>
        <w:tc>
          <w:tcPr>
            <w:tcW w:w="6200" w:type="dxa"/>
            <w:vAlign w:val="bottom"/>
          </w:tcPr>
          <w:p>
            <w:pPr>
              <w:ind w:left="20"/>
              <w:spacing w:after="0"/>
              <w:rPr>
                <w:sz w:val="20"/>
                <w:szCs w:val="20"/>
                <w:color w:val="auto"/>
              </w:rPr>
            </w:pPr>
            <w:r>
              <w:rPr>
                <w:rFonts w:ascii="Arial" w:cs="Arial" w:eastAsia="Arial" w:hAnsi="Arial"/>
                <w:sz w:val="13"/>
                <w:szCs w:val="13"/>
                <w:color w:val="auto"/>
              </w:rPr>
              <w:t>Net loss (1)</w:t>
            </w:r>
          </w:p>
        </w:tc>
        <w:tc>
          <w:tcPr>
            <w:tcW w:w="14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(52,700)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(38,800)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(155,000)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(141,000)</w:t>
            </w:r>
          </w:p>
        </w:tc>
        <w:tc>
          <w:tcPr>
            <w:tcW w:w="0" w:type="dxa"/>
            <w:vAlign w:val="bottom"/>
          </w:tcPr>
          <w:p>
            <w:pPr>
              <w:spacing w:after="0"/>
              <w:rPr>
                <w:sz w:val="1"/>
                <w:szCs w:val="1"/>
                <w:color w:val="auto"/>
              </w:rPr>
            </w:pPr>
          </w:p>
        </w:tc>
      </w:tr>
      <w:tr>
        <w:trPr>
          <w:trHeight w:val="184"/>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9,600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33,500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33,500</w:t>
            </w:r>
          </w:p>
        </w:tc>
        <w:tc>
          <w:tcPr>
            <w:tcW w:w="0" w:type="dxa"/>
            <w:vAlign w:val="bottom"/>
          </w:tcPr>
          <w:p>
            <w:pPr>
              <w:spacing w:after="0"/>
              <w:rPr>
                <w:sz w:val="1"/>
                <w:szCs w:val="1"/>
                <w:color w:val="auto"/>
              </w:rPr>
            </w:pPr>
          </w:p>
        </w:tc>
      </w:tr>
      <w:tr>
        <w:trPr>
          <w:trHeight w:val="167"/>
        </w:trPr>
        <w:tc>
          <w:tcPr>
            <w:tcW w:w="620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117"/>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30,300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30,300</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107,500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107,500</w:t>
            </w:r>
          </w:p>
        </w:tc>
        <w:tc>
          <w:tcPr>
            <w:tcW w:w="0" w:type="dxa"/>
            <w:vAlign w:val="bottom"/>
          </w:tcPr>
          <w:p>
            <w:pPr>
              <w:spacing w:after="0"/>
              <w:rPr>
                <w:sz w:val="1"/>
                <w:szCs w:val="1"/>
                <w:color w:val="auto"/>
              </w:rPr>
            </w:pPr>
          </w:p>
        </w:tc>
      </w:tr>
      <w:tr>
        <w:trPr>
          <w:trHeight w:val="16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(12,700)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1,300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(14,000)</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(2)</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7,200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7,200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27,323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27,323</w:t>
            </w:r>
          </w:p>
        </w:tc>
        <w:tc>
          <w:tcPr>
            <w:tcW w:w="0" w:type="dxa"/>
            <w:vAlign w:val="bottom"/>
          </w:tcPr>
          <w:p>
            <w:pPr>
              <w:spacing w:after="0"/>
              <w:rPr>
                <w:sz w:val="1"/>
                <w:szCs w:val="1"/>
                <w:color w:val="auto"/>
              </w:rPr>
            </w:pPr>
          </w:p>
        </w:tc>
      </w:tr>
      <w:tr>
        <w:trPr>
          <w:trHeight w:val="168"/>
        </w:trPr>
        <w:tc>
          <w:tcPr>
            <w:tcW w:w="6200" w:type="dxa"/>
            <w:vAlign w:val="bottom"/>
          </w:tcPr>
          <w:p>
            <w:pPr>
              <w:ind w:left="240"/>
              <w:spacing w:after="0"/>
              <w:rPr>
                <w:sz w:val="20"/>
                <w:szCs w:val="20"/>
                <w:color w:val="auto"/>
              </w:rPr>
            </w:pPr>
            <w:r>
              <w:rPr>
                <w:rFonts w:ascii="Arial" w:cs="Arial" w:eastAsia="Arial" w:hAnsi="Arial"/>
                <w:sz w:val="13"/>
                <w:szCs w:val="13"/>
                <w:color w:val="auto"/>
              </w:rPr>
              <w:t>Loss on extinguishment of debt (3)</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11,935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11,935</w:t>
            </w:r>
          </w:p>
        </w:tc>
        <w:tc>
          <w:tcPr>
            <w:tcW w:w="0" w:type="dxa"/>
            <w:vAlign w:val="bottom"/>
          </w:tcPr>
          <w:p>
            <w:pPr>
              <w:spacing w:after="0"/>
              <w:rPr>
                <w:sz w:val="1"/>
                <w:szCs w:val="1"/>
                <w:color w:val="auto"/>
              </w:rPr>
            </w:pPr>
          </w:p>
        </w:tc>
      </w:tr>
      <w:tr>
        <w:trPr>
          <w:trHeight w:val="183"/>
        </w:trPr>
        <w:tc>
          <w:tcPr>
            <w:tcW w:w="62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Loss on sublease (4)</w:t>
            </w:r>
          </w:p>
        </w:tc>
        <w:tc>
          <w:tcPr>
            <w:tcW w:w="1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1,062</w:t>
            </w:r>
          </w:p>
        </w:tc>
        <w:tc>
          <w:tcPr>
            <w:tcW w:w="0" w:type="dxa"/>
            <w:vAlign w:val="bottom"/>
          </w:tcPr>
          <w:p>
            <w:pPr>
              <w:spacing w:after="0"/>
              <w:rPr>
                <w:sz w:val="1"/>
                <w:szCs w:val="1"/>
                <w:color w:val="auto"/>
              </w:rPr>
            </w:pPr>
          </w:p>
        </w:tc>
      </w:tr>
      <w:tr>
        <w:trPr>
          <w:trHeight w:val="169"/>
        </w:trPr>
        <w:tc>
          <w:tcPr>
            <w:tcW w:w="6200" w:type="dxa"/>
            <w:vAlign w:val="bottom"/>
          </w:tcPr>
          <w:p>
            <w:pPr>
              <w:ind w:left="240"/>
              <w:spacing w:after="0"/>
              <w:rPr>
                <w:sz w:val="20"/>
                <w:szCs w:val="20"/>
                <w:color w:val="auto"/>
              </w:rPr>
            </w:pPr>
            <w:r>
              <w:rPr>
                <w:rFonts w:ascii="Arial" w:cs="Arial" w:eastAsia="Arial" w:hAnsi="Arial"/>
                <w:sz w:val="13"/>
                <w:szCs w:val="13"/>
                <w:color w:val="auto"/>
              </w:rPr>
              <w:t>Legal fees (5)</w:t>
            </w:r>
          </w:p>
        </w:tc>
        <w:tc>
          <w:tcPr>
            <w:tcW w:w="1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200"/>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8,500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26,500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40,500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1.8 %</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spacing w:after="0" w:line="134" w:lineRule="exact"/>
              <w:rPr>
                <w:sz w:val="20"/>
                <w:szCs w:val="20"/>
                <w:color w:val="auto"/>
              </w:rPr>
            </w:pPr>
            <w:r>
              <w:rPr>
                <w:rFonts w:ascii="Arial" w:cs="Arial" w:eastAsia="Arial" w:hAnsi="Arial"/>
                <w:sz w:val="13"/>
                <w:szCs w:val="13"/>
                <w:color w:val="auto"/>
              </w:rPr>
              <w:t>2.5 %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Excludes an expected goodwill impairment charge. As a non-recurring, non-cash charge it will have no impact on Adjusted EBITDA.</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equity awards.</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on debt extinguishment related to the Company’s term loan facility.</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loss related to a sublease agreement.</w:t>
      </w:r>
    </w:p>
    <w:p>
      <w:pPr>
        <w:ind w:left="320" w:hanging="312"/>
        <w:spacing w:after="0"/>
        <w:tabs>
          <w:tab w:leader="none" w:pos="32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non-recurring legal fees unrelated to the Company’s core operations.</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78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The following tables set forth the reconciliations of GAAP net income (loss) to EBITDA and Adjusted EBITDA for each quarter of 2020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Three months</w:t>
            </w:r>
          </w:p>
        </w:tc>
        <w:tc>
          <w:tcPr>
            <w:tcW w:w="120" w:type="dxa"/>
            <w:vAlign w:val="bottom"/>
          </w:tcPr>
          <w:p>
            <w:pPr>
              <w:spacing w:after="0"/>
              <w:rPr>
                <w:sz w:val="24"/>
                <w:szCs w:val="24"/>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97"/>
              </w:rPr>
              <w:t>Three months</w:t>
            </w:r>
          </w:p>
        </w:tc>
        <w:tc>
          <w:tcPr>
            <w:tcW w:w="100" w:type="dxa"/>
            <w:vAlign w:val="bottom"/>
          </w:tcPr>
          <w:p>
            <w:pPr>
              <w:spacing w:after="0"/>
              <w:rPr>
                <w:sz w:val="24"/>
                <w:szCs w:val="24"/>
                <w:color w:val="auto"/>
              </w:rPr>
            </w:pPr>
          </w:p>
        </w:tc>
        <w:tc>
          <w:tcPr>
            <w:tcW w:w="10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Twelve months</w:t>
            </w:r>
          </w:p>
        </w:tc>
        <w:tc>
          <w:tcPr>
            <w:tcW w:w="0" w:type="dxa"/>
            <w:vAlign w:val="bottom"/>
          </w:tcPr>
          <w:p>
            <w:pPr>
              <w:spacing w:after="0"/>
              <w:rPr>
                <w:sz w:val="1"/>
                <w:szCs w:val="1"/>
                <w:color w:val="auto"/>
              </w:rPr>
            </w:pPr>
          </w:p>
        </w:tc>
      </w:tr>
      <w:tr>
        <w:trPr>
          <w:trHeight w:val="122"/>
        </w:trPr>
        <w:tc>
          <w:tcPr>
            <w:tcW w:w="5000" w:type="dxa"/>
            <w:vAlign w:val="bottom"/>
            <w:vMerge w:val="restart"/>
          </w:tcPr>
          <w:p>
            <w:pPr>
              <w:ind w:left="20"/>
              <w:spacing w:after="0"/>
              <w:rPr>
                <w:sz w:val="20"/>
                <w:szCs w:val="20"/>
                <w:color w:val="auto"/>
              </w:rPr>
            </w:pPr>
            <w:r>
              <w:rPr>
                <w:rFonts w:ascii="Arial" w:cs="Arial" w:eastAsia="Arial" w:hAnsi="Arial"/>
                <w:sz w:val="13"/>
                <w:szCs w:val="13"/>
                <w:color w:val="auto"/>
              </w:rPr>
              <w:t>(in thousands)</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Mar. 31,</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7"/>
              </w:rPr>
              <w:t>ended Jun. 30,</w:t>
            </w:r>
          </w:p>
        </w:tc>
        <w:tc>
          <w:tcPr>
            <w:tcW w:w="120" w:type="dxa"/>
            <w:vAlign w:val="bottom"/>
          </w:tcPr>
          <w:p>
            <w:pPr>
              <w:spacing w:after="0"/>
              <w:rPr>
                <w:sz w:val="10"/>
                <w:szCs w:val="10"/>
                <w:color w:val="auto"/>
              </w:rPr>
            </w:pPr>
          </w:p>
        </w:tc>
        <w:tc>
          <w:tcPr>
            <w:tcW w:w="116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96"/>
              </w:rPr>
              <w:t>ended Sep. 30,</w:t>
            </w:r>
          </w:p>
        </w:tc>
        <w:tc>
          <w:tcPr>
            <w:tcW w:w="120" w:type="dxa"/>
            <w:vAlign w:val="bottom"/>
          </w:tcPr>
          <w:p>
            <w:pPr>
              <w:spacing w:after="0"/>
              <w:rPr>
                <w:sz w:val="10"/>
                <w:szCs w:val="10"/>
                <w:color w:val="auto"/>
              </w:rPr>
            </w:pPr>
          </w:p>
        </w:tc>
        <w:tc>
          <w:tcPr>
            <w:tcW w:w="1160" w:type="dxa"/>
            <w:vAlign w:val="bottom"/>
            <w:tcBorders>
              <w:right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100" w:type="dxa"/>
            <w:vAlign w:val="bottom"/>
          </w:tcPr>
          <w:p>
            <w:pPr>
              <w:spacing w:after="0"/>
              <w:rPr>
                <w:sz w:val="10"/>
                <w:szCs w:val="10"/>
                <w:color w:val="auto"/>
              </w:rPr>
            </w:pPr>
          </w:p>
        </w:tc>
        <w:tc>
          <w:tcPr>
            <w:tcW w:w="10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6"/>
              </w:rPr>
              <w:t>ended Dec. 31,</w:t>
            </w:r>
          </w:p>
        </w:tc>
        <w:tc>
          <w:tcPr>
            <w:tcW w:w="0" w:type="dxa"/>
            <w:vAlign w:val="bottom"/>
          </w:tcPr>
          <w:p>
            <w:pPr>
              <w:spacing w:after="0"/>
              <w:rPr>
                <w:sz w:val="1"/>
                <w:szCs w:val="1"/>
                <w:color w:val="auto"/>
              </w:rPr>
            </w:pPr>
          </w:p>
        </w:tc>
      </w:tr>
      <w:tr>
        <w:trPr>
          <w:trHeight w:val="172"/>
        </w:trPr>
        <w:tc>
          <w:tcPr>
            <w:tcW w:w="500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2020</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3"/>
        </w:trPr>
        <w:tc>
          <w:tcPr>
            <w:tcW w:w="50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141,010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127,057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163,360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445,923</w:t>
            </w: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877,350</w:t>
            </w:r>
          </w:p>
        </w:tc>
        <w:tc>
          <w:tcPr>
            <w:tcW w:w="0" w:type="dxa"/>
            <w:vAlign w:val="bottom"/>
          </w:tcPr>
          <w:p>
            <w:pPr>
              <w:spacing w:after="0"/>
              <w:rPr>
                <w:sz w:val="1"/>
                <w:szCs w:val="1"/>
                <w:color w:val="auto"/>
              </w:rPr>
            </w:pPr>
          </w:p>
        </w:tc>
      </w:tr>
      <w:tr>
        <w:trPr>
          <w:trHeight w:val="141"/>
        </w:trPr>
        <w:tc>
          <w:tcPr>
            <w:tcW w:w="5000" w:type="dxa"/>
            <w:vAlign w:val="bottom"/>
          </w:tcPr>
          <w:p>
            <w:pPr>
              <w:ind w:left="20"/>
              <w:spacing w:after="0" w:line="133" w:lineRule="exact"/>
              <w:rPr>
                <w:sz w:val="20"/>
                <w:szCs w:val="20"/>
                <w:color w:val="auto"/>
              </w:rPr>
            </w:pPr>
            <w:r>
              <w:rPr>
                <w:rFonts w:ascii="Arial" w:cs="Arial" w:eastAsia="Arial" w:hAnsi="Arial"/>
                <w:sz w:val="13"/>
                <w:szCs w:val="13"/>
                <w:color w:val="auto"/>
              </w:rPr>
              <w:t>Net income (loss)</w:t>
            </w:r>
          </w:p>
        </w:tc>
        <w:tc>
          <w:tcPr>
            <w:tcW w:w="120" w:type="dxa"/>
            <w:vAlign w:val="bottom"/>
          </w:tcPr>
          <w:p>
            <w:pPr>
              <w:spacing w:after="0"/>
              <w:rPr>
                <w:sz w:val="12"/>
                <w:szCs w:val="12"/>
                <w:color w:val="auto"/>
              </w:rPr>
            </w:pPr>
          </w:p>
        </w:tc>
        <w:tc>
          <w:tcPr>
            <w:tcW w:w="1040" w:type="dxa"/>
            <w:vAlign w:val="bottom"/>
          </w:tcPr>
          <w:p>
            <w:pPr>
              <w:jc w:val="right"/>
              <w:ind w:right="77"/>
              <w:spacing w:after="0" w:line="133" w:lineRule="exact"/>
              <w:rPr>
                <w:sz w:val="20"/>
                <w:szCs w:val="20"/>
                <w:color w:val="auto"/>
              </w:rPr>
            </w:pPr>
            <w:r>
              <w:rPr>
                <w:rFonts w:ascii="Arial" w:cs="Arial" w:eastAsia="Arial" w:hAnsi="Arial"/>
                <w:sz w:val="13"/>
                <w:szCs w:val="13"/>
                <w:color w:val="auto"/>
              </w:rPr>
              <w:t>(937)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7"/>
              <w:spacing w:after="0" w:line="133" w:lineRule="exact"/>
              <w:rPr>
                <w:sz w:val="20"/>
                <w:szCs w:val="20"/>
                <w:color w:val="auto"/>
              </w:rPr>
            </w:pPr>
            <w:r>
              <w:rPr>
                <w:rFonts w:ascii="Arial" w:cs="Arial" w:eastAsia="Arial" w:hAnsi="Arial"/>
                <w:sz w:val="13"/>
                <w:szCs w:val="13"/>
                <w:color w:val="auto"/>
              </w:rPr>
              <w:t>(22,867)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77"/>
              <w:spacing w:after="0" w:line="133" w:lineRule="exact"/>
              <w:rPr>
                <w:sz w:val="20"/>
                <w:szCs w:val="20"/>
                <w:color w:val="auto"/>
              </w:rPr>
            </w:pPr>
            <w:r>
              <w:rPr>
                <w:rFonts w:ascii="Arial" w:cs="Arial" w:eastAsia="Arial" w:hAnsi="Arial"/>
                <w:sz w:val="13"/>
                <w:szCs w:val="13"/>
                <w:color w:val="auto"/>
              </w:rPr>
              <w:t>(206,496)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117"/>
              <w:spacing w:after="0" w:line="133" w:lineRule="exact"/>
              <w:rPr>
                <w:sz w:val="20"/>
                <w:szCs w:val="20"/>
                <w:color w:val="auto"/>
              </w:rPr>
            </w:pPr>
            <w:r>
              <w:rPr>
                <w:rFonts w:ascii="Arial" w:cs="Arial" w:eastAsia="Arial" w:hAnsi="Arial"/>
                <w:sz w:val="13"/>
                <w:szCs w:val="13"/>
                <w:color w:val="auto"/>
              </w:rPr>
              <w:t>133,100</w:t>
            </w:r>
          </w:p>
        </w:tc>
        <w:tc>
          <w:tcPr>
            <w:tcW w:w="1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ind w:right="77"/>
              <w:spacing w:after="0" w:line="141" w:lineRule="exact"/>
              <w:rPr>
                <w:sz w:val="20"/>
                <w:szCs w:val="20"/>
                <w:color w:val="auto"/>
              </w:rPr>
            </w:pPr>
            <w:r>
              <w:rPr>
                <w:rFonts w:ascii="Arial" w:cs="Arial" w:eastAsia="Arial" w:hAnsi="Arial"/>
                <w:sz w:val="13"/>
                <w:szCs w:val="13"/>
                <w:color w:val="auto"/>
              </w:rPr>
              <w:t>(97,200)</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Interest expense</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6,756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8,986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8,636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8,591</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32,969</w:t>
            </w:r>
          </w:p>
        </w:tc>
        <w:tc>
          <w:tcPr>
            <w:tcW w:w="0" w:type="dxa"/>
            <w:vAlign w:val="bottom"/>
          </w:tcPr>
          <w:p>
            <w:pPr>
              <w:spacing w:after="0"/>
              <w:rPr>
                <w:sz w:val="1"/>
                <w:szCs w:val="1"/>
                <w:color w:val="auto"/>
              </w:rPr>
            </w:pPr>
          </w:p>
        </w:tc>
      </w:tr>
      <w:tr>
        <w:trPr>
          <w:trHeight w:val="168"/>
        </w:trPr>
        <w:tc>
          <w:tcPr>
            <w:tcW w:w="5000" w:type="dxa"/>
            <w:vAlign w:val="bottom"/>
          </w:tcPr>
          <w:p>
            <w:pPr>
              <w:ind w:left="240"/>
              <w:spacing w:after="0"/>
              <w:rPr>
                <w:sz w:val="20"/>
                <w:szCs w:val="20"/>
                <w:color w:val="auto"/>
              </w:rPr>
            </w:pPr>
            <w:r>
              <w:rPr>
                <w:rFonts w:ascii="Arial" w:cs="Arial" w:eastAsia="Arial" w:hAnsi="Arial"/>
                <w:sz w:val="13"/>
                <w:szCs w:val="13"/>
                <w:color w:val="auto"/>
              </w:rPr>
              <w:t>Income tax expense (benefit)</w:t>
            </w:r>
          </w:p>
        </w:tc>
        <w:tc>
          <w:tcPr>
            <w:tcW w:w="120" w:type="dxa"/>
            <w:vAlign w:val="bottom"/>
          </w:tcPr>
          <w:p>
            <w:pPr>
              <w:spacing w:after="0"/>
              <w:rPr>
                <w:sz w:val="14"/>
                <w:szCs w:val="14"/>
                <w:color w:val="auto"/>
              </w:rPr>
            </w:pP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5</w:t>
            </w:r>
          </w:p>
        </w:tc>
        <w:tc>
          <w:tcPr>
            <w:tcW w:w="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 expense</w:t>
            </w: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24,147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24,518</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24,777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25,110</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98,552</w:t>
            </w:r>
          </w:p>
        </w:tc>
        <w:tc>
          <w:tcPr>
            <w:tcW w:w="0" w:type="dxa"/>
            <w:vAlign w:val="bottom"/>
          </w:tcPr>
          <w:p>
            <w:pPr>
              <w:spacing w:after="0"/>
              <w:rPr>
                <w:sz w:val="1"/>
                <w:szCs w:val="1"/>
                <w:color w:val="auto"/>
              </w:rPr>
            </w:pPr>
          </w:p>
        </w:tc>
      </w:tr>
      <w:tr>
        <w:trPr>
          <w:trHeight w:val="163"/>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EBITDA</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29,964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10,615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(173,021)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166,806</w:t>
            </w:r>
          </w:p>
        </w:tc>
        <w:tc>
          <w:tcPr>
            <w:tcW w:w="100" w:type="dxa"/>
            <w:vAlign w:val="bottom"/>
            <w:tcBorders>
              <w:bottom w:val="single" w:sz="8" w:color="CCEEFF"/>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34,364</w:t>
            </w: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Share-based compensation expense (1)</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597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2,770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3,083</w:t>
            </w:r>
          </w:p>
        </w:tc>
        <w:tc>
          <w:tcPr>
            <w:tcW w:w="10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6,929</w:t>
            </w:r>
          </w:p>
        </w:tc>
        <w:tc>
          <w:tcPr>
            <w:tcW w:w="0" w:type="dxa"/>
            <w:vAlign w:val="bottom"/>
          </w:tcPr>
          <w:p>
            <w:pPr>
              <w:spacing w:after="0"/>
              <w:rPr>
                <w:sz w:val="1"/>
                <w:szCs w:val="1"/>
                <w:color w:val="auto"/>
              </w:rPr>
            </w:pPr>
          </w:p>
        </w:tc>
      </w:tr>
      <w:tr>
        <w:trPr>
          <w:trHeight w:val="167"/>
        </w:trPr>
        <w:tc>
          <w:tcPr>
            <w:tcW w:w="5000" w:type="dxa"/>
            <w:vAlign w:val="bottom"/>
          </w:tcPr>
          <w:p>
            <w:pPr>
              <w:ind w:left="240"/>
              <w:spacing w:after="0"/>
              <w:rPr>
                <w:sz w:val="20"/>
                <w:szCs w:val="20"/>
                <w:color w:val="auto"/>
              </w:rPr>
            </w:pPr>
            <w:r>
              <w:rPr>
                <w:rFonts w:ascii="Arial" w:cs="Arial" w:eastAsia="Arial" w:hAnsi="Arial"/>
                <w:sz w:val="13"/>
                <w:szCs w:val="13"/>
                <w:color w:val="auto"/>
              </w:rPr>
              <w:t>Accelerated vesting of certain equity awards (2)</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209,300</w:t>
            </w:r>
          </w:p>
        </w:tc>
        <w:tc>
          <w:tcPr>
            <w:tcW w:w="0" w:type="dxa"/>
            <w:vAlign w:val="bottom"/>
          </w:tcPr>
          <w:p>
            <w:pPr>
              <w:spacing w:after="0"/>
              <w:rPr>
                <w:sz w:val="1"/>
                <w:szCs w:val="1"/>
                <w:color w:val="auto"/>
              </w:rPr>
            </w:pPr>
          </w:p>
        </w:tc>
      </w:tr>
      <w:tr>
        <w:trPr>
          <w:trHeight w:val="184"/>
        </w:trPr>
        <w:tc>
          <w:tcPr>
            <w:tcW w:w="500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 in fair value of contingent consideration liability (3)</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15,300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19,700</w:t>
            </w:r>
          </w:p>
        </w:tc>
        <w:tc>
          <w:tcPr>
            <w:tcW w:w="0" w:type="dxa"/>
            <w:vAlign w:val="bottom"/>
          </w:tcPr>
          <w:p>
            <w:pPr>
              <w:spacing w:after="0"/>
              <w:rPr>
                <w:sz w:val="1"/>
                <w:szCs w:val="1"/>
                <w:color w:val="auto"/>
              </w:rPr>
            </w:pPr>
          </w:p>
        </w:tc>
      </w:tr>
      <w:tr>
        <w:trPr>
          <w:trHeight w:val="169"/>
        </w:trPr>
        <w:tc>
          <w:tcPr>
            <w:tcW w:w="5000" w:type="dxa"/>
            <w:vAlign w:val="bottom"/>
          </w:tcPr>
          <w:p>
            <w:pPr>
              <w:ind w:left="240"/>
              <w:spacing w:after="0"/>
              <w:rPr>
                <w:sz w:val="20"/>
                <w:szCs w:val="20"/>
                <w:color w:val="auto"/>
              </w:rPr>
            </w:pPr>
            <w:r>
              <w:rPr>
                <w:rFonts w:ascii="Arial" w:cs="Arial" w:eastAsia="Arial" w:hAnsi="Arial"/>
                <w:sz w:val="13"/>
                <w:szCs w:val="13"/>
                <w:color w:val="auto"/>
              </w:rPr>
              <w:t>Other adjustments (4)</w:t>
            </w:r>
          </w:p>
        </w:tc>
        <w:tc>
          <w:tcPr>
            <w:tcW w:w="1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17"/>
              <w:spacing w:after="0"/>
              <w:rPr>
                <w:sz w:val="20"/>
                <w:szCs w:val="20"/>
                <w:color w:val="auto"/>
              </w:rPr>
            </w:pPr>
            <w:r>
              <w:rPr>
                <w:rFonts w:ascii="Arial" w:cs="Arial" w:eastAsia="Arial" w:hAnsi="Arial"/>
                <w:sz w:val="13"/>
                <w:szCs w:val="13"/>
                <w:color w:val="auto"/>
              </w:rPr>
              <w:t>424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235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ind w:right="97"/>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200"/>
        </w:trPr>
        <w:tc>
          <w:tcPr>
            <w:tcW w:w="5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34,920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26,936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39,284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rPr>
              <w:t>169,889</w:t>
            </w:r>
          </w:p>
        </w:tc>
        <w:tc>
          <w:tcPr>
            <w:tcW w:w="10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b w:val="1"/>
                <w:bCs w:val="1"/>
                <w:color w:val="auto"/>
              </w:rPr>
              <w:t>271,029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Adjusted EBITDA margin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24.8 %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21.2 %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24.0 %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38.1 %</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30.9 %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stock options, restricted stock units and time-vesting units.</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non-cash share-based compensation expense relating to the accelerated vesting of performance-vesting units in connection with the Company’s initial public offering (“IPO”).</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change in fair value of the contingent consideration liability due to the predecessor owners of the Company arising from the Centerbridge acquisition.</w:t>
      </w:r>
    </w:p>
    <w:p>
      <w:pPr>
        <w:ind w:left="320" w:hanging="312"/>
        <w:spacing w:after="0"/>
        <w:tabs>
          <w:tab w:leader="none" w:pos="3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accounting, consulting, and other indirect costs associated with the Company’s IPO and costs associated with the termination of employment.</w:t>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sectPr>
      <w:pgSz w:w="11900" w:h="16838" w:orient="portrait"/>
      <w:cols w:equalWidth="0" w:num="1">
        <w:col w:w="11240"/>
      </w:cols>
      <w:pgMar w:left="320" w:top="7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2022-03-02T05:02:41Z</dcterms:created>
  <dcterms:modified xsi:type="dcterms:W3CDTF">2022-03-02T05:02:41Z</dcterms:modified>
</cp:coreProperties>
</file>