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FORM 8-K</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August 15, 2022</w:t>
      </w:r>
    </w:p>
    <w:p>
      <w:pPr>
        <w:spacing w:after="0" w:line="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26"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426"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26" w:right="339" w:bottom="1440" w:gutter="0" w:footer="0" w:header="0"/>
          <w:type w:val="continuous"/>
        </w:sectPr>
      </w:pPr>
    </w:p>
    <w:p>
      <w:pPr>
        <w:spacing w:after="0" w:line="82"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26"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426"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26" w:right="339" w:bottom="144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7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4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37"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8"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33"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On August 15, 2022, GoHealth, Inc. issued a press release announcing its financial results for the quarter ended June 30, 2022. A copy of the press release is furnished as Exhibit 99.1 to this Current Report on Form 8-K.</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72"/>
        </w:trPr>
        <w:tc>
          <w:tcPr>
            <w:tcW w:w="130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720" w:type="dxa"/>
            <w:vAlign w:val="bottom"/>
            <w:tcBorders>
              <w:top w:val="single" w:sz="8" w:color="auto"/>
              <w:bottom w:val="single" w:sz="8" w:color="0000FF"/>
            </w:tcBorders>
          </w:tcPr>
          <w:p>
            <w:pPr>
              <w:spacing w:after="0" w:line="172" w:lineRule="exact"/>
              <w:rPr>
                <w:sz w:val="20"/>
                <w:szCs w:val="20"/>
                <w:color w:val="auto"/>
              </w:rPr>
            </w:pPr>
            <w:r>
              <w:rPr>
                <w:rFonts w:ascii="Arial" w:cs="Arial" w:eastAsia="Arial" w:hAnsi="Arial"/>
                <w:sz w:val="16"/>
                <w:szCs w:val="16"/>
                <w:color w:val="0000FF"/>
              </w:rPr>
              <w:t>Press release, dated August 15, 2022</w:t>
            </w:r>
          </w:p>
        </w:tc>
        <w:tc>
          <w:tcPr>
            <w:tcW w:w="7120" w:type="dxa"/>
            <w:vAlign w:val="bottom"/>
            <w:tcBorders>
              <w:top w:val="single" w:sz="8" w:color="auto"/>
            </w:tcBorders>
          </w:tcPr>
          <w:p>
            <w:pPr>
              <w:spacing w:after="0"/>
              <w:rPr>
                <w:sz w:val="14"/>
                <w:szCs w:val="14"/>
                <w:color w:val="auto"/>
              </w:rPr>
            </w:pPr>
          </w:p>
        </w:tc>
      </w:tr>
      <w:tr>
        <w:trPr>
          <w:trHeight w:val="231"/>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7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0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215"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August 15, 2022</w:t>
      </w:r>
      <w:r>
        <w:rPr>
          <w:sz w:val="20"/>
          <w:szCs w:val="20"/>
          <w:color w:val="auto"/>
        </w:rPr>
        <w:tab/>
      </w:r>
      <w:r>
        <w:rPr>
          <w:rFonts w:ascii="Arial" w:cs="Arial" w:eastAsia="Arial" w:hAnsi="Arial"/>
          <w:sz w:val="15"/>
          <w:szCs w:val="15"/>
          <w:color w:val="auto"/>
        </w:rPr>
        <w:t>By: /s/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Jason Schulz</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999"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11430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A2299"/>
        </w:rPr>
        <w:t>GoHealth Reports Second Quarter 2022 Results</w:t>
      </w:r>
    </w:p>
    <w:p>
      <w:pPr>
        <w:spacing w:after="0" w:line="200" w:lineRule="exact"/>
        <w:rPr>
          <w:sz w:val="20"/>
          <w:szCs w:val="20"/>
          <w:color w:val="auto"/>
        </w:rPr>
      </w:pPr>
    </w:p>
    <w:p>
      <w:pPr>
        <w:spacing w:after="0" w:line="37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i w:val="1"/>
          <w:iCs w:val="1"/>
          <w:color w:val="auto"/>
        </w:rPr>
        <w:t xml:space="preserve">CHICAGO, August 15, 2022 </w:t>
      </w:r>
      <w:r>
        <w:rPr>
          <w:rFonts w:ascii="Arial" w:cs="Arial" w:eastAsia="Arial" w:hAnsi="Arial"/>
          <w:sz w:val="16"/>
          <w:szCs w:val="16"/>
          <w:color w:val="auto"/>
        </w:rPr>
        <w:t>— GoHealth, Inc. (NASDAQ: GOCO), a leading health insurance marketplace and Medicare-focused digital health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today announced financial results 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69850</wp:posOffset>
            </wp:positionV>
            <wp:extent cx="17145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73" w:lineRule="exact"/>
        <w:rPr>
          <w:sz w:val="20"/>
          <w:szCs w:val="20"/>
          <w:color w:val="auto"/>
        </w:rPr>
      </w:pPr>
    </w:p>
    <w:p>
      <w:pPr>
        <w:ind w:left="560" w:right="500"/>
        <w:spacing w:after="0" w:line="232" w:lineRule="auto"/>
        <w:rPr>
          <w:sz w:val="20"/>
          <w:szCs w:val="20"/>
          <w:color w:val="auto"/>
        </w:rPr>
      </w:pPr>
      <w:r>
        <w:rPr>
          <w:rFonts w:ascii="Arial" w:cs="Arial" w:eastAsia="Arial" w:hAnsi="Arial"/>
          <w:sz w:val="16"/>
          <w:szCs w:val="16"/>
          <w:color w:val="auto"/>
        </w:rPr>
        <w:t>Second quarter 2022 Medicare Submitted Policies of 177,911 increased 9% compared to the prior year period. YTD 2022 Medicare Submitted Policies of 478,554 increased 38%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46990</wp:posOffset>
            </wp:positionV>
            <wp:extent cx="171450" cy="266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66065"/>
                    </a:xfrm>
                    <a:prstGeom prst="rect">
                      <a:avLst/>
                    </a:prstGeom>
                    <a:noFill/>
                  </pic:spPr>
                </pic:pic>
              </a:graphicData>
            </a:graphic>
          </wp:anchor>
        </w:drawing>
      </w:r>
    </w:p>
    <w:p>
      <w:pPr>
        <w:spacing w:after="0" w:line="137" w:lineRule="exact"/>
        <w:rPr>
          <w:sz w:val="20"/>
          <w:szCs w:val="20"/>
          <w:color w:val="auto"/>
        </w:rPr>
      </w:pPr>
    </w:p>
    <w:p>
      <w:pPr>
        <w:ind w:left="560" w:right="480"/>
        <w:spacing w:after="0" w:line="232" w:lineRule="auto"/>
        <w:rPr>
          <w:sz w:val="20"/>
          <w:szCs w:val="20"/>
          <w:color w:val="auto"/>
        </w:rPr>
      </w:pPr>
      <w:r>
        <w:rPr>
          <w:rFonts w:ascii="Arial" w:cs="Arial" w:eastAsia="Arial" w:hAnsi="Arial"/>
          <w:sz w:val="16"/>
          <w:szCs w:val="16"/>
          <w:color w:val="auto"/>
        </w:rPr>
        <w:t>Second quarter 2022 net revenue of $158.7 million decreased 19% compared to the prior year period. YTD 2022 net revenue of $429.2 million increased 7%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145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91" w:lineRule="exact"/>
        <w:rPr>
          <w:sz w:val="20"/>
          <w:szCs w:val="20"/>
          <w:color w:val="auto"/>
        </w:rPr>
      </w:pPr>
    </w:p>
    <w:p>
      <w:pPr>
        <w:ind w:left="560" w:right="200"/>
        <w:spacing w:after="0" w:line="232" w:lineRule="auto"/>
        <w:rPr>
          <w:sz w:val="20"/>
          <w:szCs w:val="20"/>
          <w:color w:val="auto"/>
        </w:rPr>
      </w:pPr>
      <w:r>
        <w:rPr>
          <w:rFonts w:ascii="Arial" w:cs="Arial" w:eastAsia="Arial" w:hAnsi="Arial"/>
          <w:sz w:val="16"/>
          <w:szCs w:val="16"/>
          <w:color w:val="auto"/>
        </w:rPr>
        <w:t>Second quarter 2022 net loss of $113.8 million compared to a net loss of $39.2 million in the prior year period. YTD 2022 net loss of $151.0 million compared to a net loss of $46.5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145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89" w:lineRule="exact"/>
        <w:rPr>
          <w:sz w:val="20"/>
          <w:szCs w:val="20"/>
          <w:color w:val="auto"/>
        </w:rPr>
      </w:pPr>
    </w:p>
    <w:p>
      <w:pPr>
        <w:ind w:left="560" w:right="80"/>
        <w:spacing w:after="0" w:line="213" w:lineRule="auto"/>
        <w:rPr>
          <w:sz w:val="20"/>
          <w:szCs w:val="20"/>
          <w:color w:val="auto"/>
        </w:rPr>
      </w:pPr>
      <w:r>
        <w:rPr>
          <w:rFonts w:ascii="Arial" w:cs="Arial" w:eastAsia="Arial" w:hAnsi="Arial"/>
          <w:sz w:val="16"/>
          <w:szCs w:val="16"/>
          <w:color w:val="auto"/>
        </w:rPr>
        <w:t>Second quarter 2022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negative $31.7 million compared to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$14.3 million in the prior year period. YTD 2022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negative $20.7 million compared to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$46.4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62865</wp:posOffset>
            </wp:positionV>
            <wp:extent cx="17145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YTD 2022 positive cash flow from operations of $6.4 million compared to cash flow used in operations of $32.3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40575" cy="2400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240030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0" w:right="140"/>
        <w:spacing w:after="0" w:line="245" w:lineRule="auto"/>
        <w:rPr>
          <w:sz w:val="20"/>
          <w:szCs w:val="20"/>
          <w:color w:val="auto"/>
        </w:rPr>
      </w:pPr>
      <w:r>
        <w:rPr>
          <w:rFonts w:ascii="Arial" w:cs="Arial" w:eastAsia="Arial" w:hAnsi="Arial"/>
          <w:sz w:val="16"/>
          <w:szCs w:val="16"/>
          <w:color w:val="auto"/>
        </w:rPr>
        <w:t>“GoHealth has established itself as the volume leader in the Medicare Advantage e-broker space with a strong technology backbone, differentiated carrier relationships, and an innovative product portfolio. Our industry is facing a natural inflection point as competitive dynamics amongst our carrier partners and the needs of Medicare beneficiaries evolve. With that as our backdrop, we have embarked on a meaningful transformation for the organization with a renewed focus on high-quality customer experience, efficiency, and cash flow,” said Vijay Kotte, GoHealth’s Chief Executive Officer.</w:t>
      </w:r>
    </w:p>
    <w:p>
      <w:pPr>
        <w:spacing w:after="0" w:line="221" w:lineRule="exact"/>
        <w:rPr>
          <w:sz w:val="20"/>
          <w:szCs w:val="20"/>
          <w:color w:val="auto"/>
        </w:rPr>
      </w:pPr>
    </w:p>
    <w:p>
      <w:pPr>
        <w:ind w:left="40" w:right="140"/>
        <w:spacing w:after="0" w:line="260" w:lineRule="auto"/>
        <w:rPr>
          <w:sz w:val="20"/>
          <w:szCs w:val="20"/>
          <w:color w:val="auto"/>
        </w:rPr>
      </w:pPr>
      <w:r>
        <w:rPr>
          <w:rFonts w:ascii="Arial" w:cs="Arial" w:eastAsia="Arial" w:hAnsi="Arial"/>
          <w:sz w:val="16"/>
          <w:szCs w:val="16"/>
          <w:color w:val="auto"/>
        </w:rPr>
        <w:t>“I am confident in our team as we reposition the Company for success, and do not believe this quarter’s results represent the financial performance we are capable of achieving,” said Kotte.</w:t>
      </w:r>
    </w:p>
    <w:p>
      <w:pPr>
        <w:spacing w:after="0" w:line="209" w:lineRule="exact"/>
        <w:rPr>
          <w:sz w:val="20"/>
          <w:szCs w:val="20"/>
          <w:color w:val="auto"/>
        </w:rPr>
      </w:pPr>
    </w:p>
    <w:p>
      <w:pPr>
        <w:jc w:val="both"/>
        <w:ind w:left="40" w:right="340"/>
        <w:spacing w:after="0" w:line="244" w:lineRule="auto"/>
        <w:rPr>
          <w:sz w:val="20"/>
          <w:szCs w:val="20"/>
          <w:color w:val="auto"/>
        </w:rPr>
      </w:pPr>
      <w:r>
        <w:rPr>
          <w:rFonts w:ascii="Arial" w:cs="Arial" w:eastAsia="Arial" w:hAnsi="Arial"/>
          <w:sz w:val="16"/>
          <w:szCs w:val="16"/>
          <w:color w:val="auto"/>
        </w:rPr>
        <w:t>“We are happy to report that the initial positive interest we received in our new Encompass Connect and Engage modules has resulted in contracts with each of our major carrier partners. We’re ramping up these programs and expect to be fully deployed for this upcoming AEP. The expanded Encompass platform provides better carrier alignment, predictability, transparency, and unit economics, while also driving more cash into the business,” said Kotte.</w:t>
      </w:r>
    </w:p>
    <w:p>
      <w:pPr>
        <w:spacing w:after="0" w:line="222" w:lineRule="exact"/>
        <w:rPr>
          <w:sz w:val="20"/>
          <w:szCs w:val="20"/>
          <w:color w:val="auto"/>
        </w:rPr>
      </w:pPr>
    </w:p>
    <w:p>
      <w:pPr>
        <w:ind w:left="40" w:right="100"/>
        <w:spacing w:after="0" w:line="245" w:lineRule="auto"/>
        <w:rPr>
          <w:sz w:val="20"/>
          <w:szCs w:val="20"/>
          <w:color w:val="auto"/>
        </w:rPr>
      </w:pPr>
      <w:r>
        <w:rPr>
          <w:rFonts w:ascii="Arial" w:cs="Arial" w:eastAsia="Arial" w:hAnsi="Arial"/>
          <w:sz w:val="16"/>
          <w:szCs w:val="16"/>
          <w:color w:val="auto"/>
        </w:rPr>
        <w:t>Mr. Kotte continued, “We expect our strategic moves, including the cost actions recently taken and the future ramp-up of our Encompass programs, to materially strengthen our ability to achieve cash flow breakeven on a trailing twelve-month basis by the middle of next year. While I believe we are now well positioned to execute on our goals, we have made the prudent decision to suspend the Company’s previously issued quantitative guidance for the remainder of 2022. We expect to provide more color regarding full year 2022 on our third quarter earnings later this fall.”</w:t>
      </w:r>
    </w:p>
    <w:p>
      <w:pPr>
        <w:spacing w:after="0" w:line="221" w:lineRule="exact"/>
        <w:rPr>
          <w:sz w:val="20"/>
          <w:szCs w:val="20"/>
          <w:color w:val="auto"/>
        </w:rPr>
      </w:pPr>
    </w:p>
    <w:p>
      <w:pPr>
        <w:ind w:left="40" w:right="40"/>
        <w:spacing w:after="0" w:line="260" w:lineRule="auto"/>
        <w:rPr>
          <w:sz w:val="20"/>
          <w:szCs w:val="20"/>
          <w:color w:val="auto"/>
        </w:rPr>
      </w:pPr>
      <w:r>
        <w:rPr>
          <w:rFonts w:ascii="Arial" w:cs="Arial" w:eastAsia="Arial" w:hAnsi="Arial"/>
          <w:sz w:val="16"/>
          <w:szCs w:val="16"/>
          <w:color w:val="auto"/>
        </w:rPr>
        <w:t>“We have a great deal of opportunity ahead of us as we transform our unique services and our differentiated Encompass platform with an eye toward quality and customer experience. We are eager to dig in and look forward to sharing updates on our progress over the coming quarters,” concluded Mr. Kotte.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Additional Second Quarter 2022 Items of Note</w:t>
      </w:r>
    </w:p>
    <w:p>
      <w:pPr>
        <w:spacing w:after="0" w:line="363" w:lineRule="exact"/>
        <w:rPr>
          <w:sz w:val="20"/>
          <w:szCs w:val="20"/>
          <w:color w:val="auto"/>
        </w:rPr>
      </w:pPr>
    </w:p>
    <w:p>
      <w:pPr>
        <w:ind w:left="660" w:right="40" w:hanging="328"/>
        <w:spacing w:after="0" w:line="24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August 9, 2022, the Company eliminated 835 full-time positions, representing approximately 23.7% of our workforce, primarily within our customer care and enrollment group. Total expected severance and employee-related charges are projected to be approximately $7.0 - $9.0 million and are primarily related to termination and employee-related benefits. These charges will be settled in cash.</w:t>
      </w:r>
    </w:p>
    <w:p>
      <w:pPr>
        <w:spacing w:after="0" w:line="235" w:lineRule="exact"/>
        <w:rPr>
          <w:rFonts w:ascii="Arial" w:cs="Arial" w:eastAsia="Arial" w:hAnsi="Arial"/>
          <w:sz w:val="16"/>
          <w:szCs w:val="16"/>
          <w:color w:val="auto"/>
        </w:rPr>
      </w:pPr>
    </w:p>
    <w:p>
      <w:pPr>
        <w:ind w:left="660" w:right="8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also announced it reached an agreement with its lenders to amend the Company’s term debt facility to better align the debt covenants with the Company’s trajectory of turnaround and growth. Details of the amended credit facilities are set forth on a Form 8-K filed with the SEC.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7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A2299"/>
        </w:rPr>
        <w:t>Conference Call Details</w:t>
      </w:r>
    </w:p>
    <w:p>
      <w:pPr>
        <w:spacing w:after="0" w:line="13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Company will host a conference call today, Monday, August 15, 2022 at 5:00 p.m. (ET) to discuss its financial results. . Participants can pre-register for the conference call at the following link: https://register.vevent.com/register/BI000b356a45c24452aea2f52ec20378bd</w:t>
      </w:r>
      <w:r>
        <w:rPr>
          <w:rFonts w:ascii="Arial" w:cs="Arial" w:eastAsia="Arial" w:hAnsi="Arial"/>
          <w:sz w:val="16"/>
          <w:szCs w:val="16"/>
          <w:color w:val="1F497D"/>
        </w:rPr>
        <w:t>.</w:t>
      </w:r>
      <w:r>
        <w:rPr>
          <w:rFonts w:ascii="Arial" w:cs="Arial" w:eastAsia="Arial" w:hAnsi="Arial"/>
          <w:sz w:val="16"/>
          <w:szCs w:val="16"/>
          <w:color w:val="auto"/>
        </w:rPr>
        <w:t xml:space="preserve"> A live audio webcast of the conference call will be available via GoHealth's Investor Relations website, https://investors.gohealth.com/</w:t>
      </w:r>
      <w:r>
        <w:rPr>
          <w:rFonts w:ascii="Arial" w:cs="Arial" w:eastAsia="Arial" w:hAnsi="Arial"/>
          <w:sz w:val="16"/>
          <w:szCs w:val="16"/>
          <w:color w:val="1F497D"/>
        </w:rPr>
        <w:t>.</w:t>
      </w:r>
      <w:r>
        <w:rPr>
          <w:rFonts w:ascii="Arial" w:cs="Arial" w:eastAsia="Arial" w:hAnsi="Arial"/>
          <w:sz w:val="16"/>
          <w:szCs w:val="16"/>
          <w:color w:val="auto"/>
        </w:rPr>
        <w:t xml:space="preserve"> A replay of the call will be available via webcast for on-demand listening shortly after the completion of the call.</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133"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As a leading health insurance marketplace and Medicare-focused digital health company, GoHealth's mission is to improve access to healthcare in America. Enrolling in a health insurance plan can be confusing for customers,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carrier that is right for them. GoHealth has enrolled millions of people in Medicare plans and individual and family plans. For more information, visit https://www.gohealth.com.</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IR@gohealth.com</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44"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Forward-Looking Statements</w:t>
      </w:r>
    </w:p>
    <w:p>
      <w:pPr>
        <w:spacing w:after="0" w:line="13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This release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level of cash flow, future capital expenditures and debt service obligations are forward-looking statements.</w:t>
      </w:r>
    </w:p>
    <w:p>
      <w:pPr>
        <w:spacing w:after="0" w:line="10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the we believe that the expectations reflected in these forward-looking statements are reasonable as of the date made, actual results may prove to be materially different from the results expressed or implied by the forward-looking statements.</w:t>
      </w:r>
    </w:p>
    <w:p>
      <w:pPr>
        <w:spacing w:after="0" w:line="93" w:lineRule="exact"/>
        <w:rPr>
          <w:sz w:val="20"/>
          <w:szCs w:val="20"/>
          <w:color w:val="auto"/>
        </w:rPr>
      </w:pPr>
    </w:p>
    <w:p>
      <w:pPr>
        <w:ind w:right="40"/>
        <w:spacing w:after="0"/>
        <w:rPr>
          <w:sz w:val="20"/>
          <w:szCs w:val="20"/>
          <w:color w:val="auto"/>
        </w:rPr>
      </w:pPr>
      <w:r>
        <w:rPr>
          <w:rFonts w:ascii="Arial" w:cs="Arial" w:eastAsia="Arial" w:hAnsi="Arial"/>
          <w:sz w:val="16"/>
          <w:szCs w:val="16"/>
          <w:color w:val="auto"/>
        </w:rPr>
        <w:t>These forward-looking statements speak only as of the date of this release and are subject to a number of important factors that could cause actual results to differ materially from those in the forward-looking statements, including, but are not limited to, the following: the marketing and sale of Medicare plans are subject to numerous, complex and frequently changing laws, regulations and guidelines; our business may be harmed if we lose our relationships with carriers or if our relationships with carriers change; our failure to grow our customer base or retain our existing customers; carriers may reduce the commissions paid to us and change their underwriting practices in ways that reduce the number of, or impact the renewal or approval rates of, insurance policies sold through our platform; factors that impact our estimate of LTV (as defined below) may be adversely impacted; our management and independent auditors have identified a material weakness in our internal controls over financial reporting, and we may be unable to develop, implement and maintain appropriate controls in future periods, which may lead to errors or omissions in our financial statements; the potential delisting of our common stock from the Nasdaq Global Market; volatility in general economic conditions, including inflation, interest rates, and other commodity prices and exchange rates may impact our financial position and performance; our ability to borrow under the Credit Agreement is subject to ongoing compliance with a number of financial covenants, affirmative covenants, and other restrictions, which may limit our operations and our ability to take certain actions; we currently depend on a small group of carriers for a substantial portion of our revenue; information technology system failures could interrupt our operations; our ability to sell Medicare-related health insurance plans is largely dependent on our licensed health insurance agents; operating and growing our business may require additional capital; our strategic focus on cash flow optimization may lead to decreased revenue or otherwise adversely affect our business; we may lose key employees or fail to attract qualified employees; our operations may be adversely impacted by a reduction in employee headcount or other similar actions; the Founders (as defined in our Annual Report on Form 10-K for the year ended December 31, 2021 (the “2021 Form 10-K”)) and Centerbridge (as defined in the 2021 Form 10-K) have significant influence over us, including control over decisions that require the approval of stockholders; and other important factors described in the section titled “Risk Factors” in our 2021 Form 10-K, and the section titled “Management’s Discussion and Analysis of Financial Condition and Results of Operations” in our Quarterly Report on Form 10-Q for the quarter ended June 30, 2022, and in our other filings with the Securities and Exchange Commission.</w:t>
      </w:r>
    </w:p>
    <w:p>
      <w:pPr>
        <w:spacing w:after="0" w:line="244"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press release, as well as the cautionary statements and other risk factors set forth in the 2021 Form 10-K, Quarterly Report on Form 10-Q for the first quarter ended March 31, 2022 and other SEC filings. If one or more events related to these or other risks or uncertainties materialize, or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33"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expense (benefit) and depreciation and amortization expense (“EBITDA”); Adjusted EBITDA and Adjusted EBITDA margin. Adjusted EBITDA is the primary financial performance measure used by management to evaluate its business and monitor its results of operations.</w:t>
      </w:r>
    </w:p>
    <w:p>
      <w:pPr>
        <w:spacing w:after="0" w:line="91"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Adjusted EBITDA represents, as applicable for the period, EBITDA as further adjusted for certain items summarized below in this press release. Adjusted EBITDA margin represents Adjusted EBITDA divided by net revenues.</w:t>
      </w:r>
    </w:p>
    <w:p>
      <w:pPr>
        <w:spacing w:after="0" w:line="7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press release. For example,</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7" w:right="339" w:bottom="1440" w:gutter="0" w:footer="0" w:header="0"/>
        </w:sectPr>
      </w:pPr>
    </w:p>
    <w:bookmarkStart w:id="6" w:name="page7"/>
    <w:bookmarkEnd w:id="6"/>
    <w:p>
      <w:pPr>
        <w:ind w:right="340"/>
        <w:spacing w:after="0" w:line="260" w:lineRule="auto"/>
        <w:rPr>
          <w:sz w:val="20"/>
          <w:szCs w:val="20"/>
          <w:color w:val="auto"/>
        </w:rPr>
      </w:pPr>
      <w:r>
        <w:rPr>
          <w:rFonts w:ascii="Arial" w:cs="Arial" w:eastAsia="Arial" w:hAnsi="Arial"/>
          <w:sz w:val="16"/>
          <w:szCs w:val="16"/>
          <w:color w:val="auto"/>
        </w:rPr>
        <w:t>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0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Glossary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certain items summarized below in this press release.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“Approved Submissions” </w:t>
      </w:r>
      <w:r>
        <w:rPr>
          <w:rFonts w:ascii="Arial" w:cs="Arial" w:eastAsia="Arial" w:hAnsi="Arial"/>
          <w:sz w:val="16"/>
          <w:szCs w:val="16"/>
          <w:color w:val="auto"/>
        </w:rPr>
        <w:t>refer to Submitted Policies approved by carriers for the identified product during the indicated period.</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i w:val="1"/>
          <w:iCs w:val="1"/>
          <w:color w:val="auto"/>
        </w:rPr>
        <w:t xml:space="preserve">“LTV Per Approved Submission” </w:t>
      </w:r>
      <w:r>
        <w:rPr>
          <w:rFonts w:ascii="Arial" w:cs="Arial" w:eastAsia="Arial" w:hAnsi="Arial"/>
          <w:sz w:val="16"/>
          <w:szCs w:val="16"/>
          <w:color w:val="auto"/>
        </w:rPr>
        <w:t>refers to the Lifetime Value of Commissions per Approved Submission, which we define as (i) aggregate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“Submitted Policies” </w:t>
      </w:r>
      <w:r>
        <w:rPr>
          <w:rFonts w:ascii="Arial" w:cs="Arial" w:eastAsia="Arial" w:hAnsi="Arial"/>
          <w:sz w:val="16"/>
          <w:szCs w:val="16"/>
          <w:color w:val="auto"/>
        </w:rPr>
        <w:t>refer to completed applications that, with respect to each such application, the consumer has authorized us to submit to the carrier.</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7"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232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Jun. 30, 2022</w:t>
            </w:r>
          </w:p>
        </w:tc>
        <w:tc>
          <w:tcPr>
            <w:tcW w:w="232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Jun. 30, 2021</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27"/>
        </w:trPr>
        <w:tc>
          <w:tcPr>
            <w:tcW w:w="45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6"/>
              </w:rPr>
              <w:t>% of Net</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6"/>
              </w:rPr>
              <w:t>% of Net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7"/>
        </w:trPr>
        <w:tc>
          <w:tcPr>
            <w:tcW w:w="4500" w:type="dxa"/>
            <w:vAlign w:val="bottom"/>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24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24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 Change</w:t>
            </w:r>
          </w:p>
        </w:tc>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rPr>
              <w:t>% Change</w:t>
            </w:r>
          </w:p>
        </w:tc>
      </w:tr>
      <w:tr>
        <w:trPr>
          <w:trHeight w:val="162"/>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Net revenues:</w:t>
            </w: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118,038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74.4 %</w:t>
            </w:r>
          </w:p>
        </w:tc>
        <w:tc>
          <w:tcPr>
            <w:tcW w:w="80" w:type="dxa"/>
            <w:vAlign w:val="bottom"/>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147,508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74.9 %</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(29,470)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40,616</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25.6 %</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49,394</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(8,778)</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158,654</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196,902</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(38,248)</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w:t>
            </w:r>
          </w:p>
        </w:tc>
      </w:tr>
      <w:tr>
        <w:trPr>
          <w:trHeight w:val="16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51,074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32.2 %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37,442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19.0 %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13,632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36.4 %</w:t>
            </w:r>
          </w:p>
        </w:tc>
      </w:tr>
      <w:tr>
        <w:trPr>
          <w:trHeight w:val="184"/>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44,714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55,735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66,542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41.9 %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61,927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31.5 %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4,615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7.5 %</w:t>
            </w: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10,749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11,983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38,106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24.0 %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25,297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12,809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50.6 %</w:t>
            </w: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23,515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23,515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4500" w:type="dxa"/>
            <w:vAlign w:val="bottom"/>
          </w:tcPr>
          <w:p>
            <w:pPr>
              <w:ind w:left="240"/>
              <w:spacing w:after="0"/>
              <w:rPr>
                <w:sz w:val="20"/>
                <w:szCs w:val="20"/>
                <w:color w:val="auto"/>
              </w:rPr>
            </w:pPr>
            <w:r>
              <w:rPr>
                <w:rFonts w:ascii="Arial" w:cs="Arial" w:eastAsia="Arial" w:hAnsi="Arial"/>
                <w:sz w:val="13"/>
                <w:szCs w:val="13"/>
                <w:color w:val="auto"/>
              </w:rPr>
              <w:t>Operating lease impairment charges</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24,995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15.8 %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24,995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75"/>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259,695</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163.7 %</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215,899</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109.6 %</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43,796</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20.3 %</w:t>
            </w:r>
          </w:p>
        </w:tc>
      </w:tr>
      <w:tr>
        <w:trPr>
          <w:trHeight w:val="161"/>
        </w:trPr>
        <w:tc>
          <w:tcPr>
            <w:tcW w:w="450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24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(101,041)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(63.7)%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(18,997)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(82,044)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431.9 %</w:t>
            </w: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12,724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8,277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53.7 %</w:t>
            </w: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2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(loss) before income taxes</w:t>
            </w: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(113,752)</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(71.7)%</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(39,253)</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(19.9)%</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(74,499)</w:t>
            </w:r>
          </w:p>
        </w:tc>
        <w:tc>
          <w:tcPr>
            <w:tcW w:w="1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189.8 %</w:t>
            </w:r>
          </w:p>
        </w:tc>
      </w:tr>
      <w:tr>
        <w:trPr>
          <w:trHeight w:val="175"/>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w:t>
            </w: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(113,752)</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(71.7)%</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(39,221)</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(19.9)%</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(74,531)</w:t>
            </w:r>
          </w:p>
        </w:tc>
        <w:tc>
          <w:tcPr>
            <w:tcW w:w="1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190.0 %</w:t>
            </w:r>
          </w:p>
        </w:tc>
      </w:tr>
      <w:tr>
        <w:trPr>
          <w:trHeight w:val="169"/>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(69,933)</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(27,217)</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(42,716)</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156.9 %</w:t>
            </w:r>
          </w:p>
        </w:tc>
      </w:tr>
      <w:tr>
        <w:trPr>
          <w:trHeight w:val="176"/>
        </w:trPr>
        <w:tc>
          <w:tcPr>
            <w:tcW w:w="450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(43,819)</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(27.6)%</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(12,004)</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(31,815)</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265.0 %</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3"/>
        </w:trPr>
        <w:tc>
          <w:tcPr>
            <w:tcW w:w="45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i w:val="1"/>
                <w:iCs w:val="1"/>
                <w:color w:val="auto"/>
              </w:rPr>
              <w:t>Net income (loss) per share:</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(0.35)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(0.12)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1"/>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shares of Class A common stock outstanding — basic and</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8"/>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124,440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102,300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70"/>
        </w:trPr>
        <w:tc>
          <w:tcPr>
            <w:tcW w:w="450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EBITDA</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(74,617)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(5,238)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(31,741)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14,296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4"/>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 margin</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8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7"/>
        </w:trPr>
        <w:tc>
          <w:tcPr>
            <w:tcW w:w="4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4"/>
          </w:tcPr>
          <w:p>
            <w:pPr>
              <w:ind w:left="40"/>
              <w:spacing w:after="0"/>
              <w:rPr>
                <w:sz w:val="20"/>
                <w:szCs w:val="20"/>
                <w:color w:val="auto"/>
              </w:rPr>
            </w:pPr>
            <w:r>
              <w:rPr>
                <w:rFonts w:ascii="Arial" w:cs="Arial" w:eastAsia="Arial" w:hAnsi="Arial"/>
                <w:sz w:val="13"/>
                <w:szCs w:val="13"/>
                <w:b w:val="1"/>
                <w:bCs w:val="1"/>
                <w:color w:val="auto"/>
              </w:rPr>
              <w:t>Six months ended Jun. 30, 2022</w:t>
            </w:r>
          </w:p>
        </w:tc>
        <w:tc>
          <w:tcPr>
            <w:tcW w:w="120" w:type="dxa"/>
            <w:vAlign w:val="bottom"/>
          </w:tcPr>
          <w:p>
            <w:pPr>
              <w:spacing w:after="0"/>
              <w:rPr>
                <w:sz w:val="15"/>
                <w:szCs w:val="15"/>
                <w:color w:val="auto"/>
              </w:rPr>
            </w:pPr>
          </w:p>
        </w:tc>
        <w:tc>
          <w:tcPr>
            <w:tcW w:w="2200" w:type="dxa"/>
            <w:vAlign w:val="bottom"/>
            <w:gridSpan w:val="4"/>
          </w:tcPr>
          <w:p>
            <w:pPr>
              <w:ind w:left="40"/>
              <w:spacing w:after="0"/>
              <w:rPr>
                <w:sz w:val="20"/>
                <w:szCs w:val="20"/>
                <w:color w:val="auto"/>
              </w:rPr>
            </w:pPr>
            <w:r>
              <w:rPr>
                <w:rFonts w:ascii="Arial" w:cs="Arial" w:eastAsia="Arial" w:hAnsi="Arial"/>
                <w:sz w:val="13"/>
                <w:szCs w:val="13"/>
                <w:b w:val="1"/>
                <w:bCs w:val="1"/>
                <w:color w:val="auto"/>
              </w:rPr>
              <w:t>Six months ended Jun. 30, 2021</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22"/>
        </w:trPr>
        <w:tc>
          <w:tcPr>
            <w:tcW w:w="44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83"/>
        </w:trPr>
        <w:tc>
          <w:tcPr>
            <w:tcW w:w="4480" w:type="dxa"/>
            <w:vAlign w:val="bottom"/>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140" w:type="dxa"/>
            <w:vAlign w:val="bottom"/>
          </w:tcPr>
          <w:p>
            <w:pPr>
              <w:spacing w:after="0"/>
              <w:rPr>
                <w:sz w:val="15"/>
                <w:szCs w:val="15"/>
                <w:color w:val="auto"/>
              </w:rPr>
            </w:pPr>
          </w:p>
        </w:tc>
        <w:tc>
          <w:tcPr>
            <w:tcW w:w="1120" w:type="dxa"/>
            <w:vAlign w:val="bottom"/>
            <w:gridSpan w:val="2"/>
          </w:tcPr>
          <w:p>
            <w:pPr>
              <w:ind w:left="24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Revenues</w:t>
            </w:r>
          </w:p>
        </w:tc>
        <w:tc>
          <w:tcPr>
            <w:tcW w:w="120" w:type="dxa"/>
            <w:vAlign w:val="bottom"/>
          </w:tcPr>
          <w:p>
            <w:pPr>
              <w:spacing w:after="0"/>
              <w:rPr>
                <w:sz w:val="15"/>
                <w:szCs w:val="15"/>
                <w:color w:val="auto"/>
              </w:rPr>
            </w:pPr>
          </w:p>
        </w:tc>
        <w:tc>
          <w:tcPr>
            <w:tcW w:w="1120" w:type="dxa"/>
            <w:vAlign w:val="bottom"/>
            <w:gridSpan w:val="2"/>
          </w:tcPr>
          <w:p>
            <w:pPr>
              <w:ind w:left="24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 Change</w:t>
            </w:r>
          </w:p>
        </w:tc>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rPr>
              <w:t>% Change</w:t>
            </w:r>
          </w:p>
        </w:tc>
      </w:tr>
      <w:tr>
        <w:trPr>
          <w:trHeight w:val="162"/>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Net revenues:</w:t>
            </w: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327,677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76.3 %</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321,489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80.2 %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6,188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1.9 %</w:t>
            </w: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101,570</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23.7 %</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79,592</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21,978</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27.6 %</w:t>
            </w: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429,247</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401,081</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28,166</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7.0 %</w:t>
            </w:r>
          </w:p>
        </w:tc>
      </w:tr>
      <w:tr>
        <w:trPr>
          <w:trHeight w:val="162"/>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14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118,997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27.7 %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85,817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21.4 %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33,180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38.7 %</w:t>
            </w: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128,747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110,219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18,528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16.8 %</w:t>
            </w: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14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144,997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33.8 %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109,021</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27.2 %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35,976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33.0 %</w:t>
            </w: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23,508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21,600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8.8 %</w:t>
            </w: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14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67,323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15.7 %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44,982</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11.2 %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22,341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49.7 %</w:t>
            </w: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47,029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47,029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4480" w:type="dxa"/>
            <w:vAlign w:val="bottom"/>
          </w:tcPr>
          <w:p>
            <w:pPr>
              <w:ind w:left="240"/>
              <w:spacing w:after="0"/>
              <w:rPr>
                <w:sz w:val="20"/>
                <w:szCs w:val="20"/>
                <w:color w:val="auto"/>
              </w:rPr>
            </w:pPr>
            <w:r>
              <w:rPr>
                <w:rFonts w:ascii="Arial" w:cs="Arial" w:eastAsia="Arial" w:hAnsi="Arial"/>
                <w:sz w:val="13"/>
                <w:szCs w:val="13"/>
                <w:color w:val="auto"/>
              </w:rPr>
              <w:t>Operating lease impairment charges</w:t>
            </w:r>
          </w:p>
        </w:tc>
        <w:tc>
          <w:tcPr>
            <w:tcW w:w="14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24,995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5.8 %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24,995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7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555,596</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129.4 %</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418,668</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104.4 %</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136,928</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32.7 %</w:t>
            </w:r>
          </w:p>
        </w:tc>
      </w:tr>
      <w:tr>
        <w:trPr>
          <w:trHeight w:val="161"/>
        </w:trPr>
        <w:tc>
          <w:tcPr>
            <w:tcW w:w="448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(126,349)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(17,587)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(108,762)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618.4 %</w:t>
            </w: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24,122</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16,965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42.2 %</w:t>
            </w:r>
          </w:p>
        </w:tc>
      </w:tr>
      <w:tr>
        <w:trPr>
          <w:trHeight w:val="168"/>
        </w:trPr>
        <w:tc>
          <w:tcPr>
            <w:tcW w:w="448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1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11,935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(loss) before income taxes</w:t>
            </w:r>
          </w:p>
        </w:tc>
        <w:tc>
          <w:tcPr>
            <w:tcW w:w="1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(150,521)</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(46,544)</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(103,977)</w:t>
            </w:r>
          </w:p>
        </w:tc>
        <w:tc>
          <w:tcPr>
            <w:tcW w:w="1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223.4 %</w:t>
            </w:r>
          </w:p>
        </w:tc>
      </w:tr>
      <w:tr>
        <w:trPr>
          <w:trHeight w:val="176"/>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472</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(150,993)</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(46,481)</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(104,512)</w:t>
            </w:r>
          </w:p>
        </w:tc>
        <w:tc>
          <w:tcPr>
            <w:tcW w:w="1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224.8 %</w:t>
            </w:r>
          </w:p>
        </w:tc>
      </w:tr>
      <w:tr>
        <w:trPr>
          <w:trHeight w:val="169"/>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(93,691)</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(32,390)</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(61,301)</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189.3 %</w:t>
            </w:r>
          </w:p>
        </w:tc>
      </w:tr>
      <w:tr>
        <w:trPr>
          <w:trHeight w:val="176"/>
        </w:trPr>
        <w:tc>
          <w:tcPr>
            <w:tcW w:w="4480" w:type="dxa"/>
            <w:vAlign w:val="bottom"/>
          </w:tcPr>
          <w:p>
            <w:pPr>
              <w:ind w:left="20"/>
              <w:spacing w:after="0"/>
              <w:rPr>
                <w:sz w:val="20"/>
                <w:szCs w:val="20"/>
                <w:color w:val="auto"/>
              </w:rPr>
            </w:pPr>
            <w:r>
              <w:rPr>
                <w:rFonts w:ascii="Arial" w:cs="Arial" w:eastAsia="Arial" w:hAnsi="Arial"/>
                <w:sz w:val="13"/>
                <w:szCs w:val="13"/>
                <w:b w:val="1"/>
                <w:bCs w:val="1"/>
                <w:color w:val="auto"/>
              </w:rPr>
              <w:t>Net loss attributable to GoHealth,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(57,302)</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(14,091)</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(43,211)</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306.7 %</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3"/>
        </w:trPr>
        <w:tc>
          <w:tcPr>
            <w:tcW w:w="448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i w:val="1"/>
                <w:iCs w:val="1"/>
                <w:color w:val="auto"/>
              </w:rPr>
              <w:t>Net income (loss) per share:</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8"/>
        </w:trPr>
        <w:tc>
          <w:tcPr>
            <w:tcW w:w="448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(0.48)</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(0.14)</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37"/>
        </w:trPr>
        <w:tc>
          <w:tcPr>
            <w:tcW w:w="448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9"/>
              </w:rPr>
              <w:t>Weighted-average shares of Class A common stock outstanding — basic and</w:t>
            </w: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81"/>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120,346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97,349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0"/>
        </w:trPr>
        <w:tc>
          <w:tcPr>
            <w:tcW w:w="448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EBITDA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(74,040)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21,526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(20,668)</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46,352</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4"/>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 margin</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11.6 %</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06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the periods indicated (unaudited):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13"/>
                <w:szCs w:val="13"/>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Three months</w:t>
            </w:r>
          </w:p>
        </w:tc>
        <w:tc>
          <w:tcPr>
            <w:tcW w:w="0" w:type="dxa"/>
            <w:vAlign w:val="bottom"/>
          </w:tcPr>
          <w:p>
            <w:pPr>
              <w:spacing w:after="0"/>
              <w:rPr>
                <w:sz w:val="1"/>
                <w:szCs w:val="1"/>
                <w:color w:val="auto"/>
              </w:rPr>
            </w:pPr>
          </w:p>
        </w:tc>
      </w:tr>
      <w:tr>
        <w:trPr>
          <w:trHeight w:val="130"/>
        </w:trPr>
        <w:tc>
          <w:tcPr>
            <w:tcW w:w="87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0" w:lineRule="exact"/>
              <w:rPr>
                <w:sz w:val="20"/>
                <w:szCs w:val="20"/>
                <w:color w:val="auto"/>
              </w:rPr>
            </w:pPr>
            <w:r>
              <w:rPr>
                <w:rFonts w:ascii="Arial" w:cs="Arial" w:eastAsia="Arial" w:hAnsi="Arial"/>
                <w:sz w:val="13"/>
                <w:szCs w:val="13"/>
                <w:b w:val="1"/>
                <w:bCs w:val="1"/>
                <w:color w:val="auto"/>
                <w:w w:val="97"/>
              </w:rPr>
              <w:t>ended Jun. 30,</w:t>
            </w:r>
          </w:p>
        </w:tc>
        <w:tc>
          <w:tcPr>
            <w:tcW w:w="120" w:type="dxa"/>
            <w:vAlign w:val="bottom"/>
          </w:tcPr>
          <w:p>
            <w:pPr>
              <w:spacing w:after="0"/>
              <w:rPr>
                <w:sz w:val="11"/>
                <w:szCs w:val="11"/>
                <w:color w:val="auto"/>
              </w:rPr>
            </w:pPr>
          </w:p>
        </w:tc>
        <w:tc>
          <w:tcPr>
            <w:tcW w:w="1080" w:type="dxa"/>
            <w:vAlign w:val="bottom"/>
          </w:tcPr>
          <w:p>
            <w:pPr>
              <w:jc w:val="center"/>
              <w:ind w:right="57"/>
              <w:spacing w:after="0" w:line="130"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72"/>
        </w:trPr>
        <w:tc>
          <w:tcPr>
            <w:tcW w:w="87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158,654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196,902</w:t>
            </w:r>
          </w:p>
        </w:tc>
        <w:tc>
          <w:tcPr>
            <w:tcW w:w="0" w:type="dxa"/>
            <w:vAlign w:val="bottom"/>
          </w:tcPr>
          <w:p>
            <w:pPr>
              <w:spacing w:after="0"/>
              <w:rPr>
                <w:sz w:val="1"/>
                <w:szCs w:val="1"/>
                <w:color w:val="auto"/>
              </w:rPr>
            </w:pPr>
          </w:p>
        </w:tc>
      </w:tr>
      <w:tr>
        <w:trPr>
          <w:trHeight w:val="161"/>
        </w:trPr>
        <w:tc>
          <w:tcPr>
            <w:tcW w:w="8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(113,752)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(39,221)</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12,724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8,277</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26,411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25,738</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(74,617)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(5,238)</w:t>
            </w:r>
          </w:p>
        </w:tc>
        <w:tc>
          <w:tcPr>
            <w:tcW w:w="0" w:type="dxa"/>
            <w:vAlign w:val="bottom"/>
          </w:tcPr>
          <w:p>
            <w:pPr>
              <w:spacing w:after="0"/>
              <w:rPr>
                <w:sz w:val="1"/>
                <w:szCs w:val="1"/>
                <w:color w:val="auto"/>
              </w:rPr>
            </w:pPr>
          </w:p>
        </w:tc>
      </w:tr>
      <w:tr>
        <w:trPr>
          <w:trHeight w:val="175"/>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impairment charges (1)</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24,995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Share-based compensation expense (2)</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14,257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7,599</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Severance costs (3)</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3,624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740" w:type="dxa"/>
            <w:vAlign w:val="bottom"/>
          </w:tcPr>
          <w:p>
            <w:pPr>
              <w:ind w:left="240"/>
              <w:spacing w:after="0"/>
              <w:rPr>
                <w:sz w:val="20"/>
                <w:szCs w:val="20"/>
                <w:color w:val="auto"/>
              </w:rPr>
            </w:pPr>
            <w:r>
              <w:rPr>
                <w:rFonts w:ascii="Arial" w:cs="Arial" w:eastAsia="Arial" w:hAnsi="Arial"/>
                <w:sz w:val="13"/>
                <w:szCs w:val="13"/>
                <w:color w:val="auto"/>
              </w:rPr>
              <w:t>Loss on extinguishment of debt (4)</w:t>
            </w: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11,935</w:t>
            </w:r>
          </w:p>
        </w:tc>
        <w:tc>
          <w:tcPr>
            <w:tcW w:w="0" w:type="dxa"/>
            <w:vAlign w:val="bottom"/>
          </w:tcPr>
          <w:p>
            <w:pPr>
              <w:spacing w:after="0"/>
              <w:rPr>
                <w:sz w:val="1"/>
                <w:szCs w:val="1"/>
                <w:color w:val="auto"/>
              </w:rPr>
            </w:pPr>
          </w:p>
        </w:tc>
      </w:tr>
      <w:tr>
        <w:trPr>
          <w:trHeight w:val="201"/>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(31,741)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14,296</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(20.0)%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7.3 %</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40" w:right="200" w:hanging="332"/>
        <w:spacing w:after="0" w:line="249" w:lineRule="auto"/>
        <w:tabs>
          <w:tab w:leader="none" w:pos="332"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operating lease impairment charge for the three and six months ended June 30, 2022, reducing the carrying value of the associated ROU assets and leasehold improvements to the estimated fair values.</w:t>
      </w:r>
    </w:p>
    <w:p>
      <w:pPr>
        <w:ind w:left="320" w:hanging="312"/>
        <w:spacing w:after="0"/>
        <w:tabs>
          <w:tab w:leader="none" w:pos="3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non-cash share-based compensation expense relating to equity awards, as well share-based compensation expense relating to liability classified awards that will be settled in cash.</w:t>
      </w:r>
    </w:p>
    <w:p>
      <w:pPr>
        <w:spacing w:after="0" w:line="10" w:lineRule="exact"/>
        <w:rPr>
          <w:rFonts w:ascii="Arial" w:cs="Arial" w:eastAsia="Arial" w:hAnsi="Arial"/>
          <w:sz w:val="12"/>
          <w:szCs w:val="12"/>
          <w:i w:val="1"/>
          <w:iCs w:val="1"/>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employment and associated fees.</w:t>
      </w: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Initial Term Loan Facility.</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40" w:type="dxa"/>
            <w:vAlign w:val="bottom"/>
          </w:tcPr>
          <w:p>
            <w:pPr>
              <w:spacing w:after="0"/>
              <w:rPr>
                <w:sz w:val="13"/>
                <w:szCs w:val="13"/>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Six months ended</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Six months ended</w:t>
            </w:r>
          </w:p>
        </w:tc>
        <w:tc>
          <w:tcPr>
            <w:tcW w:w="0" w:type="dxa"/>
            <w:vAlign w:val="bottom"/>
          </w:tcPr>
          <w:p>
            <w:pPr>
              <w:spacing w:after="0"/>
              <w:rPr>
                <w:sz w:val="1"/>
                <w:szCs w:val="1"/>
                <w:color w:val="auto"/>
              </w:rPr>
            </w:pPr>
          </w:p>
        </w:tc>
      </w:tr>
      <w:tr>
        <w:trPr>
          <w:trHeight w:val="177"/>
        </w:trPr>
        <w:tc>
          <w:tcPr>
            <w:tcW w:w="874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Jun. 30, 2022</w:t>
            </w:r>
          </w:p>
        </w:tc>
        <w:tc>
          <w:tcPr>
            <w:tcW w:w="140" w:type="dxa"/>
            <w:vAlign w:val="bottom"/>
          </w:tcPr>
          <w:p>
            <w:pPr>
              <w:spacing w:after="0"/>
              <w:rPr>
                <w:sz w:val="15"/>
                <w:szCs w:val="15"/>
                <w:color w:val="auto"/>
              </w:rPr>
            </w:pPr>
          </w:p>
        </w:tc>
        <w:tc>
          <w:tcPr>
            <w:tcW w:w="1060" w:type="dxa"/>
            <w:vAlign w:val="bottom"/>
          </w:tcPr>
          <w:p>
            <w:pPr>
              <w:jc w:val="right"/>
              <w:ind w:right="137"/>
              <w:spacing w:after="0"/>
              <w:rPr>
                <w:sz w:val="20"/>
                <w:szCs w:val="20"/>
                <w:color w:val="auto"/>
              </w:rPr>
            </w:pPr>
            <w:r>
              <w:rPr>
                <w:rFonts w:ascii="Arial" w:cs="Arial" w:eastAsia="Arial" w:hAnsi="Arial"/>
                <w:sz w:val="13"/>
                <w:szCs w:val="13"/>
                <w:b w:val="1"/>
                <w:bCs w:val="1"/>
                <w:color w:val="auto"/>
              </w:rPr>
              <w:t>Jun. 30, 2021</w:t>
            </w:r>
          </w:p>
        </w:tc>
        <w:tc>
          <w:tcPr>
            <w:tcW w:w="0" w:type="dxa"/>
            <w:vAlign w:val="bottom"/>
          </w:tcPr>
          <w:p>
            <w:pPr>
              <w:spacing w:after="0"/>
              <w:rPr>
                <w:sz w:val="1"/>
                <w:szCs w:val="1"/>
                <w:color w:val="auto"/>
              </w:rPr>
            </w:pPr>
          </w:p>
        </w:tc>
      </w:tr>
      <w:tr>
        <w:trPr>
          <w:trHeight w:val="175"/>
        </w:trPr>
        <w:tc>
          <w:tcPr>
            <w:tcW w:w="8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429,247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401,081</w:t>
            </w:r>
          </w:p>
        </w:tc>
        <w:tc>
          <w:tcPr>
            <w:tcW w:w="0" w:type="dxa"/>
            <w:vAlign w:val="bottom"/>
          </w:tcPr>
          <w:p>
            <w:pPr>
              <w:spacing w:after="0"/>
              <w:rPr>
                <w:sz w:val="1"/>
                <w:szCs w:val="1"/>
                <w:color w:val="auto"/>
              </w:rPr>
            </w:pPr>
          </w:p>
        </w:tc>
      </w:tr>
      <w:tr>
        <w:trPr>
          <w:trHeight w:val="161"/>
        </w:trPr>
        <w:tc>
          <w:tcPr>
            <w:tcW w:w="8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6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(150,993)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(46,481)</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24,122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16,965</w:t>
            </w:r>
          </w:p>
        </w:tc>
        <w:tc>
          <w:tcPr>
            <w:tcW w:w="0" w:type="dxa"/>
            <w:vAlign w:val="bottom"/>
          </w:tcPr>
          <w:p>
            <w:pPr>
              <w:spacing w:after="0"/>
              <w:rPr>
                <w:sz w:val="1"/>
                <w:szCs w:val="1"/>
                <w:color w:val="auto"/>
              </w:rPr>
            </w:pPr>
          </w:p>
        </w:tc>
      </w:tr>
      <w:tr>
        <w:trPr>
          <w:trHeight w:val="167"/>
        </w:trPr>
        <w:tc>
          <w:tcPr>
            <w:tcW w:w="874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6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472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52,359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51,105</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(74,040)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21,526</w:t>
            </w:r>
          </w:p>
        </w:tc>
        <w:tc>
          <w:tcPr>
            <w:tcW w:w="0" w:type="dxa"/>
            <w:vAlign w:val="bottom"/>
          </w:tcPr>
          <w:p>
            <w:pPr>
              <w:spacing w:after="0"/>
              <w:rPr>
                <w:sz w:val="1"/>
                <w:szCs w:val="1"/>
                <w:color w:val="auto"/>
              </w:rPr>
            </w:pPr>
          </w:p>
        </w:tc>
      </w:tr>
      <w:tr>
        <w:trPr>
          <w:trHeight w:val="175"/>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impairment charges (1)</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24,995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8740" w:type="dxa"/>
            <w:vAlign w:val="bottom"/>
          </w:tcPr>
          <w:p>
            <w:pPr>
              <w:ind w:left="240"/>
              <w:spacing w:after="0"/>
              <w:rPr>
                <w:sz w:val="20"/>
                <w:szCs w:val="20"/>
                <w:color w:val="auto"/>
              </w:rPr>
            </w:pPr>
            <w:r>
              <w:rPr>
                <w:rFonts w:ascii="Arial" w:cs="Arial" w:eastAsia="Arial" w:hAnsi="Arial"/>
                <w:sz w:val="13"/>
                <w:szCs w:val="13"/>
                <w:color w:val="auto"/>
              </w:rPr>
              <w:t>Share-based compensation expense (2)</w:t>
            </w:r>
          </w:p>
        </w:tc>
        <w:tc>
          <w:tcPr>
            <w:tcW w:w="16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19,412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12,711</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Severance costs (3)</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5,015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Loss on extinguishment of debt (4)</w:t>
            </w:r>
          </w:p>
        </w:tc>
        <w:tc>
          <w:tcPr>
            <w:tcW w:w="16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11,935</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Professional services (5)</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3,950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740" w:type="dxa"/>
            <w:vAlign w:val="bottom"/>
          </w:tcPr>
          <w:p>
            <w:pPr>
              <w:ind w:left="240"/>
              <w:spacing w:after="0"/>
              <w:rPr>
                <w:sz w:val="20"/>
                <w:szCs w:val="20"/>
                <w:color w:val="auto"/>
              </w:rPr>
            </w:pPr>
            <w:r>
              <w:rPr>
                <w:rFonts w:ascii="Arial" w:cs="Arial" w:eastAsia="Arial" w:hAnsi="Arial"/>
                <w:sz w:val="13"/>
                <w:szCs w:val="13"/>
                <w:color w:val="auto"/>
              </w:rPr>
              <w:t>Legal fees (6)</w:t>
            </w:r>
          </w:p>
        </w:tc>
        <w:tc>
          <w:tcPr>
            <w:tcW w:w="16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200"/>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(20,668)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46,352</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Arial" w:cs="Arial" w:eastAsia="Arial" w:hAnsi="Arial"/>
                <w:sz w:val="13"/>
                <w:szCs w:val="13"/>
                <w:color w:val="auto"/>
              </w:rPr>
              <w:t>(4.8)%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Arial" w:cs="Arial" w:eastAsia="Arial" w:hAnsi="Arial"/>
                <w:sz w:val="13"/>
                <w:szCs w:val="13"/>
                <w:color w:val="auto"/>
              </w:rPr>
              <w:t>11.6 %</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40" w:right="200" w:hanging="332"/>
        <w:spacing w:after="0" w:line="249" w:lineRule="auto"/>
        <w:tabs>
          <w:tab w:leader="none" w:pos="332"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operating lease impairment charge for the three and six months ended June 30, 2022, reducing the carrying value of the associated ROU assets and leasehold improvements to the estimated fair values.</w:t>
      </w:r>
    </w:p>
    <w:p>
      <w:pPr>
        <w:ind w:left="320" w:hanging="312"/>
        <w:spacing w:after="0"/>
        <w:tabs>
          <w:tab w:leader="none" w:pos="3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non-cash share-based compensation expense relating to equity awards, as well share-based compensation expense relating to liability classified awards that will be settled in cash.</w:t>
      </w:r>
    </w:p>
    <w:p>
      <w:pPr>
        <w:spacing w:after="0" w:line="10" w:lineRule="exact"/>
        <w:rPr>
          <w:rFonts w:ascii="Arial" w:cs="Arial" w:eastAsia="Arial" w:hAnsi="Arial"/>
          <w:sz w:val="12"/>
          <w:szCs w:val="12"/>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employment and associated fees.</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Initial Term Loan Facility.</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non-recurring consulting fees.</w:t>
      </w:r>
    </w:p>
    <w:p>
      <w:pPr>
        <w:spacing w:after="0" w:line="2" w:lineRule="exact"/>
        <w:rPr>
          <w:rFonts w:ascii="Arial" w:cs="Arial" w:eastAsia="Arial" w:hAnsi="Arial"/>
          <w:sz w:val="13"/>
          <w:szCs w:val="13"/>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non-recurring legal fees unrelated to our core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Six months</w:t>
            </w:r>
          </w:p>
        </w:tc>
        <w:tc>
          <w:tcPr>
            <w:tcW w:w="100" w:type="dxa"/>
            <w:vAlign w:val="bottom"/>
          </w:tcPr>
          <w:p>
            <w:pPr>
              <w:spacing w:after="0"/>
              <w:rPr>
                <w:sz w:val="12"/>
                <w:szCs w:val="12"/>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Six months</w:t>
            </w:r>
          </w:p>
        </w:tc>
      </w:tr>
      <w:tr>
        <w:trPr>
          <w:trHeight w:val="127"/>
        </w:trPr>
        <w:tc>
          <w:tcPr>
            <w:tcW w:w="6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27" w:lineRule="exact"/>
              <w:rPr>
                <w:sz w:val="20"/>
                <w:szCs w:val="20"/>
                <w:color w:val="auto"/>
              </w:rPr>
            </w:pPr>
            <w:r>
              <w:rPr>
                <w:rFonts w:ascii="Arial" w:cs="Arial" w:eastAsia="Arial" w:hAnsi="Arial"/>
                <w:sz w:val="13"/>
                <w:szCs w:val="13"/>
                <w:b w:val="1"/>
                <w:bCs w:val="1"/>
                <w:color w:val="auto"/>
                <w:w w:val="97"/>
              </w:rPr>
              <w:t>ended Jun. 30,</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27" w:lineRule="exact"/>
              <w:rPr>
                <w:sz w:val="20"/>
                <w:szCs w:val="20"/>
                <w:color w:val="auto"/>
              </w:rPr>
            </w:pPr>
            <w:r>
              <w:rPr>
                <w:rFonts w:ascii="Arial" w:cs="Arial" w:eastAsia="Arial" w:hAnsi="Arial"/>
                <w:sz w:val="13"/>
                <w:szCs w:val="13"/>
                <w:b w:val="1"/>
                <w:bCs w:val="1"/>
                <w:color w:val="auto"/>
                <w:w w:val="97"/>
              </w:rPr>
              <w:t>ended Jun. 30,</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7" w:lineRule="exact"/>
              <w:rPr>
                <w:sz w:val="20"/>
                <w:szCs w:val="20"/>
                <w:color w:val="auto"/>
              </w:rPr>
            </w:pPr>
            <w:r>
              <w:rPr>
                <w:rFonts w:ascii="Arial" w:cs="Arial" w:eastAsia="Arial" w:hAnsi="Arial"/>
                <w:sz w:val="13"/>
                <w:szCs w:val="13"/>
                <w:b w:val="1"/>
                <w:bCs w:val="1"/>
                <w:color w:val="auto"/>
                <w:w w:val="97"/>
              </w:rPr>
              <w:t>ended Jun. 30,</w:t>
            </w:r>
          </w:p>
        </w:tc>
        <w:tc>
          <w:tcPr>
            <w:tcW w:w="100" w:type="dxa"/>
            <w:vAlign w:val="bottom"/>
          </w:tcPr>
          <w:p>
            <w:pPr>
              <w:spacing w:after="0"/>
              <w:rPr>
                <w:sz w:val="11"/>
                <w:szCs w:val="11"/>
                <w:color w:val="auto"/>
              </w:rPr>
            </w:pPr>
          </w:p>
        </w:tc>
        <w:tc>
          <w:tcPr>
            <w:tcW w:w="1000" w:type="dxa"/>
            <w:vAlign w:val="bottom"/>
          </w:tcPr>
          <w:p>
            <w:pPr>
              <w:jc w:val="center"/>
              <w:ind w:right="57"/>
              <w:spacing w:after="0" w:line="127" w:lineRule="exact"/>
              <w:rPr>
                <w:sz w:val="20"/>
                <w:szCs w:val="20"/>
                <w:color w:val="auto"/>
              </w:rPr>
            </w:pPr>
            <w:r>
              <w:rPr>
                <w:rFonts w:ascii="Arial" w:cs="Arial" w:eastAsia="Arial" w:hAnsi="Arial"/>
                <w:sz w:val="13"/>
                <w:szCs w:val="13"/>
                <w:b w:val="1"/>
                <w:bCs w:val="1"/>
                <w:color w:val="auto"/>
                <w:w w:val="97"/>
              </w:rPr>
              <w:t>ended Jun. 30,</w:t>
            </w:r>
          </w:p>
        </w:tc>
      </w:tr>
      <w:tr>
        <w:trPr>
          <w:trHeight w:val="17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r>
      <w:tr>
        <w:trPr>
          <w:trHeight w:val="175"/>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 and advertising</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w:t>
            </w:r>
          </w:p>
        </w:tc>
      </w:tr>
      <w:tr>
        <w:trPr>
          <w:trHeight w:val="168"/>
        </w:trPr>
        <w:tc>
          <w:tcPr>
            <w:tcW w:w="6520" w:type="dxa"/>
            <w:vAlign w:val="bottom"/>
          </w:tcPr>
          <w:p>
            <w:pPr>
              <w:ind w:left="20"/>
              <w:spacing w:after="0"/>
              <w:rPr>
                <w:sz w:val="20"/>
                <w:szCs w:val="20"/>
                <w:color w:val="auto"/>
              </w:rPr>
            </w:pPr>
            <w:r>
              <w:rPr>
                <w:rFonts w:ascii="Arial" w:cs="Arial" w:eastAsia="Arial" w:hAnsi="Arial"/>
                <w:sz w:val="13"/>
                <w:szCs w:val="13"/>
                <w:color w:val="auto"/>
              </w:rPr>
              <w:t>Customer care and enrollment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1,839</w:t>
            </w: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1,880</w:t>
            </w:r>
          </w:p>
        </w:tc>
      </w:tr>
      <w:tr>
        <w:trPr>
          <w:trHeight w:val="16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12,791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15,892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8,228</w:t>
            </w:r>
          </w:p>
        </w:tc>
      </w:tr>
      <w:tr>
        <w:trPr>
          <w:trHeight w:val="20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share-based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14,257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7,599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19,412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12,711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78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00" w:type="dxa"/>
            <w:vAlign w:val="bottom"/>
          </w:tcPr>
          <w:p>
            <w:pPr>
              <w:ind w:left="20"/>
              <w:spacing w:after="0"/>
              <w:rPr>
                <w:sz w:val="20"/>
                <w:szCs w:val="20"/>
                <w:color w:val="auto"/>
              </w:rPr>
            </w:pPr>
            <w:r>
              <w:rPr>
                <w:rFonts w:ascii="Arial" w:cs="Arial" w:eastAsia="Arial" w:hAnsi="Arial"/>
                <w:sz w:val="13"/>
                <w:szCs w:val="13"/>
                <w:color w:val="auto"/>
              </w:rPr>
              <w:t>(in thousands, except per share amounts)</w:t>
            </w: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3"/>
                <w:szCs w:val="13"/>
                <w:b w:val="1"/>
                <w:bCs w:val="1"/>
                <w:color w:val="auto"/>
              </w:rPr>
              <w:t>Jun. 30, 2022</w:t>
            </w:r>
          </w:p>
        </w:tc>
        <w:tc>
          <w:tcPr>
            <w:tcW w:w="180" w:type="dxa"/>
            <w:vAlign w:val="bottom"/>
          </w:tcPr>
          <w:p>
            <w:pPr>
              <w:spacing w:after="0"/>
              <w:rPr>
                <w:sz w:val="15"/>
                <w:szCs w:val="15"/>
                <w:color w:val="auto"/>
              </w:rPr>
            </w:pPr>
          </w:p>
        </w:tc>
        <w:tc>
          <w:tcPr>
            <w:tcW w:w="1140" w:type="dxa"/>
            <w:vAlign w:val="bottom"/>
          </w:tcPr>
          <w:p>
            <w:pPr>
              <w:jc w:val="right"/>
              <w:ind w:right="197"/>
              <w:spacing w:after="0"/>
              <w:rPr>
                <w:sz w:val="20"/>
                <w:szCs w:val="20"/>
                <w:color w:val="auto"/>
              </w:rPr>
            </w:pPr>
            <w:r>
              <w:rPr>
                <w:rFonts w:ascii="Arial" w:cs="Arial" w:eastAsia="Arial" w:hAnsi="Arial"/>
                <w:sz w:val="13"/>
                <w:szCs w:val="13"/>
                <w:b w:val="1"/>
                <w:bCs w:val="1"/>
                <w:color w:val="auto"/>
              </w:rPr>
              <w:t>Dec. 31, 2021</w:t>
            </w:r>
          </w:p>
        </w:tc>
        <w:tc>
          <w:tcPr>
            <w:tcW w:w="0" w:type="dxa"/>
            <w:vAlign w:val="bottom"/>
          </w:tcPr>
          <w:p>
            <w:pPr>
              <w:spacing w:after="0"/>
              <w:rPr>
                <w:sz w:val="1"/>
                <w:szCs w:val="1"/>
                <w:color w:val="auto"/>
              </w:rPr>
            </w:pPr>
          </w:p>
        </w:tc>
      </w:tr>
      <w:tr>
        <w:trPr>
          <w:trHeight w:val="162"/>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50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84,361</w:t>
            </w:r>
          </w:p>
        </w:tc>
        <w:tc>
          <w:tcPr>
            <w:tcW w:w="0" w:type="dxa"/>
            <w:vAlign w:val="bottom"/>
          </w:tcPr>
          <w:p>
            <w:pPr>
              <w:spacing w:after="0"/>
              <w:rPr>
                <w:sz w:val="1"/>
                <w:szCs w:val="1"/>
                <w:color w:val="auto"/>
              </w:rPr>
            </w:pPr>
          </w:p>
        </w:tc>
      </w:tr>
      <w:tr>
        <w:trPr>
          <w:trHeight w:val="167"/>
        </w:trPr>
        <w:tc>
          <w:tcPr>
            <w:tcW w:w="8500" w:type="dxa"/>
            <w:vAlign w:val="bottom"/>
          </w:tcPr>
          <w:p>
            <w:pPr>
              <w:ind w:left="240"/>
              <w:spacing w:after="0"/>
              <w:rPr>
                <w:sz w:val="20"/>
                <w:szCs w:val="20"/>
                <w:color w:val="auto"/>
              </w:rPr>
            </w:pPr>
            <w:r>
              <w:rPr>
                <w:rFonts w:ascii="Arial" w:cs="Arial" w:eastAsia="Arial" w:hAnsi="Arial"/>
                <w:sz w:val="13"/>
                <w:szCs w:val="13"/>
                <w:color w:val="auto"/>
              </w:rPr>
              <w:t>Accounts receivable, net of allowance for doubtful accounts of $905 in 2022 and $558 in 2021</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38,250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17,276</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receivable - 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268,663</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19,955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58,695</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333,008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428,995</w:t>
            </w:r>
          </w:p>
        </w:tc>
        <w:tc>
          <w:tcPr>
            <w:tcW w:w="0" w:type="dxa"/>
            <w:vAlign w:val="bottom"/>
          </w:tcPr>
          <w:p>
            <w:pPr>
              <w:spacing w:after="0"/>
              <w:rPr>
                <w:sz w:val="1"/>
                <w:szCs w:val="1"/>
                <w:color w:val="auto"/>
              </w:rPr>
            </w:pPr>
          </w:p>
        </w:tc>
      </w:tr>
      <w:tr>
        <w:trPr>
          <w:trHeight w:val="161"/>
        </w:trPr>
        <w:tc>
          <w:tcPr>
            <w:tcW w:w="8500" w:type="dxa"/>
            <w:vAlign w:val="bottom"/>
          </w:tcPr>
          <w:p>
            <w:pPr>
              <w:ind w:left="20"/>
              <w:spacing w:after="0"/>
              <w:rPr>
                <w:sz w:val="20"/>
                <w:szCs w:val="20"/>
                <w:color w:val="auto"/>
              </w:rPr>
            </w:pPr>
            <w:r>
              <w:rPr>
                <w:rFonts w:ascii="Arial" w:cs="Arial" w:eastAsia="Arial" w:hAnsi="Arial"/>
                <w:sz w:val="13"/>
                <w:szCs w:val="13"/>
                <w:color w:val="auto"/>
              </w:rPr>
              <w:t>Commissions receivable - non-current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961,999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993,844</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ROU asset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23,462</w:t>
            </w:r>
          </w:p>
        </w:tc>
        <w:tc>
          <w:tcPr>
            <w:tcW w:w="0" w:type="dxa"/>
            <w:vAlign w:val="bottom"/>
          </w:tcPr>
          <w:p>
            <w:pPr>
              <w:spacing w:after="0"/>
              <w:rPr>
                <w:sz w:val="1"/>
                <w:szCs w:val="1"/>
                <w:color w:val="auto"/>
              </w:rPr>
            </w:pP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Other long-term assets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3,608</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24,273</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Intangible assets, net</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547,640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594,669</w:t>
            </w:r>
          </w:p>
        </w:tc>
        <w:tc>
          <w:tcPr>
            <w:tcW w:w="0" w:type="dxa"/>
            <w:vAlign w:val="bottom"/>
          </w:tcPr>
          <w:p>
            <w:pPr>
              <w:spacing w:after="0"/>
              <w:rPr>
                <w:sz w:val="1"/>
                <w:szCs w:val="1"/>
                <w:color w:val="auto"/>
              </w:rPr>
            </w:pPr>
          </w:p>
        </w:tc>
      </w:tr>
      <w:tr>
        <w:trPr>
          <w:trHeight w:val="20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1,898,057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2,068,851</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5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14,641</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39,843</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liabilities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52,788</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Commissions payable - current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60,294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104,160</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Short-term operating lease liability</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6,126</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portion of long-term debt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5,270</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15,764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8,344</w:t>
            </w:r>
          </w:p>
        </w:tc>
        <w:tc>
          <w:tcPr>
            <w:tcW w:w="0" w:type="dxa"/>
            <w:vAlign w:val="bottom"/>
          </w:tcPr>
          <w:p>
            <w:pPr>
              <w:spacing w:after="0"/>
              <w:rPr>
                <w:sz w:val="1"/>
                <w:szCs w:val="1"/>
                <w:color w:val="auto"/>
              </w:rPr>
            </w:pPr>
          </w:p>
        </w:tc>
      </w:tr>
      <w:tr>
        <w:trPr>
          <w:trHeight w:val="176"/>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141,892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217,067</w:t>
            </w:r>
          </w:p>
        </w:tc>
        <w:tc>
          <w:tcPr>
            <w:tcW w:w="0" w:type="dxa"/>
            <w:vAlign w:val="bottom"/>
          </w:tcPr>
          <w:p>
            <w:pPr>
              <w:spacing w:after="0"/>
              <w:rPr>
                <w:sz w:val="1"/>
                <w:szCs w:val="1"/>
                <w:color w:val="auto"/>
              </w:rPr>
            </w:pPr>
          </w:p>
        </w:tc>
      </w:tr>
      <w:tr>
        <w:trPr>
          <w:trHeight w:val="150"/>
        </w:trPr>
        <w:tc>
          <w:tcPr>
            <w:tcW w:w="850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Non-current liabilities: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non-current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291,990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274,403</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Long-term operating lease liability</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40,947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19,776</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Long-term debt, net of current portion</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662,018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665,115</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non-current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997,844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959,294</w:t>
            </w:r>
          </w:p>
        </w:tc>
        <w:tc>
          <w:tcPr>
            <w:tcW w:w="0" w:type="dxa"/>
            <w:vAlign w:val="bottom"/>
          </w:tcPr>
          <w:p>
            <w:pPr>
              <w:spacing w:after="0"/>
              <w:rPr>
                <w:sz w:val="1"/>
                <w:szCs w:val="1"/>
                <w:color w:val="auto"/>
              </w:rPr>
            </w:pPr>
          </w:p>
        </w:tc>
      </w:tr>
      <w:tr>
        <w:trPr>
          <w:trHeight w:val="150"/>
        </w:trPr>
        <w:tc>
          <w:tcPr>
            <w:tcW w:w="850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Stockholders’ equity:</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500" w:type="dxa"/>
            <w:vAlign w:val="bottom"/>
            <w:shd w:val="clear" w:color="auto" w:fill="CCEEFF"/>
          </w:tcPr>
          <w:p>
            <w:pPr>
              <w:ind w:left="240"/>
              <w:spacing w:after="0" w:line="149" w:lineRule="exact"/>
              <w:rPr>
                <w:sz w:val="20"/>
                <w:szCs w:val="20"/>
                <w:color w:val="auto"/>
              </w:rPr>
            </w:pPr>
            <w:r>
              <w:rPr>
                <w:rFonts w:ascii="Arial" w:cs="Arial" w:eastAsia="Arial" w:hAnsi="Arial"/>
                <w:sz w:val="13"/>
                <w:szCs w:val="13"/>
                <w:color w:val="auto"/>
              </w:rPr>
              <w:t>Class A common stock – $0.0001 par value; 1,100,000 shares authorized; 131,965 and 115,487 shares issued; 131,776 and 115,487 shares</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outstanding at June 30, 2022 and December 31, 2021, respectively.</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3"/>
        </w:trPr>
        <w:tc>
          <w:tcPr>
            <w:tcW w:w="8500" w:type="dxa"/>
            <w:vAlign w:val="bottom"/>
          </w:tcPr>
          <w:p>
            <w:pPr>
              <w:ind w:left="240"/>
              <w:spacing w:after="0" w:line="143" w:lineRule="exact"/>
              <w:rPr>
                <w:sz w:val="20"/>
                <w:szCs w:val="20"/>
                <w:color w:val="auto"/>
              </w:rPr>
            </w:pPr>
            <w:r>
              <w:rPr>
                <w:rFonts w:ascii="Arial" w:cs="Arial" w:eastAsia="Arial" w:hAnsi="Arial"/>
                <w:sz w:val="13"/>
                <w:szCs w:val="13"/>
                <w:color w:val="auto"/>
              </w:rPr>
              <w:t>Class B common stock – $0.0001 par value; 579,555 and 587,360 shares authorized; 197,547 and 205,352 shares issued and outstanding at</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500" w:type="dxa"/>
            <w:vAlign w:val="bottom"/>
          </w:tcPr>
          <w:p>
            <w:pPr>
              <w:ind w:left="240"/>
              <w:spacing w:after="0"/>
              <w:rPr>
                <w:sz w:val="20"/>
                <w:szCs w:val="20"/>
                <w:color w:val="auto"/>
              </w:rPr>
            </w:pPr>
            <w:r>
              <w:rPr>
                <w:rFonts w:ascii="Arial" w:cs="Arial" w:eastAsia="Arial" w:hAnsi="Arial"/>
                <w:sz w:val="13"/>
                <w:szCs w:val="13"/>
                <w:color w:val="auto"/>
              </w:rPr>
              <w:t>June 30, 2022 and December 31, 2021, respectively.</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Preferred stock – $0.0001 par value; 20,000 shares authorized; no shares issued and outstanding at June 30, 2022 and December 31, 2021.</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Treasury stock – at cost; 189 shares of Class A common stock at June 30, 2022</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Additional paid-in capital</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612,627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561,447</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deficit</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(265,619)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(208,317)</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 attributable to GoHealth, Inc.</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346,463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353,103</w:t>
            </w:r>
          </w:p>
        </w:tc>
        <w:tc>
          <w:tcPr>
            <w:tcW w:w="0" w:type="dxa"/>
            <w:vAlign w:val="bottom"/>
          </w:tcPr>
          <w:p>
            <w:pPr>
              <w:spacing w:after="0"/>
              <w:rPr>
                <w:sz w:val="1"/>
                <w:szCs w:val="1"/>
                <w:color w:val="auto"/>
              </w:rPr>
            </w:pPr>
          </w:p>
        </w:tc>
      </w:tr>
      <w:tr>
        <w:trPr>
          <w:trHeight w:val="176"/>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411,858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539,387</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758,321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892,490</w:t>
            </w:r>
          </w:p>
        </w:tc>
        <w:tc>
          <w:tcPr>
            <w:tcW w:w="0" w:type="dxa"/>
            <w:vAlign w:val="bottom"/>
          </w:tcPr>
          <w:p>
            <w:pPr>
              <w:spacing w:after="0"/>
              <w:rPr>
                <w:sz w:val="1"/>
                <w:szCs w:val="1"/>
                <w:color w:val="auto"/>
              </w:rPr>
            </w:pPr>
          </w:p>
        </w:tc>
      </w:tr>
      <w:tr>
        <w:trPr>
          <w:trHeight w:val="20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1,898,057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2,068,851</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9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sets forth our statements of cash flows for the periods indicated (unaudited):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4"/>
          </w:tcPr>
          <w:p>
            <w:pPr>
              <w:jc w:val="right"/>
              <w:ind w:right="557"/>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7"/>
        </w:trPr>
        <w:tc>
          <w:tcPr>
            <w:tcW w:w="8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Jun. 30,</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(150,993)</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(46,481)</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17,293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12,711</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4,076</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47,029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47,029</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Operating lease impairment charges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24,995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11,935</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Non-cash lease expense</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2,451</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non-cash items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170"/>
        </w:trPr>
        <w:tc>
          <w:tcPr>
            <w:tcW w:w="8940" w:type="dxa"/>
            <w:vAlign w:val="bottom"/>
          </w:tcPr>
          <w:p>
            <w:pPr>
              <w:ind w:left="240"/>
              <w:spacing w:after="0"/>
              <w:rPr>
                <w:sz w:val="20"/>
                <w:szCs w:val="20"/>
                <w:color w:val="auto"/>
              </w:rPr>
            </w:pPr>
            <w:r>
              <w:rPr>
                <w:rFonts w:ascii="Arial" w:cs="Arial" w:eastAsia="Arial" w:hAnsi="Arial"/>
                <w:sz w:val="13"/>
                <w:szCs w:val="13"/>
                <w:i w:val="1"/>
                <w:iCs w:val="1"/>
                <w:color w:val="auto"/>
              </w:rPr>
              <w:t>Changes in assets and liabilities, net of acquisition: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receivable</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Commissions receivable</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101,928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(63,675)</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Prepaid expenses and other assets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(11,778)</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Accounts payable</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(25,885)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6,114</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Accrued liabilities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3,993</w:t>
            </w:r>
          </w:p>
        </w:tc>
        <w:tc>
          <w:tcPr>
            <w:tcW w:w="0" w:type="dxa"/>
            <w:vAlign w:val="bottom"/>
          </w:tcPr>
          <w:p>
            <w:pPr>
              <w:spacing w:after="0"/>
              <w:rPr>
                <w:sz w:val="1"/>
                <w:szCs w:val="1"/>
                <w:color w:val="auto"/>
              </w:rPr>
            </w:pPr>
          </w:p>
        </w:tc>
      </w:tr>
      <w:tr>
        <w:trPr>
          <w:trHeight w:val="167"/>
        </w:trPr>
        <w:tc>
          <w:tcPr>
            <w:tcW w:w="8940" w:type="dxa"/>
            <w:vAlign w:val="bottom"/>
          </w:tcPr>
          <w:p>
            <w:pPr>
              <w:ind w:left="460"/>
              <w:spacing w:after="0"/>
              <w:rPr>
                <w:sz w:val="20"/>
                <w:szCs w:val="20"/>
                <w:color w:val="auto"/>
              </w:rPr>
            </w:pPr>
            <w:r>
              <w:rPr>
                <w:rFonts w:ascii="Arial" w:cs="Arial" w:eastAsia="Arial" w:hAnsi="Arial"/>
                <w:sz w:val="13"/>
                <w:szCs w:val="13"/>
                <w:color w:val="auto"/>
              </w:rPr>
              <w:t>Deferred revenue</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payable</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(26,279)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4,742</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Operating lease liabilities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(2,406)</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Other liabilities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1,361</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(32,250)</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(9,658)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(7,909)</w:t>
            </w:r>
          </w:p>
        </w:tc>
        <w:tc>
          <w:tcPr>
            <w:tcW w:w="0" w:type="dxa"/>
            <w:vAlign w:val="bottom"/>
          </w:tcPr>
          <w:p>
            <w:pPr>
              <w:spacing w:after="0"/>
              <w:rPr>
                <w:sz w:val="1"/>
                <w:szCs w:val="1"/>
                <w:color w:val="auto"/>
              </w:rPr>
            </w:pPr>
          </w:p>
        </w:tc>
      </w:tr>
      <w:tr>
        <w:trPr>
          <w:trHeight w:val="176"/>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investing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(9,658)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(7,909)</w:t>
            </w:r>
          </w:p>
        </w:tc>
        <w:tc>
          <w:tcPr>
            <w:tcW w:w="0" w:type="dxa"/>
            <w:vAlign w:val="bottom"/>
          </w:tcPr>
          <w:p>
            <w:pPr>
              <w:spacing w:after="0"/>
              <w:rPr>
                <w:sz w:val="1"/>
                <w:szCs w:val="1"/>
                <w:color w:val="auto"/>
              </w:rPr>
            </w:pPr>
          </w:p>
        </w:tc>
      </w:tr>
      <w:tr>
        <w:trPr>
          <w:trHeight w:val="152"/>
        </w:trPr>
        <w:tc>
          <w:tcPr>
            <w:tcW w:w="894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Financing Activities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under term loans</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310,000</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Repayment of borrowings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(296,835)</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Call premium paid for debt extinguishment</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(5,910)</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Debt issuance cost payments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(1,608)</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under finance lease obligations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69"/>
        </w:trPr>
        <w:tc>
          <w:tcPr>
            <w:tcW w:w="8940" w:type="dxa"/>
            <w:vAlign w:val="bottom"/>
          </w:tcPr>
          <w:p>
            <w:pPr>
              <w:ind w:left="20"/>
              <w:spacing w:after="0"/>
              <w:rPr>
                <w:sz w:val="20"/>
                <w:szCs w:val="20"/>
                <w:color w:val="auto"/>
              </w:rPr>
            </w:pPr>
            <w:r>
              <w:rPr>
                <w:rFonts w:ascii="Arial" w:cs="Arial" w:eastAsia="Arial" w:hAnsi="Arial"/>
                <w:sz w:val="13"/>
                <w:szCs w:val="13"/>
                <w:color w:val="auto"/>
              </w:rPr>
              <w:t>Cash received on advancement to NVX Holdings, Inc.</w:t>
            </w:r>
          </w:p>
        </w:tc>
        <w:tc>
          <w:tcPr>
            <w:tcW w:w="2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3,395</w:t>
            </w:r>
          </w:p>
        </w:tc>
        <w:tc>
          <w:tcPr>
            <w:tcW w:w="0" w:type="dxa"/>
            <w:vAlign w:val="bottom"/>
          </w:tcPr>
          <w:p>
            <w:pPr>
              <w:spacing w:after="0"/>
              <w:rPr>
                <w:sz w:val="1"/>
                <w:szCs w:val="1"/>
                <w:color w:val="auto"/>
              </w:rPr>
            </w:pPr>
          </w:p>
        </w:tc>
      </w:tr>
      <w:tr>
        <w:trPr>
          <w:trHeight w:val="175"/>
        </w:trPr>
        <w:tc>
          <w:tcPr>
            <w:tcW w:w="8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provided by financing activities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(4,463)</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8,888</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75"/>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cash and cash equivalents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(8,205)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(31,371)</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84,361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144,234</w:t>
            </w:r>
          </w:p>
        </w:tc>
        <w:tc>
          <w:tcPr>
            <w:tcW w:w="0" w:type="dxa"/>
            <w:vAlign w:val="bottom"/>
          </w:tcPr>
          <w:p>
            <w:pPr>
              <w:spacing w:after="0"/>
              <w:rPr>
                <w:sz w:val="1"/>
                <w:szCs w:val="1"/>
                <w:color w:val="auto"/>
              </w:rPr>
            </w:pPr>
          </w:p>
        </w:tc>
      </w:tr>
      <w:tr>
        <w:trPr>
          <w:trHeight w:val="20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76,156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112,863</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9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940" w:type="dxa"/>
            <w:vAlign w:val="bottom"/>
          </w:tcPr>
          <w:p>
            <w:pPr>
              <w:ind w:left="240"/>
              <w:spacing w:after="0"/>
              <w:rPr>
                <w:sz w:val="20"/>
                <w:szCs w:val="20"/>
                <w:color w:val="auto"/>
              </w:rPr>
            </w:pPr>
            <w:r>
              <w:rPr>
                <w:rFonts w:ascii="Arial" w:cs="Arial" w:eastAsia="Arial" w:hAnsi="Arial"/>
                <w:sz w:val="13"/>
                <w:szCs w:val="13"/>
                <w:color w:val="auto"/>
              </w:rPr>
              <w:t>Purchases of property, equipment and software included in accounts payable</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683</w:t>
            </w:r>
          </w:p>
        </w:tc>
        <w:tc>
          <w:tcPr>
            <w:tcW w:w="100" w:type="dxa"/>
            <w:vAlign w:val="bottom"/>
          </w:tcPr>
          <w:p>
            <w:pPr>
              <w:spacing w:after="0"/>
              <w:rPr>
                <w:sz w:val="13"/>
                <w:szCs w:val="1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9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tables set forth operating segment results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224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 Jun. 30, 2022</w:t>
            </w:r>
          </w:p>
        </w:tc>
        <w:tc>
          <w:tcPr>
            <w:tcW w:w="222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 Jun. 30, 2021</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27"/>
        </w:trPr>
        <w:tc>
          <w:tcPr>
            <w:tcW w:w="46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9"/>
              </w:rPr>
              <w:t>% of Net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77"/>
        </w:trPr>
        <w:tc>
          <w:tcPr>
            <w:tcW w:w="4660" w:type="dxa"/>
            <w:vAlign w:val="bottom"/>
          </w:tcPr>
          <w:p>
            <w:pPr>
              <w:ind w:left="20"/>
              <w:spacing w:after="0"/>
              <w:rPr>
                <w:sz w:val="20"/>
                <w:szCs w:val="20"/>
                <w:color w:val="auto"/>
              </w:rPr>
            </w:pPr>
            <w:r>
              <w:rPr>
                <w:rFonts w:ascii="Arial" w:cs="Arial" w:eastAsia="Arial" w:hAnsi="Arial"/>
                <w:sz w:val="13"/>
                <w:szCs w:val="13"/>
                <w:color w:val="auto"/>
              </w:rPr>
              <w:t>(in thousands, except percentages)</w:t>
            </w: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 Change</w:t>
            </w: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 Change</w:t>
            </w:r>
          </w:p>
        </w:tc>
      </w:tr>
      <w:tr>
        <w:trPr>
          <w:trHeight w:val="16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Net revenues:</w:t>
            </w: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103,685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65.4 %</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160,433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81.6 %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(56,748)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(35.4)%</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50,103</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31,379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18,724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59.7 %</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4,245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3,788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12.1 %</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621</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1,302</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w:t>
            </w: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158,654</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196,902</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(38,248)</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w:t>
            </w: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 (loss):</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7"/>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(11,040)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31,257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(42,297)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(135.3)%</w:t>
            </w: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233.8 %</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1,582</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2,382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(297.8)%</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621.1 %</w:t>
            </w: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 (loss)</w:t>
            </w: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(15,504)</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28,712</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14.6 %</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(44,216)</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(154.0)%</w:t>
            </w:r>
          </w:p>
        </w:tc>
      </w:tr>
      <w:tr>
        <w:trPr>
          <w:trHeight w:val="175"/>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37,027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24,194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53.0 %</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23,515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14.8 %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23,515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impairment charges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24,995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24,995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Loss on extinguishment of debt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12,724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53.7 %</w:t>
            </w:r>
          </w:p>
        </w:tc>
      </w:tr>
      <w:tr>
        <w:trPr>
          <w:trHeight w:val="169"/>
        </w:trPr>
        <w:tc>
          <w:tcPr>
            <w:tcW w:w="4660" w:type="dxa"/>
            <w:vAlign w:val="bottom"/>
          </w:tcPr>
          <w:p>
            <w:pPr>
              <w:ind w:left="240"/>
              <w:spacing w:after="0"/>
              <w:rPr>
                <w:sz w:val="20"/>
                <w:szCs w:val="20"/>
                <w:color w:val="auto"/>
              </w:rPr>
            </w:pPr>
            <w:r>
              <w:rPr>
                <w:rFonts w:ascii="Arial" w:cs="Arial" w:eastAsia="Arial" w:hAnsi="Arial"/>
                <w:sz w:val="13"/>
                <w:szCs w:val="13"/>
                <w:color w:val="auto"/>
              </w:rPr>
              <w:t>Other (income) expense</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20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(113,752)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(39,253)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(74,499)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189.8 %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4"/>
          </w:tcPr>
          <w:p>
            <w:pPr>
              <w:spacing w:after="0"/>
              <w:rPr>
                <w:sz w:val="20"/>
                <w:szCs w:val="20"/>
                <w:color w:val="auto"/>
              </w:rPr>
            </w:pPr>
            <w:r>
              <w:rPr>
                <w:rFonts w:ascii="Arial" w:cs="Arial" w:eastAsia="Arial" w:hAnsi="Arial"/>
                <w:sz w:val="13"/>
                <w:szCs w:val="13"/>
                <w:b w:val="1"/>
                <w:bCs w:val="1"/>
                <w:color w:val="auto"/>
              </w:rPr>
              <w:t>Six months ended Jun. 30, 2022</w:t>
            </w:r>
          </w:p>
        </w:tc>
        <w:tc>
          <w:tcPr>
            <w:tcW w:w="100" w:type="dxa"/>
            <w:vAlign w:val="bottom"/>
          </w:tcPr>
          <w:p>
            <w:pPr>
              <w:spacing w:after="0"/>
              <w:rPr>
                <w:sz w:val="15"/>
                <w:szCs w:val="15"/>
                <w:color w:val="auto"/>
              </w:rPr>
            </w:pPr>
          </w:p>
        </w:tc>
        <w:tc>
          <w:tcPr>
            <w:tcW w:w="2120" w:type="dxa"/>
            <w:vAlign w:val="bottom"/>
            <w:gridSpan w:val="4"/>
          </w:tcPr>
          <w:p>
            <w:pPr>
              <w:ind w:left="20"/>
              <w:spacing w:after="0"/>
              <w:rPr>
                <w:sz w:val="20"/>
                <w:szCs w:val="20"/>
                <w:color w:val="auto"/>
              </w:rPr>
            </w:pPr>
            <w:r>
              <w:rPr>
                <w:rFonts w:ascii="Arial" w:cs="Arial" w:eastAsia="Arial" w:hAnsi="Arial"/>
                <w:sz w:val="13"/>
                <w:szCs w:val="13"/>
                <w:b w:val="1"/>
                <w:bCs w:val="1"/>
                <w:color w:val="auto"/>
              </w:rPr>
              <w:t>Six months ended Jun. 30, 2021</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22"/>
        </w:trPr>
        <w:tc>
          <w:tcPr>
            <w:tcW w:w="4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9"/>
              </w:rPr>
              <w:t>% of Net</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6"/>
              </w:rPr>
              <w:t>% of Net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3"/>
                <w:szCs w:val="13"/>
                <w:color w:val="auto"/>
              </w:rPr>
              <w:t>(in thousands, except percentages)</w:t>
            </w:r>
          </w:p>
        </w:tc>
        <w:tc>
          <w:tcPr>
            <w:tcW w:w="100" w:type="dxa"/>
            <w:vAlign w:val="bottom"/>
          </w:tcPr>
          <w:p>
            <w:pPr>
              <w:spacing w:after="0"/>
              <w:rPr>
                <w:sz w:val="15"/>
                <w:szCs w:val="15"/>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00" w:type="dxa"/>
            <w:vAlign w:val="bottom"/>
          </w:tcPr>
          <w:p>
            <w:pPr>
              <w:spacing w:after="0"/>
              <w:rPr>
                <w:sz w:val="15"/>
                <w:szCs w:val="15"/>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8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 Change</w:t>
            </w: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 Change</w:t>
            </w:r>
          </w:p>
        </w:tc>
      </w:tr>
      <w:tr>
        <w:trPr>
          <w:trHeight w:val="16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Net revenues:</w:t>
            </w: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307,530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71.6 %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317,786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79.2 %</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(10,256)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111,589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70,879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40,710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57.4 %</w:t>
            </w:r>
          </w:p>
        </w:tc>
      </w:tr>
      <w:tr>
        <w:trPr>
          <w:trHeight w:val="167"/>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8,445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7,763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682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8.8 %</w:t>
            </w: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1,683</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4,653</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(2,970)</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w:t>
            </w: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429,247</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401,081</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28,166</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7.0 %</w:t>
            </w: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 (loss):</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23,799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77,700</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19.4 %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(53,901)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(69.4)%</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479.0 %</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2,172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0.5 %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(1,529)</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3,701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(242.1)%</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(749.5)%</w:t>
            </w: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 (loss)</w:t>
            </w:r>
          </w:p>
        </w:tc>
        <w:tc>
          <w:tcPr>
            <w:tcW w:w="1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11,874</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2.8 %</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73,955</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18.4 %</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(62,081)</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(83.9)%</w:t>
            </w:r>
          </w:p>
        </w:tc>
      </w:tr>
      <w:tr>
        <w:trPr>
          <w:trHeight w:val="176"/>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66,199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44,513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21,686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48.7 %</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47,029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47,029</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11.7 %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impairment charges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24,995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24,995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Loss on extinguishment of debt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24,122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42.2 %</w:t>
            </w:r>
          </w:p>
        </w:tc>
      </w:tr>
      <w:tr>
        <w:trPr>
          <w:trHeight w:val="169"/>
        </w:trPr>
        <w:tc>
          <w:tcPr>
            <w:tcW w:w="4660" w:type="dxa"/>
            <w:vAlign w:val="bottom"/>
          </w:tcPr>
          <w:p>
            <w:pPr>
              <w:ind w:left="240"/>
              <w:spacing w:after="0"/>
              <w:rPr>
                <w:sz w:val="20"/>
                <w:szCs w:val="20"/>
                <w:color w:val="auto"/>
              </w:rPr>
            </w:pPr>
            <w:r>
              <w:rPr>
                <w:rFonts w:ascii="Arial" w:cs="Arial" w:eastAsia="Arial" w:hAnsi="Arial"/>
                <w:sz w:val="13"/>
                <w:szCs w:val="13"/>
                <w:color w:val="auto"/>
              </w:rPr>
              <w:t>Other (income) expense</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(12.3)%</w:t>
            </w:r>
          </w:p>
        </w:tc>
      </w:tr>
      <w:tr>
        <w:trPr>
          <w:trHeight w:val="20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(150,521)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(46,544)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(103,977)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223.4 %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789" w:right="339" w:bottom="1440" w:gutter="0" w:footer="0" w:header="0"/>
        </w:sectPr>
      </w:pPr>
    </w:p>
    <w:bookmarkStart w:id="13" w:name="page14"/>
    <w:bookmarkEnd w:id="13"/>
    <w:p>
      <w:pPr>
        <w:ind w:right="100"/>
        <w:spacing w:after="0" w:line="260"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and six months ended June 30, 2022 and 2021, for those submissions that are commissionable (compensated through commissions received from carriers):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40" w:type="dxa"/>
            <w:vAlign w:val="bottom"/>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Six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Six months</w:t>
            </w:r>
          </w:p>
        </w:tc>
        <w:tc>
          <w:tcPr>
            <w:tcW w:w="0" w:type="dxa"/>
            <w:vAlign w:val="bottom"/>
          </w:tcPr>
          <w:p>
            <w:pPr>
              <w:spacing w:after="0"/>
              <w:rPr>
                <w:sz w:val="1"/>
                <w:szCs w:val="1"/>
                <w:color w:val="auto"/>
              </w:rPr>
            </w:pPr>
          </w:p>
        </w:tc>
      </w:tr>
      <w:tr>
        <w:trPr>
          <w:trHeight w:val="122"/>
        </w:trPr>
        <w:tc>
          <w:tcPr>
            <w:tcW w:w="6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Total Commissionable Submitted Policies</w:t>
            </w:r>
          </w:p>
        </w:tc>
        <w:tc>
          <w:tcPr>
            <w:tcW w:w="11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ended Jun. 30,</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86"/>
        </w:trPr>
        <w:tc>
          <w:tcPr>
            <w:tcW w:w="654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167,507</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153,163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453,616</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326,037</w:t>
            </w:r>
          </w:p>
        </w:tc>
        <w:tc>
          <w:tcPr>
            <w:tcW w:w="0" w:type="dxa"/>
            <w:vAlign w:val="bottom"/>
          </w:tcPr>
          <w:p>
            <w:pPr>
              <w:spacing w:after="0"/>
              <w:rPr>
                <w:sz w:val="1"/>
                <w:szCs w:val="1"/>
                <w:color w:val="auto"/>
              </w:rPr>
            </w:pP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1,022</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2,126</w:t>
            </w: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4,935</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2,374</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11,460</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4,967</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172,636</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156,559</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465,772</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333,130</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The following tables present the number of Approved Submissions by product relating to commissionable policies for the Medicare segments for three and six months ended June 30, 2022 and 2021. Only commissionable policies are used to calculate LTV.</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40" w:type="dxa"/>
            <w:vAlign w:val="bottom"/>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Six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Six months</w:t>
            </w:r>
          </w:p>
        </w:tc>
        <w:tc>
          <w:tcPr>
            <w:tcW w:w="0" w:type="dxa"/>
            <w:vAlign w:val="bottom"/>
          </w:tcPr>
          <w:p>
            <w:pPr>
              <w:spacing w:after="0"/>
              <w:rPr>
                <w:sz w:val="1"/>
                <w:szCs w:val="1"/>
                <w:color w:val="auto"/>
              </w:rPr>
            </w:pPr>
          </w:p>
        </w:tc>
      </w:tr>
      <w:tr>
        <w:trPr>
          <w:trHeight w:val="130"/>
        </w:trPr>
        <w:tc>
          <w:tcPr>
            <w:tcW w:w="6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Internal Commissionable Approved Submissions</w:t>
            </w:r>
          </w:p>
        </w:tc>
        <w:tc>
          <w:tcPr>
            <w:tcW w:w="1180" w:type="dxa"/>
            <w:vAlign w:val="bottom"/>
            <w:gridSpan w:val="2"/>
          </w:tcPr>
          <w:p>
            <w:pPr>
              <w:jc w:val="center"/>
              <w:ind w:right="80"/>
              <w:spacing w:after="0" w:line="130" w:lineRule="exact"/>
              <w:rPr>
                <w:sz w:val="20"/>
                <w:szCs w:val="20"/>
                <w:color w:val="auto"/>
              </w:rPr>
            </w:pPr>
            <w:r>
              <w:rPr>
                <w:rFonts w:ascii="Arial" w:cs="Arial" w:eastAsia="Arial" w:hAnsi="Arial"/>
                <w:sz w:val="13"/>
                <w:szCs w:val="13"/>
                <w:b w:val="1"/>
                <w:bCs w:val="1"/>
                <w:color w:val="auto"/>
                <w:w w:val="95"/>
              </w:rPr>
              <w:t>ended Jun. 30,</w:t>
            </w:r>
          </w:p>
        </w:tc>
        <w:tc>
          <w:tcPr>
            <w:tcW w:w="1220" w:type="dxa"/>
            <w:vAlign w:val="bottom"/>
            <w:gridSpan w:val="2"/>
          </w:tcPr>
          <w:p>
            <w:pPr>
              <w:jc w:val="center"/>
              <w:ind w:right="100"/>
              <w:spacing w:after="0" w:line="130" w:lineRule="exact"/>
              <w:rPr>
                <w:sz w:val="20"/>
                <w:szCs w:val="20"/>
                <w:color w:val="auto"/>
              </w:rPr>
            </w:pPr>
            <w:r>
              <w:rPr>
                <w:rFonts w:ascii="Arial" w:cs="Arial" w:eastAsia="Arial" w:hAnsi="Arial"/>
                <w:sz w:val="13"/>
                <w:szCs w:val="13"/>
                <w:b w:val="1"/>
                <w:bCs w:val="1"/>
                <w:color w:val="auto"/>
                <w:w w:val="97"/>
              </w:rPr>
              <w:t>ended Jun. 30,</w:t>
            </w:r>
          </w:p>
        </w:tc>
        <w:tc>
          <w:tcPr>
            <w:tcW w:w="1200" w:type="dxa"/>
            <w:vAlign w:val="bottom"/>
            <w:gridSpan w:val="2"/>
          </w:tcPr>
          <w:p>
            <w:pPr>
              <w:jc w:val="center"/>
              <w:ind w:right="120"/>
              <w:spacing w:after="0" w:line="130" w:lineRule="exact"/>
              <w:rPr>
                <w:sz w:val="20"/>
                <w:szCs w:val="20"/>
                <w:color w:val="auto"/>
              </w:rPr>
            </w:pPr>
            <w:r>
              <w:rPr>
                <w:rFonts w:ascii="Arial" w:cs="Arial" w:eastAsia="Arial" w:hAnsi="Arial"/>
                <w:sz w:val="13"/>
                <w:szCs w:val="13"/>
                <w:b w:val="1"/>
                <w:bCs w:val="1"/>
                <w:color w:val="auto"/>
                <w:w w:val="97"/>
              </w:rPr>
              <w:t>ended Jun. 30,</w:t>
            </w:r>
          </w:p>
        </w:tc>
        <w:tc>
          <w:tcPr>
            <w:tcW w:w="11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73"/>
        </w:trPr>
        <w:tc>
          <w:tcPr>
            <w:tcW w:w="65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93,585</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121,299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282,513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250,185</w:t>
            </w:r>
          </w:p>
        </w:tc>
        <w:tc>
          <w:tcPr>
            <w:tcW w:w="0" w:type="dxa"/>
            <w:vAlign w:val="bottom"/>
          </w:tcPr>
          <w:p>
            <w:pPr>
              <w:spacing w:after="0"/>
              <w:rPr>
                <w:sz w:val="1"/>
                <w:szCs w:val="1"/>
                <w:color w:val="auto"/>
              </w:rPr>
            </w:pP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519</w:t>
            </w: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1,874</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2,033</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4,873</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4,317</w:t>
            </w:r>
          </w:p>
        </w:tc>
        <w:tc>
          <w:tcPr>
            <w:tcW w:w="0" w:type="dxa"/>
            <w:vAlign w:val="bottom"/>
          </w:tcPr>
          <w:p>
            <w:pPr>
              <w:spacing w:after="0"/>
              <w:rPr>
                <w:sz w:val="1"/>
                <w:szCs w:val="1"/>
                <w:color w:val="auto"/>
              </w:rPr>
            </w:pPr>
          </w:p>
        </w:tc>
      </w:tr>
      <w:tr>
        <w:trPr>
          <w:trHeight w:val="176"/>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95,523</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123,600</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287,604</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255,021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6540" w:type="dxa"/>
            <w:vAlign w:val="bottom"/>
          </w:tcPr>
          <w:p>
            <w:pPr>
              <w:spacing w:after="0"/>
              <w:rPr>
                <w:sz w:val="24"/>
                <w:szCs w:val="2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Six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Six months</w:t>
            </w:r>
          </w:p>
        </w:tc>
        <w:tc>
          <w:tcPr>
            <w:tcW w:w="0" w:type="dxa"/>
            <w:vAlign w:val="bottom"/>
          </w:tcPr>
          <w:p>
            <w:pPr>
              <w:spacing w:after="0"/>
              <w:rPr>
                <w:sz w:val="1"/>
                <w:szCs w:val="1"/>
                <w:color w:val="auto"/>
              </w:rPr>
            </w:pPr>
          </w:p>
        </w:tc>
      </w:tr>
      <w:tr>
        <w:trPr>
          <w:trHeight w:val="127"/>
        </w:trPr>
        <w:tc>
          <w:tcPr>
            <w:tcW w:w="6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External Commissionable Approved Submissions</w:t>
            </w:r>
          </w:p>
        </w:tc>
        <w:tc>
          <w:tcPr>
            <w:tcW w:w="1180" w:type="dxa"/>
            <w:vAlign w:val="bottom"/>
            <w:gridSpan w:val="2"/>
          </w:tcPr>
          <w:p>
            <w:pPr>
              <w:jc w:val="center"/>
              <w:ind w:right="80"/>
              <w:spacing w:after="0" w:line="127" w:lineRule="exact"/>
              <w:rPr>
                <w:sz w:val="20"/>
                <w:szCs w:val="20"/>
                <w:color w:val="auto"/>
              </w:rPr>
            </w:pPr>
            <w:r>
              <w:rPr>
                <w:rFonts w:ascii="Arial" w:cs="Arial" w:eastAsia="Arial" w:hAnsi="Arial"/>
                <w:sz w:val="13"/>
                <w:szCs w:val="13"/>
                <w:b w:val="1"/>
                <w:bCs w:val="1"/>
                <w:color w:val="auto"/>
                <w:w w:val="95"/>
              </w:rPr>
              <w:t>ended Jun. 30,</w:t>
            </w:r>
          </w:p>
        </w:tc>
        <w:tc>
          <w:tcPr>
            <w:tcW w:w="1220" w:type="dxa"/>
            <w:vAlign w:val="bottom"/>
            <w:gridSpan w:val="2"/>
          </w:tcPr>
          <w:p>
            <w:pPr>
              <w:jc w:val="center"/>
              <w:ind w:right="100"/>
              <w:spacing w:after="0" w:line="127" w:lineRule="exact"/>
              <w:rPr>
                <w:sz w:val="20"/>
                <w:szCs w:val="20"/>
                <w:color w:val="auto"/>
              </w:rPr>
            </w:pPr>
            <w:r>
              <w:rPr>
                <w:rFonts w:ascii="Arial" w:cs="Arial" w:eastAsia="Arial" w:hAnsi="Arial"/>
                <w:sz w:val="13"/>
                <w:szCs w:val="13"/>
                <w:b w:val="1"/>
                <w:bCs w:val="1"/>
                <w:color w:val="auto"/>
                <w:w w:val="97"/>
              </w:rPr>
              <w:t>ended Jun. 30,</w:t>
            </w:r>
          </w:p>
        </w:tc>
        <w:tc>
          <w:tcPr>
            <w:tcW w:w="1200" w:type="dxa"/>
            <w:vAlign w:val="bottom"/>
            <w:gridSpan w:val="2"/>
          </w:tcPr>
          <w:p>
            <w:pPr>
              <w:jc w:val="center"/>
              <w:ind w:right="120"/>
              <w:spacing w:after="0" w:line="127" w:lineRule="exact"/>
              <w:rPr>
                <w:sz w:val="20"/>
                <w:szCs w:val="20"/>
                <w:color w:val="auto"/>
              </w:rPr>
            </w:pPr>
            <w:r>
              <w:rPr>
                <w:rFonts w:ascii="Arial" w:cs="Arial" w:eastAsia="Arial" w:hAnsi="Arial"/>
                <w:sz w:val="13"/>
                <w:szCs w:val="13"/>
                <w:b w:val="1"/>
                <w:bCs w:val="1"/>
                <w:color w:val="auto"/>
                <w:w w:val="97"/>
              </w:rPr>
              <w:t>ended Jun. 30,</w:t>
            </w:r>
          </w:p>
        </w:tc>
        <w:tc>
          <w:tcPr>
            <w:tcW w:w="110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81"/>
        </w:trPr>
        <w:tc>
          <w:tcPr>
            <w:tcW w:w="65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67,495</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31,450</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155,443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73,691</w:t>
            </w:r>
          </w:p>
        </w:tc>
        <w:tc>
          <w:tcPr>
            <w:tcW w:w="0" w:type="dxa"/>
            <w:vAlign w:val="bottom"/>
          </w:tcPr>
          <w:p>
            <w:pPr>
              <w:spacing w:after="0"/>
              <w:rPr>
                <w:sz w:val="1"/>
                <w:szCs w:val="1"/>
                <w:color w:val="auto"/>
              </w:rPr>
            </w:pP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665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1,396</w:t>
            </w: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2,939</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6,113</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70,483</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32,351</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161,821</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75,612</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presents the LTV per Approved Submission by product for the Medicare segments for the three and six months ended June 30, 2022 and 2021: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Six months</w:t>
            </w:r>
          </w:p>
        </w:tc>
        <w:tc>
          <w:tcPr>
            <w:tcW w:w="100" w:type="dxa"/>
            <w:vAlign w:val="bottom"/>
          </w:tcPr>
          <w:p>
            <w:pPr>
              <w:spacing w:after="0"/>
              <w:rPr>
                <w:sz w:val="12"/>
                <w:szCs w:val="12"/>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Six months</w:t>
            </w:r>
          </w:p>
        </w:tc>
        <w:tc>
          <w:tcPr>
            <w:tcW w:w="0" w:type="dxa"/>
            <w:vAlign w:val="bottom"/>
          </w:tcPr>
          <w:p>
            <w:pPr>
              <w:spacing w:after="0"/>
              <w:rPr>
                <w:sz w:val="1"/>
                <w:szCs w:val="1"/>
                <w:color w:val="auto"/>
              </w:rPr>
            </w:pPr>
          </w:p>
        </w:tc>
      </w:tr>
      <w:tr>
        <w:trPr>
          <w:trHeight w:val="130"/>
        </w:trPr>
        <w:tc>
          <w:tcPr>
            <w:tcW w:w="65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LTV per Approved Submission</w:t>
            </w: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0" w:lineRule="exact"/>
              <w:rPr>
                <w:sz w:val="20"/>
                <w:szCs w:val="20"/>
                <w:color w:val="auto"/>
              </w:rPr>
            </w:pPr>
            <w:r>
              <w:rPr>
                <w:rFonts w:ascii="Arial" w:cs="Arial" w:eastAsia="Arial" w:hAnsi="Arial"/>
                <w:sz w:val="13"/>
                <w:szCs w:val="13"/>
                <w:b w:val="1"/>
                <w:bCs w:val="1"/>
                <w:color w:val="auto"/>
                <w:w w:val="97"/>
              </w:rPr>
              <w:t>ended Jun. 30,</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0" w:lineRule="exact"/>
              <w:rPr>
                <w:sz w:val="20"/>
                <w:szCs w:val="20"/>
                <w:color w:val="auto"/>
              </w:rPr>
            </w:pPr>
            <w:r>
              <w:rPr>
                <w:rFonts w:ascii="Arial" w:cs="Arial" w:eastAsia="Arial" w:hAnsi="Arial"/>
                <w:sz w:val="13"/>
                <w:szCs w:val="13"/>
                <w:b w:val="1"/>
                <w:bCs w:val="1"/>
                <w:color w:val="auto"/>
                <w:w w:val="97"/>
              </w:rPr>
              <w:t>ended Jun. 30,</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0" w:lineRule="exact"/>
              <w:rPr>
                <w:sz w:val="20"/>
                <w:szCs w:val="20"/>
                <w:color w:val="auto"/>
              </w:rPr>
            </w:pPr>
            <w:r>
              <w:rPr>
                <w:rFonts w:ascii="Arial" w:cs="Arial" w:eastAsia="Arial" w:hAnsi="Arial"/>
                <w:sz w:val="13"/>
                <w:szCs w:val="13"/>
                <w:b w:val="1"/>
                <w:bCs w:val="1"/>
                <w:color w:val="auto"/>
                <w:w w:val="97"/>
              </w:rPr>
              <w:t>ended Jun. 30,</w:t>
            </w:r>
          </w:p>
        </w:tc>
        <w:tc>
          <w:tcPr>
            <w:tcW w:w="100" w:type="dxa"/>
            <w:vAlign w:val="bottom"/>
          </w:tcPr>
          <w:p>
            <w:pPr>
              <w:spacing w:after="0"/>
              <w:rPr>
                <w:sz w:val="11"/>
                <w:szCs w:val="11"/>
                <w:color w:val="auto"/>
              </w:rPr>
            </w:pPr>
          </w:p>
        </w:tc>
        <w:tc>
          <w:tcPr>
            <w:tcW w:w="1000" w:type="dxa"/>
            <w:vAlign w:val="bottom"/>
          </w:tcPr>
          <w:p>
            <w:pPr>
              <w:jc w:val="center"/>
              <w:ind w:right="57"/>
              <w:spacing w:after="0" w:line="130"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73"/>
        </w:trPr>
        <w:tc>
          <w:tcPr>
            <w:tcW w:w="65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2"/>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739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853</w:t>
            </w:r>
          </w:p>
        </w:tc>
        <w:tc>
          <w:tcPr>
            <w:tcW w:w="0" w:type="dxa"/>
            <w:vAlign w:val="bottom"/>
          </w:tcPr>
          <w:p>
            <w:pPr>
              <w:spacing w:after="0"/>
              <w:rPr>
                <w:sz w:val="1"/>
                <w:szCs w:val="1"/>
                <w:color w:val="auto"/>
              </w:rPr>
            </w:pPr>
          </w:p>
        </w:tc>
      </w:tr>
      <w:tr>
        <w:trPr>
          <w:trHeight w:val="168"/>
        </w:trPr>
        <w:tc>
          <w:tcPr>
            <w:tcW w:w="652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805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846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834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821</w:t>
            </w:r>
          </w:p>
        </w:tc>
        <w:tc>
          <w:tcPr>
            <w:tcW w:w="0" w:type="dxa"/>
            <w:vAlign w:val="bottom"/>
          </w:tcPr>
          <w:p>
            <w:pPr>
              <w:spacing w:after="0"/>
              <w:rPr>
                <w:sz w:val="1"/>
                <w:szCs w:val="1"/>
                <w:color w:val="auto"/>
              </w:rPr>
            </w:pPr>
          </w:p>
        </w:tc>
      </w:tr>
      <w:tr>
        <w:trPr>
          <w:trHeight w:val="184"/>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and six months ended June 30, 2022 and 2021, for those submissions that are non-commissionable (compensated via hourly fees and enrollment fees) and do not result in commission revenue: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4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Six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Six months</w:t>
            </w:r>
          </w:p>
        </w:tc>
        <w:tc>
          <w:tcPr>
            <w:tcW w:w="0" w:type="dxa"/>
            <w:vAlign w:val="bottom"/>
          </w:tcPr>
          <w:p>
            <w:pPr>
              <w:spacing w:after="0"/>
              <w:rPr>
                <w:sz w:val="1"/>
                <w:szCs w:val="1"/>
                <w:color w:val="auto"/>
              </w:rPr>
            </w:pPr>
          </w:p>
        </w:tc>
      </w:tr>
      <w:tr>
        <w:trPr>
          <w:trHeight w:val="121"/>
        </w:trPr>
        <w:tc>
          <w:tcPr>
            <w:tcW w:w="6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Total Non-Commissionable Submitted Policies</w:t>
            </w:r>
          </w:p>
        </w:tc>
        <w:tc>
          <w:tcPr>
            <w:tcW w:w="11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ended Jun. 30,</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86"/>
        </w:trPr>
        <w:tc>
          <w:tcPr>
            <w:tcW w:w="654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2,750</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7,237</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9,171</w:t>
            </w:r>
          </w:p>
        </w:tc>
        <w:tc>
          <w:tcPr>
            <w:tcW w:w="0" w:type="dxa"/>
            <w:vAlign w:val="bottom"/>
          </w:tcPr>
          <w:p>
            <w:pPr>
              <w:spacing w:after="0"/>
              <w:rPr>
                <w:sz w:val="1"/>
                <w:szCs w:val="1"/>
                <w:color w:val="auto"/>
              </w:rPr>
            </w:pP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1,794</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2,042</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3,985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3,692</w:t>
            </w: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1,560</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1,676</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5,275</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6,065</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12,782</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14,539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6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2022-08-15T16:21:02Z</dcterms:created>
  <dcterms:modified xsi:type="dcterms:W3CDTF">2022-08-15T16:21:02Z</dcterms:modified>
</cp:coreProperties>
</file>