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GoHealth,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0" w:lineRule="exact"/>
        <w:rPr>
          <w:sz w:val="24"/>
          <w:szCs w:val="24"/>
          <w:color w:val="auto"/>
        </w:rPr>
      </w:pPr>
    </w:p>
    <w:p>
      <w:pPr>
        <w:spacing w:after="0" w:line="21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38046W105</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0" w:lineRule="exact"/>
        <w:rPr>
          <w:sz w:val="24"/>
          <w:szCs w:val="24"/>
          <w:color w:val="auto"/>
        </w:rPr>
      </w:pPr>
    </w:p>
    <w:p>
      <w:pPr>
        <w:spacing w:after="0" w:line="21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Susanne V. Clark</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 Centerbridge Partners, L.P.</w:t>
      </w:r>
    </w:p>
    <w:p>
      <w:pPr>
        <w:jc w:val="center"/>
        <w:ind w:right="-63"/>
        <w:spacing w:after="0" w:line="181" w:lineRule="auto"/>
        <w:rPr>
          <w:sz w:val="20"/>
          <w:szCs w:val="20"/>
          <w:color w:val="auto"/>
        </w:rPr>
      </w:pPr>
      <w:r>
        <w:rPr>
          <w:rFonts w:ascii="Times New Roman" w:cs="Times New Roman" w:eastAsia="Times New Roman" w:hAnsi="Times New Roman"/>
          <w:sz w:val="18"/>
          <w:szCs w:val="18"/>
          <w:b w:val="1"/>
          <w:bCs w:val="1"/>
          <w:color w:val="auto"/>
        </w:rPr>
        <w:t>375 Park Avenue, 11</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NY 10152</w:t>
      </w:r>
    </w:p>
    <w:p>
      <w:pPr>
        <w:spacing w:after="0" w:line="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672-5000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1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November 30, 2022</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314325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4"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9" w:lineRule="exact"/>
        <w:rPr>
          <w:sz w:val="24"/>
          <w:szCs w:val="24"/>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76"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1 of 16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CCP III Cayman GP Ltd.</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9,213,506</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9,213,506</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9,213,506</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64.5%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2 of 16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CB Blizzard Holdings C,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1,115,131</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1,115,131</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1,115,131</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12.5%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3 of 16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Centerbridge Associates III,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30.5%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4 of 16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CCP III AIV VII Holdings,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30.5%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5 of 16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CB Blizzard Co-Invest Holdings,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30.5%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6 of 16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CB Blizzard Lower Holdings GP A, LLC</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30.5%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OO (Limited Liability Company)</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7 of 16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CB Blizzard Lower Holdings A,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30.5%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8 of 16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Blizzard Aggregator, LLC</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37.7%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OO (Limited Liability Company)</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9 of 16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CB Blizzard Lower Holdings GP B, LLC</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37.7%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OO (Limited Liability Company)</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0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3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9"/>
              </w:rPr>
              <w:t>Page 10 of 16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0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CB Blizzard Lower Holdings B, L.P.</w:t>
            </w: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56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00" w:type="dxa"/>
            <w:vAlign w:val="bottom"/>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00" w:type="dxa"/>
            <w:vAlign w:val="bottom"/>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00" w:type="dxa"/>
            <w:vAlign w:val="bottom"/>
            <w:tcBorders>
              <w:bottom w:val="single" w:sz="8" w:color="auto"/>
            </w:tcBorders>
          </w:tcPr>
          <w:p>
            <w:pPr>
              <w:spacing w:after="0"/>
              <w:rPr>
                <w:sz w:val="5"/>
                <w:szCs w:val="5"/>
                <w:color w:val="auto"/>
              </w:rPr>
            </w:pPr>
          </w:p>
        </w:tc>
        <w:tc>
          <w:tcPr>
            <w:tcW w:w="29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9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00" w:type="dxa"/>
            <w:vAlign w:val="bottom"/>
            <w:vMerge w:val="continue"/>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00" w:type="dxa"/>
            <w:vAlign w:val="bottom"/>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2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00" w:type="dxa"/>
            <w:vAlign w:val="bottom"/>
            <w:tcBorders>
              <w:bottom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9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00" w:type="dxa"/>
            <w:vAlign w:val="bottom"/>
            <w:vMerge w:val="continue"/>
          </w:tcPr>
          <w:p>
            <w:pPr>
              <w:spacing w:after="0"/>
              <w:rPr>
                <w:sz w:val="14"/>
                <w:szCs w:val="14"/>
                <w:color w:val="auto"/>
              </w:rPr>
            </w:pPr>
          </w:p>
        </w:tc>
        <w:tc>
          <w:tcPr>
            <w:tcW w:w="2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00" w:type="dxa"/>
            <w:vAlign w:val="bottom"/>
          </w:tcPr>
          <w:p>
            <w:pPr>
              <w:spacing w:after="0"/>
              <w:rPr>
                <w:sz w:val="4"/>
                <w:szCs w:val="4"/>
                <w:color w:val="auto"/>
              </w:rPr>
            </w:pPr>
          </w:p>
        </w:tc>
        <w:tc>
          <w:tcPr>
            <w:tcW w:w="290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0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37.7%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tbl>
      <w:tblPr>
        <w:tblLayout w:type="fixed"/>
        <w:tblInd w:w="10" w:type="dxa"/>
        <w:tblCellMar>
          <w:top w:w="0" w:type="dxa"/>
          <w:left w:w="0" w:type="dxa"/>
          <w:bottom w:w="0" w:type="dxa"/>
          <w:right w:w="0" w:type="dxa"/>
        </w:tblCellMar>
      </w:tblPr>
      <w:tr>
        <w:trPr>
          <w:trHeight w:val="238"/>
        </w:trPr>
        <w:tc>
          <w:tcPr>
            <w:tcW w:w="2140" w:type="dxa"/>
            <w:vAlign w:val="bottom"/>
            <w:gridSpan w:val="6"/>
          </w:tcPr>
          <w:p>
            <w:pPr>
              <w:jc w:val="center"/>
              <w:ind w:right="290"/>
              <w:spacing w:after="0"/>
              <w:rPr>
                <w:sz w:val="20"/>
                <w:szCs w:val="20"/>
                <w:color w:val="auto"/>
              </w:rPr>
            </w:pPr>
            <w:r>
              <w:rPr>
                <w:rFonts w:ascii="Times New Roman" w:cs="Times New Roman" w:eastAsia="Times New Roman" w:hAnsi="Times New Roman"/>
                <w:sz w:val="18"/>
                <w:szCs w:val="18"/>
                <w:color w:val="auto"/>
              </w:rPr>
              <w:t>CUSIP No. 38046W105</w:t>
            </w:r>
          </w:p>
        </w:tc>
        <w:tc>
          <w:tcPr>
            <w:tcW w:w="588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9"/>
              </w:rPr>
              <w:t>Page 11 of 16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00" w:type="dxa"/>
            <w:vAlign w:val="bottom"/>
            <w:tcBorders>
              <w:bottom w:val="single" w:sz="8" w:color="auto"/>
            </w:tcBorders>
            <w:gridSpan w:val="2"/>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Jeffrey H. Aronson</w:t>
            </w: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560" w:type="dxa"/>
            <w:vAlign w:val="bottom"/>
            <w:gridSpan w:val="5"/>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2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5880" w:type="dxa"/>
            <w:vAlign w:val="bottom"/>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5880" w:type="dxa"/>
            <w:vAlign w:val="bottom"/>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2"/>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20"/>
                <w:szCs w:val="20"/>
                <w:color w:val="auto"/>
              </w:rPr>
            </w:pPr>
          </w:p>
        </w:tc>
        <w:tc>
          <w:tcPr>
            <w:tcW w:w="5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0</w:t>
            </w:r>
          </w:p>
        </w:tc>
        <w:tc>
          <w:tcPr>
            <w:tcW w:w="2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80" w:type="dxa"/>
            <w:vAlign w:val="bottom"/>
            <w:tcBorders>
              <w:bottom w:val="single" w:sz="8" w:color="auto"/>
            </w:tcBorders>
          </w:tcPr>
          <w:p>
            <w:pPr>
              <w:spacing w:after="0"/>
              <w:rPr>
                <w:sz w:val="5"/>
                <w:szCs w:val="5"/>
                <w:color w:val="auto"/>
              </w:rPr>
            </w:pPr>
          </w:p>
        </w:tc>
        <w:tc>
          <w:tcPr>
            <w:tcW w:w="29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0"/>
                <w:szCs w:val="10"/>
                <w:color w:val="auto"/>
              </w:rPr>
            </w:pPr>
          </w:p>
        </w:tc>
        <w:tc>
          <w:tcPr>
            <w:tcW w:w="5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9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9,213,506</w:t>
            </w:r>
          </w:p>
        </w:tc>
        <w:tc>
          <w:tcPr>
            <w:tcW w:w="2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80" w:type="dxa"/>
            <w:vAlign w:val="bottom"/>
            <w:tcBorders>
              <w:bottom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6"/>
                <w:szCs w:val="6"/>
                <w:color w:val="auto"/>
              </w:rPr>
            </w:pPr>
          </w:p>
        </w:tc>
        <w:tc>
          <w:tcPr>
            <w:tcW w:w="5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29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880" w:type="dxa"/>
            <w:vAlign w:val="bottom"/>
            <w:vMerge w:val="continue"/>
          </w:tcPr>
          <w:p>
            <w:pPr>
              <w:spacing w:after="0"/>
              <w:rPr>
                <w:sz w:val="14"/>
                <w:szCs w:val="14"/>
                <w:color w:val="auto"/>
              </w:rPr>
            </w:pPr>
          </w:p>
        </w:tc>
        <w:tc>
          <w:tcPr>
            <w:tcW w:w="2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880" w:type="dxa"/>
            <w:vAlign w:val="bottom"/>
          </w:tcPr>
          <w:p>
            <w:pPr>
              <w:spacing w:after="0"/>
              <w:rPr>
                <w:sz w:val="4"/>
                <w:szCs w:val="4"/>
                <w:color w:val="auto"/>
              </w:rPr>
            </w:pPr>
          </w:p>
        </w:tc>
        <w:tc>
          <w:tcPr>
            <w:tcW w:w="290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0</w:t>
            </w:r>
          </w:p>
        </w:tc>
        <w:tc>
          <w:tcPr>
            <w:tcW w:w="2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20"/>
                <w:szCs w:val="20"/>
                <w:color w:val="auto"/>
              </w:rPr>
            </w:pPr>
          </w:p>
        </w:tc>
        <w:tc>
          <w:tcPr>
            <w:tcW w:w="5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9,213,506</w:t>
            </w: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w:t>
            </w: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9,213,506</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64.5%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12 of 16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Amendment No. 1 to Schedule 13D (“Amendment No. 1”) amends and supplements the Schedule 13D originally filed with the United States Securities and Exchange Commission on November 25, 2022 (as amended to date, the “Schedule 13D”), relating to the shares of Class A Common Stock, par value $0.0001 per share (the “Class A Common Stock”), of GoHealth, Inc., a Delaware corporation (the “Issuer”). Capitalized terms used herein without definition shall have the meanings set forth in the Schedule 13D.</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supplemented by inserting the following information at the end of Item 3:</w:t>
      </w:r>
    </w:p>
    <w:p>
      <w:pPr>
        <w:spacing w:after="0" w:line="11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From November 25, 2022 to November 30, 2022, CB Blizzard C purchased 315,559 shares of Class A Common Stock for aggregate consideration of approximately $4.0 million in a series of open-market transactions.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Reporting Persons obtained the funds used to acquire their interests in the Issuer’s securities through capital contributions from their partners and members.</w:t>
      </w:r>
    </w:p>
    <w:p>
      <w:pPr>
        <w:sectPr>
          <w:pgSz w:w="11900" w:h="16838" w:orient="portrait"/>
          <w:cols w:equalWidth="0" w:num="1">
            <w:col w:w="11020"/>
          </w:cols>
          <w:pgMar w:left="440" w:top="266" w:right="439" w:bottom="1440" w:gutter="0" w:footer="0" w:header="0"/>
        </w:sectPr>
      </w:pPr>
    </w:p>
    <w:bookmarkStart w:id="13" w:name="page14"/>
    <w:bookmarkEnd w:id="13"/>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13 of 16 pages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in its entirety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sets forth, as of the date of this Schedule 13D, the aggregate number of shares of Class A Common Stock and percentage of Class A Common Stock beneficially owned by each of the Reporting Persons, as well as the number of shares of Class A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8,890,469 shares of Class A Common Stock outstanding as of November 18, 2022 following the Stock Split, as provided by the Issuer, plus, as applicable, 5,386,178 shares of Class A Common Stock underlying the LLC Interests held of record by CB Blizzard B:</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Sole power</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Sole power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dispose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vote or</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vote or to</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to direct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dispose or to</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4360" w:type="dxa"/>
            <w:vAlign w:val="bottom"/>
            <w:vMerge w:val="restart"/>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direct</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3"/>
                <w:szCs w:val="13"/>
                <w:color w:val="auto"/>
              </w:rPr>
            </w:pPr>
          </w:p>
        </w:tc>
        <w:tc>
          <w:tcPr>
            <w:tcW w:w="4360" w:type="dxa"/>
            <w:vAlign w:val="bottom"/>
            <w:vMerge w:val="continue"/>
          </w:tcPr>
          <w:p>
            <w:pPr>
              <w:spacing w:after="0"/>
              <w:rPr>
                <w:sz w:val="13"/>
                <w:szCs w:val="13"/>
                <w:color w:val="auto"/>
              </w:rPr>
            </w:pPr>
          </w:p>
        </w:tc>
        <w:tc>
          <w:tcPr>
            <w:tcW w:w="10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88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8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the vote</w:t>
            </w:r>
          </w:p>
        </w:tc>
        <w:tc>
          <w:tcPr>
            <w:tcW w:w="10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vote</w:t>
            </w:r>
          </w:p>
        </w:tc>
        <w:tc>
          <w:tcPr>
            <w:tcW w:w="9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0" w:type="dxa"/>
            <w:vAlign w:val="bottom"/>
          </w:tcPr>
          <w:p>
            <w:pPr>
              <w:spacing w:after="0"/>
              <w:rPr>
                <w:sz w:val="1"/>
                <w:szCs w:val="1"/>
                <w:color w:val="auto"/>
              </w:rPr>
            </w:pPr>
          </w:p>
        </w:tc>
      </w:tr>
      <w:tr>
        <w:trPr>
          <w:trHeight w:val="20"/>
        </w:trPr>
        <w:tc>
          <w:tcPr>
            <w:tcW w:w="5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CCP III Cayman GP Ltd.</w:t>
            </w: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9,213,506</w:t>
            </w:r>
          </w:p>
        </w:tc>
        <w:tc>
          <w:tcPr>
            <w:tcW w:w="24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64.5%</w:t>
            </w:r>
          </w:p>
        </w:tc>
        <w:tc>
          <w:tcPr>
            <w:tcW w:w="6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9,213,506</w:t>
            </w:r>
          </w:p>
        </w:tc>
        <w:tc>
          <w:tcPr>
            <w:tcW w:w="2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00" w:type="dxa"/>
            <w:vAlign w:val="bottom"/>
            <w:vMerge w:val="continue"/>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9,213,506</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CB Blizzard Holdings C, L.P.</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1,115,131</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1,115,131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1,115,131</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Centerbridge Associates III, L.P.</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2,712,197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2,712,197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CCP III AIV VII Holdings, L.P.</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2,712,197</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2,712,197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CB Blizzard Co-Invest Holdings, L.P.</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2,712,197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2,712,197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CB Blizzard Lower Holdings GP A, LLC</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2,712,197</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2,712,197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CB Blizzard Lower Holdings A, L.P.</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2,712,197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2,712,197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Blizzard Aggregator, LLC</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5,386,178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5,386,178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5,386,178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CB Blizzard Lower Holdings GP B, LLC</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5,386,178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5,386,178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5,386,178</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CB Blizzard Lower Holdings B, L.P.</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5,386,178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5,386,178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5,386,178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H. Aronson</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9,213,506</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9,213,506</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9,213,506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firstLine="440"/>
        <w:spacing w:after="0" w:line="312" w:lineRule="auto"/>
        <w:rPr>
          <w:sz w:val="20"/>
          <w:szCs w:val="20"/>
          <w:color w:val="auto"/>
        </w:rPr>
      </w:pPr>
      <w:r>
        <w:rPr>
          <w:rFonts w:ascii="Times New Roman" w:cs="Times New Roman" w:eastAsia="Times New Roman" w:hAnsi="Times New Roman"/>
          <w:sz w:val="17"/>
          <w:szCs w:val="17"/>
          <w:color w:val="auto"/>
        </w:rPr>
        <w:t>CB Blizzard A is the record holder of 2,712,197 shares of Class A Common Stock. CB Blizzard C is the record holder of 1,115,131 shares of Class A Common Stock. CB Blizzard B is the record holder of 5,386,178 LLC Interests. Each of these figures are presented on a post-split basis.</w:t>
      </w:r>
    </w:p>
    <w:p>
      <w:pPr>
        <w:sectPr>
          <w:pgSz w:w="11900" w:h="16838" w:orient="portrait"/>
          <w:cols w:equalWidth="0" w:num="1">
            <w:col w:w="11020"/>
          </w:cols>
          <w:pgMar w:left="440" w:top="266" w:right="439" w:bottom="1440" w:gutter="0" w:footer="0" w:header="0"/>
        </w:sectPr>
      </w:pPr>
    </w:p>
    <w:bookmarkStart w:id="14" w:name="page15"/>
    <w:bookmarkEnd w:id="14"/>
    <w:p>
      <w:pPr>
        <w:ind w:left="4"/>
        <w:spacing w:after="0"/>
        <w:tabs>
          <w:tab w:leader="none" w:pos="5564" w:val="left"/>
          <w:tab w:leader="none" w:pos="95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14 of 16 pages</w:t>
      </w:r>
    </w:p>
    <w:p>
      <w:pPr>
        <w:spacing w:after="0" w:line="162"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B. As a result, each of the foregoing entities may be deemed to share beneficial ownership of the LLC Interests held of record by CB Blizzard B.</w:t>
      </w:r>
    </w:p>
    <w:p>
      <w:pPr>
        <w:spacing w:after="0" w:line="18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w:t>
      </w:r>
    </w:p>
    <w:p>
      <w:pPr>
        <w:ind w:left="4"/>
        <w:spacing w:after="0" w:line="260" w:lineRule="auto"/>
        <w:rPr>
          <w:sz w:val="20"/>
          <w:szCs w:val="20"/>
          <w:color w:val="auto"/>
        </w:rPr>
      </w:pPr>
      <w:r>
        <w:rPr>
          <w:rFonts w:ascii="Times New Roman" w:cs="Times New Roman" w:eastAsia="Times New Roman" w:hAnsi="Times New Roman"/>
          <w:sz w:val="18"/>
          <w:szCs w:val="18"/>
          <w:color w:val="auto"/>
        </w:rPr>
        <w:t>Mr. Aronson or by any Reporting Person as to beneficial ownership of securities owned by another Reporting Person. In addition, Mr. Aronson expressly disclaims beneficial ownership of the securities held of record by each of CB Blizzard A, CB Blizzard C and CB Blizzard B.</w:t>
      </w:r>
    </w:p>
    <w:p>
      <w:pPr>
        <w:spacing w:after="0" w:line="18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as discussed in Item 2 of the Schedule 13D, by virtue of the agreements made pursuant to the Stockholders Agreement, the Stockholders may be deemed to be acting as a group for purposes of Rule 13d-3 under the Exchange Act. Shares beneficially owned by NVX are not the subject of this Schedule 13D and accordingly, NVX is not included as a reporting person herein.</w:t>
      </w:r>
    </w:p>
    <w:p>
      <w:pPr>
        <w:spacing w:after="0" w:line="176" w:lineRule="exact"/>
        <w:rPr>
          <w:sz w:val="20"/>
          <w:szCs w:val="20"/>
          <w:color w:val="auto"/>
        </w:rPr>
      </w:pPr>
    </w:p>
    <w:p>
      <w:pPr>
        <w:ind w:left="4" w:right="100" w:hanging="4"/>
        <w:spacing w:after="0" w:line="282"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3 of the Schedule 13D, during the past 60 days, the Reporting Persons have not effected any transactions with respect to the Class A Common Stock.</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4"/>
          </w:cols>
          <w:pgMar w:left="436" w:top="266" w:right="439" w:bottom="1440" w:gutter="0" w:footer="0" w:header="0"/>
        </w:sectPr>
      </w:pPr>
    </w:p>
    <w:bookmarkStart w:id="15" w:name="page16"/>
    <w:bookmarkEnd w:id="15"/>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15 of 16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December 2,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CCP III Cayman GP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Holdings C,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general 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Centerbridge Associates III,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general 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CCP III AIV VII Holdings,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Centerbridge Associates III, L.P., its general partner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general 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Co-Invest Holdings,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Centerbridge Associates III, L.P., its general partner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general 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11020"/>
          </w:cols>
          <w:pgMar w:left="440" w:top="266" w:right="439" w:bottom="1440" w:gutter="0" w:footer="0" w:header="0"/>
        </w:sectPr>
      </w:pPr>
    </w:p>
    <w:bookmarkStart w:id="16" w:name="page17"/>
    <w:bookmarkEnd w:id="16"/>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16 of 16 pages</w:t>
      </w:r>
    </w:p>
    <w:p>
      <w:pPr>
        <w:sectPr>
          <w:pgSz w:w="11900" w:h="16838" w:orient="portrait"/>
          <w:cols w:equalWidth="0" w:num="1">
            <w:col w:w="11020"/>
          </w:cols>
          <w:pgMar w:left="440" w:top="266" w:right="439" w:bottom="1440" w:gutter="0" w:footer="0" w:header="0"/>
        </w:sectPr>
      </w:pPr>
    </w:p>
    <w:p>
      <w:pPr>
        <w:spacing w:after="0" w:line="15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Lower Holdings GP A,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Lower Holdings A,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CB Blizzard Lower Holdings GP A,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Blizzard Aggregator,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sole manager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Lower Holdings GP B,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Lower Holdings B,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 CB Blizzard Lower Holdings GP B, LLC, its general</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Jeffrey H. Aronson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1020"/>
      </w:cols>
      <w:pgMar w:left="440" w:top="2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2022-12-02T16:11:45Z</dcterms:created>
  <dcterms:modified xsi:type="dcterms:W3CDTF">2022-12-02T16:11:45Z</dcterms:modified>
</cp:coreProperties>
</file>