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Clinton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11.379</w:t>
            </w:r>
            <w:r>
              <w:rPr>
                <w:rFonts w:ascii="Times New Roman" w:cs="Times New Roman" w:eastAsia="Times New Roman" w:hAnsi="Times New Roman"/>
                <w:sz w:val="22"/>
                <w:szCs w:val="22"/>
                <w:color w:val="008000"/>
                <w:vertAlign w:val="superscript"/>
              </w:rPr>
              <w:t>(1)</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03/16/2021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178,000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continue"/>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221,817</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BCCJ,</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135,044</w:t>
            </w:r>
          </w:p>
        </w:tc>
        <w:tc>
          <w:tcPr>
            <w:tcW w:w="28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92,677,981</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-3860165</wp:posOffset>
            </wp:positionV>
            <wp:extent cx="7031355" cy="3900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008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purchased in multiple transactions at prices ranging from $11.24 to $11.48. The reporting person undertakes to provide the Company, any security holder of the Company, or the staff of the Securities and Exchange Commission, upon request, full information regarding the number of shares purchased at each separate price within the range set forth in this footnote.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02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2021-03-17T16:34:06Z</dcterms:created>
  <dcterms:modified xsi:type="dcterms:W3CDTF">2021-03-17T16:34:06Z</dcterms:modified>
</cp:coreProperties>
</file>